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A3711" w14:textId="2257023D" w:rsidR="00CC6E5B" w:rsidRPr="006C5D80" w:rsidRDefault="00CC6E5B" w:rsidP="00CC6E5B">
      <w:pPr>
        <w:pStyle w:val="RepertoireFootnoteText"/>
        <w:spacing w:line="240" w:lineRule="auto"/>
        <w:ind w:left="0" w:right="0" w:firstLine="0"/>
        <w:jc w:val="both"/>
        <w:rPr>
          <w:sz w:val="2"/>
        </w:rPr>
        <w:sectPr w:rsidR="00CC6E5B" w:rsidRPr="006C5D80" w:rsidSect="008A087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C5D80">
        <w:rPr>
          <w:rStyle w:val="CommentReference"/>
          <w:rFonts w:ascii="Times New Roman" w:hAnsi="Times New Roman" w:cs="Times New Roman"/>
          <w:szCs w:val="20"/>
        </w:rPr>
        <w:commentReference w:id="0"/>
      </w:r>
      <w:r w:rsidR="001E2706">
        <w:rPr>
          <w:sz w:val="2"/>
        </w:rPr>
        <w:t xml:space="preserve">  </w:t>
      </w:r>
    </w:p>
    <w:p w14:paraId="53FA598F" w14:textId="77777777" w:rsidR="00330D8A" w:rsidRPr="00C37370" w:rsidRDefault="00330D8A" w:rsidP="00330D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C37370">
        <w:t>Comité para la Eliminación de la Discriminación contra la Mujer</w:t>
      </w:r>
    </w:p>
    <w:p w14:paraId="52460458" w14:textId="77777777" w:rsidR="00330D8A" w:rsidRPr="006C5D80" w:rsidRDefault="00330D8A" w:rsidP="00330D8A">
      <w:pPr>
        <w:pStyle w:val="SingleTxt"/>
        <w:spacing w:after="0" w:line="120" w:lineRule="exact"/>
        <w:rPr>
          <w:sz w:val="10"/>
        </w:rPr>
      </w:pPr>
    </w:p>
    <w:p w14:paraId="17237D07" w14:textId="77777777" w:rsidR="00330D8A" w:rsidRPr="006C5D80" w:rsidRDefault="00330D8A" w:rsidP="00330D8A">
      <w:pPr>
        <w:pStyle w:val="SingleTxt"/>
        <w:spacing w:after="0" w:line="120" w:lineRule="exact"/>
        <w:rPr>
          <w:sz w:val="10"/>
        </w:rPr>
      </w:pPr>
    </w:p>
    <w:p w14:paraId="3C559CCA" w14:textId="77777777" w:rsidR="00330D8A" w:rsidRPr="006C5D80" w:rsidRDefault="00330D8A" w:rsidP="00330D8A">
      <w:pPr>
        <w:pStyle w:val="SingleTxt"/>
        <w:spacing w:after="0" w:line="120" w:lineRule="exact"/>
        <w:rPr>
          <w:sz w:val="10"/>
        </w:rPr>
      </w:pPr>
    </w:p>
    <w:p w14:paraId="1E0613DB" w14:textId="61369B40" w:rsidR="008A0875" w:rsidRPr="00C37370" w:rsidRDefault="00330D8A" w:rsidP="00330D8A">
      <w:pPr>
        <w:pStyle w:val="TitleHCH"/>
        <w:ind w:right="1470"/>
      </w:pPr>
      <w:r w:rsidRPr="00C37370">
        <w:tab/>
      </w:r>
      <w:r w:rsidRPr="00C37370">
        <w:tab/>
        <w:t xml:space="preserve">Sexto informe periódico que </w:t>
      </w:r>
      <w:proofErr w:type="spellStart"/>
      <w:r w:rsidRPr="00C37370">
        <w:t>Fiji</w:t>
      </w:r>
      <w:proofErr w:type="spellEnd"/>
      <w:r w:rsidRPr="00C37370">
        <w:t xml:space="preserve"> debía presentar en 2023 en virtud del artículo 18 de la Convención</w:t>
      </w:r>
      <w:r w:rsidRPr="006C5D80">
        <w:rPr>
          <w:b w:val="0"/>
          <w:bCs/>
          <w:sz w:val="20"/>
          <w:szCs w:val="20"/>
        </w:rPr>
        <w:t>*</w:t>
      </w:r>
      <w:r w:rsidRPr="0064045A">
        <w:rPr>
          <w:b w:val="0"/>
          <w:bCs/>
          <w:sz w:val="20"/>
          <w:szCs w:val="20"/>
          <w:vertAlign w:val="superscript"/>
        </w:rPr>
        <w:t>,</w:t>
      </w:r>
      <w:r w:rsidR="00C15E2B">
        <w:rPr>
          <w:b w:val="0"/>
          <w:bCs/>
          <w:sz w:val="20"/>
          <w:szCs w:val="20"/>
        </w:rPr>
        <w:t xml:space="preserve"> </w:t>
      </w:r>
      <w:r w:rsidRPr="006C5D80">
        <w:rPr>
          <w:b w:val="0"/>
          <w:bCs/>
          <w:sz w:val="20"/>
          <w:szCs w:val="20"/>
        </w:rPr>
        <w:t>**</w:t>
      </w:r>
      <w:r w:rsidRPr="0064045A">
        <w:rPr>
          <w:b w:val="0"/>
          <w:bCs/>
          <w:sz w:val="20"/>
          <w:szCs w:val="20"/>
          <w:vertAlign w:val="superscript"/>
        </w:rPr>
        <w:t>,</w:t>
      </w:r>
      <w:r w:rsidR="00C15E2B">
        <w:rPr>
          <w:b w:val="0"/>
          <w:bCs/>
          <w:sz w:val="20"/>
          <w:szCs w:val="20"/>
        </w:rPr>
        <w:t xml:space="preserve"> </w:t>
      </w:r>
      <w:r w:rsidRPr="006C5D80">
        <w:rPr>
          <w:b w:val="0"/>
          <w:bCs/>
          <w:sz w:val="20"/>
          <w:szCs w:val="20"/>
        </w:rPr>
        <w:t>***</w:t>
      </w:r>
    </w:p>
    <w:p w14:paraId="79F8D1BB" w14:textId="77777777" w:rsidR="008A0875" w:rsidRPr="006C5D80" w:rsidRDefault="008A0875" w:rsidP="00330D8A">
      <w:pPr>
        <w:pStyle w:val="SingleTxt"/>
        <w:spacing w:after="0" w:line="120" w:lineRule="exact"/>
        <w:rPr>
          <w:sz w:val="10"/>
        </w:rPr>
      </w:pPr>
    </w:p>
    <w:p w14:paraId="136F7E5D" w14:textId="77777777" w:rsidR="00330D8A" w:rsidRPr="006C5D80" w:rsidRDefault="00330D8A" w:rsidP="00330D8A">
      <w:pPr>
        <w:pStyle w:val="SingleTxt"/>
        <w:spacing w:after="0" w:line="120" w:lineRule="exact"/>
        <w:rPr>
          <w:sz w:val="10"/>
        </w:rPr>
      </w:pPr>
    </w:p>
    <w:p w14:paraId="7C386480" w14:textId="387F4D48" w:rsidR="00330D8A" w:rsidRPr="006C5D80" w:rsidRDefault="00330D8A" w:rsidP="00330D8A">
      <w:pPr>
        <w:pStyle w:val="SingleTxt"/>
        <w:jc w:val="right"/>
      </w:pPr>
      <w:r w:rsidRPr="004C01B2">
        <w:t>[Fecha de recepción: 10 de enero</w:t>
      </w:r>
      <w:r w:rsidRPr="006C5D80">
        <w:t xml:space="preserve"> de </w:t>
      </w:r>
      <w:r w:rsidRPr="00C37370">
        <w:t>2025</w:t>
      </w:r>
      <w:r w:rsidRPr="006C5D80">
        <w:t>]</w:t>
      </w:r>
    </w:p>
    <w:p w14:paraId="677C6703" w14:textId="77777777" w:rsidR="00330D8A" w:rsidRPr="006C5D80" w:rsidRDefault="00330D8A" w:rsidP="00330D8A">
      <w:pPr>
        <w:pStyle w:val="SingleTxt"/>
      </w:pPr>
    </w:p>
    <w:p w14:paraId="0088A4CC" w14:textId="67EA21EC" w:rsidR="00330D8A" w:rsidRPr="006C5D80" w:rsidRDefault="00330D8A" w:rsidP="00330D8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6879FA">
        <w:rPr>
          <w:noProof/>
          <w:w w:val="100"/>
        </w:rPr>
        <mc:AlternateContent>
          <mc:Choice Requires="wps">
            <w:drawing>
              <wp:anchor distT="0" distB="0" distL="114300" distR="114300" simplePos="0" relativeHeight="251659264" behindDoc="0" locked="0" layoutInCell="1" allowOverlap="1" wp14:anchorId="5933AA6C" wp14:editId="4A884C9B">
                <wp:simplePos x="0" y="0"/>
                <wp:positionH relativeFrom="column">
                  <wp:posOffset>548640</wp:posOffset>
                </wp:positionH>
                <wp:positionV relativeFrom="paragraph">
                  <wp:posOffset>-12700</wp:posOffset>
                </wp:positionV>
                <wp:extent cx="914400" cy="0"/>
                <wp:effectExtent l="0" t="0" r="0" b="0"/>
                <wp:wrapNone/>
                <wp:docPr id="16317379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7F96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C5D80">
        <w:rPr>
          <w:spacing w:val="5"/>
          <w:w w:val="104"/>
          <w:kern w:val="14"/>
          <w:sz w:val="17"/>
          <w:szCs w:val="20"/>
        </w:rPr>
        <w:tab/>
        <w:t>*</w:t>
      </w:r>
      <w:r w:rsidRPr="006C5D80">
        <w:rPr>
          <w:spacing w:val="5"/>
          <w:w w:val="104"/>
          <w:kern w:val="14"/>
          <w:sz w:val="17"/>
          <w:szCs w:val="20"/>
        </w:rPr>
        <w:tab/>
        <w:t>La versión original del presente documento no fue objeto de revisión editorial oficial.</w:t>
      </w:r>
    </w:p>
    <w:p w14:paraId="3900E386" w14:textId="49C5B083" w:rsidR="00330D8A" w:rsidRPr="006C5D80" w:rsidRDefault="00330D8A" w:rsidP="00330D8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rPr>
      </w:pPr>
      <w:r w:rsidRPr="006C5D80">
        <w:rPr>
          <w:spacing w:val="5"/>
          <w:w w:val="104"/>
          <w:kern w:val="14"/>
          <w:sz w:val="17"/>
          <w:szCs w:val="20"/>
        </w:rPr>
        <w:tab/>
        <w:t>**</w:t>
      </w:r>
      <w:r w:rsidRPr="006C5D80">
        <w:rPr>
          <w:spacing w:val="5"/>
          <w:w w:val="104"/>
          <w:kern w:val="14"/>
          <w:sz w:val="17"/>
          <w:szCs w:val="20"/>
        </w:rPr>
        <w:tab/>
        <w:t>Este documento se presentó de conformidad con el procedimiento simplificado de presentación de informes. Contiene las respuestas del Estado parte a la lista de cuestiones previa a la presentación del informe preparada por el Comité (</w:t>
      </w:r>
      <w:hyperlink r:id="rId21" w:history="1">
        <w:r w:rsidRPr="00C37370">
          <w:rPr>
            <w:rStyle w:val="Hyperlink"/>
            <w:spacing w:val="5"/>
            <w:w w:val="104"/>
            <w:kern w:val="14"/>
            <w:sz w:val="17"/>
            <w:szCs w:val="20"/>
          </w:rPr>
          <w:t>CEDAW/C/FJI/QPR/6</w:t>
        </w:r>
      </w:hyperlink>
      <w:r w:rsidRPr="006C5D80">
        <w:rPr>
          <w:spacing w:val="5"/>
          <w:w w:val="104"/>
          <w:kern w:val="14"/>
          <w:sz w:val="17"/>
          <w:szCs w:val="20"/>
        </w:rPr>
        <w:t>).</w:t>
      </w:r>
    </w:p>
    <w:p w14:paraId="3B61C836" w14:textId="011B3124" w:rsidR="00330D8A" w:rsidRPr="006C5D80" w:rsidRDefault="00330D8A" w:rsidP="00330D8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6C5D80">
        <w:rPr>
          <w:spacing w:val="5"/>
          <w:w w:val="104"/>
          <w:kern w:val="14"/>
          <w:sz w:val="17"/>
          <w:szCs w:val="20"/>
        </w:rPr>
        <w:tab/>
        <w:t>***</w:t>
      </w:r>
      <w:r w:rsidRPr="006C5D80">
        <w:rPr>
          <w:spacing w:val="5"/>
          <w:w w:val="104"/>
          <w:kern w:val="14"/>
          <w:sz w:val="17"/>
          <w:szCs w:val="20"/>
        </w:rPr>
        <w:tab/>
        <w:t>Los anexos del presente documento pueden consultarse en la página web del Comité.</w:t>
      </w:r>
    </w:p>
    <w:p w14:paraId="1524CFA9" w14:textId="595210F6" w:rsidR="00330D8A" w:rsidRPr="006C5D80" w:rsidRDefault="00330D8A">
      <w:pPr>
        <w:suppressAutoHyphens w:val="0"/>
        <w:spacing w:after="160" w:line="259" w:lineRule="auto"/>
        <w:rPr>
          <w:kern w:val="14"/>
        </w:rPr>
      </w:pPr>
      <w:r w:rsidRPr="006C5D80">
        <w:br w:type="page"/>
      </w:r>
    </w:p>
    <w:p w14:paraId="20575B8A" w14:textId="11A41097" w:rsidR="00597C74" w:rsidRPr="00C37370" w:rsidRDefault="00597C74" w:rsidP="00597C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t>I.</w:t>
      </w:r>
      <w:r w:rsidRPr="00C37370">
        <w:tab/>
        <w:t>Introducción</w:t>
      </w:r>
    </w:p>
    <w:p w14:paraId="1FAB7B2E" w14:textId="77777777" w:rsidR="00597C74" w:rsidRPr="006C5D80" w:rsidRDefault="00597C74" w:rsidP="00597C74">
      <w:pPr>
        <w:pStyle w:val="SingleTxt"/>
        <w:spacing w:after="0" w:line="120" w:lineRule="exact"/>
        <w:rPr>
          <w:sz w:val="10"/>
        </w:rPr>
      </w:pPr>
    </w:p>
    <w:p w14:paraId="1B2E34D2" w14:textId="77777777" w:rsidR="00597C74" w:rsidRPr="006C5D80" w:rsidRDefault="00597C74" w:rsidP="00597C74">
      <w:pPr>
        <w:pStyle w:val="SingleTxt"/>
        <w:spacing w:after="0" w:line="120" w:lineRule="exact"/>
        <w:rPr>
          <w:sz w:val="10"/>
        </w:rPr>
      </w:pPr>
    </w:p>
    <w:p w14:paraId="525F84EA" w14:textId="77777777" w:rsidR="00597C74" w:rsidRPr="006C5D80" w:rsidRDefault="00597C74" w:rsidP="00142BE0">
      <w:pPr>
        <w:pStyle w:val="SingleTxt"/>
        <w:numPr>
          <w:ilvl w:val="0"/>
          <w:numId w:val="12"/>
        </w:numPr>
        <w:ind w:left="1267"/>
      </w:pPr>
      <w:r w:rsidRPr="006C5D80">
        <w:t>La República de Fiji se complace en presentar al Comité para la Eliminación de la Discriminación contra la Mujer las respuestas a la lista de cuestiones y preguntas previas relativas al sexto informe periódico acerca de la aplicación de la Convención sobre la Eliminación de Todas las Formas de Discriminación contra la Mujer.</w:t>
      </w:r>
    </w:p>
    <w:p w14:paraId="357ADF4C" w14:textId="77777777" w:rsidR="00597C74" w:rsidRPr="006C5D80" w:rsidRDefault="00597C74" w:rsidP="00142BE0">
      <w:pPr>
        <w:pStyle w:val="SingleTxt"/>
        <w:numPr>
          <w:ilvl w:val="0"/>
          <w:numId w:val="12"/>
        </w:numPr>
        <w:tabs>
          <w:tab w:val="clear" w:pos="475"/>
        </w:tabs>
        <w:ind w:left="1267"/>
      </w:pPr>
      <w:r w:rsidRPr="006C5D80">
        <w:t xml:space="preserve">El Ministerio de la Mujer, la Infancia y la Protección Social coordinó la recopilación de información de todos los Ministerios y Departamentos gubernamentales pertinentes, procesó la información y preparó el siguiente documento, desde </w:t>
      </w:r>
      <w:r w:rsidRPr="00C37370">
        <w:t>2018</w:t>
      </w:r>
      <w:r w:rsidRPr="006C5D80">
        <w:t xml:space="preserve"> hasta septiembre de </w:t>
      </w:r>
      <w:r w:rsidRPr="00C37370">
        <w:t>2023</w:t>
      </w:r>
      <w:r w:rsidRPr="006C5D80">
        <w:t xml:space="preserve">. </w:t>
      </w:r>
    </w:p>
    <w:p w14:paraId="45D53BBA" w14:textId="03D62B33" w:rsidR="00597C74" w:rsidRPr="006C5D80" w:rsidRDefault="00597C74" w:rsidP="00142BE0">
      <w:pPr>
        <w:pStyle w:val="SingleTxt"/>
        <w:numPr>
          <w:ilvl w:val="0"/>
          <w:numId w:val="12"/>
        </w:numPr>
        <w:ind w:left="1267"/>
      </w:pPr>
      <w:r w:rsidRPr="006C5D80">
        <w:t xml:space="preserve">Siguiendo las instrucciones del Comité, las respuestas se han resumido en un máximo de </w:t>
      </w:r>
      <w:r w:rsidRPr="00C37370">
        <w:t>21</w:t>
      </w:r>
      <w:r w:rsidRPr="006C5D80">
        <w:t>.</w:t>
      </w:r>
      <w:r w:rsidRPr="00C37370">
        <w:t>200</w:t>
      </w:r>
      <w:r w:rsidRPr="006C5D80">
        <w:t xml:space="preserve"> palabras.</w:t>
      </w:r>
    </w:p>
    <w:p w14:paraId="2DC38363" w14:textId="77777777" w:rsidR="00597C74" w:rsidRPr="006C5D80" w:rsidRDefault="00597C74" w:rsidP="00490FFB">
      <w:pPr>
        <w:pStyle w:val="SingleTxt"/>
        <w:spacing w:after="0" w:line="120" w:lineRule="exact"/>
        <w:rPr>
          <w:sz w:val="10"/>
        </w:rPr>
      </w:pPr>
    </w:p>
    <w:p w14:paraId="3BEFCB3C" w14:textId="77777777" w:rsidR="00490FFB" w:rsidRPr="006C5D80" w:rsidRDefault="00490FFB" w:rsidP="00490FFB">
      <w:pPr>
        <w:pStyle w:val="SingleTxt"/>
        <w:spacing w:after="0" w:line="120" w:lineRule="exact"/>
        <w:rPr>
          <w:sz w:val="10"/>
        </w:rPr>
      </w:pPr>
    </w:p>
    <w:p w14:paraId="20613599" w14:textId="3D960173" w:rsidR="00597C74" w:rsidRPr="00C37370" w:rsidRDefault="00A71D2B" w:rsidP="00A71D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00597C74" w:rsidRPr="00C37370">
        <w:t>II.</w:t>
      </w:r>
      <w:r w:rsidR="00597C74" w:rsidRPr="00C37370">
        <w:tab/>
        <w:t>Respuestas a la lista de cuestiones previa a la presentación de informes</w:t>
      </w:r>
    </w:p>
    <w:p w14:paraId="41E82946" w14:textId="77777777" w:rsidR="00A71D2B" w:rsidRPr="006C5D80" w:rsidRDefault="00A71D2B" w:rsidP="00A71D2B">
      <w:pPr>
        <w:pStyle w:val="SingleTxt"/>
        <w:spacing w:after="0" w:line="120" w:lineRule="exact"/>
        <w:rPr>
          <w:sz w:val="10"/>
        </w:rPr>
      </w:pPr>
    </w:p>
    <w:p w14:paraId="2484E633" w14:textId="77777777" w:rsidR="00A71D2B" w:rsidRPr="006C5D80" w:rsidRDefault="00A71D2B" w:rsidP="00A71D2B">
      <w:pPr>
        <w:pStyle w:val="SingleTxt"/>
        <w:spacing w:after="0" w:line="120" w:lineRule="exact"/>
        <w:rPr>
          <w:sz w:val="10"/>
        </w:rPr>
      </w:pPr>
    </w:p>
    <w:p w14:paraId="4C51FF0E" w14:textId="7777777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Generalidades</w:t>
      </w:r>
    </w:p>
    <w:p w14:paraId="217CA2B8" w14:textId="77777777" w:rsidR="00A71D2B" w:rsidRPr="006C5D80" w:rsidRDefault="00A71D2B" w:rsidP="00A71D2B">
      <w:pPr>
        <w:pStyle w:val="SingleTxt"/>
        <w:spacing w:after="0" w:line="120" w:lineRule="exact"/>
        <w:rPr>
          <w:sz w:val="10"/>
        </w:rPr>
      </w:pPr>
    </w:p>
    <w:p w14:paraId="2328B235" w14:textId="77777777" w:rsidR="00A71D2B" w:rsidRPr="006C5D80" w:rsidRDefault="00A71D2B" w:rsidP="00A71D2B">
      <w:pPr>
        <w:pStyle w:val="SingleTxt"/>
        <w:spacing w:after="0" w:line="120" w:lineRule="exact"/>
        <w:rPr>
          <w:sz w:val="10"/>
        </w:rPr>
      </w:pPr>
    </w:p>
    <w:p w14:paraId="00B29913" w14:textId="56529352"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 de la lista de cuestiones (</w:t>
      </w:r>
      <w:hyperlink r:id="rId22" w:history="1">
        <w:r w:rsidRPr="00C37370">
          <w:rPr>
            <w:rStyle w:val="Hyperlink"/>
          </w:rPr>
          <w:t>CEDAW/C/FJI/QPR/6</w:t>
        </w:r>
      </w:hyperlink>
      <w:r w:rsidRPr="00C37370">
        <w:t>)</w:t>
      </w:r>
      <w:bookmarkStart w:id="1" w:name="_Hlk187409675"/>
      <w:bookmarkEnd w:id="1"/>
    </w:p>
    <w:p w14:paraId="2BAE6452" w14:textId="77777777" w:rsidR="00A71D2B" w:rsidRPr="006C5D80" w:rsidRDefault="00A71D2B" w:rsidP="00A71D2B">
      <w:pPr>
        <w:pStyle w:val="SingleTxt"/>
        <w:spacing w:after="0" w:line="120" w:lineRule="exact"/>
        <w:rPr>
          <w:sz w:val="10"/>
        </w:rPr>
      </w:pPr>
    </w:p>
    <w:p w14:paraId="5433C470" w14:textId="77777777" w:rsidR="00A71D2B" w:rsidRPr="006C5D80" w:rsidRDefault="00A71D2B" w:rsidP="00A71D2B">
      <w:pPr>
        <w:pStyle w:val="SingleTxt"/>
        <w:spacing w:after="0" w:line="120" w:lineRule="exact"/>
        <w:rPr>
          <w:sz w:val="10"/>
        </w:rPr>
      </w:pPr>
    </w:p>
    <w:p w14:paraId="5EA73156" w14:textId="3632663E" w:rsidR="00597C74" w:rsidRPr="00C37370" w:rsidRDefault="00597C74" w:rsidP="00142BE0">
      <w:pPr>
        <w:pStyle w:val="SingleTxt"/>
        <w:numPr>
          <w:ilvl w:val="0"/>
          <w:numId w:val="12"/>
        </w:numPr>
        <w:ind w:left="1267"/>
        <w:rPr>
          <w:b/>
        </w:rPr>
      </w:pPr>
      <w:r w:rsidRPr="006C5D80">
        <w:t xml:space="preserve">Según el censo de </w:t>
      </w:r>
      <w:r w:rsidRPr="00C37370">
        <w:t>2017</w:t>
      </w:r>
      <w:r w:rsidRPr="006C5D80">
        <w:t xml:space="preserve"> recogido por la Oficina de Estadística de Fiji, la población total del país asciende a </w:t>
      </w:r>
      <w:r w:rsidRPr="00C37370">
        <w:t>884</w:t>
      </w:r>
      <w:r w:rsidRPr="006C5D80">
        <w:t>.</w:t>
      </w:r>
      <w:r w:rsidRPr="00C37370">
        <w:t>887</w:t>
      </w:r>
      <w:r w:rsidRPr="006C5D80">
        <w:t xml:space="preserve"> habitantes, frente a los </w:t>
      </w:r>
      <w:r w:rsidRPr="00C37370">
        <w:t>837</w:t>
      </w:r>
      <w:r w:rsidRPr="006C5D80">
        <w:t>.</w:t>
      </w:r>
      <w:r w:rsidRPr="00C37370">
        <w:t>271</w:t>
      </w:r>
      <w:r w:rsidRPr="006C5D80">
        <w:t xml:space="preserve"> del censo de </w:t>
      </w:r>
      <w:r w:rsidRPr="00C37370">
        <w:t>2007</w:t>
      </w:r>
      <w:r w:rsidRPr="006C5D80">
        <w:t xml:space="preserve">. Esto supone un aumento de </w:t>
      </w:r>
      <w:r w:rsidRPr="00C37370">
        <w:t>47</w:t>
      </w:r>
      <w:r w:rsidRPr="006C5D80">
        <w:t>.</w:t>
      </w:r>
      <w:r w:rsidRPr="00C37370">
        <w:t>616</w:t>
      </w:r>
      <w:r w:rsidRPr="006C5D80">
        <w:t xml:space="preserve"> personas</w:t>
      </w:r>
      <w:r w:rsidR="00D727C4" w:rsidRPr="006C5D80">
        <w:t xml:space="preserve"> </w:t>
      </w:r>
      <w:r w:rsidRPr="006C5D80">
        <w:t>(</w:t>
      </w:r>
      <w:r w:rsidRPr="00C37370">
        <w:t>5</w:t>
      </w:r>
      <w:r w:rsidRPr="006C5D80">
        <w:t>,</w:t>
      </w:r>
      <w:r w:rsidRPr="00C37370">
        <w:t>7</w:t>
      </w:r>
      <w:r w:rsidRPr="006C5D80">
        <w:t xml:space="preserve"> %). El crecimiento medio anual de la población es del </w:t>
      </w:r>
      <w:r w:rsidRPr="00C37370">
        <w:t>0</w:t>
      </w:r>
      <w:r w:rsidRPr="006C5D80">
        <w:t>,</w:t>
      </w:r>
      <w:r w:rsidRPr="00C37370">
        <w:t>6</w:t>
      </w:r>
      <w:r w:rsidRPr="006C5D80">
        <w:t xml:space="preserve"> %, debido a las bajas tasas de natalidad y a la emigración. Las mujeres representan el </w:t>
      </w:r>
      <w:r w:rsidRPr="00C37370">
        <w:t>49</w:t>
      </w:r>
      <w:r w:rsidRPr="006C5D80">
        <w:t>,</w:t>
      </w:r>
      <w:r w:rsidRPr="00C37370">
        <w:t>3</w:t>
      </w:r>
      <w:r w:rsidRPr="006C5D80">
        <w:t xml:space="preserve"> % de la población. La proporción de varones era mayor por debajo de los </w:t>
      </w:r>
      <w:r w:rsidRPr="00C37370">
        <w:t>59</w:t>
      </w:r>
      <w:r w:rsidRPr="006C5D80">
        <w:t xml:space="preserve"> años. La población femenina era mayor en los grupos de edad mayores de los </w:t>
      </w:r>
      <w:r w:rsidRPr="00C37370">
        <w:t>60</w:t>
      </w:r>
      <w:r w:rsidRPr="006C5D80">
        <w:t xml:space="preserve"> años, lo que indica una mayor longevidad femenina. Véanse los cuadros </w:t>
      </w:r>
      <w:r w:rsidRPr="00C37370">
        <w:t>1</w:t>
      </w:r>
      <w:r w:rsidRPr="006C5D80">
        <w:t xml:space="preserve"> y </w:t>
      </w:r>
      <w:r w:rsidRPr="00C37370">
        <w:t>2</w:t>
      </w:r>
      <w:r w:rsidRPr="006C5D80">
        <w:t xml:space="preserve"> del anexo </w:t>
      </w:r>
      <w:r w:rsidRPr="00C37370">
        <w:t>1</w:t>
      </w:r>
      <w:r w:rsidRPr="006C5D80">
        <w:t xml:space="preserve">. </w:t>
      </w:r>
    </w:p>
    <w:p w14:paraId="4F1C9C5D" w14:textId="5A74D4D5" w:rsidR="00597C74" w:rsidRPr="006C5D80" w:rsidRDefault="00597C74" w:rsidP="00142BE0">
      <w:pPr>
        <w:pStyle w:val="SingleTxt"/>
        <w:numPr>
          <w:ilvl w:val="0"/>
          <w:numId w:val="13"/>
        </w:numPr>
        <w:ind w:left="1267"/>
      </w:pPr>
      <w:r w:rsidRPr="006C5D80">
        <w:t xml:space="preserve">Política - La Oficina Electoral de Fiji dispone del Registro Nacional de Votantes, que contiene una lista de todos los votantes registrados en el país y la información relativa a su edad, sexo y domicilio. Al </w:t>
      </w:r>
      <w:r w:rsidRPr="00C37370">
        <w:t>30</w:t>
      </w:r>
      <w:r w:rsidRPr="006C5D80">
        <w:t xml:space="preserve"> de junio de </w:t>
      </w:r>
      <w:r w:rsidRPr="00C37370">
        <w:t>2023</w:t>
      </w:r>
      <w:r w:rsidRPr="006C5D80">
        <w:t xml:space="preserve">, el número total de votantes registrados en el Registro ascendía a </w:t>
      </w:r>
      <w:r w:rsidRPr="00C37370">
        <w:t>695</w:t>
      </w:r>
      <w:r w:rsidRPr="006C5D80">
        <w:t>.</w:t>
      </w:r>
      <w:r w:rsidRPr="00C37370">
        <w:t>435</w:t>
      </w:r>
      <w:r w:rsidRPr="006C5D80">
        <w:t xml:space="preserve">, de los cuales </w:t>
      </w:r>
      <w:r w:rsidRPr="00C37370">
        <w:t>346</w:t>
      </w:r>
      <w:r w:rsidRPr="006C5D80">
        <w:t>.</w:t>
      </w:r>
      <w:r w:rsidRPr="00C37370">
        <w:t>244</w:t>
      </w:r>
      <w:r w:rsidRPr="006C5D80">
        <w:t xml:space="preserve"> eran mujeres y </w:t>
      </w:r>
      <w:r w:rsidRPr="00C37370">
        <w:t>349</w:t>
      </w:r>
      <w:r w:rsidRPr="006C5D80">
        <w:t>.</w:t>
      </w:r>
      <w:r w:rsidRPr="00C37370">
        <w:t>191</w:t>
      </w:r>
      <w:r w:rsidRPr="006C5D80">
        <w:t xml:space="preserve"> eran hombres. Tras las elecciones generales celebradas en </w:t>
      </w:r>
      <w:r w:rsidRPr="00C37370">
        <w:t>2018</w:t>
      </w:r>
      <w:r w:rsidRPr="006C5D80">
        <w:t xml:space="preserve">, la Oficina publicó un informe de participación electoral y encuesta de </w:t>
      </w:r>
      <w:r w:rsidRPr="00C37370">
        <w:t>2018</w:t>
      </w:r>
      <w:r w:rsidRPr="006C5D80">
        <w:t xml:space="preserve">, que contiene datos extraídos a través de un análisis de la lista de votantes y los resultados de una encuesta de votantes a nivel nacional. Estos datos se referían al registro de votantes y a la participación electoral en todas las divisiones de Fiji y en el extranjero. Se cotejaron por sexo, edad y domicilio. Los datos del informe de participación electoral y encuesta de </w:t>
      </w:r>
      <w:r w:rsidRPr="00C37370">
        <w:t>2018</w:t>
      </w:r>
      <w:r w:rsidRPr="006C5D80">
        <w:t xml:space="preserve"> revelaron que había </w:t>
      </w:r>
      <w:r w:rsidRPr="00C37370">
        <w:t>637</w:t>
      </w:r>
      <w:r w:rsidRPr="006C5D80">
        <w:t>.</w:t>
      </w:r>
      <w:r w:rsidRPr="00C37370">
        <w:t>527</w:t>
      </w:r>
      <w:r w:rsidRPr="006C5D80">
        <w:t xml:space="preserve"> votantes registrados, de los cuales </w:t>
      </w:r>
      <w:r w:rsidRPr="00C37370">
        <w:t>316</w:t>
      </w:r>
      <w:r w:rsidRPr="006C5D80">
        <w:t>.</w:t>
      </w:r>
      <w:r w:rsidRPr="00C37370">
        <w:t>431</w:t>
      </w:r>
      <w:r w:rsidRPr="006C5D80">
        <w:t xml:space="preserve"> eran mujeres y </w:t>
      </w:r>
      <w:r w:rsidRPr="00C37370">
        <w:t>321</w:t>
      </w:r>
      <w:r w:rsidRPr="006C5D80">
        <w:t>.</w:t>
      </w:r>
      <w:r w:rsidRPr="00C37370">
        <w:t>096</w:t>
      </w:r>
      <w:r w:rsidRPr="006C5D80">
        <w:t xml:space="preserve"> eran hombres. Además, en las elecciones generales de </w:t>
      </w:r>
      <w:r w:rsidRPr="00C37370">
        <w:t>2018</w:t>
      </w:r>
      <w:r w:rsidRPr="006C5D80">
        <w:t xml:space="preserve"> votaron más mujeres que hombres: la participación electoral femenina fue de </w:t>
      </w:r>
      <w:r w:rsidRPr="00C37370">
        <w:t>223</w:t>
      </w:r>
      <w:r w:rsidRPr="006C5D80">
        <w:t>.</w:t>
      </w:r>
      <w:r w:rsidRPr="00C37370">
        <w:t>439</w:t>
      </w:r>
      <w:r w:rsidRPr="006C5D80">
        <w:t xml:space="preserve"> personas y la masculina de </w:t>
      </w:r>
      <w:r w:rsidRPr="00C37370">
        <w:t>220</w:t>
      </w:r>
      <w:r w:rsidRPr="006C5D80">
        <w:t>.</w:t>
      </w:r>
      <w:r w:rsidRPr="00C37370">
        <w:t>016</w:t>
      </w:r>
      <w:r w:rsidRPr="006C5D80">
        <w:t xml:space="preserve">. La Oficina también ha terminado de analizar los datos del análisis de la participación electoral de las elecciones generales de </w:t>
      </w:r>
      <w:r w:rsidRPr="00C37370">
        <w:t>2022</w:t>
      </w:r>
      <w:r w:rsidRPr="006C5D80">
        <w:t xml:space="preserve">, que reveló que votaron más mujeres que hombres, con una participación total de </w:t>
      </w:r>
      <w:r w:rsidRPr="00C37370">
        <w:t>238</w:t>
      </w:r>
      <w:r w:rsidRPr="006C5D80">
        <w:t>.</w:t>
      </w:r>
      <w:r w:rsidRPr="00C37370">
        <w:t>389</w:t>
      </w:r>
      <w:r w:rsidRPr="006C5D80">
        <w:t xml:space="preserve"> votantes femeninas y una participación total de </w:t>
      </w:r>
      <w:r w:rsidRPr="00C37370">
        <w:t>234</w:t>
      </w:r>
      <w:r w:rsidRPr="006C5D80">
        <w:t>.</w:t>
      </w:r>
      <w:r w:rsidRPr="00C37370">
        <w:t>440</w:t>
      </w:r>
      <w:r w:rsidRPr="006C5D80">
        <w:t xml:space="preserve"> votantes masculinos. Cinco (</w:t>
      </w:r>
      <w:r w:rsidRPr="00C37370">
        <w:t>5</w:t>
      </w:r>
      <w:r w:rsidRPr="006C5D80">
        <w:t>) mujeres fueron elegidas diputadas al Parlamento.</w:t>
      </w:r>
    </w:p>
    <w:p w14:paraId="17A78536" w14:textId="50D48046" w:rsidR="00597C74" w:rsidRPr="006C5D80" w:rsidRDefault="00597C74" w:rsidP="00142BE0">
      <w:pPr>
        <w:pStyle w:val="SingleTxt"/>
        <w:numPr>
          <w:ilvl w:val="0"/>
          <w:numId w:val="13"/>
        </w:numPr>
        <w:ind w:left="1267"/>
      </w:pPr>
      <w:r w:rsidRPr="006C5D80">
        <w:t xml:space="preserve">Salud - Fiji ha avanzado mucho en los últimos </w:t>
      </w:r>
      <w:r w:rsidRPr="00C37370">
        <w:t>30</w:t>
      </w:r>
      <w:r w:rsidRPr="006C5D80">
        <w:t xml:space="preserve"> años en los siguientes indicadores clave; La asistencia cualificada en el parto pasó del </w:t>
      </w:r>
      <w:r w:rsidRPr="00C37370">
        <w:t>98</w:t>
      </w:r>
      <w:r w:rsidRPr="006C5D80">
        <w:t xml:space="preserve"> % en </w:t>
      </w:r>
      <w:r w:rsidRPr="00C37370">
        <w:t>1990</w:t>
      </w:r>
      <w:r w:rsidRPr="006C5D80">
        <w:t xml:space="preserve"> al </w:t>
      </w:r>
      <w:r w:rsidRPr="00C37370">
        <w:t>100</w:t>
      </w:r>
      <w:r w:rsidR="001E68B7">
        <w:t> </w:t>
      </w:r>
      <w:r w:rsidRPr="006C5D80">
        <w:t xml:space="preserve">% en </w:t>
      </w:r>
      <w:r w:rsidRPr="00C37370">
        <w:t>2021</w:t>
      </w:r>
      <w:r w:rsidRPr="006C5D80">
        <w:t xml:space="preserve">; la tasa de uso de anticonceptivos modernos pasó del </w:t>
      </w:r>
      <w:r w:rsidRPr="00C37370">
        <w:t>29</w:t>
      </w:r>
      <w:r w:rsidRPr="006C5D80">
        <w:t xml:space="preserve"> % en </w:t>
      </w:r>
      <w:r w:rsidRPr="00C37370">
        <w:t>2009</w:t>
      </w:r>
      <w:r w:rsidRPr="006C5D80">
        <w:t xml:space="preserve"> al </w:t>
      </w:r>
      <w:r w:rsidRPr="00C37370">
        <w:lastRenderedPageBreak/>
        <w:t>36</w:t>
      </w:r>
      <w:r w:rsidRPr="006C5D80">
        <w:t xml:space="preserve"> % en </w:t>
      </w:r>
      <w:r w:rsidRPr="00C37370">
        <w:t>2021</w:t>
      </w:r>
      <w:r w:rsidRPr="006C5D80">
        <w:t xml:space="preserve">. y la tasa de natalidad en adolescentes disminuyó del </w:t>
      </w:r>
      <w:r w:rsidRPr="00C37370">
        <w:t>36</w:t>
      </w:r>
      <w:r w:rsidRPr="006C5D80">
        <w:t xml:space="preserve"> % en </w:t>
      </w:r>
      <w:r w:rsidRPr="00C37370">
        <w:t>2007</w:t>
      </w:r>
      <w:r w:rsidRPr="006C5D80">
        <w:t xml:space="preserve"> al </w:t>
      </w:r>
      <w:r w:rsidRPr="00C37370">
        <w:t>31</w:t>
      </w:r>
      <w:r w:rsidRPr="006C5D80">
        <w:t xml:space="preserve"> % en </w:t>
      </w:r>
      <w:r w:rsidRPr="00C37370">
        <w:t>2021</w:t>
      </w:r>
      <w:r w:rsidRPr="006C5D80">
        <w:t xml:space="preserve">. El Ministerio de Salud y Servicios Médicos informó de una tasa de mortalidad materna de </w:t>
      </w:r>
      <w:r w:rsidRPr="00C37370">
        <w:t>39</w:t>
      </w:r>
      <w:r w:rsidRPr="006C5D80">
        <w:t xml:space="preserve"> por </w:t>
      </w:r>
      <w:r w:rsidRPr="00C37370">
        <w:t>100</w:t>
      </w:r>
      <w:r w:rsidRPr="006C5D80">
        <w:t>.</w:t>
      </w:r>
      <w:r w:rsidRPr="00C37370">
        <w:t>000</w:t>
      </w:r>
      <w:r w:rsidRPr="006C5D80">
        <w:t xml:space="preserve"> nacidos vivos en </w:t>
      </w:r>
      <w:r w:rsidRPr="00C37370">
        <w:t>2021</w:t>
      </w:r>
      <w:r w:rsidRPr="006C5D80">
        <w:t xml:space="preserve">, por debajo de los </w:t>
      </w:r>
      <w:r w:rsidRPr="00C37370">
        <w:t>47</w:t>
      </w:r>
      <w:r w:rsidRPr="006C5D80">
        <w:t xml:space="preserve"> de </w:t>
      </w:r>
      <w:r w:rsidRPr="00C37370">
        <w:t>2020</w:t>
      </w:r>
      <w:r w:rsidRPr="006C5D80">
        <w:t>. A pesar de los avances, sigue habiendo margen de mejora. Las iniciativas gubernamentales pretenden mejorar el acceso a los centros de salud y promover al menos cuatro visitas prenatales por embarazo. El programa de vales de comida para embarazadas rurales incentiva la reserva precoz de las mujeres rurales. El Ministerio de Salud y Servicios Médicos ha descentralizado los servicios prenatales y está estudiando la posibilidad de asignar obstetras formados a los lugares con más partos. La mentoría clínica continua y la aplicación de directrices clínicas forman parte de las medidas de creación de capacidad. También se están ampliando los servicios de anticoncepción para jóvenes. La iniciativa hospitalaria de maternidad segura se somete a auditorías semestrales para supervisar los progresos. El Ministerio de Salud y Servicios Médicos colabora con asociados internacionales, como el UNFPA, y el Departamento de Relaciones Exteriores y Comercio para mejorar la salud materna, centrándose en la planificación familiar y la gestión de existencias. Entre las iniciativas recientes figuran la Respuesta de Vigilancia de la Muerte Materna Perinatal para mejorar el seguimiento y la elaboración de políticas, y la creación de directrices sobre violencia de género. En colaboración con el Foro de la Discapacidad, se están poniendo a prueba programas para personas con discapacidad que se extenderán a todo el país.</w:t>
      </w:r>
    </w:p>
    <w:p w14:paraId="10AE31E6" w14:textId="0349D972" w:rsidR="00597C74" w:rsidRPr="006C5D80" w:rsidRDefault="00597C74" w:rsidP="00142BE0">
      <w:pPr>
        <w:pStyle w:val="SingleTxt"/>
        <w:numPr>
          <w:ilvl w:val="0"/>
          <w:numId w:val="13"/>
        </w:numPr>
        <w:ind w:left="1267"/>
      </w:pPr>
      <w:r w:rsidRPr="006C5D80">
        <w:t xml:space="preserve">Educación - Fiji cuenta con un programa de educación inclusiva en las escuelas ordinarias por el que </w:t>
      </w:r>
      <w:r w:rsidRPr="00C37370">
        <w:t>398</w:t>
      </w:r>
      <w:r w:rsidRPr="006C5D80">
        <w:t xml:space="preserve"> escuelas del país matriculan a niños con discapacidad, de los cuales el </w:t>
      </w:r>
      <w:r w:rsidRPr="00C37370">
        <w:t>34</w:t>
      </w:r>
      <w:r w:rsidRPr="006C5D80">
        <w:t xml:space="preserve"> % eran niñas en </w:t>
      </w:r>
      <w:r w:rsidRPr="00C37370">
        <w:t>202</w:t>
      </w:r>
      <w:r w:rsidRPr="006C5D80">
        <w:t xml:space="preserve">. Fiji cuenta con </w:t>
      </w:r>
      <w:r w:rsidRPr="00C37370">
        <w:t>17</w:t>
      </w:r>
      <w:r w:rsidRPr="006C5D80">
        <w:t xml:space="preserve"> escuelas especialmente designadas, la mayoría en zonas urbanas, que atienden a niños discapacitados, de los cuales entre el </w:t>
      </w:r>
      <w:r w:rsidRPr="00C37370">
        <w:t>37</w:t>
      </w:r>
      <w:r w:rsidRPr="006C5D80">
        <w:t xml:space="preserve"> % y el </w:t>
      </w:r>
      <w:r w:rsidRPr="00C37370">
        <w:t>38</w:t>
      </w:r>
      <w:r w:rsidRPr="006C5D80">
        <w:t xml:space="preserve"> % son niñas. En primaria, el </w:t>
      </w:r>
      <w:r w:rsidRPr="00C37370">
        <w:t>62</w:t>
      </w:r>
      <w:r w:rsidRPr="006C5D80">
        <w:t xml:space="preserve"> % de los profesores son de sexo femenino, mientras que en secundaria lo son el </w:t>
      </w:r>
      <w:r w:rsidRPr="00C37370">
        <w:t>57</w:t>
      </w:r>
      <w:r w:rsidRPr="006C5D80">
        <w:t xml:space="preserve"> %. El </w:t>
      </w:r>
      <w:r w:rsidRPr="00C37370">
        <w:t>40</w:t>
      </w:r>
      <w:r w:rsidRPr="006C5D80">
        <w:t xml:space="preserve"> % de los directores, jefes de estudios y directores de departamento de primaria y secundaria son mujeres. En el caso de las mujeres matriculadas en centros locales de enseñanza superior en Fiji, más del </w:t>
      </w:r>
      <w:r w:rsidRPr="00C37370">
        <w:t>50</w:t>
      </w:r>
      <w:r w:rsidRPr="006C5D80">
        <w:t xml:space="preserve"> % de los graduados son mujeres. Fiji también ofrece un Programa Nacional de Becas Toppers en el que el </w:t>
      </w:r>
      <w:r w:rsidRPr="00C37370">
        <w:t>54</w:t>
      </w:r>
      <w:r w:rsidRPr="006C5D80">
        <w:t xml:space="preserve"> % de los beneficiarios fueron mujeres entre </w:t>
      </w:r>
      <w:r w:rsidRPr="00C37370">
        <w:t>2014</w:t>
      </w:r>
      <w:r w:rsidRPr="006C5D80">
        <w:t xml:space="preserve"> y </w:t>
      </w:r>
      <w:r w:rsidRPr="00C37370">
        <w:t>2020</w:t>
      </w:r>
      <w:r w:rsidRPr="006C5D80">
        <w:t xml:space="preserve">. También ofrece un plan de préstamos para estudios superiores en el que el </w:t>
      </w:r>
      <w:r w:rsidRPr="00C37370">
        <w:t>51</w:t>
      </w:r>
      <w:r w:rsidRPr="006C5D80">
        <w:t xml:space="preserve"> % de los beneficiarios fueron mujeres entre </w:t>
      </w:r>
      <w:r w:rsidRPr="00C37370">
        <w:t>2014</w:t>
      </w:r>
      <w:r w:rsidRPr="006C5D80">
        <w:t xml:space="preserve"> y </w:t>
      </w:r>
      <w:r w:rsidRPr="00C37370">
        <w:t>2019</w:t>
      </w:r>
      <w:r w:rsidRPr="006C5D80">
        <w:t>.</w:t>
      </w:r>
    </w:p>
    <w:p w14:paraId="05BD10C3" w14:textId="77777777" w:rsidR="00597C74" w:rsidRPr="006C5D80" w:rsidRDefault="00597C74" w:rsidP="00142BE0">
      <w:pPr>
        <w:pStyle w:val="SingleTxt"/>
        <w:numPr>
          <w:ilvl w:val="0"/>
          <w:numId w:val="13"/>
        </w:numPr>
        <w:ind w:left="1267"/>
      </w:pPr>
      <w:r w:rsidRPr="006C5D80">
        <w:t xml:space="preserve">Empleo - La Constitución de </w:t>
      </w:r>
      <w:r w:rsidRPr="00C37370">
        <w:t>2013</w:t>
      </w:r>
      <w:r w:rsidRPr="006C5D80">
        <w:t xml:space="preserve"> consagra el derecho a la igualdad de protección, trato y beneficio de la ley con independencia del sexo o la identidad de género. Globalmente, a mediados de </w:t>
      </w:r>
      <w:r w:rsidRPr="00C37370">
        <w:t>2023</w:t>
      </w:r>
      <w:r w:rsidRPr="006C5D80">
        <w:t xml:space="preserve">, el </w:t>
      </w:r>
      <w:r w:rsidRPr="00C37370">
        <w:t>59</w:t>
      </w:r>
      <w:r w:rsidRPr="006C5D80">
        <w:t xml:space="preserve"> % de los funcionarios empleados en el gobierno eran mujeres. En la actualidad hay </w:t>
      </w:r>
      <w:r w:rsidRPr="00C37370">
        <w:t>7</w:t>
      </w:r>
      <w:r w:rsidRPr="006C5D80">
        <w:t xml:space="preserve"> </w:t>
      </w:r>
      <w:proofErr w:type="gramStart"/>
      <w:r w:rsidRPr="006C5D80">
        <w:t>Secretarias Ejecutivas</w:t>
      </w:r>
      <w:proofErr w:type="gramEnd"/>
      <w:r w:rsidRPr="006C5D80">
        <w:t xml:space="preserve">, frente a las </w:t>
      </w:r>
      <w:r w:rsidRPr="00C37370">
        <w:t>4</w:t>
      </w:r>
      <w:r w:rsidRPr="006C5D80">
        <w:t xml:space="preserve"> que habrá en </w:t>
      </w:r>
      <w:r w:rsidRPr="00C37370">
        <w:t>2022</w:t>
      </w:r>
      <w:r w:rsidRPr="006C5D80">
        <w:t xml:space="preserve">. En todo el Gobierno hay </w:t>
      </w:r>
      <w:r w:rsidRPr="00C37370">
        <w:t>120</w:t>
      </w:r>
      <w:r w:rsidRPr="006C5D80">
        <w:t xml:space="preserve"> titulares de cargos que dependen directamente de los </w:t>
      </w:r>
      <w:proofErr w:type="gramStart"/>
      <w:r w:rsidRPr="006C5D80">
        <w:t>Secretarios Ejecutivos</w:t>
      </w:r>
      <w:proofErr w:type="gramEnd"/>
      <w:r w:rsidRPr="006C5D80">
        <w:t xml:space="preserve">, de los cuales el </w:t>
      </w:r>
      <w:r w:rsidRPr="00C37370">
        <w:t>35</w:t>
      </w:r>
      <w:r w:rsidRPr="006C5D80">
        <w:t xml:space="preserve"> % son mujeres. Desde </w:t>
      </w:r>
      <w:r w:rsidRPr="00C37370">
        <w:t>2015</w:t>
      </w:r>
      <w:r w:rsidRPr="006C5D80">
        <w:t xml:space="preserve">, el porcentaje de mujeres en la función pública ha aumentado del </w:t>
      </w:r>
      <w:r w:rsidRPr="00C37370">
        <w:t>41</w:t>
      </w:r>
      <w:r w:rsidRPr="006C5D80">
        <w:t xml:space="preserve"> % al </w:t>
      </w:r>
      <w:r w:rsidRPr="00C37370">
        <w:t>54</w:t>
      </w:r>
      <w:r w:rsidRPr="006C5D80">
        <w:t xml:space="preserve"> % en </w:t>
      </w:r>
      <w:r w:rsidRPr="00C37370">
        <w:t>2018</w:t>
      </w:r>
      <w:r w:rsidRPr="006C5D80">
        <w:t xml:space="preserve">. Fiji también cuenta con un Servicio Nacional de Empleo que ayuda a los ciudadanos a conseguir empleo, de los cuales el </w:t>
      </w:r>
      <w:r w:rsidRPr="00C37370">
        <w:t>42</w:t>
      </w:r>
      <w:r w:rsidRPr="006C5D80">
        <w:t>,</w:t>
      </w:r>
      <w:r w:rsidRPr="00C37370">
        <w:t>93</w:t>
      </w:r>
      <w:r w:rsidRPr="006C5D80">
        <w:t xml:space="preserve"> % han sido mujeres desde </w:t>
      </w:r>
      <w:r w:rsidRPr="00C37370">
        <w:t>2018</w:t>
      </w:r>
      <w:r w:rsidRPr="006C5D80">
        <w:t xml:space="preserve"> hasta la fecha. La proporción de mujeres que perciben un sueldo o salario aumentó del </w:t>
      </w:r>
      <w:r w:rsidRPr="00C37370">
        <w:t>62</w:t>
      </w:r>
      <w:r w:rsidRPr="006C5D80">
        <w:t xml:space="preserve"> % al </w:t>
      </w:r>
      <w:r w:rsidRPr="00C37370">
        <w:t>66</w:t>
      </w:r>
      <w:r w:rsidRPr="006C5D80">
        <w:t xml:space="preserve"> % de </w:t>
      </w:r>
      <w:r w:rsidRPr="00C37370">
        <w:t>2015</w:t>
      </w:r>
      <w:r w:rsidRPr="006C5D80">
        <w:t xml:space="preserve"> a </w:t>
      </w:r>
      <w:r w:rsidRPr="00C37370">
        <w:t>2019</w:t>
      </w:r>
      <w:r w:rsidRPr="006C5D80">
        <w:t xml:space="preserve">. El </w:t>
      </w:r>
      <w:r w:rsidRPr="00C37370">
        <w:t>50</w:t>
      </w:r>
      <w:r w:rsidRPr="006C5D80">
        <w:t xml:space="preserve"> % de los ciudadanos empleados trabaja en el sector formal, de los cuales el </w:t>
      </w:r>
      <w:r w:rsidRPr="00C37370">
        <w:t>35</w:t>
      </w:r>
      <w:r w:rsidRPr="006C5D80">
        <w:t xml:space="preserve"> % son mujeres. </w:t>
      </w:r>
    </w:p>
    <w:p w14:paraId="4138B1E7" w14:textId="77777777" w:rsidR="00597C74" w:rsidRPr="00C37370" w:rsidRDefault="00597C74" w:rsidP="00142BE0">
      <w:pPr>
        <w:pStyle w:val="SingleTxt"/>
        <w:numPr>
          <w:ilvl w:val="0"/>
          <w:numId w:val="13"/>
        </w:numPr>
        <w:ind w:left="1267"/>
        <w:rPr>
          <w:b/>
        </w:rPr>
      </w:pPr>
      <w:r w:rsidRPr="006C5D80">
        <w:t>Protección social - La Estrategia de Protección Social de Fiji (</w:t>
      </w:r>
      <w:r w:rsidRPr="00C37370">
        <w:t>2021</w:t>
      </w:r>
      <w:r w:rsidRPr="006C5D80">
        <w:t xml:space="preserve">) da prioridad a la satisfacción de las necesidades de las personas a través de programas como el régimen de prestaciones de pobreza, el régimen de pensiones sociales para las personas mayores y el subsidio de cuidado y protección para las familias de niños vulnerables, que benefician principalmente a las mujeres. Las mujeres con discapacidad también reciben ayudas a través del régimen de subsidios para personas con discapacidad. Según el examen nacional voluntario de Fiji correspondiente a </w:t>
      </w:r>
      <w:r w:rsidRPr="00C37370">
        <w:t>2023</w:t>
      </w:r>
      <w:r w:rsidRPr="006C5D80">
        <w:t xml:space="preserve">, el número de personas que se benefician de los programas de asistencia social </w:t>
      </w:r>
      <w:r w:rsidRPr="006C5D80">
        <w:lastRenderedPageBreak/>
        <w:t xml:space="preserve">aumentó de </w:t>
      </w:r>
      <w:r w:rsidRPr="00C37370">
        <w:t>95</w:t>
      </w:r>
      <w:r w:rsidRPr="006C5D80">
        <w:t>.</w:t>
      </w:r>
      <w:r w:rsidRPr="00C37370">
        <w:t>540</w:t>
      </w:r>
      <w:r w:rsidRPr="006C5D80">
        <w:t xml:space="preserve"> en </w:t>
      </w:r>
      <w:r w:rsidRPr="00C37370">
        <w:t>2015</w:t>
      </w:r>
      <w:r w:rsidRPr="006C5D80">
        <w:t xml:space="preserve"> a un máximo de </w:t>
      </w:r>
      <w:r w:rsidRPr="00C37370">
        <w:t>142</w:t>
      </w:r>
      <w:r w:rsidRPr="006C5D80">
        <w:t>.</w:t>
      </w:r>
      <w:r w:rsidRPr="00C37370">
        <w:t>507</w:t>
      </w:r>
      <w:r w:rsidRPr="006C5D80">
        <w:t xml:space="preserve"> en </w:t>
      </w:r>
      <w:r w:rsidRPr="00C37370">
        <w:t>2019</w:t>
      </w:r>
      <w:r w:rsidRPr="006C5D80">
        <w:t xml:space="preserve">, para luego disminuir a </w:t>
      </w:r>
      <w:r w:rsidRPr="00C37370">
        <w:t>118</w:t>
      </w:r>
      <w:r w:rsidRPr="006C5D80">
        <w:t>.</w:t>
      </w:r>
      <w:r w:rsidRPr="00C37370">
        <w:t>272</w:t>
      </w:r>
      <w:r w:rsidRPr="006C5D80">
        <w:t xml:space="preserve"> en </w:t>
      </w:r>
      <w:r w:rsidRPr="00C37370">
        <w:t>2021</w:t>
      </w:r>
      <w:r w:rsidRPr="006C5D80">
        <w:t xml:space="preserve">. Esto sigue reflejando un aumento global de </w:t>
      </w:r>
      <w:r w:rsidRPr="00C37370">
        <w:t>22</w:t>
      </w:r>
      <w:r w:rsidRPr="006C5D80">
        <w:t>.</w:t>
      </w:r>
      <w:r w:rsidRPr="00C37370">
        <w:t>732</w:t>
      </w:r>
      <w:r w:rsidRPr="006C5D80">
        <w:t xml:space="preserve"> personas de </w:t>
      </w:r>
      <w:r w:rsidRPr="00C37370">
        <w:t>2015</w:t>
      </w:r>
      <w:r w:rsidRPr="006C5D80">
        <w:t xml:space="preserve"> a </w:t>
      </w:r>
      <w:r w:rsidRPr="00C37370">
        <w:t>2021</w:t>
      </w:r>
      <w:r w:rsidRPr="006C5D80">
        <w:t>. Este descenso puede indicar o bien una mayor necesidad de protección social durante la pandemia de enfermedad por coronavirus (COVID-</w:t>
      </w:r>
      <w:r w:rsidRPr="00C37370">
        <w:t>19</w:t>
      </w:r>
      <w:r w:rsidRPr="006C5D80">
        <w:t>) o bien mejoras en la capacidad del sistema para establecer quiénes necesitan ayuda. El objetivo es garantizar el apoyo a quienes lo necesitan, creando al mismo tiempo oportunidades para reducir la dependencia de la protección social.</w:t>
      </w:r>
    </w:p>
    <w:p w14:paraId="370DB313" w14:textId="77777777" w:rsidR="00597C74" w:rsidRPr="006C5D80" w:rsidRDefault="00597C74" w:rsidP="00142BE0">
      <w:pPr>
        <w:pStyle w:val="SingleTxt"/>
        <w:numPr>
          <w:ilvl w:val="0"/>
          <w:numId w:val="13"/>
        </w:numPr>
        <w:ind w:left="1267"/>
      </w:pPr>
      <w:r w:rsidRPr="006C5D80">
        <w:t xml:space="preserve">Recopilación y análisis de datos pertinentes para la Convención - Fiji ha seguido fomentando la capacidad en el ámbito del análisis y la recopilación de datos mediante programas de formación para funcionarios gubernamentales, investigadores y recopiladores de datos sobre métodos de recopilación y análisis de datos que tienen en cuenta las cuestiones de género. Esto incluye la comprensión de los indicadores específicos y los datos que establece la Convención sobre la Eliminación de Todas las Formas de Discriminación contra la Mujer. Dos destacados expertos mundiales en la Convención llevaron a cabo un intercambio de aprendizaje de tres días de duración, celebrado del </w:t>
      </w:r>
      <w:r w:rsidRPr="00C37370">
        <w:t>12</w:t>
      </w:r>
      <w:r w:rsidRPr="006C5D80">
        <w:t xml:space="preserve"> al </w:t>
      </w:r>
      <w:r w:rsidRPr="00C37370">
        <w:t>14</w:t>
      </w:r>
      <w:r w:rsidRPr="006C5D80">
        <w:t xml:space="preserve"> de julio de </w:t>
      </w:r>
      <w:r w:rsidRPr="00C37370">
        <w:t>2022</w:t>
      </w:r>
      <w:r w:rsidRPr="006C5D80">
        <w:t>, en el que se debatió la importancia del análisis de datos y la recopilación de datos desglosados para permitir una comprensión más matizada de cómo la discriminación afecta a los diferentes grupos de la población. Fiji también ha comenzado a poner en marcha la iniciativa para el desarrollo de la capacidad institucional transformadora en materia de género que el Ministerio está llevando a cabo con el Ministerio de Finanzas a través de la iniciativa de planificación y presupuestación con perspectiva de género, que apunta a crear un entorno propicio para garantizar la integración de todas las necesidades, intereses, preocupaciones, contribuciones y perspectivas de las mujeres y las niñas en los planes, políticas, estrategias, programas y presupuestos de todos los ministerios y departamentos gubernamentales. El país también sigue fomentando y reforzando los contactos con las organizaciones de la sociedad civil y las organizaciones intergubernamentales para recabar datos y opiniones de la población, especialmente de las comunidades marginadas.</w:t>
      </w:r>
    </w:p>
    <w:p w14:paraId="78A890D3" w14:textId="77777777" w:rsidR="00A71D2B" w:rsidRPr="006C5D80" w:rsidRDefault="00A71D2B" w:rsidP="00A71D2B">
      <w:pPr>
        <w:pStyle w:val="SingleTxt"/>
        <w:spacing w:after="0" w:line="120" w:lineRule="exact"/>
        <w:rPr>
          <w:sz w:val="10"/>
        </w:rPr>
      </w:pPr>
    </w:p>
    <w:p w14:paraId="37A2C357" w14:textId="77777777" w:rsidR="00A71D2B" w:rsidRPr="006C5D80" w:rsidRDefault="00A71D2B" w:rsidP="00A71D2B">
      <w:pPr>
        <w:pStyle w:val="SingleTxt"/>
        <w:spacing w:after="0" w:line="120" w:lineRule="exact"/>
        <w:rPr>
          <w:sz w:val="10"/>
        </w:rPr>
      </w:pPr>
    </w:p>
    <w:p w14:paraId="239BB6AC" w14:textId="7777777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C37370">
        <w:tab/>
      </w:r>
      <w:r w:rsidRPr="00C37370">
        <w:tab/>
        <w:t>Derechos de las mujeres e igualdad de género en relación con la pandemia de COVID-19 y los esfuerzos de recuperación</w:t>
      </w:r>
    </w:p>
    <w:p w14:paraId="74BD66CB" w14:textId="77777777" w:rsidR="00A71D2B" w:rsidRPr="006C5D80" w:rsidRDefault="00A71D2B" w:rsidP="00A71D2B">
      <w:pPr>
        <w:pStyle w:val="SingleTxt"/>
        <w:spacing w:after="0" w:line="120" w:lineRule="exact"/>
        <w:rPr>
          <w:sz w:val="10"/>
        </w:rPr>
      </w:pPr>
    </w:p>
    <w:p w14:paraId="039148F5" w14:textId="77777777" w:rsidR="00A71D2B" w:rsidRPr="006C5D80" w:rsidRDefault="00A71D2B" w:rsidP="00A71D2B">
      <w:pPr>
        <w:pStyle w:val="SingleTxt"/>
        <w:spacing w:after="0" w:line="120" w:lineRule="exact"/>
        <w:rPr>
          <w:sz w:val="10"/>
        </w:rPr>
      </w:pPr>
    </w:p>
    <w:p w14:paraId="27BBA500" w14:textId="7777777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 de la lista de cuestiones</w:t>
      </w:r>
    </w:p>
    <w:p w14:paraId="5A80CFE1" w14:textId="77777777" w:rsidR="00A71D2B" w:rsidRPr="006C5D80" w:rsidRDefault="00A71D2B" w:rsidP="00A71D2B">
      <w:pPr>
        <w:pStyle w:val="SingleTxt"/>
        <w:spacing w:after="0" w:line="120" w:lineRule="exact"/>
        <w:rPr>
          <w:sz w:val="10"/>
        </w:rPr>
      </w:pPr>
    </w:p>
    <w:p w14:paraId="7EF36324" w14:textId="77777777" w:rsidR="00A71D2B" w:rsidRPr="006C5D80" w:rsidRDefault="00A71D2B" w:rsidP="00A71D2B">
      <w:pPr>
        <w:pStyle w:val="SingleTxt"/>
        <w:spacing w:after="0" w:line="120" w:lineRule="exact"/>
        <w:rPr>
          <w:sz w:val="10"/>
        </w:rPr>
      </w:pPr>
    </w:p>
    <w:p w14:paraId="64B5B389" w14:textId="6393D941" w:rsidR="00597C74" w:rsidRPr="006C5D80" w:rsidRDefault="00597C74" w:rsidP="00142BE0">
      <w:pPr>
        <w:pStyle w:val="SingleTxt"/>
        <w:numPr>
          <w:ilvl w:val="0"/>
          <w:numId w:val="14"/>
        </w:numPr>
        <w:ind w:left="1267"/>
      </w:pPr>
      <w:r w:rsidRPr="006C5D80">
        <w:t>La pandemia de COVID-</w:t>
      </w:r>
      <w:r w:rsidRPr="00C37370">
        <w:t>19</w:t>
      </w:r>
      <w:r w:rsidRPr="006C5D80">
        <w:t xml:space="preserve"> impulsó al Gobierno a poner en marcha respuestas inclusivas e innovadoras que abordaran las vulnerabilidades de las mujeres durante la crisis. El Ministerio de la Administración Pública adaptó disposiciones generales para garantizar la continuidad de los servicios gubernamentales, incluidas sesiones virtuales, opciones de trabajo desde casa, baja por enfermedad remunerada, disposiciones sobre cuarentena, transporte para servicios esenciales y servicios descentralizados. El Mecanismo Nacional para la Mujer coordinó la creación de una nota orientativa sobre los efectos de la COVID-</w:t>
      </w:r>
      <w:r w:rsidRPr="00C37370">
        <w:t>19</w:t>
      </w:r>
      <w:r w:rsidRPr="006C5D80">
        <w:t xml:space="preserve"> en las mujeres de Fiji desde una perspectiva de género, incluido un análisis rápido y recomendaciones, en la que se examinaban los efectos de la pandemia sobre las mujeres desde diversos puntos de vista, como la agricultura, el turismo, el transporte, la salud y la violencia contra la mujer. En él se formulaban recomendaciones en las que se abogaba por un enfoque </w:t>
      </w:r>
      <w:r w:rsidR="00D727C4" w:rsidRPr="006C5D80">
        <w:t>“</w:t>
      </w:r>
      <w:r w:rsidRPr="006C5D80">
        <w:t>integral</w:t>
      </w:r>
      <w:r w:rsidR="00D727C4" w:rsidRPr="006C5D80">
        <w:t>”</w:t>
      </w:r>
      <w:r w:rsidRPr="006C5D80">
        <w:t xml:space="preserve"> y </w:t>
      </w:r>
      <w:r w:rsidR="00D727C4" w:rsidRPr="006C5D80">
        <w:t>“</w:t>
      </w:r>
      <w:r w:rsidRPr="006C5D80">
        <w:t>basado en los derechos humanos</w:t>
      </w:r>
      <w:r w:rsidR="00D727C4" w:rsidRPr="006C5D80">
        <w:t>”</w:t>
      </w:r>
      <w:r w:rsidRPr="006C5D80">
        <w:t xml:space="preserve">, que fue aprobado por el Consejo de </w:t>
      </w:r>
      <w:proofErr w:type="gramStart"/>
      <w:r w:rsidRPr="006C5D80">
        <w:t>Ministros</w:t>
      </w:r>
      <w:proofErr w:type="gramEnd"/>
      <w:r w:rsidRPr="006C5D80">
        <w:t xml:space="preserve"> como herramienta de orientación para aplicar respuestas sensibles al género. Como parte de sus esfuerzos por hacer frente al coronavirus, el Gobierno fijó ámbitos que debían abordarse para mitigar los impactos de la pandemia mediante los siguientes instrumentos:</w:t>
      </w:r>
    </w:p>
    <w:p w14:paraId="29B57400" w14:textId="2162B6CE" w:rsidR="00597C74" w:rsidRPr="006C5D80" w:rsidRDefault="00A71D2B" w:rsidP="00597C74">
      <w:pPr>
        <w:pStyle w:val="SingleTxt"/>
      </w:pPr>
      <w:r w:rsidRPr="006C5D80">
        <w:lastRenderedPageBreak/>
        <w:tab/>
      </w:r>
      <w:r w:rsidR="00597C74" w:rsidRPr="006C5D80">
        <w:t>a)</w:t>
      </w:r>
      <w:r w:rsidR="00597C74" w:rsidRPr="006C5D80">
        <w:tab/>
      </w:r>
      <w:r w:rsidR="00597C74" w:rsidRPr="004B1B5C">
        <w:rPr>
          <w:spacing w:val="0"/>
        </w:rPr>
        <w:t xml:space="preserve">Legislación - Ley </w:t>
      </w:r>
      <w:r w:rsidR="00597C74" w:rsidRPr="00C37370">
        <w:rPr>
          <w:spacing w:val="0"/>
        </w:rPr>
        <w:t>1</w:t>
      </w:r>
      <w:r w:rsidR="00597C74" w:rsidRPr="004B1B5C">
        <w:rPr>
          <w:spacing w:val="0"/>
        </w:rPr>
        <w:t xml:space="preserve">, de </w:t>
      </w:r>
      <w:r w:rsidR="00597C74" w:rsidRPr="00C37370">
        <w:rPr>
          <w:spacing w:val="0"/>
        </w:rPr>
        <w:t>2020</w:t>
      </w:r>
      <w:r w:rsidR="00597C74" w:rsidRPr="004B1B5C">
        <w:rPr>
          <w:spacing w:val="0"/>
        </w:rPr>
        <w:t>. Ley de Respuesta a la COVID-</w:t>
      </w:r>
      <w:r w:rsidR="00597C74" w:rsidRPr="00C37370">
        <w:rPr>
          <w:spacing w:val="0"/>
        </w:rPr>
        <w:t>19</w:t>
      </w:r>
      <w:r w:rsidR="00597C74" w:rsidRPr="004B1B5C">
        <w:rPr>
          <w:spacing w:val="0"/>
        </w:rPr>
        <w:t xml:space="preserve">; Ley </w:t>
      </w:r>
      <w:r w:rsidR="00597C74" w:rsidRPr="00C37370">
        <w:rPr>
          <w:spacing w:val="0"/>
        </w:rPr>
        <w:t>2</w:t>
      </w:r>
      <w:r w:rsidR="00597C74" w:rsidRPr="004B1B5C">
        <w:rPr>
          <w:spacing w:val="0"/>
        </w:rPr>
        <w:t xml:space="preserve">, de </w:t>
      </w:r>
      <w:r w:rsidR="00597C74" w:rsidRPr="00C37370">
        <w:rPr>
          <w:spacing w:val="0"/>
        </w:rPr>
        <w:t>2020</w:t>
      </w:r>
      <w:r w:rsidR="00597C74" w:rsidRPr="004B1B5C">
        <w:rPr>
          <w:spacing w:val="0"/>
        </w:rPr>
        <w:t>. Ley de Administración Tributaria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3</w:t>
      </w:r>
      <w:r w:rsidR="00597C74" w:rsidRPr="004B1B5C">
        <w:rPr>
          <w:spacing w:val="0"/>
        </w:rPr>
        <w:t xml:space="preserve">, de </w:t>
      </w:r>
      <w:r w:rsidR="00597C74" w:rsidRPr="00C37370">
        <w:rPr>
          <w:spacing w:val="0"/>
        </w:rPr>
        <w:t>2020</w:t>
      </w:r>
      <w:r w:rsidR="00597C74" w:rsidRPr="004B1B5C">
        <w:rPr>
          <w:spacing w:val="0"/>
        </w:rPr>
        <w:t>. Ley de Impuesto sobre la Renta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4</w:t>
      </w:r>
      <w:r w:rsidR="00597C74" w:rsidRPr="004B1B5C">
        <w:rPr>
          <w:spacing w:val="0"/>
        </w:rPr>
        <w:t xml:space="preserve">, de </w:t>
      </w:r>
      <w:r w:rsidR="00597C74" w:rsidRPr="00C37370">
        <w:rPr>
          <w:spacing w:val="0"/>
        </w:rPr>
        <w:t>2020</w:t>
      </w:r>
      <w:r w:rsidR="00597C74" w:rsidRPr="004B1B5C">
        <w:rPr>
          <w:spacing w:val="0"/>
        </w:rPr>
        <w:t>. Ley de Impuesto sobre el Valor Añadido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5</w:t>
      </w:r>
      <w:r w:rsidR="00597C74" w:rsidRPr="004B1B5C">
        <w:rPr>
          <w:spacing w:val="0"/>
        </w:rPr>
        <w:t xml:space="preserve">, de </w:t>
      </w:r>
      <w:r w:rsidR="00597C74" w:rsidRPr="00C37370">
        <w:rPr>
          <w:spacing w:val="0"/>
        </w:rPr>
        <w:t>2020</w:t>
      </w:r>
      <w:r w:rsidR="00597C74" w:rsidRPr="004B1B5C">
        <w:rPr>
          <w:spacing w:val="0"/>
        </w:rPr>
        <w:t>. Ley de Derecho de Timbre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6</w:t>
      </w:r>
      <w:r w:rsidR="00597C74" w:rsidRPr="004B1B5C">
        <w:rPr>
          <w:spacing w:val="0"/>
        </w:rPr>
        <w:t xml:space="preserve">, de </w:t>
      </w:r>
      <w:r w:rsidR="00597C74" w:rsidRPr="00C37370">
        <w:rPr>
          <w:spacing w:val="0"/>
        </w:rPr>
        <w:t>2020</w:t>
      </w:r>
      <w:r w:rsidR="00597C74" w:rsidRPr="004B1B5C">
        <w:rPr>
          <w:spacing w:val="0"/>
        </w:rPr>
        <w:t>. Ley de Aduanas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7</w:t>
      </w:r>
      <w:r w:rsidR="00597C74" w:rsidRPr="004B1B5C">
        <w:rPr>
          <w:spacing w:val="0"/>
        </w:rPr>
        <w:t xml:space="preserve">, de </w:t>
      </w:r>
      <w:r w:rsidR="00597C74" w:rsidRPr="00C37370">
        <w:rPr>
          <w:spacing w:val="0"/>
        </w:rPr>
        <w:t>2020</w:t>
      </w:r>
      <w:r w:rsidR="00597C74" w:rsidRPr="004B1B5C">
        <w:rPr>
          <w:spacing w:val="0"/>
        </w:rPr>
        <w:t>. Ley de Aranceles Aduaneros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8</w:t>
      </w:r>
      <w:r w:rsidR="00597C74" w:rsidRPr="004B1B5C">
        <w:rPr>
          <w:spacing w:val="0"/>
        </w:rPr>
        <w:t xml:space="preserve">, de </w:t>
      </w:r>
      <w:r w:rsidR="00597C74" w:rsidRPr="00C37370">
        <w:rPr>
          <w:spacing w:val="0"/>
        </w:rPr>
        <w:t>2020</w:t>
      </w:r>
      <w:r w:rsidR="00597C74" w:rsidRPr="004B1B5C">
        <w:rPr>
          <w:spacing w:val="0"/>
        </w:rPr>
        <w:t>. Ley de Fondo Nacional de Previsión de Fiji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Ley </w:t>
      </w:r>
      <w:r w:rsidR="00597C74" w:rsidRPr="00C37370">
        <w:rPr>
          <w:spacing w:val="0"/>
        </w:rPr>
        <w:t>9</w:t>
      </w:r>
      <w:r w:rsidR="00597C74" w:rsidRPr="004B1B5C">
        <w:rPr>
          <w:spacing w:val="0"/>
        </w:rPr>
        <w:t xml:space="preserve">, de </w:t>
      </w:r>
      <w:r w:rsidR="00597C74" w:rsidRPr="00C37370">
        <w:rPr>
          <w:spacing w:val="0"/>
        </w:rPr>
        <w:t>2020</w:t>
      </w:r>
      <w:r w:rsidR="00597C74" w:rsidRPr="004B1B5C">
        <w:rPr>
          <w:spacing w:val="0"/>
        </w:rPr>
        <w:t>. Ley de Salud Pública (Respuesta a la COVID-</w:t>
      </w:r>
      <w:r w:rsidR="00597C74" w:rsidRPr="00C37370">
        <w:rPr>
          <w:spacing w:val="0"/>
        </w:rPr>
        <w:t>19</w:t>
      </w:r>
      <w:r w:rsidR="00597C74" w:rsidRPr="004B1B5C">
        <w:rPr>
          <w:spacing w:val="0"/>
        </w:rPr>
        <w:t xml:space="preserve">) (Enmienda), de </w:t>
      </w:r>
      <w:r w:rsidR="00597C74" w:rsidRPr="00C37370">
        <w:rPr>
          <w:spacing w:val="0"/>
        </w:rPr>
        <w:t>2020</w:t>
      </w:r>
      <w:r w:rsidR="00597C74" w:rsidRPr="004B1B5C">
        <w:rPr>
          <w:spacing w:val="0"/>
        </w:rPr>
        <w:t xml:space="preserve">; y Ley </w:t>
      </w:r>
      <w:r w:rsidR="00597C74" w:rsidRPr="00C37370">
        <w:rPr>
          <w:spacing w:val="0"/>
        </w:rPr>
        <w:t>6</w:t>
      </w:r>
      <w:r w:rsidR="00597C74" w:rsidRPr="004B1B5C">
        <w:rPr>
          <w:spacing w:val="0"/>
        </w:rPr>
        <w:t xml:space="preserve">, de </w:t>
      </w:r>
      <w:r w:rsidR="00597C74" w:rsidRPr="00C37370">
        <w:rPr>
          <w:spacing w:val="0"/>
        </w:rPr>
        <w:t>2021</w:t>
      </w:r>
      <w:r w:rsidR="00597C74" w:rsidRPr="004B1B5C">
        <w:rPr>
          <w:spacing w:val="0"/>
        </w:rPr>
        <w:t xml:space="preserve">. Ley de Salud Pública (Enmienda), de </w:t>
      </w:r>
      <w:r w:rsidR="00597C74" w:rsidRPr="00C37370">
        <w:rPr>
          <w:spacing w:val="0"/>
        </w:rPr>
        <w:t>2021</w:t>
      </w:r>
      <w:r w:rsidR="00597C74" w:rsidRPr="004B1B5C">
        <w:rPr>
          <w:spacing w:val="0"/>
        </w:rPr>
        <w:t>. Aprobada para hacer frente a los diversos efectos de la pandemia</w:t>
      </w:r>
      <w:r w:rsidR="00597C74" w:rsidRPr="006C5D80">
        <w:t>;</w:t>
      </w:r>
    </w:p>
    <w:p w14:paraId="312FE6B0" w14:textId="630BB21C" w:rsidR="00597C74" w:rsidRPr="006C5D80" w:rsidRDefault="00A71D2B" w:rsidP="00597C74">
      <w:pPr>
        <w:pStyle w:val="SingleTxt"/>
      </w:pPr>
      <w:r w:rsidRPr="006C5D80">
        <w:tab/>
      </w:r>
      <w:r w:rsidR="00597C74" w:rsidRPr="006C5D80">
        <w:t>b)</w:t>
      </w:r>
      <w:r w:rsidR="00597C74" w:rsidRPr="006C5D80">
        <w:tab/>
        <w:t>Protección social - El Gobierno, en colaboración con el Ley de Fondo Nacional de Previsión, puso en marcha un programa de alivio del desempleo causado por la COVID-</w:t>
      </w:r>
      <w:r w:rsidR="00597C74" w:rsidRPr="00C37370">
        <w:t>19</w:t>
      </w:r>
      <w:r w:rsidR="00597C74" w:rsidRPr="006C5D80">
        <w:t xml:space="preserve"> para ayudar a las personas que sufrieron pérdidas de ingresos durante la pandemia. Los afiliados con fondos suficientes en sus cuentas generales pudieron acceder a su jubilación en cuatro fases y el Gobierno proporcionó un total de </w:t>
      </w:r>
      <w:r w:rsidR="00597C74" w:rsidRPr="00C37370">
        <w:t>185</w:t>
      </w:r>
      <w:r w:rsidR="00597C74" w:rsidRPr="006C5D80">
        <w:t>,</w:t>
      </w:r>
      <w:r w:rsidR="00597C74" w:rsidRPr="00C37370">
        <w:t>5</w:t>
      </w:r>
      <w:r w:rsidR="00597C74" w:rsidRPr="006C5D80">
        <w:t xml:space="preserve"> millones de dólares en complementos para aquellos que carecían de fondos suficientes, con lo que contribuyó a un desembolso total de </w:t>
      </w:r>
      <w:r w:rsidR="00597C74" w:rsidRPr="00C37370">
        <w:t>366</w:t>
      </w:r>
      <w:r w:rsidR="00597C74" w:rsidRPr="006C5D80">
        <w:t>,</w:t>
      </w:r>
      <w:r w:rsidR="00597C74" w:rsidRPr="00C37370">
        <w:t>3</w:t>
      </w:r>
      <w:r w:rsidR="00597C74" w:rsidRPr="006C5D80">
        <w:t xml:space="preserve"> millones de dólares procedentes de ambas fuentes. En </w:t>
      </w:r>
      <w:r w:rsidR="00597C74" w:rsidRPr="00C37370">
        <w:t>2021</w:t>
      </w:r>
      <w:r w:rsidR="00597C74" w:rsidRPr="006C5D80">
        <w:t>, el Ministerio de la Mujer, la Infancia y la Protección Social introdujo una política de asistencia social destinada a ayudar a los fiyianos pobres y vulnerables mediante programas de protección social adaptables. Esta política basada en pruebas hace hincapié en la viabilidad, asequibilidad, sostenibilidad, inclusión, transparencia y responsabilidad. Se centra en cinco esferas estratégicas: elaborar programas asequibles y que respondan a las cuestiones de género; mejorar los procesos de selección para lograr un mayor impacto; crear de un sistema integrado de información sobre protección social; fortalecer la capacidad administrativa; y establecer un seguimiento y una evaluación sólidos, que incluyan datos desglosados por sexo;</w:t>
      </w:r>
    </w:p>
    <w:p w14:paraId="15B1BABE" w14:textId="202C6E59" w:rsidR="00597C74" w:rsidRPr="006C5D80" w:rsidRDefault="00A71D2B" w:rsidP="00597C74">
      <w:pPr>
        <w:pStyle w:val="SingleTxt"/>
      </w:pPr>
      <w:r w:rsidRPr="006C5D80">
        <w:tab/>
      </w:r>
      <w:r w:rsidR="00597C74" w:rsidRPr="006C5D80">
        <w:t>c)</w:t>
      </w:r>
      <w:r w:rsidR="00597C74" w:rsidRPr="006C5D80">
        <w:tab/>
        <w:t>Educación - El aprendizaje digital garantizó que la educación fuera accesible.</w:t>
      </w:r>
      <w:r w:rsidR="00D727C4" w:rsidRPr="006C5D80">
        <w:t xml:space="preserve"> </w:t>
      </w:r>
      <w:r w:rsidR="00597C74" w:rsidRPr="006C5D80">
        <w:t>Durante COVID-</w:t>
      </w:r>
      <w:r w:rsidR="00597C74" w:rsidRPr="00C37370">
        <w:t>19</w:t>
      </w:r>
      <w:r w:rsidR="00597C74" w:rsidRPr="006C5D80">
        <w:t xml:space="preserve"> se animó a los directores de centros escolares a promover el aprendizaje digital de los alumnos.</w:t>
      </w:r>
      <w:r w:rsidR="00D727C4" w:rsidRPr="006C5D80">
        <w:t xml:space="preserve"> </w:t>
      </w:r>
      <w:r w:rsidR="00597C74" w:rsidRPr="006C5D80">
        <w:t>Se reajustó el plan de estudios para garantizar la continuidad del aprendizaje y, en cierta medida, los profesores supervisaron y transmitieron información a las oficinas de distrito.</w:t>
      </w:r>
      <w:r w:rsidR="00D727C4" w:rsidRPr="006C5D80">
        <w:t xml:space="preserve"> </w:t>
      </w:r>
      <w:r w:rsidR="00597C74" w:rsidRPr="006C5D80">
        <w:t xml:space="preserve">También se pusieron a disposición de todos los estudiantes paquetes semanales de estudio en casa, tanto manual como digitalmente. </w:t>
      </w:r>
      <w:proofErr w:type="gramStart"/>
      <w:r w:rsidR="00597C74" w:rsidRPr="006C5D80">
        <w:t>Además</w:t>
      </w:r>
      <w:proofErr w:type="gramEnd"/>
      <w:r w:rsidR="00597C74" w:rsidRPr="006C5D80">
        <w:t xml:space="preserve"> se facilitaron datos de Internet a los alumnos de los cursos </w:t>
      </w:r>
      <w:r w:rsidR="00597C74" w:rsidRPr="00C37370">
        <w:t>12</w:t>
      </w:r>
      <w:r w:rsidR="00597C74" w:rsidRPr="006C5D80">
        <w:t xml:space="preserve"> y </w:t>
      </w:r>
      <w:r w:rsidR="00597C74" w:rsidRPr="00C37370">
        <w:t>13</w:t>
      </w:r>
      <w:r w:rsidR="00597C74" w:rsidRPr="006C5D80">
        <w:t xml:space="preserve"> para garantizar la continuidad del aprendizaje.</w:t>
      </w:r>
      <w:r w:rsidR="00D727C4" w:rsidRPr="006C5D80">
        <w:t xml:space="preserve"> </w:t>
      </w:r>
      <w:r w:rsidR="00597C74" w:rsidRPr="006C5D80">
        <w:t xml:space="preserve">Otras iniciativas incluyeron procedimientos operativos estándar para la reapertura de escuelas seguras y programas de concienciación. Los directores de escuelas y </w:t>
      </w:r>
      <w:r w:rsidR="00597C74" w:rsidRPr="00C37370">
        <w:t>913</w:t>
      </w:r>
      <w:r w:rsidR="00597C74" w:rsidRPr="006C5D80">
        <w:t xml:space="preserve"> Oficiales de Protección Infantil recibieron formación para prestar apoyo psicosocial a los estudiantes afectados por la COVID-</w:t>
      </w:r>
      <w:r w:rsidR="00597C74" w:rsidRPr="00C37370">
        <w:t>19</w:t>
      </w:r>
      <w:r w:rsidR="00597C74" w:rsidRPr="006C5D80">
        <w:t>;</w:t>
      </w:r>
    </w:p>
    <w:p w14:paraId="5E55C577" w14:textId="205084D5" w:rsidR="00597C74" w:rsidRPr="006C5D80" w:rsidRDefault="00A71D2B" w:rsidP="00597C74">
      <w:pPr>
        <w:pStyle w:val="SingleTxt"/>
      </w:pPr>
      <w:r w:rsidRPr="006C5D80">
        <w:tab/>
      </w:r>
      <w:r w:rsidR="00597C74" w:rsidRPr="006C5D80">
        <w:t>d)</w:t>
      </w:r>
      <w:r w:rsidR="00597C74" w:rsidRPr="006C5D80">
        <w:tab/>
        <w:t>Agricultura - Para amortiguar el impacto de la pandemia de COVID-</w:t>
      </w:r>
      <w:r w:rsidR="00597C74" w:rsidRPr="00C37370">
        <w:t>19</w:t>
      </w:r>
      <w:r w:rsidR="00597C74" w:rsidRPr="006C5D80">
        <w:t xml:space="preserve"> en los fiyianos de a pie, el Ministerio de Agricultura y Vías de Navegación introdujo una iniciativa de jardinería doméstica y apoyo a la agricultura, por la que distribuyó más de </w:t>
      </w:r>
      <w:r w:rsidR="00597C74" w:rsidRPr="00C37370">
        <w:t>400</w:t>
      </w:r>
      <w:r w:rsidR="00597C74" w:rsidRPr="006C5D80">
        <w:t>.</w:t>
      </w:r>
      <w:r w:rsidR="00597C74" w:rsidRPr="00C37370">
        <w:t>000</w:t>
      </w:r>
      <w:r w:rsidR="00597C74" w:rsidRPr="006C5D80">
        <w:t xml:space="preserve"> paquetes de semillas de agricultura doméstica y alrededor de </w:t>
      </w:r>
      <w:r w:rsidR="00597C74" w:rsidRPr="00C37370">
        <w:t>72</w:t>
      </w:r>
      <w:r w:rsidR="00597C74" w:rsidRPr="006C5D80">
        <w:t>.</w:t>
      </w:r>
      <w:r w:rsidR="00597C74" w:rsidRPr="00C37370">
        <w:t>000</w:t>
      </w:r>
      <w:r w:rsidR="00597C74" w:rsidRPr="006C5D80">
        <w:t xml:space="preserve"> paquetes de semillas de apoyo a la agricultura a </w:t>
      </w:r>
      <w:r w:rsidR="00597C74" w:rsidRPr="00C37370">
        <w:t>3</w:t>
      </w:r>
      <w:r w:rsidR="00597C74" w:rsidRPr="006C5D80">
        <w:t>.</w:t>
      </w:r>
      <w:r w:rsidR="00597C74" w:rsidRPr="00C37370">
        <w:t>447</w:t>
      </w:r>
      <w:r w:rsidR="00597C74" w:rsidRPr="006C5D80">
        <w:t xml:space="preserve"> comunidades de los sectores rural y urbano. Esto provocó un aumento del suministro de verduras, un mayor acceso a alimentos sanos y nutritivos y una mayor utilización de </w:t>
      </w:r>
      <w:r w:rsidR="001E68B7" w:rsidRPr="006C5D80">
        <w:t>los terrenos domésticos</w:t>
      </w:r>
      <w:r w:rsidR="00597C74" w:rsidRPr="006C5D80">
        <w:t xml:space="preserve"> para la agricultura. Dado que la pandemia de COVID-</w:t>
      </w:r>
      <w:r w:rsidR="00597C74" w:rsidRPr="00C37370">
        <w:t>19</w:t>
      </w:r>
      <w:r w:rsidR="00597C74" w:rsidRPr="006C5D80">
        <w:t xml:space="preserve"> restringió la circulación de personas y provocó el cierre de negocios y mercados, surgió la necesidad de establecer y fortalecer el concepto de agricultura doméstica utilizando espacios de patio y el sistema de cultivo en contenedores para la provisión de verduras nutritivas o el suministro de alimentos. Las iniciativas también abarcaban los asentamientos en los </w:t>
      </w:r>
      <w:r w:rsidR="00597C74" w:rsidRPr="006C5D80">
        <w:lastRenderedPageBreak/>
        <w:t>centros urbanos.</w:t>
      </w:r>
      <w:r w:rsidR="00D727C4" w:rsidRPr="006C5D80">
        <w:t xml:space="preserve"> </w:t>
      </w:r>
      <w:r w:rsidR="00597C74" w:rsidRPr="006C5D80">
        <w:t>El Ministerio de Agricultura y Vías de Navegación también introdujo la iniciativa Agricultura de Patio, que apoyaba a los fiyianos desempleados a causa de la pandemia de COVID-</w:t>
      </w:r>
      <w:r w:rsidR="00597C74" w:rsidRPr="00C37370">
        <w:t>19</w:t>
      </w:r>
      <w:r w:rsidR="00597C74" w:rsidRPr="006C5D80">
        <w:t xml:space="preserve"> y que habían regresado a la zona rural para dedicarse a la agricultura. Se proporcionó un kit de apoyo a las explotaciones agrícolas para reforzar el apoyo a los asentamientos y desarrollar el espíritu empresarial agrícola de las personas con el fin de que iniciaran actividades agrícolas. Se proporcionó un paquete total de </w:t>
      </w:r>
      <w:r w:rsidR="00597C74" w:rsidRPr="00C37370">
        <w:t>400</w:t>
      </w:r>
      <w:r w:rsidR="00597C74" w:rsidRPr="006C5D80">
        <w:t xml:space="preserve"> dólares por persona, que consistía en </w:t>
      </w:r>
      <w:r w:rsidR="00597C74" w:rsidRPr="00C37370">
        <w:t>250</w:t>
      </w:r>
      <w:r w:rsidR="00597C74" w:rsidRPr="006C5D80">
        <w:t xml:space="preserve"> dólares en aperos de labranza, </w:t>
      </w:r>
      <w:r w:rsidR="00597C74" w:rsidRPr="00C37370">
        <w:t>100</w:t>
      </w:r>
      <w:r w:rsidR="00597C74" w:rsidRPr="006C5D80">
        <w:t xml:space="preserve"> dólares en material de siembra y </w:t>
      </w:r>
      <w:r w:rsidR="00597C74" w:rsidRPr="00C37370">
        <w:t>50</w:t>
      </w:r>
      <w:r w:rsidR="00597C74" w:rsidRPr="006C5D80">
        <w:t xml:space="preserve"> dólares en efectivo para adquirir cualquier otro artículo necesario.</w:t>
      </w:r>
      <w:r w:rsidR="00D727C4" w:rsidRPr="006C5D80">
        <w:t xml:space="preserve"> </w:t>
      </w:r>
      <w:r w:rsidR="00597C74" w:rsidRPr="006C5D80">
        <w:t xml:space="preserve">Se ayudó a un total de </w:t>
      </w:r>
      <w:r w:rsidR="00597C74" w:rsidRPr="00C37370">
        <w:t>374</w:t>
      </w:r>
      <w:r w:rsidR="00597C74" w:rsidRPr="006C5D80">
        <w:t xml:space="preserve"> agricultores, de los cuales el </w:t>
      </w:r>
      <w:r w:rsidR="00597C74" w:rsidRPr="00C37370">
        <w:t>79</w:t>
      </w:r>
      <w:r w:rsidR="00597C74" w:rsidRPr="006C5D80">
        <w:t xml:space="preserve"> % eran hombres y el </w:t>
      </w:r>
      <w:r w:rsidR="00597C74" w:rsidRPr="00C37370">
        <w:t>21</w:t>
      </w:r>
      <w:r w:rsidR="00597C74" w:rsidRPr="006C5D80">
        <w:t xml:space="preserve"> % mujeres. Asimismo, el Ministerio de Agricultura y Vías de Navegación, junto con la Autoridad de Comercialización Agrícola de Fiji, garantizó el acceso a alimentos adecuados de calidad aceptable y valor nutritivo a los fiyianos en aislamiento durante la pandemia de COVID-</w:t>
      </w:r>
      <w:r w:rsidR="00597C74" w:rsidRPr="00C37370">
        <w:t>19</w:t>
      </w:r>
      <w:r w:rsidR="00597C74" w:rsidRPr="006C5D80">
        <w:t xml:space="preserve"> a través de la operación Green </w:t>
      </w:r>
      <w:proofErr w:type="gramStart"/>
      <w:r w:rsidR="00597C74" w:rsidRPr="006C5D80">
        <w:t>Link</w:t>
      </w:r>
      <w:proofErr w:type="gramEnd"/>
      <w:r w:rsidR="00597C74" w:rsidRPr="006C5D80">
        <w:t>. De este modo, las dos instituciones garantizaron el suministro ininterrumpido de productos frescos a los mercados locales.</w:t>
      </w:r>
      <w:r w:rsidR="00D727C4" w:rsidRPr="006C5D80">
        <w:t xml:space="preserve"> </w:t>
      </w:r>
      <w:r w:rsidR="00597C74" w:rsidRPr="006C5D80">
        <w:t xml:space="preserve">En el marco de esta iniciativa se ayudó a un total de </w:t>
      </w:r>
      <w:r w:rsidR="00597C74" w:rsidRPr="00C37370">
        <w:t>220</w:t>
      </w:r>
      <w:r w:rsidR="00597C74" w:rsidRPr="006C5D80">
        <w:t xml:space="preserve"> agricultores proveedores de productos de mercado, de los cuales el </w:t>
      </w:r>
      <w:r w:rsidR="00597C74" w:rsidRPr="00C37370">
        <w:t>32</w:t>
      </w:r>
      <w:r w:rsidR="00597C74" w:rsidRPr="006C5D80">
        <w:t xml:space="preserve"> % eran mujeres. Estos proveedores y agricultores vendían sus productos en la frontera a la Autoridad de Comercialización Agrícola de Fiji, intermediarios y vendedores para abastecerse en el mercado. Se realizaron intervenciones con otros asociados para el desarrollo a través de la coordinación del Grupo de Seguridad Alimentaria, e iniciativas de apoyo a las explotaciones agrícolas, dinero por cultivo, apoyo al cuidado de las explotaciones agrícolas, suministro de semillas y material de siembra y ayuda a la avicultura; y los servicios veterinarios ganaderos. En resumen, el desglose de los beneficiarios de las iniciativas de seguridad alimentaria y nutricional en respuesta a la pandemia de COVID-</w:t>
      </w:r>
      <w:r w:rsidR="00597C74" w:rsidRPr="00C37370">
        <w:t>19</w:t>
      </w:r>
      <w:r w:rsidR="00597C74" w:rsidRPr="006C5D80">
        <w:t xml:space="preserve"> figura en el anexo</w:t>
      </w:r>
      <w:r w:rsidR="001E68B7">
        <w:t> </w:t>
      </w:r>
      <w:r w:rsidR="00597C74" w:rsidRPr="00C37370">
        <w:t>2</w:t>
      </w:r>
      <w:r w:rsidR="001E68B7">
        <w:t>;</w:t>
      </w:r>
    </w:p>
    <w:p w14:paraId="1B855A26" w14:textId="483DB207" w:rsidR="00597C74" w:rsidRPr="006C5D80" w:rsidRDefault="00A71D2B" w:rsidP="00597C74">
      <w:pPr>
        <w:pStyle w:val="SingleTxt"/>
      </w:pPr>
      <w:r w:rsidRPr="006C5D80">
        <w:tab/>
      </w:r>
      <w:r w:rsidR="00597C74" w:rsidRPr="006C5D80">
        <w:t>e)</w:t>
      </w:r>
      <w:r w:rsidR="00597C74" w:rsidRPr="006C5D80">
        <w:tab/>
        <w:t>Salud - El equipo de Salud del Ministerio de Salud y Servicios Médicos dirigió la respuesta de Fiji a la pandemia de COVID-</w:t>
      </w:r>
      <w:r w:rsidR="00597C74" w:rsidRPr="00C37370">
        <w:t>19</w:t>
      </w:r>
      <w:r w:rsidR="00597C74" w:rsidRPr="006C5D80">
        <w:t xml:space="preserve"> en colaboración con la Oficina Nacional de Gestión de Desastres y con el apoyo de organizaciones de las Naciones Unidas como la OMS. Aplicaron medidas de prevención, como el uso de mascarillas, el lavado de manos, el distanciamiento físico y la vacunación. Las personas que llegaban a Fiji eran examinadas periódicamente y puestas en cuarentena para frenar la transmisión. Se enviaron equipos de hisopado a hoteles y comunidades, y se impusieron medidas de aislamiento cuando se confirmaron casos y se proporcionaron las raciones y servicios necesarios a los hogares afectados. Se reforzaron los hospitales terciarios para tratar los casos de COVID-</w:t>
      </w:r>
      <w:r w:rsidR="00597C74" w:rsidRPr="00C37370">
        <w:t>19</w:t>
      </w:r>
      <w:r w:rsidR="00597C74" w:rsidRPr="006C5D80">
        <w:t xml:space="preserve">, y se desplegó el Equipo de Asistencia Médica de Emergencia de Fiji en los hospitales de Lautoka y Suva, además de establecer un hospital del Equipo en la Vodafone Arena durante el brote de </w:t>
      </w:r>
      <w:r w:rsidR="00597C74" w:rsidRPr="00C37370">
        <w:t>2021</w:t>
      </w:r>
      <w:r w:rsidR="00597C74" w:rsidRPr="006C5D80">
        <w:t>. Los casos no incluidos en el programa de COVID-</w:t>
      </w:r>
      <w:r w:rsidR="00597C74" w:rsidRPr="00C37370">
        <w:t>19</w:t>
      </w:r>
      <w:r w:rsidR="00597C74" w:rsidRPr="006C5D80">
        <w:t xml:space="preserve"> fueron remitidos a centros alternativos, como clínicas prenatales y de salud maternoinfantil, a menudo instaladas en tiendas de campaña improvisadas. Se mejoró la capacidad de análisis, con el envío de muestras al Instituto Doherty de Australia cuando fue necesario. El programa de vacunación comenzó en abril de </w:t>
      </w:r>
      <w:r w:rsidR="00597C74" w:rsidRPr="00C37370">
        <w:t>2021</w:t>
      </w:r>
      <w:r w:rsidR="00597C74" w:rsidRPr="006C5D80">
        <w:t>, utilizando entregas escalonadas del Pilar COVAX y otros asociados, y se dio prioridad inicialmente a los trabajadores de primera línea y los grupos vulnerables. El Ministerio de Salud y Servicios Médicos, con el apoyo de USAID, consiguió la vacuna de ARNm (MODERNA) para mujeres embarazadas, lo que permite un período de vacunación más corto;</w:t>
      </w:r>
    </w:p>
    <w:p w14:paraId="65E01734" w14:textId="01E3A0DF" w:rsidR="00597C74" w:rsidRPr="006C5D80" w:rsidRDefault="00A71D2B" w:rsidP="00597C74">
      <w:pPr>
        <w:pStyle w:val="SingleTxt"/>
      </w:pPr>
      <w:r w:rsidRPr="006C5D80">
        <w:tab/>
      </w:r>
      <w:r w:rsidR="00597C74" w:rsidRPr="006C5D80">
        <w:t>f)</w:t>
      </w:r>
      <w:r w:rsidR="00597C74" w:rsidRPr="006C5D80">
        <w:tab/>
        <w:t>Economía - La consecución de la respuesta sanitaria a la pandemia de COVID-</w:t>
      </w:r>
      <w:r w:rsidR="00597C74" w:rsidRPr="00C37370">
        <w:t>19</w:t>
      </w:r>
      <w:r w:rsidR="00597C74" w:rsidRPr="006C5D80">
        <w:t xml:space="preserve"> hizo posible que la tasa de vacunación de Fiji fuera muy superior al </w:t>
      </w:r>
      <w:r w:rsidR="00597C74" w:rsidRPr="00C37370">
        <w:t>95</w:t>
      </w:r>
      <w:r w:rsidR="00597C74" w:rsidRPr="006C5D80">
        <w:t xml:space="preserve"> % para la primera y segunda dosis y que las fronteras se abrieran parcialmente para la recuperación económica el </w:t>
      </w:r>
      <w:r w:rsidR="00597C74" w:rsidRPr="00C37370">
        <w:t>11</w:t>
      </w:r>
      <w:r w:rsidR="00597C74" w:rsidRPr="006C5D80">
        <w:t xml:space="preserve"> de noviembre de </w:t>
      </w:r>
      <w:r w:rsidR="00597C74" w:rsidRPr="00C37370">
        <w:t>2021</w:t>
      </w:r>
      <w:r w:rsidR="00597C74" w:rsidRPr="006C5D80">
        <w:t xml:space="preserve"> y para el resto del mundo, el </w:t>
      </w:r>
      <w:r w:rsidR="00597C74" w:rsidRPr="00C37370">
        <w:t>1</w:t>
      </w:r>
      <w:r w:rsidR="00597C74" w:rsidRPr="006C5D80">
        <w:t xml:space="preserve"> de diciembre de </w:t>
      </w:r>
      <w:r w:rsidR="00597C74" w:rsidRPr="00C37370">
        <w:t>2021</w:t>
      </w:r>
      <w:r w:rsidR="00597C74" w:rsidRPr="006C5D80">
        <w:t xml:space="preserve">, con las directrices necesarias. En el caso de empleados que dieron positivo y fueron certificados por el Ministerio de Salud y Servicios Médicos, </w:t>
      </w:r>
      <w:r w:rsidR="00597C74" w:rsidRPr="006C5D80">
        <w:lastRenderedPageBreak/>
        <w:t xml:space="preserve">el Gobierno reembolsó directamente a los empresarios </w:t>
      </w:r>
      <w:r w:rsidR="00597C74" w:rsidRPr="00C37370">
        <w:t>21</w:t>
      </w:r>
      <w:r w:rsidR="00597C74" w:rsidRPr="006C5D80">
        <w:t xml:space="preserve"> días de baja por COVID-</w:t>
      </w:r>
      <w:r w:rsidR="00597C74" w:rsidRPr="00C37370">
        <w:t>19</w:t>
      </w:r>
      <w:r w:rsidR="00597C74" w:rsidRPr="006C5D80">
        <w:t xml:space="preserve">. Esto solo se aplicaba a las personas con ingresos anuales inferiores a </w:t>
      </w:r>
      <w:r w:rsidR="00597C74" w:rsidRPr="00C37370">
        <w:t>30</w:t>
      </w:r>
      <w:r w:rsidR="00597C74" w:rsidRPr="006C5D80">
        <w:t>.</w:t>
      </w:r>
      <w:r w:rsidR="00597C74" w:rsidRPr="00C37370">
        <w:t>000</w:t>
      </w:r>
      <w:r w:rsidR="00597C74" w:rsidRPr="006C5D80">
        <w:t xml:space="preserve"> dólares. Los fiyianos empleados en el sector informal que dieron positivo en la prueba de COVID-</w:t>
      </w:r>
      <w:r w:rsidR="00597C74" w:rsidRPr="00C37370">
        <w:t>19</w:t>
      </w:r>
      <w:r w:rsidR="00597C74" w:rsidRPr="006C5D80">
        <w:t xml:space="preserve"> y fueron certificados por el Ministerio de Salud y Servicios Médicos recibieron una ayuda gubernamental de </w:t>
      </w:r>
      <w:r w:rsidR="00597C74" w:rsidRPr="00C37370">
        <w:t>1</w:t>
      </w:r>
      <w:r w:rsidR="00597C74" w:rsidRPr="006C5D80">
        <w:t>.</w:t>
      </w:r>
      <w:r w:rsidR="00597C74" w:rsidRPr="00C37370">
        <w:t>000</w:t>
      </w:r>
      <w:r w:rsidR="00597C74" w:rsidRPr="006C5D80">
        <w:t xml:space="preserve"> dólares. El Plan de Garantía de Crédito a las PYME se amplió para ayudar a las pequeñas entidades afectadas por la COVID-</w:t>
      </w:r>
      <w:r w:rsidR="00597C74" w:rsidRPr="00C37370">
        <w:t>19</w:t>
      </w:r>
      <w:r w:rsidR="00597C74" w:rsidRPr="006C5D80">
        <w:t xml:space="preserve">. Se ofreció a todos los bancos comerciales de Fiji una moratoria de hasta </w:t>
      </w:r>
      <w:r w:rsidR="00597C74" w:rsidRPr="00C37370">
        <w:t>6</w:t>
      </w:r>
      <w:r w:rsidR="00597C74" w:rsidRPr="006C5D80">
        <w:t xml:space="preserve"> meses para el reembolso de capital principal e intereses de los préstamos a empresas y particulares que tuvieran dificultades para pagar hipotecas y préstamos a causa de la pandemia de la COVID-</w:t>
      </w:r>
      <w:r w:rsidR="00597C74" w:rsidRPr="00C37370">
        <w:t>19</w:t>
      </w:r>
      <w:r w:rsidR="00597C74" w:rsidRPr="006C5D80">
        <w:t xml:space="preserve">. Se esperaba que supusiera un alivio de unos </w:t>
      </w:r>
      <w:r w:rsidR="00597C74" w:rsidRPr="00C37370">
        <w:t>400</w:t>
      </w:r>
      <w:r w:rsidR="00597C74" w:rsidRPr="006C5D80">
        <w:t xml:space="preserve"> millones de dólares. Las estrategias empleadas para hacer de la igualdad de género y del empoderamiento de las mujeres son un requisito fundamental a la hora de afrontar esa crisis y concebir respuestas adecuadas, como políticas, programas de asistencia, iniciativas de recuperación y la consolidación del estado de derecho.</w:t>
      </w:r>
    </w:p>
    <w:p w14:paraId="60E716F5" w14:textId="77777777" w:rsidR="00597C74" w:rsidRPr="006C5D80" w:rsidRDefault="00597C74" w:rsidP="00142BE0">
      <w:pPr>
        <w:pStyle w:val="SingleTxt"/>
        <w:numPr>
          <w:ilvl w:val="0"/>
          <w:numId w:val="15"/>
        </w:numPr>
        <w:ind w:left="1267"/>
      </w:pPr>
      <w:r w:rsidRPr="004B1B5C">
        <w:rPr>
          <w:spacing w:val="0"/>
        </w:rPr>
        <w:t xml:space="preserve">Para aplicar la Política Nacional de Género, varios ministerios han emprendido iniciativas destinadas a elaborar sus propias políticas, estrategias y programas relacionados con el género. El Ministerio de Relaciones Exteriores e Inmigración promueve la igualdad de género a través de su política de igualdad de género. El Ministerio de Agricultura y Vías de Navegación tiene un Plan de Desarrollo Estratégico de </w:t>
      </w:r>
      <w:r w:rsidRPr="00C37370">
        <w:rPr>
          <w:spacing w:val="0"/>
        </w:rPr>
        <w:t>5</w:t>
      </w:r>
      <w:r w:rsidRPr="004B1B5C">
        <w:rPr>
          <w:spacing w:val="0"/>
        </w:rPr>
        <w:t xml:space="preserve"> años (</w:t>
      </w:r>
      <w:r w:rsidRPr="00C37370">
        <w:rPr>
          <w:spacing w:val="0"/>
        </w:rPr>
        <w:t>2019</w:t>
      </w:r>
      <w:r w:rsidRPr="004B1B5C">
        <w:rPr>
          <w:spacing w:val="0"/>
        </w:rPr>
        <w:t>-</w:t>
      </w:r>
      <w:r w:rsidRPr="00C37370">
        <w:rPr>
          <w:spacing w:val="0"/>
        </w:rPr>
        <w:t>2023</w:t>
      </w:r>
      <w:r w:rsidRPr="004B1B5C">
        <w:rPr>
          <w:spacing w:val="0"/>
        </w:rPr>
        <w:t xml:space="preserve">) que se alinea con las prioridades agrícolas nacionales y el marco de los Objetivos de Desarrollo Sostenible, centrándose en la seguridad alimentaria, los ingresos de los agricultores, la agricultura sostenible y el desempeño del sector público. Hace hincapié en la participación de las mujeres en la agricultura y fija objetivos para aumentar los grupos de mujeres registradas y mejorar la participación de las mujeres en el sector. A </w:t>
      </w:r>
      <w:r w:rsidRPr="00C37370">
        <w:rPr>
          <w:spacing w:val="0"/>
        </w:rPr>
        <w:t>2022</w:t>
      </w:r>
      <w:r w:rsidRPr="004B1B5C">
        <w:rPr>
          <w:spacing w:val="0"/>
        </w:rPr>
        <w:t xml:space="preserve">, el Ministerio de Agricultura había prestado apoyo con recursos agrícolas a </w:t>
      </w:r>
      <w:r w:rsidRPr="00C37370">
        <w:rPr>
          <w:spacing w:val="0"/>
        </w:rPr>
        <w:t>247</w:t>
      </w:r>
      <w:r w:rsidRPr="004B1B5C">
        <w:rPr>
          <w:spacing w:val="0"/>
        </w:rPr>
        <w:t xml:space="preserve"> grupos de mujeres y ayudado a </w:t>
      </w:r>
      <w:r w:rsidRPr="00C37370">
        <w:rPr>
          <w:spacing w:val="0"/>
        </w:rPr>
        <w:t>37</w:t>
      </w:r>
      <w:r w:rsidRPr="004B1B5C">
        <w:rPr>
          <w:spacing w:val="0"/>
        </w:rPr>
        <w:t xml:space="preserve"> grupos de mujeres y jóvenes en apicultura. La Política de Género en la Agricultura (</w:t>
      </w:r>
      <w:r w:rsidRPr="00C37370">
        <w:rPr>
          <w:spacing w:val="0"/>
        </w:rPr>
        <w:t>2022</w:t>
      </w:r>
      <w:r w:rsidRPr="004B1B5C">
        <w:rPr>
          <w:spacing w:val="0"/>
        </w:rPr>
        <w:t>-</w:t>
      </w:r>
      <w:r w:rsidRPr="00C37370">
        <w:rPr>
          <w:spacing w:val="0"/>
        </w:rPr>
        <w:t>2027</w:t>
      </w:r>
      <w:r w:rsidRPr="004B1B5C">
        <w:rPr>
          <w:spacing w:val="0"/>
        </w:rPr>
        <w:t>) del Ministerio de Agricultura y Vías de Navegación tiene como objetivo cerrar la brecha de género en la agricultura garantizando un acceso equitativo a los recursos y servicios para todos los agricultores. Esboza objetivos para la igualdad de acceso a los recursos económicos, la información, la adopción de decisiones y la integración de la perspectiva de género en los ministerios de agricultura. La política se integra con iniciativas gubernamentales como la planificación y presupuestación con perspectiva de género y aborda las necesidades de los grupos vulnerables, especialmente en la gestión del riesgo de desastres a través de políticas sensibles al género. La Oficina Nacional de Gestión de Desastres colabora con el Ministerio de la Mujer, la Infancia y la Protección Social y ONU-Mujeres en cuestiones de género en la reducción del riesgo de desastres. Durante la pandemia de COVID-</w:t>
      </w:r>
      <w:r w:rsidRPr="00C37370">
        <w:rPr>
          <w:spacing w:val="0"/>
        </w:rPr>
        <w:t>19</w:t>
      </w:r>
      <w:r w:rsidRPr="004B1B5C">
        <w:rPr>
          <w:spacing w:val="0"/>
        </w:rPr>
        <w:t>, el Gobierno actuó con rapidez, centrándose en la participación de las mujeres en las respuestas a las crisis, ejemplificada por el Programa de Resiliencia de las Mujeres ante los Desastres. Esta iniciativa permite a las mujeres compartir experiencias y recomendaciones, lo cual mejora su resiliencia y capacidad para hacer frente a los desastres</w:t>
      </w:r>
      <w:r w:rsidRPr="006C5D80">
        <w:t>.</w:t>
      </w:r>
    </w:p>
    <w:p w14:paraId="794757D1" w14:textId="77777777" w:rsidR="00A71D2B" w:rsidRPr="006C5D80" w:rsidRDefault="00A71D2B" w:rsidP="00A71D2B">
      <w:pPr>
        <w:pStyle w:val="SingleTxt"/>
        <w:spacing w:after="0" w:line="120" w:lineRule="exact"/>
        <w:rPr>
          <w:sz w:val="10"/>
        </w:rPr>
      </w:pPr>
    </w:p>
    <w:p w14:paraId="57C1A8E9" w14:textId="77777777" w:rsidR="00A71D2B" w:rsidRPr="006C5D80" w:rsidRDefault="00A71D2B" w:rsidP="00A71D2B">
      <w:pPr>
        <w:pStyle w:val="SingleTxt"/>
        <w:spacing w:after="0" w:line="120" w:lineRule="exact"/>
        <w:rPr>
          <w:sz w:val="10"/>
        </w:rPr>
      </w:pPr>
    </w:p>
    <w:p w14:paraId="1C689284" w14:textId="4C04AF0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Protocolo facultativo</w:t>
      </w:r>
    </w:p>
    <w:p w14:paraId="5D1243B6" w14:textId="77777777" w:rsidR="00A71D2B" w:rsidRPr="006C5D80" w:rsidRDefault="00A71D2B" w:rsidP="00A71D2B">
      <w:pPr>
        <w:pStyle w:val="SingleTxt"/>
        <w:spacing w:after="0" w:line="120" w:lineRule="exact"/>
        <w:rPr>
          <w:sz w:val="10"/>
        </w:rPr>
      </w:pPr>
    </w:p>
    <w:p w14:paraId="7C991F3A" w14:textId="77777777" w:rsidR="00A71D2B" w:rsidRPr="006C5D80" w:rsidRDefault="00A71D2B" w:rsidP="00A71D2B">
      <w:pPr>
        <w:pStyle w:val="SingleTxt"/>
        <w:spacing w:after="0" w:line="120" w:lineRule="exact"/>
        <w:rPr>
          <w:sz w:val="10"/>
        </w:rPr>
      </w:pPr>
    </w:p>
    <w:p w14:paraId="72C99FCD" w14:textId="7777777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3 de la lista de cuestiones</w:t>
      </w:r>
    </w:p>
    <w:p w14:paraId="28B75FD3" w14:textId="77777777" w:rsidR="00A71D2B" w:rsidRPr="006C5D80" w:rsidRDefault="00A71D2B" w:rsidP="00A71D2B">
      <w:pPr>
        <w:pStyle w:val="SingleTxt"/>
        <w:spacing w:after="0" w:line="120" w:lineRule="exact"/>
        <w:rPr>
          <w:sz w:val="10"/>
        </w:rPr>
      </w:pPr>
    </w:p>
    <w:p w14:paraId="4DFD44E7" w14:textId="77777777" w:rsidR="00A71D2B" w:rsidRPr="006C5D80" w:rsidRDefault="00A71D2B" w:rsidP="00A71D2B">
      <w:pPr>
        <w:pStyle w:val="SingleTxt"/>
        <w:spacing w:after="0" w:line="120" w:lineRule="exact"/>
        <w:rPr>
          <w:sz w:val="10"/>
        </w:rPr>
      </w:pPr>
    </w:p>
    <w:p w14:paraId="3C04711C" w14:textId="77777777" w:rsidR="00597C74" w:rsidRPr="006C5D80" w:rsidRDefault="00597C74" w:rsidP="00142BE0">
      <w:pPr>
        <w:pStyle w:val="SingleTxt"/>
        <w:numPr>
          <w:ilvl w:val="0"/>
          <w:numId w:val="16"/>
        </w:numPr>
        <w:ind w:left="1267"/>
      </w:pPr>
      <w:r w:rsidRPr="006C5D80">
        <w:t xml:space="preserve">Fiji aún debe desarrollar un marco adecuado para la recopilación y cotejo de la información necesaria y la preparación de todos los informes. Sin embargo, el Ministerio de la Mujer, la Infancia y la Protección Social ha iniciado programas y actividades que podrían significar avances hacia la elaboración de un marco para la recopilación de datos en todos los organismos gubernamentales, como la Iniciativa para el Desarrollo de la Capacidad Institucional Transformadora en materia de </w:t>
      </w:r>
      <w:r w:rsidRPr="006C5D80">
        <w:lastRenderedPageBreak/>
        <w:t xml:space="preserve">Género, la Evaluación de Género de Fiji y el Plan de Acción Nacional de Fiji para Prevenir la Violencia contra Todas las Mujeres y las Niñas </w:t>
      </w:r>
      <w:r w:rsidRPr="00C37370">
        <w:t>2023</w:t>
      </w:r>
      <w:r w:rsidRPr="006C5D80">
        <w:t>-</w:t>
      </w:r>
      <w:r w:rsidRPr="00C37370">
        <w:t>2028</w:t>
      </w:r>
      <w:r w:rsidRPr="006C5D80">
        <w:t>.</w:t>
      </w:r>
    </w:p>
    <w:p w14:paraId="1F59EC1C" w14:textId="77777777" w:rsidR="00A71D2B" w:rsidRPr="006C5D80" w:rsidRDefault="00A71D2B" w:rsidP="00A71D2B">
      <w:pPr>
        <w:pStyle w:val="SingleTxt"/>
        <w:spacing w:after="0" w:line="120" w:lineRule="exact"/>
        <w:rPr>
          <w:sz w:val="10"/>
        </w:rPr>
      </w:pPr>
    </w:p>
    <w:p w14:paraId="0AB7E577" w14:textId="77777777" w:rsidR="00A71D2B" w:rsidRPr="006C5D80" w:rsidRDefault="00A71D2B" w:rsidP="00A71D2B">
      <w:pPr>
        <w:pStyle w:val="SingleTxt"/>
        <w:spacing w:after="0" w:line="120" w:lineRule="exact"/>
        <w:rPr>
          <w:sz w:val="10"/>
        </w:rPr>
      </w:pPr>
    </w:p>
    <w:p w14:paraId="11741FE8" w14:textId="7777777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Visibilidad de la Convención</w:t>
      </w:r>
    </w:p>
    <w:p w14:paraId="6830309E" w14:textId="77777777" w:rsidR="00A71D2B" w:rsidRPr="006C5D80" w:rsidRDefault="00A71D2B" w:rsidP="00A71D2B">
      <w:pPr>
        <w:pStyle w:val="SingleTxt"/>
        <w:spacing w:after="0" w:line="120" w:lineRule="exact"/>
        <w:rPr>
          <w:sz w:val="10"/>
        </w:rPr>
      </w:pPr>
    </w:p>
    <w:p w14:paraId="179BCEF4" w14:textId="77777777" w:rsidR="00A71D2B" w:rsidRPr="006C5D80" w:rsidRDefault="00A71D2B" w:rsidP="00A71D2B">
      <w:pPr>
        <w:pStyle w:val="SingleTxt"/>
        <w:spacing w:after="0" w:line="120" w:lineRule="exact"/>
        <w:rPr>
          <w:sz w:val="10"/>
        </w:rPr>
      </w:pPr>
    </w:p>
    <w:p w14:paraId="2EF8CDDD" w14:textId="77777777" w:rsidR="00597C74" w:rsidRPr="00C37370" w:rsidRDefault="00597C74" w:rsidP="00A71D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4 de la lista de cuestiones</w:t>
      </w:r>
    </w:p>
    <w:p w14:paraId="2B6B3FD3" w14:textId="77777777" w:rsidR="00A71D2B" w:rsidRPr="006C5D80" w:rsidRDefault="00A71D2B" w:rsidP="00A71D2B">
      <w:pPr>
        <w:pStyle w:val="SingleTxt"/>
        <w:spacing w:after="0" w:line="120" w:lineRule="exact"/>
        <w:rPr>
          <w:sz w:val="10"/>
        </w:rPr>
      </w:pPr>
    </w:p>
    <w:p w14:paraId="54CCBC20" w14:textId="77777777" w:rsidR="00A71D2B" w:rsidRPr="006C5D80" w:rsidRDefault="00A71D2B" w:rsidP="00A71D2B">
      <w:pPr>
        <w:pStyle w:val="SingleTxt"/>
        <w:spacing w:after="0" w:line="120" w:lineRule="exact"/>
        <w:rPr>
          <w:sz w:val="10"/>
        </w:rPr>
      </w:pPr>
    </w:p>
    <w:p w14:paraId="19FE752C" w14:textId="5CB56321" w:rsidR="00597C74" w:rsidRPr="006C5D80" w:rsidRDefault="00597C74" w:rsidP="00142BE0">
      <w:pPr>
        <w:pStyle w:val="SingleTxt"/>
        <w:numPr>
          <w:ilvl w:val="0"/>
          <w:numId w:val="16"/>
        </w:numPr>
        <w:ind w:left="1267"/>
      </w:pPr>
      <w:r w:rsidRPr="006C5D80">
        <w:t xml:space="preserve">La Política Nacional de Género aspira a promover la igualdad de género, la equidad, la justicia social y el desarrollo sostenible en Fiji. Se centra en mejorar la calidad de vida de las mujeres y las niñas en todas las diversidades, garantizar la integración de la perspectiva de género en todos los sectores y eliminar la discriminación por razón de sexo. Entre las iniciativas clave figuran la planificación con perspectiva de género, las estrategias contra la violencia de género y el compromiso con la igualdad de género en la Policía de Fiji, en consonancia con el Plan Estratégico </w:t>
      </w:r>
      <w:r w:rsidRPr="00C37370">
        <w:t>2020</w:t>
      </w:r>
      <w:r w:rsidRPr="006C5D80">
        <w:t>-</w:t>
      </w:r>
      <w:r w:rsidRPr="00C37370">
        <w:t>2024</w:t>
      </w:r>
      <w:r w:rsidRPr="006C5D80">
        <w:t xml:space="preserve"> de los </w:t>
      </w:r>
      <w:proofErr w:type="gramStart"/>
      <w:r w:rsidRPr="006C5D80">
        <w:t>Jefes</w:t>
      </w:r>
      <w:proofErr w:type="gramEnd"/>
      <w:r w:rsidRPr="006C5D80">
        <w:t xml:space="preserve"> de Policía de las Islas del Pacífico. El Ministerio de Desarrollo Rural y Marítimo y Gestión de Desastres hace hincapié en la contribución de las mujeres y dedica el </w:t>
      </w:r>
      <w:r w:rsidRPr="00C37370">
        <w:t>20</w:t>
      </w:r>
      <w:r w:rsidR="00F854A9" w:rsidRPr="004B1B5C">
        <w:t xml:space="preserve"> </w:t>
      </w:r>
      <w:r w:rsidRPr="006C5D80">
        <w:t xml:space="preserve">% de la ayuda del programa a empresas de mujeres y jóvenes. Las actividades de creación de capacidad incorporan los principios de la Convención e incluyen la capacitación de diversas partes interesadas. El Ministerio de Agricultura y Vías de Navegación ha iniciado la creación de capacidad interna centrada en el género para mejorar la productividad y la resiliencia en el sector agrícola. La Oficina Nacional de Gestión de Desastres colabora en la recopilación de datos para dar respuestas integradoras a las catástrofes. La Oficina Electoral de Fiji promueve la participación de las mujeres y las personas con discapacidad en las elecciones, en colaboración con organizaciones de la sociedad civil. El Ministerio de Finanzas ha adoptado una política de equidad de género e inclusión social (anexo </w:t>
      </w:r>
      <w:r w:rsidRPr="00C37370">
        <w:t>3</w:t>
      </w:r>
      <w:r w:rsidRPr="006C5D80">
        <w:t xml:space="preserve">) para colmar las brechas de participación económica y política. Por último, país ha ratificado la declaración de la OIT relativa a la lucha contra la discriminación en el lugar de trabajo. </w:t>
      </w:r>
    </w:p>
    <w:p w14:paraId="51E1E350" w14:textId="6ABB7C9A" w:rsidR="00597C74" w:rsidRPr="006C5D80" w:rsidRDefault="00597C74" w:rsidP="00142BE0">
      <w:pPr>
        <w:pStyle w:val="SingleTxt"/>
        <w:numPr>
          <w:ilvl w:val="0"/>
          <w:numId w:val="17"/>
        </w:numPr>
        <w:ind w:left="1267"/>
      </w:pPr>
      <w:r w:rsidRPr="006C5D80">
        <w:t>El Departamento de la Mujer, también conocido como Mecanismo Nacional para las Mujeres</w:t>
      </w:r>
      <w:r w:rsidR="00F854A9">
        <w:t>:</w:t>
      </w:r>
    </w:p>
    <w:p w14:paraId="61DA5518" w14:textId="35A810B7" w:rsidR="00597C74" w:rsidRPr="006C5D80" w:rsidRDefault="00D727C4" w:rsidP="00597C74">
      <w:pPr>
        <w:pStyle w:val="SingleTxt"/>
      </w:pPr>
      <w:r w:rsidRPr="006C5D80">
        <w:tab/>
      </w:r>
      <w:r w:rsidR="00597C74" w:rsidRPr="006C5D80">
        <w:t>a)</w:t>
      </w:r>
      <w:r w:rsidR="00597C74" w:rsidRPr="006C5D80">
        <w:tab/>
        <w:t xml:space="preserve">El Mecanismo Nacional para las Mujeres se encarga de llevar a cabo la labor de promoción, coordinar actividades y asesorar al Gobierno en materia de igualdad de género y empoderamiento de todas las mujeres y niñas en Fiji. Las prioridades temáticas del Departamento incluyen el empoderamiento económico de las mujeres, la eliminación de la violencia contra las mujeres y las niñas, y el género, el cambio climático y la reducción del riesgo de desastres. Mejorar la disponibilidad, el acceso y el uso de datos y estadísticas de género es crucial para orientar las intervenciones estratégicas destinadas a enfrentar las brechas y los problemas de género. El Departamento refuerza las alianzas y trabaja en redes con organizaciones no gubernamentales (ONG), organizaciones de la sociedad civil, organizaciones confesionales, asociados para el desarrollo e instituciones para enfrentar las brechas y los problemas de género. Estos esfuerzos se ajustan a los compromisos de Fiji con los Objetivos de Desarrollo Sostenible (ODS), la Agenda </w:t>
      </w:r>
      <w:r w:rsidR="00597C74" w:rsidRPr="00C37370">
        <w:t>2030</w:t>
      </w:r>
      <w:r w:rsidR="00597C74" w:rsidRPr="006C5D80">
        <w:t xml:space="preserve">, la Convención sobre la Eliminación de Todas las Formas de Discriminación contra la Mujer, la Declaración y Plataforma de Acción de Beijing, la Constitución de Fiji, los planes nacionales de desarrollo y la Política Nacional de Género. La dotación presupuestaria del Departamento ha fluctuado a lo largo de los años, y tuvo la mayor tasa de crecimiento en el ejercicio económico </w:t>
      </w:r>
      <w:r w:rsidR="00597C74" w:rsidRPr="00C37370">
        <w:t>2021</w:t>
      </w:r>
      <w:r w:rsidR="00597C74" w:rsidRPr="006C5D80">
        <w:t>/</w:t>
      </w:r>
      <w:r w:rsidR="00597C74" w:rsidRPr="00C37370">
        <w:t>22</w:t>
      </w:r>
      <w:r w:rsidR="00597C74" w:rsidRPr="006C5D80">
        <w:t>. En el nuevo ejercicio (</w:t>
      </w:r>
      <w:r w:rsidR="00597C74" w:rsidRPr="00C37370">
        <w:t>2023</w:t>
      </w:r>
      <w:r w:rsidR="00597C74" w:rsidRPr="006C5D80">
        <w:t>/</w:t>
      </w:r>
      <w:r w:rsidR="00597C74" w:rsidRPr="00C37370">
        <w:t>24</w:t>
      </w:r>
      <w:r w:rsidR="00597C74" w:rsidRPr="006C5D80">
        <w:t xml:space="preserve">), el Departamento tiene asignado un presupuesto de </w:t>
      </w:r>
      <w:r w:rsidR="00597C74" w:rsidRPr="00C37370">
        <w:t>5</w:t>
      </w:r>
      <w:r w:rsidR="00597C74" w:rsidRPr="006C5D80">
        <w:t>,</w:t>
      </w:r>
      <w:r w:rsidR="00597C74" w:rsidRPr="00C37370">
        <w:t>24</w:t>
      </w:r>
      <w:r w:rsidR="00597C74" w:rsidRPr="006C5D80">
        <w:t xml:space="preserve"> millones de dólares de Fiji, lo que representa un aumento del </w:t>
      </w:r>
      <w:r w:rsidR="00597C74" w:rsidRPr="00C37370">
        <w:t>20</w:t>
      </w:r>
      <w:r w:rsidR="00597C74" w:rsidRPr="006C5D80">
        <w:t xml:space="preserve"> % en comparación con el ejercicio anterior (</w:t>
      </w:r>
      <w:r w:rsidR="00597C74" w:rsidRPr="00C37370">
        <w:t>2022</w:t>
      </w:r>
      <w:r w:rsidR="00597C74" w:rsidRPr="006C5D80">
        <w:t>/</w:t>
      </w:r>
      <w:r w:rsidR="00597C74" w:rsidRPr="00C37370">
        <w:t>23</w:t>
      </w:r>
      <w:r w:rsidR="00597C74" w:rsidRPr="006C5D80">
        <w:t xml:space="preserve">). El presupuesto total asignado al Ministerio de la Mujer, la Infancia y la Protección Social </w:t>
      </w:r>
      <w:r w:rsidR="00597C74" w:rsidRPr="006C5D80">
        <w:lastRenderedPageBreak/>
        <w:t xml:space="preserve">en los siete últimos años asciende a </w:t>
      </w:r>
      <w:r w:rsidR="00597C74" w:rsidRPr="00C37370">
        <w:t>892</w:t>
      </w:r>
      <w:r w:rsidR="00597C74" w:rsidRPr="006C5D80">
        <w:t>,</w:t>
      </w:r>
      <w:r w:rsidR="00597C74" w:rsidRPr="00C37370">
        <w:t>2</w:t>
      </w:r>
      <w:r w:rsidR="00597C74" w:rsidRPr="006C5D80">
        <w:t xml:space="preserve"> millones de dólares de Fiji, de los cuales </w:t>
      </w:r>
      <w:r w:rsidR="00597C74" w:rsidRPr="00C37370">
        <w:t>30</w:t>
      </w:r>
      <w:r w:rsidR="00597C74" w:rsidRPr="006C5D80">
        <w:t>,</w:t>
      </w:r>
      <w:r w:rsidR="00597C74" w:rsidRPr="00C37370">
        <w:t>3</w:t>
      </w:r>
      <w:r w:rsidR="00597C74" w:rsidRPr="006C5D80">
        <w:t xml:space="preserve"> millones se asignaron al Mecanismo Nacional para las Mujeres</w:t>
      </w:r>
      <w:r w:rsidR="00DF7D76">
        <w:t>;</w:t>
      </w:r>
    </w:p>
    <w:p w14:paraId="0FFF5C2E" w14:textId="7D33E9D3" w:rsidR="00597C74" w:rsidRPr="006C5D80" w:rsidRDefault="00D727C4" w:rsidP="00597C74">
      <w:pPr>
        <w:pStyle w:val="SingleTxt"/>
      </w:pPr>
      <w:r w:rsidRPr="006C5D80">
        <w:tab/>
      </w:r>
      <w:r w:rsidR="00597C74" w:rsidRPr="006C5D80">
        <w:t>b)</w:t>
      </w:r>
      <w:r w:rsidR="00597C74" w:rsidRPr="006C5D80">
        <w:tab/>
        <w:t xml:space="preserve">En </w:t>
      </w:r>
      <w:r w:rsidR="00597C74" w:rsidRPr="00C37370">
        <w:t>2020</w:t>
      </w:r>
      <w:r w:rsidR="00597C74" w:rsidRPr="006C5D80">
        <w:t xml:space="preserve">, el país realizó una evaluación nacional de género denominada Evaluación de Género en Fiji. Esta iniciativa fue la primera de este tipo en la región del Pacífico y demostró la adhesión del Gobierno a la igualdad de género y a los ODS. Bajo la dirección del Departamento, la evaluación tardó dos años en completarse e implicó un amplio proceso de consultas y a diversas partes interesadas, incluidos organismos gubernamentales, organizaciones de la sociedad civil y organizaciones confesionales, organizaciones de las Naciones Unidas, la Comunidad del Pacífico, el Banco Asiático de Desarrollo y otras ONG. La evaluación recopiló los datos existentes mediante la colaboración con organismos públicos y un minucioso examen documental. La Evaluación de Género en Fiji ha dado lugar a alianzas reforzadas, a la creación del Grupo de Trabajo de Direccionamiento de Datos y del Comité de Revisión por Pares, y a la puesta en marcha de la evaluación en marzo de </w:t>
      </w:r>
      <w:r w:rsidR="00597C74" w:rsidRPr="00C37370">
        <w:t>2023</w:t>
      </w:r>
      <w:r w:rsidR="00597C74" w:rsidRPr="006C5D80">
        <w:t>. El Mecanismo Nacional para las Mujeres ha planificado programas de sensibilización y difusión de información para abordar las cuestiones de género identificadas en la evaluación y aplicar las recomendaciones políticas en todo el Gobierno;</w:t>
      </w:r>
    </w:p>
    <w:p w14:paraId="527FF7BF" w14:textId="0B95FE1F" w:rsidR="00597C74" w:rsidRPr="006C5D80" w:rsidRDefault="00D727C4" w:rsidP="00597C74">
      <w:pPr>
        <w:pStyle w:val="SingleTxt"/>
      </w:pPr>
      <w:r w:rsidRPr="006C5D80">
        <w:tab/>
      </w:r>
      <w:r w:rsidR="00597C74" w:rsidRPr="006C5D80">
        <w:t>c)</w:t>
      </w:r>
      <w:r w:rsidR="00597C74" w:rsidRPr="006C5D80">
        <w:tab/>
        <w:t xml:space="preserve">La Iniciativa para el Desarrollo de la Capacidad Institucional Transformadora en materia de Género y de Planificación y Presupuestación con Perspectiva de Género fueron aprobadas por el Gabinete en </w:t>
      </w:r>
      <w:r w:rsidR="00597C74" w:rsidRPr="00C37370">
        <w:t>2020</w:t>
      </w:r>
      <w:r w:rsidR="00597C74" w:rsidRPr="006C5D80">
        <w:t xml:space="preserve"> y dirigidas por el Ministerio de la Mujer, la Infancia y la Protección Social en colaboración con el Ministerio de Finanzas. Recibió el respaldo de dos decisiones del Gabinete en enero y diciembre de </w:t>
      </w:r>
      <w:r w:rsidR="00597C74" w:rsidRPr="00C37370">
        <w:t>2020</w:t>
      </w:r>
      <w:r w:rsidR="00597C74" w:rsidRPr="006C5D80">
        <w:t xml:space="preserve">. La Iniciativa para el Desarrollo de la Capacidad Institucional Transformadora en materia de Género apoya la Iniciativa de Planificación y Presupuestación con Perspectiva de Género del Ministerio de Finanzas, aprobada en febrero de </w:t>
      </w:r>
      <w:r w:rsidR="00597C74" w:rsidRPr="00C37370">
        <w:t>2020</w:t>
      </w:r>
      <w:r w:rsidR="00597C74" w:rsidRPr="006C5D80">
        <w:t xml:space="preserve">. </w:t>
      </w:r>
      <w:proofErr w:type="spellStart"/>
      <w:r w:rsidR="00597C74" w:rsidRPr="006C5D80">
        <w:t>Fiji</w:t>
      </w:r>
      <w:proofErr w:type="spellEnd"/>
      <w:r w:rsidR="00597C74" w:rsidRPr="006C5D80">
        <w:t xml:space="preserve"> </w:t>
      </w:r>
      <w:proofErr w:type="spellStart"/>
      <w:r w:rsidR="00597C74" w:rsidRPr="006C5D80">
        <w:t>Women</w:t>
      </w:r>
      <w:r w:rsidR="00DF7D76">
        <w:t>’</w:t>
      </w:r>
      <w:r w:rsidR="00597C74" w:rsidRPr="006C5D80">
        <w:t>s</w:t>
      </w:r>
      <w:proofErr w:type="spellEnd"/>
      <w:r w:rsidR="00597C74" w:rsidRPr="006C5D80">
        <w:t xml:space="preserve"> </w:t>
      </w:r>
      <w:proofErr w:type="spellStart"/>
      <w:r w:rsidR="00597C74" w:rsidRPr="006C5D80">
        <w:t>Rights</w:t>
      </w:r>
      <w:proofErr w:type="spellEnd"/>
      <w:r w:rsidR="00597C74" w:rsidRPr="006C5D80">
        <w:t xml:space="preserve"> </w:t>
      </w:r>
      <w:proofErr w:type="spellStart"/>
      <w:r w:rsidR="00597C74" w:rsidRPr="006C5D80">
        <w:t>Movement</w:t>
      </w:r>
      <w:proofErr w:type="spellEnd"/>
      <w:r w:rsidR="00597C74" w:rsidRPr="006C5D80">
        <w:t xml:space="preserve"> actúa como asociado técnico de las organizaciones de la sociedad civil en la Iniciativa para el Desarrollo de la Capacidad Institucional Transformadora, lo que ha sido posible gracias al apoyo de los Gobiernos de Nueva Zelanda y el Canadá. En </w:t>
      </w:r>
      <w:r w:rsidR="00597C74" w:rsidRPr="00C37370">
        <w:t>2021</w:t>
      </w:r>
      <w:r w:rsidR="00597C74" w:rsidRPr="006C5D80">
        <w:t xml:space="preserve">, se contrató a Alinea International para que colaborara en la implantación de la Iniciativa para el Desarrollo de la Capacidad Institucional Transformadora mediante materiales y sesiones de formación. Diversos ministerios participaron en la primera fase de esta iniciativa entre </w:t>
      </w:r>
      <w:r w:rsidR="00597C74" w:rsidRPr="00C37370">
        <w:t>2021</w:t>
      </w:r>
      <w:r w:rsidR="00597C74" w:rsidRPr="006C5D80">
        <w:t xml:space="preserve"> y </w:t>
      </w:r>
      <w:r w:rsidR="00597C74" w:rsidRPr="00C37370">
        <w:t>2023</w:t>
      </w:r>
      <w:r w:rsidR="00597C74" w:rsidRPr="006C5D80">
        <w:t xml:space="preserve">. Entre los logros significativos alcanzados entre </w:t>
      </w:r>
      <w:r w:rsidR="00597C74" w:rsidRPr="00C37370">
        <w:t>2020</w:t>
      </w:r>
      <w:r w:rsidR="00597C74" w:rsidRPr="006C5D80">
        <w:t xml:space="preserve"> y </w:t>
      </w:r>
      <w:r w:rsidR="00597C74" w:rsidRPr="00C37370">
        <w:t>2022</w:t>
      </w:r>
      <w:r w:rsidR="00597C74" w:rsidRPr="006C5D80">
        <w:t xml:space="preserve"> se incluyen el establecimiento de los grupos de acción para la integración de la perspectiva de género en </w:t>
      </w:r>
      <w:r w:rsidR="00597C74" w:rsidRPr="00C37370">
        <w:t>19</w:t>
      </w:r>
      <w:r w:rsidR="00597C74" w:rsidRPr="006C5D80">
        <w:t xml:space="preserve"> agencias, la creación de capacidad para los facilitadores principales de la integración de la perspectiva de género y el desarrollo de análisis de género de sectores y entornos clave, materiales de formación específicos para cada sector, incluidos conjuntos de herramientas, y avances hacia los objetivos de la Iniciativa. La Fuerza de Policía de Fiji fomenta la participación igualitaria a través de la Política de Género de la Fuerza. El Ministerio de Agricultura y Vías de Navegación es uno de los ministerios seleccionados para poner a prueba la planificación y presupuestación con perspectiva de género. A través de este mecanismo, en </w:t>
      </w:r>
      <w:r w:rsidR="00597C74" w:rsidRPr="00C37370">
        <w:t>2021</w:t>
      </w:r>
      <w:r w:rsidR="00597C74" w:rsidRPr="006C5D80">
        <w:t>/</w:t>
      </w:r>
      <w:r w:rsidR="00597C74" w:rsidRPr="00C37370">
        <w:t>22</w:t>
      </w:r>
      <w:r w:rsidR="00597C74" w:rsidRPr="006C5D80">
        <w:t xml:space="preserve"> se seleccionaron </w:t>
      </w:r>
      <w:r w:rsidR="00597C74" w:rsidRPr="00C37370">
        <w:t>2</w:t>
      </w:r>
      <w:r w:rsidR="00597C74" w:rsidRPr="006C5D80">
        <w:t xml:space="preserve"> programas (Programa de Extensión Avícola y Programa de Cultivo de Vainilla y Programa de Cultivo de Apicultura, Programa de Cultivo de Coco y Programa de Pérdida Postcosecha). Se siguieron y adoptaron los procesos que dieron lugar a la formación de los grupos de acción para la integración de la perspectiva de género del Ministerio de Agricultura y Vías de Navegación y a la aplicación con éxito de los </w:t>
      </w:r>
      <w:r w:rsidR="00597C74" w:rsidRPr="00C37370">
        <w:t>2</w:t>
      </w:r>
      <w:r w:rsidR="00597C74" w:rsidRPr="006C5D80">
        <w:t xml:space="preserve"> programas seleccionados, con lo que se logró una distribución equitativa de la ayuda a los agricultores.</w:t>
      </w:r>
      <w:r w:rsidRPr="006C5D80">
        <w:t xml:space="preserve"> </w:t>
      </w:r>
      <w:r w:rsidR="00597C74" w:rsidRPr="006C5D80">
        <w:t>El Comité de los grupos de acción para la integración de la perspectiva de género del Ministerio de Agricultura y Vías de Navegación se reúne cada trimestre para revisar el plan de trabajo y la actualización del seguimiento de los programas implementados.</w:t>
      </w:r>
      <w:r w:rsidRPr="006C5D80">
        <w:t xml:space="preserve"> </w:t>
      </w:r>
      <w:r w:rsidR="00597C74" w:rsidRPr="006C5D80">
        <w:t xml:space="preserve">El anexo </w:t>
      </w:r>
      <w:r w:rsidR="00597C74" w:rsidRPr="00C37370">
        <w:t>4</w:t>
      </w:r>
      <w:r w:rsidR="00597C74" w:rsidRPr="006C5D80">
        <w:t xml:space="preserve"> se incluye el resumen de los beneficiarios seleccionados para los programas de la planificación y presupuestación con </w:t>
      </w:r>
      <w:r w:rsidR="00597C74" w:rsidRPr="006C5D80">
        <w:lastRenderedPageBreak/>
        <w:t>perspectiva de género.</w:t>
      </w:r>
      <w:r w:rsidRPr="006C5D80">
        <w:t xml:space="preserve"> </w:t>
      </w:r>
      <w:r w:rsidR="00597C74" w:rsidRPr="006C5D80">
        <w:t>Aunque el Ministerio de Desarrollo Rural y Marítimo y Gestión de Desastres está preparado para la siguiente fase de la Iniciativa, actualmente colabora con el Programa de las Naciones Unidas para el Desarrollo en el marco del Proyecto de Gobernanza para la Resiliencia (G</w:t>
      </w:r>
      <w:r w:rsidR="00597C74" w:rsidRPr="00C37370">
        <w:t>4</w:t>
      </w:r>
      <w:r w:rsidR="00597C74" w:rsidRPr="006C5D80">
        <w:t xml:space="preserve">Res), que ha avanzado en el desarrollo informado por el riesgo, con el fin de garantizar que todos los programas de desarrollo sean sostenibles y estén informados por el riesgo, teniendo en cuenta el cambio climático, los desastres y el riesgo de género e inclusión social en todas las fases de diseño, construcción y funcionamiento de los proyectos, en un esfuerzo por mejorar la resiliencia de las comunidades rurales. Esta iniciativa reconoce que el desarrollo rural ha evolucionado desde la norma tradicional teniendo en cuenta que las mujeres son parte integrante en la consecución de las aspiraciones de desarrollo. Al año </w:t>
      </w:r>
      <w:r w:rsidR="00597C74" w:rsidRPr="00C37370">
        <w:t>2020</w:t>
      </w:r>
      <w:r w:rsidR="00597C74" w:rsidRPr="006C5D80">
        <w:t>, el Ministerio de la Juventud y el Deporte también había formulado una política de género que se ha incorporado a su plan de trabajo;</w:t>
      </w:r>
    </w:p>
    <w:p w14:paraId="6EA3986B" w14:textId="151B4473" w:rsidR="00D727C4" w:rsidRPr="006C5D80" w:rsidRDefault="00D727C4" w:rsidP="00597C74">
      <w:pPr>
        <w:pStyle w:val="SingleTxt"/>
      </w:pPr>
      <w:r w:rsidRPr="006C5D80">
        <w:tab/>
      </w:r>
      <w:r w:rsidR="00597C74" w:rsidRPr="006C5D80">
        <w:t>d)</w:t>
      </w:r>
      <w:r w:rsidR="00597C74" w:rsidRPr="006C5D80">
        <w:tab/>
        <w:t xml:space="preserve">El artículo </w:t>
      </w:r>
      <w:r w:rsidR="00597C74" w:rsidRPr="00C37370">
        <w:t>45</w:t>
      </w:r>
      <w:r w:rsidR="00597C74" w:rsidRPr="006C5D80">
        <w:t xml:space="preserve"> de la Constitución prevé el nombramiento de los miembros de la Comisión de Derechos Humanos y Lucha contra la Discriminación de Fiji. Los nombramientos se realizan previo dictamen de la Comisión de Oficinas Constitucionales al </w:t>
      </w:r>
      <w:proofErr w:type="gramStart"/>
      <w:r w:rsidR="00597C74" w:rsidRPr="006C5D80">
        <w:t>Presidente</w:t>
      </w:r>
      <w:proofErr w:type="gramEnd"/>
      <w:r w:rsidR="00597C74" w:rsidRPr="006C5D80">
        <w:t xml:space="preserve"> y el nombramiento de los miembros de la Comisión es por un período fijo de </w:t>
      </w:r>
      <w:r w:rsidR="00597C74" w:rsidRPr="00C37370">
        <w:t>3</w:t>
      </w:r>
      <w:r w:rsidR="00597C74" w:rsidRPr="006C5D80">
        <w:t xml:space="preserve"> años. Los miembros solo pueden ser destituidos en virtud del artículo </w:t>
      </w:r>
      <w:r w:rsidR="00597C74" w:rsidRPr="00C37370">
        <w:t>137</w:t>
      </w:r>
      <w:r w:rsidR="00597C74" w:rsidRPr="006C5D80">
        <w:t xml:space="preserve"> de la Constitución, por lo que el nombramiento de los miembros de la Comisión está salvaguardado. Además, los nombramientos para la Comisión se basan en los atributos personales, los conocimientos y la experiencia del miembro designado sobre diversos asuntos que probablemente se presenten ante la Comisión, de conformidad con el artículo </w:t>
      </w:r>
      <w:r w:rsidR="00597C74" w:rsidRPr="00C37370">
        <w:t>45</w:t>
      </w:r>
      <w:r w:rsidR="00597C74" w:rsidRPr="006C5D80">
        <w:t xml:space="preserve"> </w:t>
      </w:r>
      <w:r w:rsidR="00597C74" w:rsidRPr="00C37370">
        <w:t>3</w:t>
      </w:r>
      <w:r w:rsidR="00597C74" w:rsidRPr="006C5D80">
        <w:t xml:space="preserve">) de la Constitución, y no necesariamente en función del género de la persona. La Constitución (artículo </w:t>
      </w:r>
      <w:r w:rsidR="00597C74" w:rsidRPr="00C37370">
        <w:t>2</w:t>
      </w:r>
      <w:r w:rsidR="00597C74" w:rsidRPr="006C5D80">
        <w:t xml:space="preserve"> </w:t>
      </w:r>
      <w:r w:rsidR="00597C74" w:rsidRPr="00C37370">
        <w:t>4</w:t>
      </w:r>
      <w:r w:rsidR="00597C74" w:rsidRPr="006C5D80">
        <w:t xml:space="preserve">)) también dispone que cualquier violación de los derechos humanos y la aplicación de la protección de los derechos humanos se lleven ante los tribunales. La parte </w:t>
      </w:r>
      <w:r w:rsidR="00597C74" w:rsidRPr="00C37370">
        <w:t>4</w:t>
      </w:r>
      <w:r w:rsidR="00597C74" w:rsidRPr="006C5D80">
        <w:t xml:space="preserve"> de la Ley de la Comisión de Derechos Humanos y Lucha contra la Discriminación de </w:t>
      </w:r>
      <w:r w:rsidR="00597C74" w:rsidRPr="00C37370">
        <w:t>2009</w:t>
      </w:r>
      <w:r w:rsidR="00597C74" w:rsidRPr="006C5D80">
        <w:t xml:space="preserve"> establece los procesos y procedimientos emprendidos por la Comisión para las denuncias y las investigaciones y procedimientos de denuncias ante el Comisionado.</w:t>
      </w:r>
    </w:p>
    <w:p w14:paraId="55D348DF" w14:textId="77777777" w:rsidR="00D727C4" w:rsidRPr="006C5D80" w:rsidRDefault="00D727C4" w:rsidP="00D727C4">
      <w:pPr>
        <w:pStyle w:val="SingleTxt"/>
        <w:spacing w:after="0" w:line="120" w:lineRule="exact"/>
        <w:rPr>
          <w:sz w:val="10"/>
        </w:rPr>
      </w:pPr>
    </w:p>
    <w:p w14:paraId="70E8EFD0" w14:textId="77777777" w:rsidR="00D727C4" w:rsidRPr="006C5D80" w:rsidRDefault="00D727C4" w:rsidP="00D727C4">
      <w:pPr>
        <w:pStyle w:val="SingleTxt"/>
        <w:spacing w:after="0" w:line="120" w:lineRule="exact"/>
        <w:rPr>
          <w:sz w:val="10"/>
        </w:rPr>
      </w:pPr>
    </w:p>
    <w:p w14:paraId="2D969CB6" w14:textId="1442A33C"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Organizaciones no gubernamentales, defensoras de los derechos humanos y periodista</w:t>
      </w:r>
      <w:r w:rsidR="00DF7D76" w:rsidRPr="00C37370">
        <w:t>s</w:t>
      </w:r>
    </w:p>
    <w:p w14:paraId="5A1832E2" w14:textId="77777777" w:rsidR="00D727C4" w:rsidRPr="006C5D80" w:rsidRDefault="00D727C4" w:rsidP="00D727C4">
      <w:pPr>
        <w:pStyle w:val="SingleTxt"/>
        <w:spacing w:after="0" w:line="120" w:lineRule="exact"/>
        <w:rPr>
          <w:sz w:val="10"/>
        </w:rPr>
      </w:pPr>
    </w:p>
    <w:p w14:paraId="51B8722C" w14:textId="77777777" w:rsidR="00D727C4" w:rsidRPr="006C5D80" w:rsidRDefault="00D727C4" w:rsidP="00D727C4">
      <w:pPr>
        <w:pStyle w:val="SingleTxt"/>
        <w:spacing w:after="0" w:line="120" w:lineRule="exact"/>
        <w:rPr>
          <w:sz w:val="10"/>
        </w:rPr>
      </w:pPr>
    </w:p>
    <w:p w14:paraId="0606CEE2"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6 a) de la lista de cuestiones</w:t>
      </w:r>
    </w:p>
    <w:p w14:paraId="79F15A7E" w14:textId="77777777" w:rsidR="00D727C4" w:rsidRPr="006C5D80" w:rsidRDefault="00D727C4" w:rsidP="00D727C4">
      <w:pPr>
        <w:pStyle w:val="SingleTxt"/>
        <w:spacing w:after="0" w:line="120" w:lineRule="exact"/>
        <w:rPr>
          <w:sz w:val="10"/>
        </w:rPr>
      </w:pPr>
    </w:p>
    <w:p w14:paraId="44D3F2EE" w14:textId="77777777" w:rsidR="00D727C4" w:rsidRPr="006C5D80" w:rsidRDefault="00D727C4" w:rsidP="00D727C4">
      <w:pPr>
        <w:pStyle w:val="SingleTxt"/>
        <w:spacing w:after="0" w:line="120" w:lineRule="exact"/>
        <w:rPr>
          <w:sz w:val="10"/>
        </w:rPr>
      </w:pPr>
    </w:p>
    <w:p w14:paraId="4E3B62A2" w14:textId="6069104F" w:rsidR="00597C74" w:rsidRPr="006C5D80" w:rsidRDefault="00597C74" w:rsidP="00142BE0">
      <w:pPr>
        <w:pStyle w:val="SingleTxt"/>
        <w:numPr>
          <w:ilvl w:val="0"/>
          <w:numId w:val="18"/>
        </w:numPr>
        <w:ind w:left="1267"/>
      </w:pPr>
      <w:r w:rsidRPr="006C5D80">
        <w:t xml:space="preserve">A través del Ministerio de Justicia, se ha elaborado una lista de comprobación para cumplir los requisitos del Gobierno en relación con el registro de ONG y organizaciones de la sociedad civil. Esta lista de comprobación está disponible públicamente en su sitio web para mayor facilidad desde </w:t>
      </w:r>
      <w:r w:rsidRPr="00C37370">
        <w:t>2019</w:t>
      </w:r>
      <w:r w:rsidRPr="006C5D80">
        <w:t>. El Ministerio también ha creado un portal en línea para facilitar el proceso de inscripción y ha descentralizado sus servicios a nivel de división y distrito, lo que facilita las inscripciones presenciales. Además, el Ministerio colabora con el programa REACH del Gobierno para llevar sus servicios a las zonas más rurales de Fiji. Organismos gubernamentales como el Ministerio de Asuntos iTaukeis y el Departamento de la Mujer también prestan apoyo a las organizaciones registrantes mediante cartas que facilitan el proceso de inscripción. El Ministerio ha establecido un procedimiento operativo estándar para garantizar la tramitación puntual de las solicitudes de registro.</w:t>
      </w:r>
    </w:p>
    <w:p w14:paraId="53EB18BF" w14:textId="77777777" w:rsidR="00D727C4" w:rsidRPr="006C5D80" w:rsidRDefault="00D727C4" w:rsidP="00D727C4">
      <w:pPr>
        <w:pStyle w:val="SingleTxt"/>
        <w:spacing w:after="0" w:line="120" w:lineRule="exact"/>
        <w:rPr>
          <w:sz w:val="10"/>
        </w:rPr>
      </w:pPr>
    </w:p>
    <w:p w14:paraId="008F2B89" w14:textId="77777777" w:rsidR="00D727C4" w:rsidRPr="006C5D80" w:rsidRDefault="00D727C4" w:rsidP="00D727C4">
      <w:pPr>
        <w:pStyle w:val="SingleTxt"/>
        <w:spacing w:after="0" w:line="120" w:lineRule="exact"/>
        <w:rPr>
          <w:sz w:val="10"/>
        </w:rPr>
      </w:pPr>
    </w:p>
    <w:p w14:paraId="5743B2F9"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6 b) de la lista de cuestiones</w:t>
      </w:r>
    </w:p>
    <w:p w14:paraId="37760197" w14:textId="77777777" w:rsidR="00D727C4" w:rsidRPr="006C5D80" w:rsidRDefault="00D727C4" w:rsidP="00D727C4">
      <w:pPr>
        <w:pStyle w:val="SingleTxt"/>
        <w:spacing w:after="0" w:line="120" w:lineRule="exact"/>
        <w:rPr>
          <w:sz w:val="10"/>
        </w:rPr>
      </w:pPr>
    </w:p>
    <w:p w14:paraId="251D32BE" w14:textId="77777777" w:rsidR="00D727C4" w:rsidRPr="006C5D80" w:rsidRDefault="00D727C4" w:rsidP="00D727C4">
      <w:pPr>
        <w:pStyle w:val="SingleTxt"/>
        <w:spacing w:after="0" w:line="120" w:lineRule="exact"/>
        <w:rPr>
          <w:sz w:val="10"/>
        </w:rPr>
      </w:pPr>
    </w:p>
    <w:p w14:paraId="5B35D74B" w14:textId="77777777" w:rsidR="00597C74" w:rsidRPr="006C5D80" w:rsidRDefault="00597C74" w:rsidP="00142BE0">
      <w:pPr>
        <w:pStyle w:val="SingleTxt"/>
        <w:numPr>
          <w:ilvl w:val="0"/>
          <w:numId w:val="19"/>
        </w:numPr>
        <w:ind w:left="1267"/>
      </w:pPr>
      <w:r w:rsidRPr="006C5D80">
        <w:t xml:space="preserve">A partir de </w:t>
      </w:r>
      <w:r w:rsidRPr="00C37370">
        <w:t>2023</w:t>
      </w:r>
      <w:r w:rsidRPr="006C5D80">
        <w:t>, la Ley de Desarrollo de la Industria de los Medios de Comunicación (</w:t>
      </w:r>
      <w:r w:rsidRPr="00C37370">
        <w:t>2010</w:t>
      </w:r>
      <w:r w:rsidRPr="006C5D80">
        <w:t xml:space="preserve">) de Fiji fue derogada por el Parlamento mediante votación </w:t>
      </w:r>
      <w:r w:rsidRPr="006C5D80">
        <w:lastRenderedPageBreak/>
        <w:t xml:space="preserve">mayoritaria, dando así a los periodistas, incluidas las mujeres periodistas, la libertad de expresar o publicar información en los medios de comunicación libremente sin ningún tipo de opresión. Tras el cambio de Gobierno en diciembre de </w:t>
      </w:r>
      <w:r w:rsidRPr="00C37370">
        <w:t>2022</w:t>
      </w:r>
      <w:r w:rsidRPr="006C5D80">
        <w:t xml:space="preserve">, las organizaciones de derechos de la mujer y de la sociedad civil han podido protestar libre y pacíficamente, y un ejemplo reciente de ello fue la protesta pública contra el vertido de aguas residuales de Fukushima al océano Pacífico el </w:t>
      </w:r>
      <w:r w:rsidRPr="00C37370">
        <w:t>25</w:t>
      </w:r>
      <w:r w:rsidRPr="006C5D80">
        <w:t xml:space="preserve"> de agosto de </w:t>
      </w:r>
      <w:r w:rsidRPr="00C37370">
        <w:t>2023</w:t>
      </w:r>
      <w:r w:rsidRPr="006C5D80">
        <w:t>.</w:t>
      </w:r>
    </w:p>
    <w:p w14:paraId="3BBA4784" w14:textId="77777777" w:rsidR="00D727C4" w:rsidRPr="006C5D80" w:rsidRDefault="00D727C4" w:rsidP="00D727C4">
      <w:pPr>
        <w:pStyle w:val="SingleTxt"/>
        <w:spacing w:after="0" w:line="120" w:lineRule="exact"/>
        <w:rPr>
          <w:sz w:val="10"/>
        </w:rPr>
      </w:pPr>
    </w:p>
    <w:p w14:paraId="3028B57C" w14:textId="77777777" w:rsidR="00D727C4" w:rsidRPr="006C5D80" w:rsidRDefault="00D727C4" w:rsidP="00D727C4">
      <w:pPr>
        <w:pStyle w:val="SingleTxt"/>
        <w:spacing w:after="0" w:line="120" w:lineRule="exact"/>
        <w:rPr>
          <w:sz w:val="10"/>
        </w:rPr>
      </w:pPr>
    </w:p>
    <w:p w14:paraId="3B91341C"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Medidas especiales de carácter temporal</w:t>
      </w:r>
    </w:p>
    <w:p w14:paraId="51D9CAAF" w14:textId="77777777" w:rsidR="00D727C4" w:rsidRPr="006C5D80" w:rsidRDefault="00D727C4" w:rsidP="00D727C4">
      <w:pPr>
        <w:pStyle w:val="SingleTxt"/>
        <w:spacing w:after="0" w:line="120" w:lineRule="exact"/>
        <w:rPr>
          <w:sz w:val="10"/>
        </w:rPr>
      </w:pPr>
    </w:p>
    <w:p w14:paraId="0C757053" w14:textId="77777777" w:rsidR="00D727C4" w:rsidRPr="006C5D80" w:rsidRDefault="00D727C4" w:rsidP="00D727C4">
      <w:pPr>
        <w:pStyle w:val="SingleTxt"/>
        <w:spacing w:after="0" w:line="120" w:lineRule="exact"/>
        <w:rPr>
          <w:sz w:val="10"/>
        </w:rPr>
      </w:pPr>
    </w:p>
    <w:p w14:paraId="4C88E42C"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7 de la lista de cuestiones</w:t>
      </w:r>
      <w:bookmarkStart w:id="2" w:name="_Hlk187410967"/>
      <w:bookmarkEnd w:id="2"/>
    </w:p>
    <w:p w14:paraId="3C4F9C94" w14:textId="77777777" w:rsidR="00D727C4" w:rsidRPr="006C5D80" w:rsidRDefault="00D727C4" w:rsidP="00D727C4">
      <w:pPr>
        <w:pStyle w:val="SingleTxt"/>
        <w:spacing w:after="0" w:line="120" w:lineRule="exact"/>
        <w:rPr>
          <w:sz w:val="10"/>
        </w:rPr>
      </w:pPr>
    </w:p>
    <w:p w14:paraId="2D1F63CB" w14:textId="77777777" w:rsidR="00D727C4" w:rsidRPr="006C5D80" w:rsidRDefault="00D727C4" w:rsidP="00D727C4">
      <w:pPr>
        <w:pStyle w:val="SingleTxt"/>
        <w:spacing w:after="0" w:line="120" w:lineRule="exact"/>
        <w:rPr>
          <w:sz w:val="10"/>
        </w:rPr>
      </w:pPr>
    </w:p>
    <w:p w14:paraId="3AA64932" w14:textId="77777777" w:rsidR="00597C74" w:rsidRPr="006C5D80" w:rsidRDefault="00597C74" w:rsidP="00142BE0">
      <w:pPr>
        <w:pStyle w:val="SingleTxt"/>
        <w:numPr>
          <w:ilvl w:val="0"/>
          <w:numId w:val="20"/>
        </w:numPr>
        <w:ind w:left="1267"/>
      </w:pPr>
      <w:r w:rsidRPr="006C5D80">
        <w:t xml:space="preserve">La Ley de Relaciones Laborales de </w:t>
      </w:r>
      <w:r w:rsidRPr="00C37370">
        <w:t>2007</w:t>
      </w:r>
      <w:r w:rsidRPr="006C5D80">
        <w:t xml:space="preserve"> establece un marco legal en Fiji para promover el bienestar y la prosperidad de todas las personas. Su objetivo es establecer normas laborales mínimas justas, evitar la discriminación en el empleo, regular las relaciones laborales y proporcionar mecanismos de resolución de conflictos. El Ministerio de Desarrollo Rural y Marítimo y Gestión de Desastres administra el desarrollo en las zonas rurales y nombra a mujeres </w:t>
      </w:r>
      <w:proofErr w:type="gramStart"/>
      <w:r w:rsidRPr="006C5D80">
        <w:t>Consejeras</w:t>
      </w:r>
      <w:proofErr w:type="gramEnd"/>
      <w:r w:rsidRPr="006C5D80">
        <w:t xml:space="preserve"> de Distrito para garantizar que sus voces se tengan en cuenta en los procesos de toma de decisiones. El Ministerio de la Juventud y el Deporte, en colaboración con el UNICEF, ha elaborado una política nacional de juventud que aborda las desigualdades de género. Una de las medidas adoptadas es garantizar una representación de género del </w:t>
      </w:r>
      <w:r w:rsidRPr="00C37370">
        <w:t>50</w:t>
      </w:r>
      <w:r w:rsidRPr="006C5D80">
        <w:t xml:space="preserve"> % en los programas de formación, becas y otras oportunidades. La política también incluye servicios y educación sexual y de relaciones integrales, adaptados a los jóvenes y sensibles a las cuestiones de género.</w:t>
      </w:r>
    </w:p>
    <w:p w14:paraId="10D2B690" w14:textId="77777777" w:rsidR="00D727C4" w:rsidRPr="006C5D80" w:rsidRDefault="00D727C4" w:rsidP="00D727C4">
      <w:pPr>
        <w:pStyle w:val="SingleTxt"/>
        <w:spacing w:after="0" w:line="120" w:lineRule="exact"/>
        <w:rPr>
          <w:sz w:val="10"/>
        </w:rPr>
      </w:pPr>
    </w:p>
    <w:p w14:paraId="1BF513B2" w14:textId="77777777" w:rsidR="00D727C4" w:rsidRPr="006C5D80" w:rsidRDefault="00D727C4" w:rsidP="00D727C4">
      <w:pPr>
        <w:pStyle w:val="SingleTxt"/>
        <w:spacing w:after="0" w:line="120" w:lineRule="exact"/>
        <w:rPr>
          <w:sz w:val="10"/>
        </w:rPr>
      </w:pPr>
    </w:p>
    <w:p w14:paraId="1852DB82"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 xml:space="preserve">Estereotipos de género </w:t>
      </w:r>
    </w:p>
    <w:p w14:paraId="49A8E705" w14:textId="77777777" w:rsidR="00D727C4" w:rsidRPr="006C5D80" w:rsidRDefault="00D727C4" w:rsidP="00D727C4">
      <w:pPr>
        <w:pStyle w:val="SingleTxt"/>
        <w:spacing w:after="0" w:line="120" w:lineRule="exact"/>
        <w:rPr>
          <w:sz w:val="10"/>
        </w:rPr>
      </w:pPr>
    </w:p>
    <w:p w14:paraId="5368448D" w14:textId="77777777" w:rsidR="00D727C4" w:rsidRPr="006C5D80" w:rsidRDefault="00D727C4" w:rsidP="00D727C4">
      <w:pPr>
        <w:pStyle w:val="SingleTxt"/>
        <w:spacing w:after="0" w:line="120" w:lineRule="exact"/>
        <w:rPr>
          <w:sz w:val="10"/>
        </w:rPr>
      </w:pPr>
    </w:p>
    <w:p w14:paraId="3DBBC39F"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8 de la lista de cuestiones</w:t>
      </w:r>
    </w:p>
    <w:p w14:paraId="35E43BDA" w14:textId="77777777" w:rsidR="00D727C4" w:rsidRPr="006C5D80" w:rsidRDefault="00D727C4" w:rsidP="00D727C4">
      <w:pPr>
        <w:pStyle w:val="SingleTxt"/>
        <w:spacing w:after="0" w:line="120" w:lineRule="exact"/>
        <w:rPr>
          <w:sz w:val="10"/>
        </w:rPr>
      </w:pPr>
    </w:p>
    <w:p w14:paraId="11618B95" w14:textId="77777777" w:rsidR="00D727C4" w:rsidRPr="006C5D80" w:rsidRDefault="00D727C4" w:rsidP="00D727C4">
      <w:pPr>
        <w:pStyle w:val="SingleTxt"/>
        <w:spacing w:after="0" w:line="120" w:lineRule="exact"/>
        <w:rPr>
          <w:sz w:val="10"/>
        </w:rPr>
      </w:pPr>
    </w:p>
    <w:p w14:paraId="674C89D8" w14:textId="7B45BDCE" w:rsidR="00597C74" w:rsidRPr="006C5D80" w:rsidRDefault="00597C74" w:rsidP="00142BE0">
      <w:pPr>
        <w:pStyle w:val="SingleTxt"/>
        <w:numPr>
          <w:ilvl w:val="0"/>
          <w:numId w:val="21"/>
        </w:numPr>
        <w:ind w:left="1267"/>
      </w:pPr>
      <w:r w:rsidRPr="006C5D80">
        <w:t xml:space="preserve">En consonancia con la Constitución, Ministerio de la Administración Pública ha adoptado el Sistema Abierto de Contratación por Méritos en todos los organismos gubernamentales. Este proceso abierto y transparente ha dado a las mujeres la oportunidad de solicitar puestos en la función pública y ser contratadas enteramente en función de sus méritos. En el Ministerio de Justicia no hay trato preferente por razón de sexo. La contratación y selección se realizan mediante un proceso abierto de méritos. De los </w:t>
      </w:r>
      <w:r w:rsidRPr="00C37370">
        <w:t>60</w:t>
      </w:r>
      <w:r w:rsidRPr="006C5D80">
        <w:t xml:space="preserve"> puestos de supervisión actuales, </w:t>
      </w:r>
      <w:r w:rsidRPr="00C37370">
        <w:t>36</w:t>
      </w:r>
      <w:r w:rsidRPr="006C5D80">
        <w:t xml:space="preserve"> están ocupados por mujeres (</w:t>
      </w:r>
      <w:r w:rsidRPr="00C37370">
        <w:t>60</w:t>
      </w:r>
      <w:r w:rsidRPr="006C5D80">
        <w:t xml:space="preserve"> %).</w:t>
      </w:r>
      <w:r w:rsidR="00D727C4" w:rsidRPr="006C5D80">
        <w:t xml:space="preserve"> </w:t>
      </w:r>
      <w:r w:rsidRPr="006C5D80">
        <w:t>Los Servicios Penitenciarios de Fiji solían tener una política matrimonial (</w:t>
      </w:r>
      <w:r w:rsidRPr="00C37370">
        <w:t>2016</w:t>
      </w:r>
      <w:r w:rsidRPr="006C5D80">
        <w:t>) para despedir a las funcionarias que se quedaban embarazadas estando solteras, sin casar o en una relación con un funcionario varón de la organización.</w:t>
      </w:r>
      <w:r w:rsidR="00D727C4" w:rsidRPr="006C5D80">
        <w:t xml:space="preserve"> </w:t>
      </w:r>
      <w:r w:rsidRPr="006C5D80">
        <w:t xml:space="preserve">La política quedó derogada a partir de enero de </w:t>
      </w:r>
      <w:r w:rsidRPr="00C37370">
        <w:t>2023</w:t>
      </w:r>
      <w:r w:rsidRPr="006C5D80">
        <w:t xml:space="preserve"> y las funcionarias que fueron despedidos injustamente en virtud de esta fueron readmitidas desde entonces. Al abordar los estereotipos de género, el Mecanismo Nacional para las Mujeres, a través de la Política Nacional de Género, que tiene previsto revisar en </w:t>
      </w:r>
      <w:r w:rsidRPr="00C37370">
        <w:t>2023</w:t>
      </w:r>
      <w:r w:rsidRPr="006C5D80">
        <w:t xml:space="preserve">, sigue apoyando la Iniciativa para el Desarrollo de la Capacidad Institucional Transformadora en materia de Género. Como ya se ha mencionado, la Iniciativa es el motor del cambio en la política institucional y aborda los estereotipos de género en todos los ministerios del Gobierno. En primer lugar, se aborda el supuesto de que la responsabilidad de aplicar las políticas y los programas de empoderamiento de las mujeres recae únicamente en el Mecanismo Nacional para las Mujeres. Entre </w:t>
      </w:r>
      <w:r w:rsidRPr="00C37370">
        <w:t>2019</w:t>
      </w:r>
      <w:r w:rsidRPr="006C5D80">
        <w:t xml:space="preserve"> y </w:t>
      </w:r>
      <w:r w:rsidRPr="00C37370">
        <w:t>2021</w:t>
      </w:r>
      <w:r w:rsidRPr="006C5D80">
        <w:t xml:space="preserve">, Graduate Women Fiji, en colaboración con el Gobierno y otros asociados, llevó a cabo un campamento de ciencia, tecnología, ingeniería y matemáticas para animar a las niñas de entre </w:t>
      </w:r>
      <w:r w:rsidRPr="00C37370">
        <w:t>6</w:t>
      </w:r>
      <w:r w:rsidRPr="006C5D80">
        <w:t xml:space="preserve"> y </w:t>
      </w:r>
      <w:r w:rsidRPr="00C37370">
        <w:t>13</w:t>
      </w:r>
      <w:r w:rsidRPr="006C5D80">
        <w:t xml:space="preserve"> años de zonas desfavorecidas, como los asentamientos urbanos informales, a seguir materias de este tipo en su educación y en sus futuras carreras. </w:t>
      </w:r>
      <w:r w:rsidRPr="006C5D80">
        <w:lastRenderedPageBreak/>
        <w:t xml:space="preserve">En el transcurso del programa participaron unas </w:t>
      </w:r>
      <w:r w:rsidRPr="00C37370">
        <w:t>100</w:t>
      </w:r>
      <w:r w:rsidRPr="006C5D80">
        <w:t xml:space="preserve"> niñas, que trabajaron con mujeres profesionales en el campo de la ciencia, tecnología, ingeniería y matemáticas, contratadas como profesoras y modelos de conducta que proporcionaron un entorno seguro y de apoyo a las alumnas. El Ministerio de Asuntos iTaukeis lleva a cabo una labor a escala comunitaria que incluye el Programa de Cartografía Cultural, dependiente de la Unidad Especial de Revitalización, que detecta potenciales entre las mujeres de las </w:t>
      </w:r>
      <w:r w:rsidRPr="00C37370">
        <w:t>14</w:t>
      </w:r>
      <w:r w:rsidRPr="006C5D80">
        <w:t xml:space="preserve"> provincias, distritos y aldeas, con el fin de revitalizar y conservar tradiciones y artesanías culturales conocidas solo por un </w:t>
      </w:r>
      <w:r w:rsidR="00D727C4" w:rsidRPr="006C5D80">
        <w:t>“</w:t>
      </w:r>
      <w:r w:rsidRPr="006C5D80">
        <w:t>tokatoka</w:t>
      </w:r>
      <w:r w:rsidR="00D727C4" w:rsidRPr="006C5D80">
        <w:t>”</w:t>
      </w:r>
      <w:r w:rsidRPr="006C5D80">
        <w:t xml:space="preserve"> en particular. </w:t>
      </w:r>
      <w:r w:rsidR="00D727C4" w:rsidRPr="006C5D80">
        <w:t>“</w:t>
      </w:r>
      <w:r w:rsidRPr="006C5D80">
        <w:t>Ketekete ni Marama</w:t>
      </w:r>
      <w:r w:rsidR="00D727C4" w:rsidRPr="006C5D80">
        <w:t>”</w:t>
      </w:r>
      <w:r w:rsidRPr="006C5D80">
        <w:t xml:space="preserve"> es un programa diseñado para concienciar sobre el papel de la mujer en la sociedad, sobre los principios de los valores iTaukeis y los enfoques acordados a las mujeres en el entorno tradicional. Con el Ministerio de Tierras y Recursos Minerales, se han planificado conmemoraciones del Día Internacional de la Mujer en apoyo de una reflexión positiva sobre todo lo relacionado con las mujeres para el año operativo en curso. Crear y promover la concienciación general entre hombres y mujeres en el trabajo sobre el valor intrínseco del papel de las mujeres en la sociedad y dentro de la organización, sensibilizando y generando conversaciones en torno al papel de las mujeres y a sus problemas en un lugar de trabajo predominantemente masculino. Lo que empezó como una actividad social que suele ser una ocurrencia tardía es ahora un evento anual de obligada realización para la organización en apoyo de la mujer y de la representación del papel femenino, formalmente reflejado en el Plan de Empresa y en el Planificador Trimestral del Ministerio. Desde </w:t>
      </w:r>
      <w:r w:rsidRPr="00C37370">
        <w:t>2018</w:t>
      </w:r>
      <w:r w:rsidRPr="006C5D80">
        <w:t xml:space="preserve">, Oceania Rugby ha trabajado con éxito con más de </w:t>
      </w:r>
      <w:r w:rsidRPr="00C37370">
        <w:t>2</w:t>
      </w:r>
      <w:r w:rsidRPr="006C5D80">
        <w:t>.</w:t>
      </w:r>
      <w:r w:rsidRPr="00C37370">
        <w:t>000</w:t>
      </w:r>
      <w:r w:rsidRPr="006C5D80">
        <w:t xml:space="preserve"> estudiantes que juegan al rugby, de los cuales más de la mitad son chicas con entrenadoras. Se trata de cambiar actitudes, normas sociales e iniciativas para acabar con la violencia contra las mujeres y niñas, en colaboración con Medical Services Pacific, que administra la Línea de Ayuda a la Infancia y la Salud Reproductiva y Familiar de Fiji. Se dirige principalmente a niñas de </w:t>
      </w:r>
      <w:r w:rsidRPr="00C37370">
        <w:t>12</w:t>
      </w:r>
      <w:r w:rsidRPr="006C5D80">
        <w:t xml:space="preserve"> a </w:t>
      </w:r>
      <w:r w:rsidRPr="00C37370">
        <w:t>14</w:t>
      </w:r>
      <w:r w:rsidRPr="006C5D80">
        <w:t xml:space="preserve"> años con el fin de ayudarlas a comprender sus derechos y adquirir las habilidades necesarias para adoptar decisiones independientes sobre su cuerpo, al tiempo que se trabaja con los padres de las niñas para que apoyen la decisión de sus hijas.</w:t>
      </w:r>
    </w:p>
    <w:p w14:paraId="047C27B7" w14:textId="77777777" w:rsidR="00D727C4" w:rsidRPr="006C5D80" w:rsidRDefault="00D727C4" w:rsidP="00D727C4">
      <w:pPr>
        <w:pStyle w:val="SingleTxt"/>
        <w:spacing w:after="0" w:line="120" w:lineRule="exact"/>
        <w:rPr>
          <w:sz w:val="10"/>
        </w:rPr>
      </w:pPr>
    </w:p>
    <w:p w14:paraId="3528A4BA" w14:textId="77777777" w:rsidR="00D727C4" w:rsidRPr="006C5D80" w:rsidRDefault="00D727C4" w:rsidP="00D727C4">
      <w:pPr>
        <w:pStyle w:val="SingleTxt"/>
        <w:spacing w:after="0" w:line="120" w:lineRule="exact"/>
        <w:rPr>
          <w:sz w:val="10"/>
        </w:rPr>
      </w:pPr>
    </w:p>
    <w:p w14:paraId="7E511090" w14:textId="06C343F8"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Violencia de género contra la mujer</w:t>
      </w:r>
    </w:p>
    <w:p w14:paraId="56256A1C" w14:textId="77777777" w:rsidR="00D727C4" w:rsidRPr="006C5D80" w:rsidRDefault="00D727C4" w:rsidP="00D727C4">
      <w:pPr>
        <w:pStyle w:val="SingleTxt"/>
        <w:spacing w:after="0" w:line="120" w:lineRule="exact"/>
        <w:rPr>
          <w:sz w:val="10"/>
        </w:rPr>
      </w:pPr>
    </w:p>
    <w:p w14:paraId="513E5409" w14:textId="77777777" w:rsidR="00D727C4" w:rsidRPr="006C5D80" w:rsidRDefault="00D727C4" w:rsidP="00D727C4">
      <w:pPr>
        <w:pStyle w:val="SingleTxt"/>
        <w:spacing w:after="0" w:line="120" w:lineRule="exact"/>
        <w:rPr>
          <w:sz w:val="10"/>
        </w:rPr>
      </w:pPr>
    </w:p>
    <w:p w14:paraId="06F55023"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a) de la lista de cuestiones</w:t>
      </w:r>
      <w:bookmarkStart w:id="3" w:name="_Hlk187411194"/>
      <w:bookmarkEnd w:id="3"/>
    </w:p>
    <w:p w14:paraId="68010F95" w14:textId="77777777" w:rsidR="00D727C4" w:rsidRPr="006C5D80" w:rsidRDefault="00D727C4" w:rsidP="00D727C4">
      <w:pPr>
        <w:pStyle w:val="SingleTxt"/>
        <w:spacing w:after="0" w:line="120" w:lineRule="exact"/>
        <w:rPr>
          <w:sz w:val="10"/>
        </w:rPr>
      </w:pPr>
    </w:p>
    <w:p w14:paraId="5765D884" w14:textId="77777777" w:rsidR="00D727C4" w:rsidRPr="006C5D80" w:rsidRDefault="00D727C4" w:rsidP="00D727C4">
      <w:pPr>
        <w:pStyle w:val="SingleTxt"/>
        <w:spacing w:after="0" w:line="120" w:lineRule="exact"/>
        <w:rPr>
          <w:sz w:val="10"/>
        </w:rPr>
      </w:pPr>
    </w:p>
    <w:p w14:paraId="0C1010E1" w14:textId="77777777" w:rsidR="00597C74" w:rsidRPr="006C5D80" w:rsidRDefault="00597C74" w:rsidP="00142BE0">
      <w:pPr>
        <w:pStyle w:val="SingleTxt"/>
        <w:numPr>
          <w:ilvl w:val="0"/>
          <w:numId w:val="22"/>
        </w:numPr>
        <w:ind w:left="1267"/>
      </w:pPr>
      <w:r w:rsidRPr="006C5D80">
        <w:t xml:space="preserve">El Ministerio de la Mujer, la Infancia y la Protección Social ha liderado la elaboración del Plan de Acción Nacional de Fiji para Prevenir la Violencia contra Todas las Mujeres y las Niñas. El plan se elaboró en colaboración con una secretaría compuesta por el Ministerio de la Mujer, la Infancia y la Protección Social, Fiji Women's Crisis Centre, ONU-Mujeres y un grupo de trabajo técnico de ministerios gubernamentales y organizaciones de la sociedad civil aprobado por el gabinete. El papel de la Secretaría consiste en supervisar estratégica y técnicamente el desarrollo y la aplicación del Plan. Desde su creación en </w:t>
      </w:r>
      <w:r w:rsidRPr="00C37370">
        <w:t>2019</w:t>
      </w:r>
      <w:r w:rsidRPr="006C5D80">
        <w:t xml:space="preserve">, el Gobierno ha llevado a cabo un amplio proceso de consulta nacional para garantizar que se escuchen las diversas voces y perspectivas. Este proceso de consulta se diseñó para implicar al mayor número posible de fiyianos en </w:t>
      </w:r>
      <w:r w:rsidRPr="00C37370">
        <w:t>13</w:t>
      </w:r>
      <w:r w:rsidRPr="006C5D80">
        <w:t xml:space="preserve"> ámbitos clave, como la educación, la salud y los servicios sociales, los lugares de trabajo y los espacios públicos, entre otros. El objetivo del proceso de consulta era señalar las prioridades clave para la prevención de la violencia contra las mujeres y las niñas, aumentar la concienciación sobre los problemas de la violencia contra las mujeres y las niñas y el Plan, y promover el diálogo sobre el tema. El Plan quinquenal se puso oficialmente en marcha en junio de </w:t>
      </w:r>
      <w:r w:rsidRPr="00C37370">
        <w:t>2023</w:t>
      </w:r>
      <w:r w:rsidRPr="006C5D80">
        <w:t>, lo que significó un avance significativo hacia la prevención de la violencia contra las mujeres y las niñas en Fiji.</w:t>
      </w:r>
    </w:p>
    <w:p w14:paraId="5F644A20"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9 b) de la lista de cuestiones</w:t>
      </w:r>
    </w:p>
    <w:p w14:paraId="1759C116" w14:textId="77777777" w:rsidR="00D727C4" w:rsidRPr="006C5D80" w:rsidRDefault="00D727C4" w:rsidP="00D727C4">
      <w:pPr>
        <w:pStyle w:val="SingleTxt"/>
        <w:spacing w:after="0" w:line="120" w:lineRule="exact"/>
        <w:rPr>
          <w:sz w:val="10"/>
        </w:rPr>
      </w:pPr>
    </w:p>
    <w:p w14:paraId="69C921BA" w14:textId="77777777" w:rsidR="00D727C4" w:rsidRPr="006C5D80" w:rsidRDefault="00D727C4" w:rsidP="00D727C4">
      <w:pPr>
        <w:pStyle w:val="SingleTxt"/>
        <w:spacing w:after="0" w:line="120" w:lineRule="exact"/>
        <w:rPr>
          <w:sz w:val="10"/>
        </w:rPr>
      </w:pPr>
    </w:p>
    <w:p w14:paraId="257C84EB" w14:textId="442F52BA" w:rsidR="00597C74" w:rsidRPr="006C5D80" w:rsidRDefault="00597C74" w:rsidP="00142BE0">
      <w:pPr>
        <w:pStyle w:val="SingleTxt"/>
        <w:numPr>
          <w:ilvl w:val="0"/>
          <w:numId w:val="23"/>
        </w:numPr>
        <w:ind w:left="1267"/>
      </w:pPr>
      <w:r w:rsidRPr="006C5D80">
        <w:t xml:space="preserve">Fiji participa activamente en diversas iniciativas y campañas para abordar la violencia de género como violación de los derechos humanos. Varios organismos clave cuentan con programas relacionados con la violencia de género, como el Ministerio de Salud y Servicios Médicos, que publicó las Directrices Nacionales de Violencia de Género para la Salud en </w:t>
      </w:r>
      <w:r w:rsidRPr="00C37370">
        <w:t>2023</w:t>
      </w:r>
      <w:r w:rsidRPr="006C5D80">
        <w:t xml:space="preserve">; llevó a cabo una formación regional de formadores seguida de una formación nacional de formadores en Fiji; facilitó la implantación nacional de directrices sobre la violencia de género ese mismo año; ofrece atención médica especializada, tratamiento y derivación a las víctimas de violencia de género; proporciona gestión clínica, incluidas investigaciones forenses, en un entorno privado y confidencial; garantiza la presencia de personal sanitario del sexo opuesto para los clientes menores de </w:t>
      </w:r>
      <w:r w:rsidRPr="00C37370">
        <w:t>18</w:t>
      </w:r>
      <w:r w:rsidRPr="006C5D80">
        <w:t xml:space="preserve"> años. Esto también permite a los clientes mayores de </w:t>
      </w:r>
      <w:r w:rsidRPr="00C37370">
        <w:t>18</w:t>
      </w:r>
      <w:r w:rsidRPr="006C5D80">
        <w:t xml:space="preserve"> años dar su consentimiento para la presencia de personal sanitario adicional; requiere la presencia de una persona adulta </w:t>
      </w:r>
      <w:r w:rsidR="00D727C4" w:rsidRPr="006C5D80">
        <w:t>“</w:t>
      </w:r>
      <w:r w:rsidRPr="006C5D80">
        <w:t>neutral</w:t>
      </w:r>
      <w:r w:rsidR="00D727C4" w:rsidRPr="006C5D80">
        <w:t>”</w:t>
      </w:r>
      <w:r w:rsidRPr="006C5D80">
        <w:t xml:space="preserve"> de sexo femenino, una funcionaria de asistencia social o una mujer policía cuando un médico o un enfermero se encuentren solos; recoge material forense y lo entrega a los agentes de policía encargados de la investigación; y registra todas las investigaciones y resultados en carpetas y registros de pacientes. La Fuerza de Policía de Fiji ejecuta</w:t>
      </w:r>
      <w:r w:rsidR="00D727C4" w:rsidRPr="006C5D80">
        <w:t xml:space="preserve"> </w:t>
      </w:r>
      <w:r w:rsidRPr="006C5D80">
        <w:t xml:space="preserve">el programa de iniciativa de concienciación policial comunitaria </w:t>
      </w:r>
      <w:r w:rsidR="00D727C4" w:rsidRPr="006C5D80">
        <w:t>“</w:t>
      </w:r>
      <w:r w:rsidRPr="006C5D80">
        <w:t>Duavata</w:t>
      </w:r>
      <w:r w:rsidR="00D727C4" w:rsidRPr="006C5D80">
        <w:t>”</w:t>
      </w:r>
      <w:r w:rsidRPr="006C5D80">
        <w:t xml:space="preserve">, por el que organiza simposios comunitarios, charlas radiofónicas y Crime Stoppers para concienciar sobre la violencia de género; pone en marcha iniciativas como </w:t>
      </w:r>
      <w:r w:rsidR="00D727C4" w:rsidRPr="006C5D80">
        <w:t>“</w:t>
      </w:r>
      <w:r w:rsidRPr="006C5D80">
        <w:t>Zona de vigilancia vecinal</w:t>
      </w:r>
      <w:r w:rsidR="00D727C4" w:rsidRPr="006C5D80">
        <w:t>”</w:t>
      </w:r>
      <w:r w:rsidRPr="006C5D80">
        <w:t xml:space="preserve">, </w:t>
      </w:r>
      <w:r w:rsidR="00D727C4" w:rsidRPr="006C5D80">
        <w:t>“</w:t>
      </w:r>
      <w:r w:rsidRPr="006C5D80">
        <w:t>Programa Luz Azul</w:t>
      </w:r>
      <w:r w:rsidR="00D727C4" w:rsidRPr="006C5D80">
        <w:t>”</w:t>
      </w:r>
      <w:r w:rsidRPr="006C5D80">
        <w:t xml:space="preserve"> y </w:t>
      </w:r>
      <w:r w:rsidR="00D727C4" w:rsidRPr="006C5D80">
        <w:t>“</w:t>
      </w:r>
      <w:r w:rsidRPr="006C5D80">
        <w:t>Vigilancia policial a través del deporte</w:t>
      </w:r>
      <w:r w:rsidR="00D727C4" w:rsidRPr="006C5D80">
        <w:t>”</w:t>
      </w:r>
      <w:r w:rsidRPr="006C5D80">
        <w:t xml:space="preserve"> para luchar contra la violencia de género y los delitos sexuales; y lleva a cabo programas de capacitación y sensibilización sobre la violencia de género.</w:t>
      </w:r>
    </w:p>
    <w:p w14:paraId="5B695B3A" w14:textId="77777777" w:rsidR="00D727C4" w:rsidRPr="006C5D80" w:rsidRDefault="00D727C4" w:rsidP="00D727C4">
      <w:pPr>
        <w:pStyle w:val="SingleTxt"/>
        <w:spacing w:after="0" w:line="120" w:lineRule="exact"/>
        <w:rPr>
          <w:sz w:val="10"/>
        </w:rPr>
      </w:pPr>
    </w:p>
    <w:p w14:paraId="17AE2E16" w14:textId="77777777" w:rsidR="00D727C4" w:rsidRPr="006C5D80" w:rsidRDefault="00D727C4" w:rsidP="00D727C4">
      <w:pPr>
        <w:pStyle w:val="SingleTxt"/>
        <w:spacing w:after="0" w:line="120" w:lineRule="exact"/>
        <w:rPr>
          <w:sz w:val="10"/>
        </w:rPr>
      </w:pPr>
    </w:p>
    <w:p w14:paraId="3503F64D"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c) de la lista de cuestiones</w:t>
      </w:r>
    </w:p>
    <w:p w14:paraId="390253BD" w14:textId="77777777" w:rsidR="00D727C4" w:rsidRPr="006C5D80" w:rsidRDefault="00D727C4" w:rsidP="00D727C4">
      <w:pPr>
        <w:pStyle w:val="SingleTxt"/>
        <w:spacing w:after="0" w:line="120" w:lineRule="exact"/>
        <w:rPr>
          <w:sz w:val="10"/>
        </w:rPr>
      </w:pPr>
    </w:p>
    <w:p w14:paraId="79A66A79" w14:textId="77777777" w:rsidR="00D727C4" w:rsidRPr="006C5D80" w:rsidRDefault="00D727C4" w:rsidP="00D727C4">
      <w:pPr>
        <w:pStyle w:val="SingleTxt"/>
        <w:spacing w:after="0" w:line="120" w:lineRule="exact"/>
        <w:rPr>
          <w:sz w:val="10"/>
        </w:rPr>
      </w:pPr>
    </w:p>
    <w:p w14:paraId="740CB406" w14:textId="0FD39270" w:rsidR="00597C74" w:rsidRPr="006C5D80" w:rsidRDefault="00597C74" w:rsidP="00142BE0">
      <w:pPr>
        <w:pStyle w:val="SingleTxt"/>
        <w:numPr>
          <w:ilvl w:val="0"/>
          <w:numId w:val="24"/>
        </w:numPr>
        <w:ind w:left="1267"/>
      </w:pPr>
      <w:r w:rsidRPr="006C5D80">
        <w:t xml:space="preserve">El Ministerio de la Mujer, la Infancia y la Protección Social utiliza estrategias de concienciación, como tarjetas electrónicas en los medios sociales y vías de derivación de casos de violencia de género, y proporciona información a los proveedores de servicios y notas orientativas para responder a los casos de violencia de género. También puso en marcha iniciativas como </w:t>
      </w:r>
      <w:r w:rsidR="00D727C4" w:rsidRPr="006C5D80">
        <w:t>“</w:t>
      </w:r>
      <w:r w:rsidRPr="006C5D80">
        <w:t>Los niños son un regalo precioso</w:t>
      </w:r>
      <w:r w:rsidR="00D727C4" w:rsidRPr="006C5D80">
        <w:t>”</w:t>
      </w:r>
      <w:r w:rsidRPr="006C5D80">
        <w:t xml:space="preserve">, y estableció un teléfono de asistencia a la infancia (número telefónico gratuito </w:t>
      </w:r>
      <w:r w:rsidRPr="00C37370">
        <w:t>1325</w:t>
      </w:r>
      <w:r w:rsidRPr="006C5D80">
        <w:t xml:space="preserve">) para emergencias en el hogar; asimismo, colabora con las organizaciones de la sociedad civil y los centros de acogida para enfrentar los casos de violencia de género y responder a ellos; y ha creado un teléfono de asistencia contra la violencia doméstica (número telefónico gratuito </w:t>
      </w:r>
      <w:r w:rsidRPr="00C37370">
        <w:t>1560</w:t>
      </w:r>
      <w:r w:rsidRPr="006C5D80">
        <w:t xml:space="preserve">) que gestiona el Fiji Women’s Crisis Centre. El Ministerio de Asuntos iTaukeis lleva a cabo programas de concienciación dirigidos a las comunidades iTaukeis a través de diversas iniciativas. Entre los programas figuran el programa </w:t>
      </w:r>
      <w:r w:rsidR="00D727C4" w:rsidRPr="006C5D80">
        <w:t>“</w:t>
      </w:r>
      <w:r w:rsidRPr="006C5D80">
        <w:t>Sauvaki ni Vanua</w:t>
      </w:r>
      <w:r w:rsidR="00D727C4" w:rsidRPr="006C5D80">
        <w:t>”</w:t>
      </w:r>
      <w:r w:rsidRPr="006C5D80">
        <w:t xml:space="preserve">, el programa de cartografía cultural, el programa de concienciación cultural, el programa de liderazgo y exposiciones para mujeres a través del Consejo de las Artes de Fiji. El Ministerio de Educación tiene una Política de Protección de la Infancia y asesores para abordar los problemas de protección de la infancia, y recientemente ha reintroducido el asesoramiento pastoral en las escuelas. El Departamento Judicial engloba los tribunales de primera instancia, la División de Familia del Tribunal Superior, el Tribunal de Menores y el Tribunal Superior con jurisdicción sobre casos de violencia de género; trabaja en apoyo mutuo para todos los delitos de violencia de género en virtud de la Ley de Violencia Doméstica de </w:t>
      </w:r>
      <w:r w:rsidRPr="00C37370">
        <w:t>2009</w:t>
      </w:r>
      <w:r w:rsidRPr="006C5D80">
        <w:t xml:space="preserve">; ofrece asesoramiento jurídico a las víctimas; y aplica los principios clave de la legislación sobre violencia doméstica y colabora estrechamente con la Comisión de Asistencia Jurídica. Estas iniciativas, llevadas a cabo por diversos organismos gubernamentales, apuntan a sensibilizar, proporcionar apoyo y garantizar el bienestar de las víctimas de la violencia de género, </w:t>
      </w:r>
      <w:r w:rsidRPr="006C5D80">
        <w:lastRenderedPageBreak/>
        <w:t>al tiempo que enfrentan esta cuestión crítica como una violación de los derechos humanos en Fiji.</w:t>
      </w:r>
    </w:p>
    <w:p w14:paraId="6688635B" w14:textId="77777777" w:rsidR="00D727C4" w:rsidRPr="006C5D80" w:rsidRDefault="00D727C4" w:rsidP="00D727C4">
      <w:pPr>
        <w:pStyle w:val="SingleTxt"/>
        <w:spacing w:after="0" w:line="120" w:lineRule="exact"/>
        <w:rPr>
          <w:sz w:val="10"/>
        </w:rPr>
      </w:pPr>
    </w:p>
    <w:p w14:paraId="720F8877" w14:textId="77777777" w:rsidR="00D727C4" w:rsidRPr="006C5D80" w:rsidRDefault="00D727C4" w:rsidP="00D727C4">
      <w:pPr>
        <w:pStyle w:val="SingleTxt"/>
        <w:spacing w:after="0" w:line="120" w:lineRule="exact"/>
        <w:rPr>
          <w:sz w:val="10"/>
        </w:rPr>
      </w:pPr>
    </w:p>
    <w:p w14:paraId="26633208"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d) de la lista de cuestiones</w:t>
      </w:r>
      <w:bookmarkStart w:id="4" w:name="_Hlk187411372"/>
      <w:bookmarkEnd w:id="4"/>
    </w:p>
    <w:p w14:paraId="6CEA7EE6" w14:textId="77777777" w:rsidR="00D727C4" w:rsidRPr="006C5D80" w:rsidRDefault="00D727C4" w:rsidP="00D727C4">
      <w:pPr>
        <w:pStyle w:val="SingleTxt"/>
        <w:spacing w:after="0" w:line="120" w:lineRule="exact"/>
        <w:rPr>
          <w:sz w:val="10"/>
        </w:rPr>
      </w:pPr>
    </w:p>
    <w:p w14:paraId="2BF01054" w14:textId="77777777" w:rsidR="00D727C4" w:rsidRPr="006C5D80" w:rsidRDefault="00D727C4" w:rsidP="00D727C4">
      <w:pPr>
        <w:pStyle w:val="SingleTxt"/>
        <w:spacing w:after="0" w:line="120" w:lineRule="exact"/>
        <w:rPr>
          <w:sz w:val="10"/>
        </w:rPr>
      </w:pPr>
    </w:p>
    <w:p w14:paraId="46832D74" w14:textId="6E249A6C" w:rsidR="00597C74" w:rsidRPr="006C5D80" w:rsidRDefault="00597C74" w:rsidP="00142BE0">
      <w:pPr>
        <w:pStyle w:val="SingleTxt"/>
        <w:numPr>
          <w:ilvl w:val="0"/>
          <w:numId w:val="25"/>
        </w:numPr>
        <w:ind w:left="1267"/>
      </w:pPr>
      <w:r w:rsidRPr="006C5D80">
        <w:t xml:space="preserve">A través de su iniciativa </w:t>
      </w:r>
      <w:r w:rsidR="00D727C4" w:rsidRPr="006C5D80">
        <w:t>“</w:t>
      </w:r>
      <w:r w:rsidRPr="00C37370">
        <w:t>16</w:t>
      </w:r>
      <w:r w:rsidRPr="006C5D80">
        <w:t xml:space="preserve"> Días de Activismo</w:t>
      </w:r>
      <w:r w:rsidR="00D727C4" w:rsidRPr="006C5D80">
        <w:t>”</w:t>
      </w:r>
      <w:r w:rsidRPr="006C5D80">
        <w:t xml:space="preserve">, el Ministerio de la Mujer, la Infancia y la Protección Social colabora con la Haus of Khameleon y la Rainbow Pride Foundation, organización que centra su labor en la protección y los derechos de las mujeres transexuales en Fiji, para aumentar la sensibilización y ofrecer creación de capacidad. Además, actualmente el Ministerio de la Juventud y el Deporte está ejecutando un programa de salud y derechos sexuales y reproductivos en colaboración con el UNFPA para proporcionar formación y concienciación a niñas y mujeres sobre derechos, relaciones y responsabilidades, el cuerpo, la pubertad y reproducción, habilidades de comunicación y toma de decisiones, la seguridad y un futuro saludable. Las mujeres transgénero están protegidas por el artículo </w:t>
      </w:r>
      <w:r w:rsidRPr="00C37370">
        <w:t>26</w:t>
      </w:r>
      <w:r w:rsidRPr="006C5D80">
        <w:t xml:space="preserve"> </w:t>
      </w:r>
      <w:r w:rsidRPr="00C37370">
        <w:t>3</w:t>
      </w:r>
      <w:r w:rsidRPr="006C5D80">
        <w:t xml:space="preserve"> a), de la Constitución de Fiji, de </w:t>
      </w:r>
      <w:r w:rsidRPr="00C37370">
        <w:t>2013</w:t>
      </w:r>
      <w:r w:rsidRPr="006C5D80">
        <w:t xml:space="preserve">. El artículo </w:t>
      </w:r>
      <w:r w:rsidRPr="00C37370">
        <w:t>13</w:t>
      </w:r>
      <w:r w:rsidRPr="006C5D80">
        <w:t xml:space="preserve"> de la Ley del Matrimonio de </w:t>
      </w:r>
      <w:r w:rsidRPr="00C37370">
        <w:t>1968</w:t>
      </w:r>
      <w:r w:rsidRPr="006C5D80">
        <w:t xml:space="preserve"> establece que </w:t>
      </w:r>
      <w:r w:rsidR="00D727C4" w:rsidRPr="006C5D80">
        <w:t>“</w:t>
      </w:r>
      <w:r w:rsidRPr="006C5D80">
        <w:t>el matrimonio en Fiji será la unión voluntaria de un hombre con una mujer con exclusión de cualquier otra persona</w:t>
      </w:r>
      <w:r w:rsidR="00D727C4" w:rsidRPr="006C5D80">
        <w:t>”</w:t>
      </w:r>
      <w:r w:rsidRPr="006C5D80">
        <w:t>.</w:t>
      </w:r>
    </w:p>
    <w:p w14:paraId="2C4C639C" w14:textId="77777777" w:rsidR="00D727C4" w:rsidRPr="006C5D80" w:rsidRDefault="00D727C4" w:rsidP="00D727C4">
      <w:pPr>
        <w:pStyle w:val="SingleTxt"/>
        <w:spacing w:after="0" w:line="120" w:lineRule="exact"/>
        <w:rPr>
          <w:sz w:val="10"/>
        </w:rPr>
      </w:pPr>
    </w:p>
    <w:p w14:paraId="61DC616D" w14:textId="77777777" w:rsidR="00D727C4" w:rsidRPr="006C5D80" w:rsidRDefault="00D727C4" w:rsidP="00D727C4">
      <w:pPr>
        <w:pStyle w:val="SingleTxt"/>
        <w:spacing w:after="0" w:line="120" w:lineRule="exact"/>
        <w:rPr>
          <w:sz w:val="10"/>
        </w:rPr>
      </w:pPr>
    </w:p>
    <w:p w14:paraId="31739F19" w14:textId="77777777" w:rsidR="00597C74" w:rsidRPr="00C37370" w:rsidRDefault="00597C74" w:rsidP="00D727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e) de la lista de cuestiones</w:t>
      </w:r>
    </w:p>
    <w:p w14:paraId="641F3080" w14:textId="77777777" w:rsidR="00D727C4" w:rsidRPr="006C5D80" w:rsidRDefault="00D727C4" w:rsidP="00D727C4">
      <w:pPr>
        <w:pStyle w:val="SingleTxt"/>
        <w:spacing w:after="0" w:line="120" w:lineRule="exact"/>
        <w:rPr>
          <w:sz w:val="10"/>
        </w:rPr>
      </w:pPr>
    </w:p>
    <w:p w14:paraId="2A1010D2" w14:textId="77777777" w:rsidR="00D727C4" w:rsidRPr="006C5D80" w:rsidRDefault="00D727C4" w:rsidP="00D727C4">
      <w:pPr>
        <w:pStyle w:val="SingleTxt"/>
        <w:spacing w:after="0" w:line="120" w:lineRule="exact"/>
        <w:rPr>
          <w:sz w:val="10"/>
        </w:rPr>
      </w:pPr>
    </w:p>
    <w:p w14:paraId="3BAB4166" w14:textId="0763E525" w:rsidR="00597C74" w:rsidRPr="006C5D80" w:rsidRDefault="00597C74" w:rsidP="00142BE0">
      <w:pPr>
        <w:pStyle w:val="SingleTxt"/>
        <w:numPr>
          <w:ilvl w:val="0"/>
          <w:numId w:val="26"/>
        </w:numPr>
        <w:ind w:left="1267"/>
      </w:pPr>
      <w:r w:rsidRPr="006C5D80">
        <w:t xml:space="preserve">La Ley de Violencia Doméstica de Fiji de </w:t>
      </w:r>
      <w:r w:rsidRPr="00C37370">
        <w:t>2009</w:t>
      </w:r>
      <w:r w:rsidRPr="006C5D80">
        <w:t xml:space="preserve"> contiene disposiciones que describen las medidas de protección para las víctimas de la violencia doméstica. La Fuerza de Policía de Fiji lleva a cabo actividades de sensibilización en iglesias y otros ámbitos sociales para hacer frente a la violencia doméstica. Asimismo, Ministerio de la Mujer, la Infancia y la Protección Social apoya a las organizaciones de la sociedad civil dedicando </w:t>
      </w:r>
      <w:r w:rsidRPr="00C37370">
        <w:t>16</w:t>
      </w:r>
      <w:r w:rsidRPr="006C5D80">
        <w:t xml:space="preserve"> días de activismo contra la violencia de género y mediante las campañas </w:t>
      </w:r>
      <w:r w:rsidR="00D727C4" w:rsidRPr="006C5D80">
        <w:t>“</w:t>
      </w:r>
      <w:proofErr w:type="gramStart"/>
      <w:r w:rsidRPr="006C5D80">
        <w:t>Jueves</w:t>
      </w:r>
      <w:proofErr w:type="gramEnd"/>
      <w:r w:rsidRPr="006C5D80">
        <w:t xml:space="preserve"> de negro</w:t>
      </w:r>
      <w:r w:rsidR="00D727C4" w:rsidRPr="006C5D80">
        <w:t>”</w:t>
      </w:r>
      <w:r w:rsidRPr="006C5D80">
        <w:t>.</w:t>
      </w:r>
    </w:p>
    <w:p w14:paraId="766EC50D" w14:textId="77777777" w:rsidR="00D727C4" w:rsidRPr="006C5D80" w:rsidRDefault="00D727C4" w:rsidP="00D727C4">
      <w:pPr>
        <w:pStyle w:val="SingleTxt"/>
        <w:spacing w:after="0" w:line="120" w:lineRule="exact"/>
        <w:rPr>
          <w:sz w:val="10"/>
        </w:rPr>
      </w:pPr>
    </w:p>
    <w:p w14:paraId="64EE841F" w14:textId="77777777" w:rsidR="00D727C4" w:rsidRPr="006C5D80" w:rsidRDefault="00D727C4" w:rsidP="00D727C4">
      <w:pPr>
        <w:pStyle w:val="SingleTxt"/>
        <w:spacing w:after="0" w:line="120" w:lineRule="exact"/>
        <w:rPr>
          <w:sz w:val="10"/>
        </w:rPr>
      </w:pPr>
    </w:p>
    <w:p w14:paraId="33F8AC30"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f) de la lista de cuestiones</w:t>
      </w:r>
    </w:p>
    <w:p w14:paraId="4174B7FC" w14:textId="77777777" w:rsidR="000C3B65" w:rsidRPr="006C5D80" w:rsidRDefault="000C3B65" w:rsidP="000C3B65">
      <w:pPr>
        <w:pStyle w:val="SingleTxt"/>
        <w:spacing w:after="0" w:line="120" w:lineRule="exact"/>
        <w:rPr>
          <w:sz w:val="10"/>
        </w:rPr>
      </w:pPr>
    </w:p>
    <w:p w14:paraId="187180CE" w14:textId="77777777" w:rsidR="000C3B65" w:rsidRPr="006C5D80" w:rsidRDefault="000C3B65" w:rsidP="000C3B65">
      <w:pPr>
        <w:pStyle w:val="SingleTxt"/>
        <w:spacing w:after="0" w:line="120" w:lineRule="exact"/>
        <w:rPr>
          <w:sz w:val="10"/>
        </w:rPr>
      </w:pPr>
    </w:p>
    <w:p w14:paraId="65F287E0" w14:textId="18630AA9" w:rsidR="00597C74" w:rsidRPr="006C5D80" w:rsidRDefault="00597C74" w:rsidP="00142BE0">
      <w:pPr>
        <w:pStyle w:val="SingleTxt"/>
        <w:numPr>
          <w:ilvl w:val="0"/>
          <w:numId w:val="27"/>
        </w:numPr>
        <w:ind w:left="1267"/>
      </w:pPr>
      <w:r w:rsidRPr="006C5D80">
        <w:t xml:space="preserve">El método tradicional fiyiano de solución de controversias conocido como </w:t>
      </w:r>
      <w:r w:rsidR="00D727C4" w:rsidRPr="006C5D80">
        <w:t>“</w:t>
      </w:r>
      <w:r w:rsidRPr="006C5D80">
        <w:t>Bulubulu</w:t>
      </w:r>
      <w:r w:rsidR="00D727C4" w:rsidRPr="006C5D80">
        <w:t>”</w:t>
      </w:r>
      <w:r w:rsidRPr="006C5D80">
        <w:t xml:space="preserve"> constituye un factor atenuante en el sistema judicial de Fiji. Sin embargo, no es motivo para retirar una denuncia en un proceso penal. Además, si el denunciante no acepta las disculpas de </w:t>
      </w:r>
      <w:r w:rsidR="00D727C4" w:rsidRPr="006C5D80">
        <w:t>“</w:t>
      </w:r>
      <w:r w:rsidRPr="006C5D80">
        <w:t>Bulubulu</w:t>
      </w:r>
      <w:r w:rsidR="00D727C4" w:rsidRPr="006C5D80">
        <w:t>”</w:t>
      </w:r>
      <w:r w:rsidRPr="006C5D80">
        <w:t xml:space="preserve">, eso tiene peso en nuestros tribunales penales como factor agravante en la imposición de penas en virtud de la Ley de Penas y Sentencias de </w:t>
      </w:r>
      <w:r w:rsidRPr="00C37370">
        <w:t>2009</w:t>
      </w:r>
      <w:r w:rsidRPr="006C5D80">
        <w:t>.</w:t>
      </w:r>
    </w:p>
    <w:p w14:paraId="0F4D2848" w14:textId="77777777" w:rsidR="000C3B65" w:rsidRPr="006C5D80" w:rsidRDefault="000C3B65" w:rsidP="000C3B65">
      <w:pPr>
        <w:pStyle w:val="SingleTxt"/>
        <w:spacing w:after="0" w:line="120" w:lineRule="exact"/>
        <w:rPr>
          <w:sz w:val="10"/>
        </w:rPr>
      </w:pPr>
    </w:p>
    <w:p w14:paraId="42D63853" w14:textId="77777777" w:rsidR="000C3B65" w:rsidRPr="006C5D80" w:rsidRDefault="000C3B65" w:rsidP="000C3B65">
      <w:pPr>
        <w:pStyle w:val="SingleTxt"/>
        <w:spacing w:after="0" w:line="120" w:lineRule="exact"/>
        <w:rPr>
          <w:sz w:val="10"/>
        </w:rPr>
      </w:pPr>
    </w:p>
    <w:p w14:paraId="24537F6F"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g) de la lista de cuestiones</w:t>
      </w:r>
    </w:p>
    <w:p w14:paraId="6D8D104B" w14:textId="77777777" w:rsidR="000C3B65" w:rsidRPr="006C5D80" w:rsidRDefault="000C3B65" w:rsidP="000C3B65">
      <w:pPr>
        <w:pStyle w:val="SingleTxt"/>
        <w:spacing w:after="0" w:line="120" w:lineRule="exact"/>
        <w:rPr>
          <w:sz w:val="10"/>
        </w:rPr>
      </w:pPr>
    </w:p>
    <w:p w14:paraId="21FC6403" w14:textId="77777777" w:rsidR="000C3B65" w:rsidRPr="006C5D80" w:rsidRDefault="000C3B65" w:rsidP="000C3B65">
      <w:pPr>
        <w:pStyle w:val="SingleTxt"/>
        <w:spacing w:after="0" w:line="120" w:lineRule="exact"/>
        <w:rPr>
          <w:sz w:val="10"/>
        </w:rPr>
      </w:pPr>
    </w:p>
    <w:p w14:paraId="324C7DBF" w14:textId="77777777" w:rsidR="00597C74" w:rsidRPr="006C5D80" w:rsidRDefault="00597C74" w:rsidP="00142BE0">
      <w:pPr>
        <w:pStyle w:val="SingleTxt"/>
        <w:numPr>
          <w:ilvl w:val="0"/>
          <w:numId w:val="28"/>
        </w:numPr>
        <w:ind w:left="1267"/>
      </w:pPr>
      <w:r w:rsidRPr="006C5D80">
        <w:t xml:space="preserve">La Fuerza de Policía de Fiji también tiene una política de no abandono para una postura institucional estricta y cumplidora de la tolerancia cero y la no reconciliación para cualquier caso de denuncias de violencia de género, violencia doméstica y delitos sexuales. Para ello, la Fuerza colabora estrechamente con los respectivos organismos del sistema de justicia penal, como la Comisión de Derechos Humanos y Lucha contra la Discriminación de Fiji, Fiji Women’s Crisis Centre, la Comisión de Asistencia Jurídica, los Servicios Penitenciarios de Fiji, el Departamento de Protección Social y la </w:t>
      </w:r>
      <w:proofErr w:type="gramStart"/>
      <w:r w:rsidRPr="006C5D80">
        <w:t>Fiscalía General</w:t>
      </w:r>
      <w:proofErr w:type="gramEnd"/>
      <w:r w:rsidRPr="006C5D80">
        <w:t xml:space="preserve"> en la gestión, denuncia, investigación y enjuiciamiento de las violaciones de los derechos humanos cometidas por agentes de policía. Además, el artículo </w:t>
      </w:r>
      <w:r w:rsidRPr="00C37370">
        <w:t>154</w:t>
      </w:r>
      <w:r w:rsidRPr="006C5D80">
        <w:t xml:space="preserve"> de la Ley de Enjuiciamiento Criminal de </w:t>
      </w:r>
      <w:r w:rsidRPr="00C37370">
        <w:t>2009</w:t>
      </w:r>
      <w:r w:rsidRPr="006C5D80">
        <w:t xml:space="preserve"> permite promover la reconciliación, pero no en el caso de los delitos de violencia doméstica, según el artículo </w:t>
      </w:r>
      <w:r w:rsidRPr="00C37370">
        <w:t>154</w:t>
      </w:r>
      <w:r w:rsidRPr="006C5D80">
        <w:t xml:space="preserve"> </w:t>
      </w:r>
      <w:r w:rsidRPr="00C37370">
        <w:t>6</w:t>
      </w:r>
      <w:r w:rsidRPr="006C5D80">
        <w:t>).</w:t>
      </w:r>
    </w:p>
    <w:p w14:paraId="3B80D99C"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9 h) de la lista de cuestiones</w:t>
      </w:r>
    </w:p>
    <w:p w14:paraId="06AB6DE7" w14:textId="77777777" w:rsidR="000C3B65" w:rsidRPr="006C5D80" w:rsidRDefault="000C3B65" w:rsidP="000C3B65">
      <w:pPr>
        <w:pStyle w:val="SingleTxt"/>
        <w:spacing w:after="0" w:line="120" w:lineRule="exact"/>
        <w:rPr>
          <w:sz w:val="10"/>
        </w:rPr>
      </w:pPr>
    </w:p>
    <w:p w14:paraId="201EF978" w14:textId="77777777" w:rsidR="000C3B65" w:rsidRPr="006C5D80" w:rsidRDefault="000C3B65" w:rsidP="000C3B65">
      <w:pPr>
        <w:pStyle w:val="SingleTxt"/>
        <w:spacing w:after="0" w:line="120" w:lineRule="exact"/>
        <w:rPr>
          <w:sz w:val="10"/>
        </w:rPr>
      </w:pPr>
    </w:p>
    <w:p w14:paraId="59290B9D" w14:textId="77777777" w:rsidR="00597C74" w:rsidRPr="006C5D80" w:rsidRDefault="00597C74" w:rsidP="00142BE0">
      <w:pPr>
        <w:pStyle w:val="SingleTxt"/>
        <w:numPr>
          <w:ilvl w:val="0"/>
          <w:numId w:val="29"/>
        </w:numPr>
        <w:ind w:left="1267"/>
      </w:pPr>
      <w:r w:rsidRPr="006C5D80">
        <w:t xml:space="preserve">El número actual de mujeres empleadas por la Fuerza de Policía de Fiji es de </w:t>
      </w:r>
      <w:r w:rsidRPr="00C37370">
        <w:t>1</w:t>
      </w:r>
      <w:r w:rsidRPr="006C5D80">
        <w:t>.</w:t>
      </w:r>
      <w:r w:rsidRPr="00C37370">
        <w:t>322</w:t>
      </w:r>
      <w:r w:rsidRPr="006C5D80">
        <w:t xml:space="preserve">, lo que representa el </w:t>
      </w:r>
      <w:r w:rsidRPr="00C37370">
        <w:t>26</w:t>
      </w:r>
      <w:r w:rsidRPr="006C5D80">
        <w:t xml:space="preserve"> % del total de empleados de la Policía. Anteriormente, la contratación de agentes de policía se realizaba mediante cuotas de </w:t>
      </w:r>
      <w:r w:rsidRPr="00C37370">
        <w:t>30</w:t>
      </w:r>
      <w:r w:rsidRPr="006C5D80">
        <w:t>:</w:t>
      </w:r>
      <w:r w:rsidRPr="00C37370">
        <w:t>70</w:t>
      </w:r>
      <w:r w:rsidRPr="006C5D80">
        <w:t>. En la actualidad, el proceso de contratación se basa en los méritos, lo que se ha traducido en un aumento del número de mujeres en la Fuerza. Las políticas de la Fuerza sobre violencia de género y violencia sexual también se aplican en caso de denuncia contra funcionarios.</w:t>
      </w:r>
    </w:p>
    <w:p w14:paraId="20815B8B" w14:textId="77777777" w:rsidR="000C3B65" w:rsidRPr="006C5D80" w:rsidRDefault="000C3B65" w:rsidP="000C3B65">
      <w:pPr>
        <w:pStyle w:val="SingleTxt"/>
        <w:spacing w:after="0" w:line="120" w:lineRule="exact"/>
        <w:rPr>
          <w:sz w:val="10"/>
        </w:rPr>
      </w:pPr>
    </w:p>
    <w:p w14:paraId="603725EE" w14:textId="77777777" w:rsidR="000C3B65" w:rsidRPr="006C5D80" w:rsidRDefault="000C3B65" w:rsidP="000C3B65">
      <w:pPr>
        <w:pStyle w:val="SingleTxt"/>
        <w:spacing w:after="0" w:line="120" w:lineRule="exact"/>
        <w:rPr>
          <w:sz w:val="10"/>
        </w:rPr>
      </w:pPr>
    </w:p>
    <w:p w14:paraId="16AF6CFD" w14:textId="5B7D0292"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i) de la lista de cuestiones</w:t>
      </w:r>
    </w:p>
    <w:p w14:paraId="27AF63F4" w14:textId="77777777" w:rsidR="000C3B65" w:rsidRPr="006C5D80" w:rsidRDefault="000C3B65" w:rsidP="000C3B65">
      <w:pPr>
        <w:pStyle w:val="SingleTxt"/>
        <w:spacing w:after="0" w:line="120" w:lineRule="exact"/>
        <w:rPr>
          <w:sz w:val="10"/>
        </w:rPr>
      </w:pPr>
    </w:p>
    <w:p w14:paraId="4F19D137" w14:textId="77777777" w:rsidR="000C3B65" w:rsidRPr="006C5D80" w:rsidRDefault="000C3B65" w:rsidP="000C3B65">
      <w:pPr>
        <w:pStyle w:val="SingleTxt"/>
        <w:spacing w:after="0" w:line="120" w:lineRule="exact"/>
        <w:rPr>
          <w:sz w:val="10"/>
        </w:rPr>
      </w:pPr>
    </w:p>
    <w:p w14:paraId="62F4EF6A" w14:textId="77777777" w:rsidR="00597C74" w:rsidRPr="006C5D80" w:rsidRDefault="00597C74" w:rsidP="00142BE0">
      <w:pPr>
        <w:pStyle w:val="SingleTxt"/>
        <w:numPr>
          <w:ilvl w:val="0"/>
          <w:numId w:val="30"/>
        </w:numPr>
        <w:ind w:left="1267"/>
      </w:pPr>
      <w:r w:rsidRPr="006C5D80">
        <w:t xml:space="preserve">En Fiji, los autores de delitos son condenados de acuerdo con la Ley de Sentencias y Penas de </w:t>
      </w:r>
      <w:r w:rsidRPr="00C37370">
        <w:t>2009</w:t>
      </w:r>
      <w:r w:rsidRPr="006C5D80">
        <w:t xml:space="preserve">. Además, la Ley de Órdenes de Alejamiento contra la Violencia Doméstica de </w:t>
      </w:r>
      <w:r w:rsidRPr="00C37370">
        <w:t>2004</w:t>
      </w:r>
      <w:r w:rsidRPr="006C5D80">
        <w:t xml:space="preserve"> impone medidas para proteger a las víctimas. Los tribunales de Fiji tienen en cuenta diversos factores, incluidas declaraciones de la víctima sobre las repercusiones facilitadas por la víctima o denunciante. Esta declaración desempeña un papel crucial a la hora de determinar la gravedad de la pena impuesta al autor del delito. Por ejemplo, en la causa </w:t>
      </w:r>
      <w:r w:rsidRPr="00C37370">
        <w:rPr>
          <w:i/>
          <w:iCs/>
        </w:rPr>
        <w:t>Estado c. Tikoitoga - Sentencia</w:t>
      </w:r>
      <w:r w:rsidRPr="006C5D80">
        <w:t xml:space="preserve"> </w:t>
      </w:r>
      <w:r w:rsidRPr="00C37370">
        <w:rPr>
          <w:i/>
          <w:iCs/>
        </w:rPr>
        <w:t>[2020] FJHC 602;</w:t>
      </w:r>
      <w:r w:rsidRPr="006C5D80">
        <w:t xml:space="preserve"> </w:t>
      </w:r>
      <w:r w:rsidRPr="00C37370">
        <w:rPr>
          <w:i/>
          <w:iCs/>
        </w:rPr>
        <w:t xml:space="preserve">HAC104.2020 </w:t>
      </w:r>
      <w:r w:rsidRPr="006C5D80">
        <w:t>(</w:t>
      </w:r>
      <w:r w:rsidRPr="00C37370">
        <w:t>31</w:t>
      </w:r>
      <w:r w:rsidRPr="006C5D80">
        <w:t xml:space="preserve"> de julio de </w:t>
      </w:r>
      <w:r w:rsidRPr="00C37370">
        <w:t>2020</w:t>
      </w:r>
      <w:r w:rsidRPr="006C5D80">
        <w:t>), el tribunal tuvo en cuenta las declaraciones de la víctima sobre las repercusiones como parte del proceso de imposición de la pena.</w:t>
      </w:r>
    </w:p>
    <w:p w14:paraId="4B3246E8" w14:textId="77777777" w:rsidR="000C3B65" w:rsidRPr="006C5D80" w:rsidRDefault="000C3B65" w:rsidP="000C3B65">
      <w:pPr>
        <w:pStyle w:val="SingleTxt"/>
        <w:spacing w:after="0" w:line="120" w:lineRule="exact"/>
        <w:rPr>
          <w:sz w:val="10"/>
        </w:rPr>
      </w:pPr>
    </w:p>
    <w:p w14:paraId="703DA451" w14:textId="77777777" w:rsidR="000C3B65" w:rsidRPr="006C5D80" w:rsidRDefault="000C3B65" w:rsidP="000C3B65">
      <w:pPr>
        <w:pStyle w:val="SingleTxt"/>
        <w:spacing w:after="0" w:line="120" w:lineRule="exact"/>
        <w:rPr>
          <w:sz w:val="10"/>
        </w:rPr>
      </w:pPr>
    </w:p>
    <w:p w14:paraId="6991969D"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j) de la lista de cuestiones</w:t>
      </w:r>
    </w:p>
    <w:p w14:paraId="036317A8" w14:textId="77777777" w:rsidR="000C3B65" w:rsidRPr="006C5D80" w:rsidRDefault="000C3B65" w:rsidP="000C3B65">
      <w:pPr>
        <w:pStyle w:val="SingleTxt"/>
        <w:spacing w:after="0" w:line="120" w:lineRule="exact"/>
        <w:rPr>
          <w:sz w:val="10"/>
        </w:rPr>
      </w:pPr>
    </w:p>
    <w:p w14:paraId="13380164" w14:textId="77777777" w:rsidR="000C3B65" w:rsidRPr="006C5D80" w:rsidRDefault="000C3B65" w:rsidP="000C3B65">
      <w:pPr>
        <w:pStyle w:val="SingleTxt"/>
        <w:spacing w:after="0" w:line="120" w:lineRule="exact"/>
        <w:rPr>
          <w:sz w:val="10"/>
        </w:rPr>
      </w:pPr>
    </w:p>
    <w:p w14:paraId="114BEE76" w14:textId="77777777" w:rsidR="00597C74" w:rsidRPr="006C5D80" w:rsidRDefault="00597C74" w:rsidP="00142BE0">
      <w:pPr>
        <w:pStyle w:val="SingleTxt"/>
        <w:numPr>
          <w:ilvl w:val="0"/>
          <w:numId w:val="31"/>
        </w:numPr>
        <w:ind w:left="1267"/>
      </w:pPr>
      <w:r w:rsidRPr="006C5D80">
        <w:t xml:space="preserve">En la actualidad, se llevan a cabo actividades de concienciación entre el personal de la salud, principalmente en los hospitales terciarios, en los servicios de urgencias y en el departamento de ginecología y obstetricia con los médicos especializados en salud sexual y reproductiva para la profilaxis postexposición necesaria. El Ministerio de Salud y Servicios Médicos está trabajando en la puesta en marcha de una formación nacional de formadores en </w:t>
      </w:r>
      <w:r w:rsidRPr="00C37370">
        <w:t>2023</w:t>
      </w:r>
      <w:r w:rsidRPr="006C5D80">
        <w:t xml:space="preserve"> con la ejecución a nivel de división de formación en violencia de género sobre las directrices recientemente desarrolladas.</w:t>
      </w:r>
    </w:p>
    <w:p w14:paraId="23413F81" w14:textId="77777777" w:rsidR="000C3B65" w:rsidRPr="006C5D80" w:rsidRDefault="000C3B65" w:rsidP="000C3B65">
      <w:pPr>
        <w:pStyle w:val="SingleTxt"/>
        <w:spacing w:after="0" w:line="120" w:lineRule="exact"/>
        <w:rPr>
          <w:sz w:val="10"/>
        </w:rPr>
      </w:pPr>
    </w:p>
    <w:p w14:paraId="16BA9FF4" w14:textId="77777777" w:rsidR="000C3B65" w:rsidRPr="006C5D80" w:rsidRDefault="000C3B65" w:rsidP="000C3B65">
      <w:pPr>
        <w:pStyle w:val="SingleTxt"/>
        <w:spacing w:after="0" w:line="120" w:lineRule="exact"/>
        <w:rPr>
          <w:sz w:val="10"/>
        </w:rPr>
      </w:pPr>
    </w:p>
    <w:p w14:paraId="2907EE26"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k) de la lista de cuestiones</w:t>
      </w:r>
    </w:p>
    <w:p w14:paraId="3254A514" w14:textId="77777777" w:rsidR="000C3B65" w:rsidRPr="006C5D80" w:rsidRDefault="000C3B65" w:rsidP="000C3B65">
      <w:pPr>
        <w:pStyle w:val="SingleTxt"/>
        <w:spacing w:after="0" w:line="120" w:lineRule="exact"/>
        <w:rPr>
          <w:sz w:val="10"/>
        </w:rPr>
      </w:pPr>
    </w:p>
    <w:p w14:paraId="66E20465" w14:textId="77777777" w:rsidR="000C3B65" w:rsidRPr="006C5D80" w:rsidRDefault="000C3B65" w:rsidP="000C3B65">
      <w:pPr>
        <w:pStyle w:val="SingleTxt"/>
        <w:spacing w:after="0" w:line="120" w:lineRule="exact"/>
        <w:rPr>
          <w:sz w:val="10"/>
        </w:rPr>
      </w:pPr>
    </w:p>
    <w:p w14:paraId="3047F402" w14:textId="77777777" w:rsidR="00597C74" w:rsidRPr="006C5D80" w:rsidRDefault="00597C74" w:rsidP="00142BE0">
      <w:pPr>
        <w:pStyle w:val="SingleTxt"/>
        <w:numPr>
          <w:ilvl w:val="0"/>
          <w:numId w:val="32"/>
        </w:numPr>
        <w:ind w:left="1267"/>
      </w:pPr>
      <w:r w:rsidRPr="006C5D80">
        <w:t>El Ministerio de Salud y Servicios Médicos cuenta con el apoyo de MSP, una ONG que apoya la respuesta a la violencia de género en Fiji a través de sus clínicas de división.</w:t>
      </w:r>
    </w:p>
    <w:p w14:paraId="41FC3931" w14:textId="77777777" w:rsidR="000C3B65" w:rsidRPr="006C5D80" w:rsidRDefault="000C3B65" w:rsidP="000C3B65">
      <w:pPr>
        <w:pStyle w:val="SingleTxt"/>
        <w:spacing w:after="0" w:line="120" w:lineRule="exact"/>
        <w:rPr>
          <w:sz w:val="10"/>
        </w:rPr>
      </w:pPr>
    </w:p>
    <w:p w14:paraId="7F51970E" w14:textId="77777777" w:rsidR="000C3B65" w:rsidRPr="006C5D80" w:rsidRDefault="000C3B65" w:rsidP="000C3B65">
      <w:pPr>
        <w:pStyle w:val="SingleTxt"/>
        <w:spacing w:after="0" w:line="120" w:lineRule="exact"/>
        <w:rPr>
          <w:sz w:val="10"/>
        </w:rPr>
      </w:pPr>
    </w:p>
    <w:p w14:paraId="5368C026"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9 l) de la lista de cuestiones</w:t>
      </w:r>
    </w:p>
    <w:p w14:paraId="17660412" w14:textId="77777777" w:rsidR="000C3B65" w:rsidRPr="006C5D80" w:rsidRDefault="000C3B65" w:rsidP="000C3B65">
      <w:pPr>
        <w:pStyle w:val="SingleTxt"/>
        <w:spacing w:after="0" w:line="120" w:lineRule="exact"/>
        <w:rPr>
          <w:sz w:val="10"/>
        </w:rPr>
      </w:pPr>
    </w:p>
    <w:p w14:paraId="674F00AC" w14:textId="77777777" w:rsidR="000C3B65" w:rsidRPr="006C5D80" w:rsidRDefault="000C3B65" w:rsidP="000C3B65">
      <w:pPr>
        <w:pStyle w:val="SingleTxt"/>
        <w:spacing w:after="0" w:line="120" w:lineRule="exact"/>
        <w:rPr>
          <w:sz w:val="10"/>
        </w:rPr>
      </w:pPr>
    </w:p>
    <w:p w14:paraId="74A06052" w14:textId="77777777" w:rsidR="00597C74" w:rsidRPr="006C5D80" w:rsidRDefault="00597C74" w:rsidP="00142BE0">
      <w:pPr>
        <w:pStyle w:val="SingleTxt"/>
        <w:numPr>
          <w:ilvl w:val="0"/>
          <w:numId w:val="32"/>
        </w:numPr>
        <w:ind w:left="1267"/>
      </w:pPr>
      <w:r w:rsidRPr="006C5D80">
        <w:t xml:space="preserve">En Fiji, cuando el presunto autor de un delito es el cabeza de familia o el principal generador de ingresos y ha sido puesto en prisión preventiva o encarcelado, el tribunal puede remitir al menor o al progenitor para que reciba ayuda económica. El Ministerio de la Mujer, la Infancia y la Protección Social ofrece dos opciones de ayuda económica en estos casos: la prestación de asistencia y protección o la prestación del régimen de prestaciones de pobreza. </w:t>
      </w:r>
    </w:p>
    <w:p w14:paraId="479C26EB" w14:textId="77777777" w:rsidR="00597C74" w:rsidRPr="006C5D80" w:rsidRDefault="00597C74" w:rsidP="00142BE0">
      <w:pPr>
        <w:pStyle w:val="SingleTxt"/>
        <w:numPr>
          <w:ilvl w:val="0"/>
          <w:numId w:val="33"/>
        </w:numPr>
        <w:ind w:left="1267"/>
      </w:pPr>
      <w:r w:rsidRPr="006C5D80">
        <w:t xml:space="preserve">El Programa de Autoayuda de Fiji, administrado por el Ministerio de Desarrollo Rural y Marítimo y Gestión de Desastres, apoya a las mujeres rurales promoviendo actividades económicas y la generación de ingresos. En los últimos seis años, el Ministerio de Desarrollo Rural y Marítimo y Gestión de Desastres ha llevado a cabo </w:t>
      </w:r>
      <w:r w:rsidRPr="006C5D80">
        <w:lastRenderedPageBreak/>
        <w:t xml:space="preserve">más de </w:t>
      </w:r>
      <w:r w:rsidRPr="00C37370">
        <w:t>40</w:t>
      </w:r>
      <w:r w:rsidRPr="006C5D80">
        <w:t xml:space="preserve"> proyectos sociales y de generación de ingresos que benefician a mujeres y grupos de mujeres en sectores como la agricultura, la pesca, el transporte y el agua. Estos proyectos representan más del </w:t>
      </w:r>
      <w:r w:rsidRPr="00C37370">
        <w:t>7</w:t>
      </w:r>
      <w:r w:rsidRPr="006C5D80">
        <w:t xml:space="preserve"> % del total de proyectos del Programa de Autoayuda del Ministerio durante el período. En el caso de los proyectos generadores de ingresos, los solicitantes aportan un tercio del costo total, mientras que los proyectos sociales aceptan contribuciones en especie. El Ministerio de Desarrollo Rural y Marítimo y Gestión de Desastres tiene previsto establecer una cuota para proyectos de mujeres en cada una de las cuatro divisiones de Fiji.</w:t>
      </w:r>
    </w:p>
    <w:p w14:paraId="4C8DEC66" w14:textId="77777777" w:rsidR="00597C74" w:rsidRPr="006C5D80" w:rsidRDefault="00597C74" w:rsidP="00142BE0">
      <w:pPr>
        <w:pStyle w:val="SingleTxt"/>
        <w:numPr>
          <w:ilvl w:val="0"/>
          <w:numId w:val="33"/>
        </w:numPr>
        <w:ind w:left="1267"/>
      </w:pPr>
      <w:r w:rsidRPr="006C5D80">
        <w:t xml:space="preserve">En un informe publicado DIVA for Equality en </w:t>
      </w:r>
      <w:r w:rsidRPr="00C37370">
        <w:t>2019</w:t>
      </w:r>
      <w:r w:rsidRPr="006C5D80">
        <w:t xml:space="preserve"> se destacó que el </w:t>
      </w:r>
      <w:r w:rsidRPr="00C37370">
        <w:t>83</w:t>
      </w:r>
      <w:r w:rsidRPr="006C5D80">
        <w:t>,</w:t>
      </w:r>
      <w:r w:rsidRPr="00C37370">
        <w:t>64</w:t>
      </w:r>
      <w:r w:rsidRPr="006C5D80">
        <w:t xml:space="preserve"> % de las mujeres lesbianas, bisexuales y transexuales (LBT) y personas con disconformidad de género (GNCP) informaron haber sufrido violencia física por parte de una pareja íntima; un </w:t>
      </w:r>
      <w:r w:rsidRPr="00C37370">
        <w:t>43</w:t>
      </w:r>
      <w:r w:rsidRPr="006C5D80">
        <w:t xml:space="preserve"> % compartió esta experiencia solo con amigos cercanos y un </w:t>
      </w:r>
      <w:r w:rsidRPr="00C37370">
        <w:t>12</w:t>
      </w:r>
      <w:r w:rsidRPr="006C5D80">
        <w:t xml:space="preserve"> % no la reveló a nadie. Entre los que sufrieron violencia física o sexual, </w:t>
      </w:r>
      <w:r w:rsidRPr="00C37370">
        <w:t>52</w:t>
      </w:r>
      <w:r w:rsidRPr="006C5D80">
        <w:t xml:space="preserve"> personas fueron agredidas por un familiar, y todos los supervivientes tenían entre </w:t>
      </w:r>
      <w:r w:rsidRPr="00C37370">
        <w:t>25</w:t>
      </w:r>
      <w:r w:rsidRPr="006C5D80">
        <w:t xml:space="preserve"> y </w:t>
      </w:r>
      <w:r w:rsidRPr="00C37370">
        <w:t>34</w:t>
      </w:r>
      <w:r w:rsidRPr="006C5D80">
        <w:t xml:space="preserve"> años. El estudio nacional del FWCC sobre la prevalencia de la violencia contra las mujeres y las niñas reveló unos índices alarmantemente elevados de violencia de este tipo en Fiji, incluidos altos niveles de abusos sexuales a niñas menores de </w:t>
      </w:r>
      <w:r w:rsidRPr="00C37370">
        <w:t>15</w:t>
      </w:r>
      <w:r w:rsidRPr="006C5D80">
        <w:t xml:space="preserve"> años. Esto exige una acción multisectorial urgente para hacer frente a la violencia de género. Las víctimas de la violencia, especialmente quienes han sufrido violencia física o sexual, tienen peor salud y mayores tasas de hospitalización. La violencia en la infancia y la adolescencia está relacionada con consecuencias negativas para la salud sexual y reproductiva, como embarazos no deseados e infecciones de transmisión sexual.</w:t>
      </w:r>
    </w:p>
    <w:p w14:paraId="7BB2D586" w14:textId="77777777" w:rsidR="00597C74" w:rsidRPr="006C5D80" w:rsidRDefault="00597C74" w:rsidP="00142BE0">
      <w:pPr>
        <w:pStyle w:val="SingleTxt"/>
        <w:numPr>
          <w:ilvl w:val="0"/>
          <w:numId w:val="34"/>
        </w:numPr>
        <w:ind w:left="1267"/>
      </w:pPr>
      <w:r w:rsidRPr="006C5D80">
        <w:t xml:space="preserve">El impacto indirecto sobre los hijos de las mujeres víctimas de violencia también es significativo, ya que estos niños suelen necesitar apoyo emocional por problemas de conducta y corren un mayor riesgo de sufrir reveses académicos, como repetir curso o abandonar la escuela. Para abordar estas cuestiones, se elaboró una guía de gestión integral de casos con el fin de formar al personal de atención de salud en la gestión de casos de violencia de género. La directriz proporciona al personal sanitario herramientas y conocimientos para tratar los casos con eficacia, desde la evaluación inicial hasta la derivación a los servicios y autoridades apropiados. El Ministerio de Salud y Servicios Médicos desempeñó un papel activo en el desarrollo de las directrices nacionales de violencia de género para el sector de la salud, que se finalizaron en </w:t>
      </w:r>
      <w:r w:rsidRPr="00C37370">
        <w:t>2023</w:t>
      </w:r>
      <w:r w:rsidRPr="006C5D80">
        <w:t xml:space="preserve">. En septiembre de </w:t>
      </w:r>
      <w:r w:rsidRPr="00C37370">
        <w:t>2023</w:t>
      </w:r>
      <w:r w:rsidRPr="006C5D80">
        <w:t xml:space="preserve"> finalizó una formación regional de formadores, seguida de un despliegue nacional de formación previsto para la segunda mitad del ejercicio </w:t>
      </w:r>
      <w:r w:rsidRPr="00C37370">
        <w:t>2023</w:t>
      </w:r>
      <w:r w:rsidRPr="006C5D80">
        <w:t>/</w:t>
      </w:r>
      <w:r w:rsidRPr="00C37370">
        <w:t>24</w:t>
      </w:r>
      <w:r w:rsidRPr="006C5D80">
        <w:t>.</w:t>
      </w:r>
    </w:p>
    <w:p w14:paraId="10C27377" w14:textId="77777777" w:rsidR="000C3B65" w:rsidRPr="006C5D80" w:rsidRDefault="000C3B65" w:rsidP="000C3B65">
      <w:pPr>
        <w:pStyle w:val="SingleTxt"/>
        <w:spacing w:after="0" w:line="120" w:lineRule="exact"/>
        <w:rPr>
          <w:sz w:val="10"/>
        </w:rPr>
      </w:pPr>
    </w:p>
    <w:p w14:paraId="003998FE" w14:textId="77777777" w:rsidR="000C3B65" w:rsidRPr="006C5D80" w:rsidRDefault="000C3B65" w:rsidP="000C3B65">
      <w:pPr>
        <w:pStyle w:val="SingleTxt"/>
        <w:spacing w:after="0" w:line="120" w:lineRule="exact"/>
        <w:rPr>
          <w:sz w:val="10"/>
        </w:rPr>
      </w:pPr>
    </w:p>
    <w:p w14:paraId="16B67908"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10 a) de la lista de cuestiones</w:t>
      </w:r>
    </w:p>
    <w:p w14:paraId="49489347" w14:textId="77777777" w:rsidR="000C3B65" w:rsidRPr="006C5D80" w:rsidRDefault="000C3B65" w:rsidP="000C3B65">
      <w:pPr>
        <w:pStyle w:val="SingleTxt"/>
        <w:spacing w:after="0" w:line="120" w:lineRule="exact"/>
        <w:rPr>
          <w:sz w:val="10"/>
        </w:rPr>
      </w:pPr>
    </w:p>
    <w:p w14:paraId="3CF712EB" w14:textId="77777777" w:rsidR="000C3B65" w:rsidRPr="006C5D80" w:rsidRDefault="000C3B65" w:rsidP="000C3B65">
      <w:pPr>
        <w:pStyle w:val="SingleTxt"/>
        <w:spacing w:after="0" w:line="120" w:lineRule="exact"/>
        <w:rPr>
          <w:sz w:val="10"/>
        </w:rPr>
      </w:pPr>
    </w:p>
    <w:p w14:paraId="714DEB6A" w14:textId="77777777" w:rsidR="00597C74" w:rsidRPr="006C5D80" w:rsidRDefault="00597C74" w:rsidP="00142BE0">
      <w:pPr>
        <w:pStyle w:val="SingleTxt"/>
        <w:numPr>
          <w:ilvl w:val="0"/>
          <w:numId w:val="35"/>
        </w:numPr>
        <w:ind w:left="1267"/>
      </w:pPr>
      <w:r w:rsidRPr="006C5D80">
        <w:t xml:space="preserve">El delito de violación se define en la sección </w:t>
      </w:r>
      <w:r w:rsidRPr="00C37370">
        <w:t>207</w:t>
      </w:r>
      <w:r w:rsidRPr="006C5D80">
        <w:t xml:space="preserve"> de la Ley Penal de </w:t>
      </w:r>
      <w:r w:rsidRPr="00C37370">
        <w:t>2009</w:t>
      </w:r>
      <w:r w:rsidRPr="006C5D80">
        <w:t xml:space="preserve"> y tiene las siguientes tres definiciones independientes según la sección </w:t>
      </w:r>
      <w:r w:rsidRPr="00C37370">
        <w:t>207</w:t>
      </w:r>
      <w:r w:rsidRPr="006C5D80">
        <w:t xml:space="preserve"> </w:t>
      </w:r>
      <w:r w:rsidRPr="00C37370">
        <w:t>2</w:t>
      </w:r>
      <w:r w:rsidRPr="006C5D80">
        <w:t xml:space="preserve">) de la Ley Penal de </w:t>
      </w:r>
      <w:r w:rsidRPr="00C37370">
        <w:t>2009</w:t>
      </w:r>
      <w:r w:rsidRPr="006C5D80">
        <w:t>:</w:t>
      </w:r>
    </w:p>
    <w:p w14:paraId="554D3499" w14:textId="65D889B5" w:rsidR="00597C74" w:rsidRPr="006C5D80" w:rsidRDefault="000C3B65" w:rsidP="000C3B65">
      <w:pPr>
        <w:pStyle w:val="SingleTxt"/>
        <w:tabs>
          <w:tab w:val="right" w:pos="1685"/>
        </w:tabs>
        <w:ind w:left="1742" w:hanging="475"/>
      </w:pPr>
      <w:r w:rsidRPr="006C5D80">
        <w:tab/>
        <w:t>•</w:t>
      </w:r>
      <w:r w:rsidRPr="006C5D80">
        <w:tab/>
      </w:r>
      <w:r w:rsidR="00597C74" w:rsidRPr="00C37370">
        <w:t>2</w:t>
      </w:r>
      <w:r w:rsidR="00597C74" w:rsidRPr="006C5D80">
        <w:t>)</w:t>
      </w:r>
      <w:r w:rsidR="00B62FAE">
        <w:tab/>
      </w:r>
      <w:r w:rsidR="00597C74" w:rsidRPr="006C5D80">
        <w:t>Una persona comete un acto de violación contra otra si:</w:t>
      </w:r>
    </w:p>
    <w:p w14:paraId="0DE7AB6D" w14:textId="7D6DDF73" w:rsidR="00597C74" w:rsidRPr="006C5D80" w:rsidRDefault="000C3B65" w:rsidP="00597C74">
      <w:pPr>
        <w:pStyle w:val="SingleTxt"/>
      </w:pPr>
      <w:r w:rsidRPr="006C5D80">
        <w:tab/>
      </w:r>
      <w:r w:rsidR="00597C74" w:rsidRPr="006C5D80">
        <w:t>a)</w:t>
      </w:r>
      <w:r w:rsidR="00597C74" w:rsidRPr="006C5D80">
        <w:tab/>
        <w:t>La persona tiene conocimiento carnal con la otra persona sin el consentimiento de esta; o</w:t>
      </w:r>
    </w:p>
    <w:p w14:paraId="0BA81FE9" w14:textId="7B223623" w:rsidR="00597C74" w:rsidRPr="006C5D80" w:rsidRDefault="000C3B65" w:rsidP="00597C74">
      <w:pPr>
        <w:pStyle w:val="SingleTxt"/>
      </w:pPr>
      <w:r w:rsidRPr="006C5D80">
        <w:tab/>
      </w:r>
      <w:r w:rsidR="00597C74" w:rsidRPr="006C5D80">
        <w:t>b)</w:t>
      </w:r>
      <w:r w:rsidR="00597C74" w:rsidRPr="006C5D80">
        <w:tab/>
        <w:t>La persona penetra la vulva, vagina o ano de la otra persona en cualquier medida con una cosa o parte de su cuerpo que no sea un pene sin el consentimiento de la otra persona; o</w:t>
      </w:r>
    </w:p>
    <w:p w14:paraId="4BDCE0AC" w14:textId="6A83DB1E" w:rsidR="00597C74" w:rsidRPr="006C5D80" w:rsidRDefault="000C3B65" w:rsidP="00597C74">
      <w:pPr>
        <w:pStyle w:val="SingleTxt"/>
      </w:pPr>
      <w:r w:rsidRPr="006C5D80">
        <w:tab/>
      </w:r>
      <w:r w:rsidR="00597C74" w:rsidRPr="006C5D80">
        <w:t>c)</w:t>
      </w:r>
      <w:r w:rsidR="00597C74" w:rsidRPr="006C5D80">
        <w:tab/>
        <w:t>La persona penetra la boca de la otra persona en cualquier medida con su pene sin el consentimiento de la otra persona.</w:t>
      </w:r>
    </w:p>
    <w:p w14:paraId="73A3F4B5" w14:textId="081266DA" w:rsidR="00597C74" w:rsidRPr="006C5D80" w:rsidRDefault="00597C74" w:rsidP="00142BE0">
      <w:pPr>
        <w:pStyle w:val="SingleTxt"/>
        <w:numPr>
          <w:ilvl w:val="0"/>
          <w:numId w:val="36"/>
        </w:numPr>
        <w:ind w:left="1267"/>
      </w:pPr>
      <w:r w:rsidRPr="006C5D80">
        <w:lastRenderedPageBreak/>
        <w:t xml:space="preserve">Según el delito de violación en Fiji, un menor de </w:t>
      </w:r>
      <w:r w:rsidRPr="00C37370">
        <w:t>13</w:t>
      </w:r>
      <w:r w:rsidRPr="006C5D80">
        <w:t xml:space="preserve"> años es incapaz de dar su consentimiento. Ahora en Fiji no se exige la corroboración. Ha habido cambios positivos en Fiji en el enjuiciamiento de los delitos de violación por lo que la pena máxima de violación es ahora la cadena perpetua, que se dictó en la causa </w:t>
      </w:r>
      <w:r w:rsidRPr="00C37370">
        <w:rPr>
          <w:i/>
          <w:iCs/>
        </w:rPr>
        <w:t>Estado c. Peni Vukici [2018] FJHC 1193</w:t>
      </w:r>
      <w:r w:rsidRPr="006C5D80">
        <w:t xml:space="preserve">; </w:t>
      </w:r>
      <w:r w:rsidRPr="00C37370">
        <w:rPr>
          <w:i/>
          <w:iCs/>
        </w:rPr>
        <w:t xml:space="preserve">HAC104.2017 </w:t>
      </w:r>
      <w:r w:rsidRPr="006C5D80">
        <w:t>(</w:t>
      </w:r>
      <w:r w:rsidRPr="00C37370">
        <w:t>14</w:t>
      </w:r>
      <w:r w:rsidRPr="006C5D80">
        <w:t xml:space="preserve"> de diciembre de </w:t>
      </w:r>
      <w:r w:rsidRPr="00C37370">
        <w:t>2018</w:t>
      </w:r>
      <w:r w:rsidRPr="006C5D80">
        <w:t xml:space="preserve">), el caso precedente para dictar cadena perpetua por el delito de violación. En este caso, el autor fue declarado culpable por el tribunal por cometer el delito de violación de su hija y su nieta desde que tenían </w:t>
      </w:r>
      <w:r w:rsidRPr="00C37370">
        <w:t>10</w:t>
      </w:r>
      <w:r w:rsidRPr="006C5D80">
        <w:t xml:space="preserve"> años hasta que la primera víctima contrajo matrimonio y la segunda cumplió </w:t>
      </w:r>
      <w:r w:rsidRPr="00C37370">
        <w:t>26</w:t>
      </w:r>
      <w:r w:rsidRPr="006C5D80">
        <w:t xml:space="preserve"> años.</w:t>
      </w:r>
      <w:r w:rsidR="00D727C4" w:rsidRPr="006C5D80">
        <w:t xml:space="preserve"> </w:t>
      </w:r>
      <w:r w:rsidRPr="006C5D80">
        <w:t xml:space="preserve">El autor fue condenado a cadena perpetua y el tribunal se negó a fijar un período de libertad no condicional, con lo que el autor quedó en manos del Ejecutivo. Además, el baremo de penas por violación de menores ha aumentado de </w:t>
      </w:r>
      <w:r w:rsidRPr="00C37370">
        <w:t>10</w:t>
      </w:r>
      <w:r w:rsidRPr="006C5D80">
        <w:t xml:space="preserve"> a </w:t>
      </w:r>
      <w:r w:rsidRPr="00C37370">
        <w:t>16</w:t>
      </w:r>
      <w:r w:rsidRPr="006C5D80">
        <w:t xml:space="preserve"> años de prisión a </w:t>
      </w:r>
      <w:r w:rsidRPr="00C37370">
        <w:t>11</w:t>
      </w:r>
      <w:r w:rsidRPr="006C5D80">
        <w:t xml:space="preserve"> a </w:t>
      </w:r>
      <w:r w:rsidRPr="00C37370">
        <w:t>20</w:t>
      </w:r>
      <w:r w:rsidRPr="006C5D80">
        <w:t xml:space="preserve"> años de prisión, tras la causa </w:t>
      </w:r>
      <w:r w:rsidRPr="00C37370">
        <w:rPr>
          <w:i/>
          <w:iCs/>
        </w:rPr>
        <w:t>Estado c. Gordon Aitchison</w:t>
      </w:r>
      <w:r w:rsidRPr="006C5D80">
        <w:t xml:space="preserve">. El baremo de penas por violación en adultos va de </w:t>
      </w:r>
      <w:r w:rsidRPr="00C37370">
        <w:t>7</w:t>
      </w:r>
      <w:r w:rsidRPr="006C5D80">
        <w:t xml:space="preserve"> a </w:t>
      </w:r>
      <w:r w:rsidRPr="00C37370">
        <w:t>15</w:t>
      </w:r>
      <w:r w:rsidRPr="006C5D80">
        <w:t xml:space="preserve"> años de prisión.</w:t>
      </w:r>
    </w:p>
    <w:p w14:paraId="77AD581E" w14:textId="77777777" w:rsidR="000C3B65" w:rsidRPr="006C5D80" w:rsidRDefault="000C3B65" w:rsidP="000C3B65">
      <w:pPr>
        <w:pStyle w:val="SingleTxt"/>
        <w:spacing w:after="0" w:line="120" w:lineRule="exact"/>
        <w:rPr>
          <w:sz w:val="10"/>
        </w:rPr>
      </w:pPr>
    </w:p>
    <w:p w14:paraId="21DF37A0" w14:textId="77777777" w:rsidR="000C3B65" w:rsidRPr="006C5D80" w:rsidRDefault="000C3B65" w:rsidP="000C3B65">
      <w:pPr>
        <w:pStyle w:val="SingleTxt"/>
        <w:spacing w:after="0" w:line="120" w:lineRule="exact"/>
        <w:rPr>
          <w:sz w:val="10"/>
        </w:rPr>
      </w:pPr>
    </w:p>
    <w:p w14:paraId="73EFB5DE"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10 b) de la lista de cuestiones</w:t>
      </w:r>
    </w:p>
    <w:p w14:paraId="28103A91" w14:textId="77777777" w:rsidR="000C3B65" w:rsidRPr="006C5D80" w:rsidRDefault="000C3B65" w:rsidP="000C3B65">
      <w:pPr>
        <w:pStyle w:val="SingleTxt"/>
        <w:spacing w:after="0" w:line="120" w:lineRule="exact"/>
        <w:rPr>
          <w:sz w:val="10"/>
        </w:rPr>
      </w:pPr>
    </w:p>
    <w:p w14:paraId="4C7A5BAC" w14:textId="77777777" w:rsidR="000C3B65" w:rsidRPr="006C5D80" w:rsidRDefault="000C3B65" w:rsidP="000C3B65">
      <w:pPr>
        <w:pStyle w:val="SingleTxt"/>
        <w:spacing w:after="0" w:line="120" w:lineRule="exact"/>
        <w:rPr>
          <w:sz w:val="10"/>
        </w:rPr>
      </w:pPr>
    </w:p>
    <w:p w14:paraId="4E20F810" w14:textId="77777777" w:rsidR="00597C74" w:rsidRPr="006C5D80" w:rsidRDefault="00597C74" w:rsidP="00142BE0">
      <w:pPr>
        <w:pStyle w:val="SingleTxt"/>
        <w:numPr>
          <w:ilvl w:val="0"/>
          <w:numId w:val="36"/>
        </w:numPr>
        <w:ind w:left="1267"/>
      </w:pPr>
      <w:r w:rsidRPr="006C5D80">
        <w:t xml:space="preserve">El consentimiento se define ampliamente en el artículo </w:t>
      </w:r>
      <w:r w:rsidRPr="00C37370">
        <w:t>206</w:t>
      </w:r>
      <w:r w:rsidRPr="006C5D80">
        <w:t xml:space="preserve"> de la Ley Penal de </w:t>
      </w:r>
      <w:r w:rsidRPr="00C37370">
        <w:t>2009</w:t>
      </w:r>
      <w:r w:rsidRPr="006C5D80">
        <w:t>:</w:t>
      </w:r>
    </w:p>
    <w:p w14:paraId="61D965BC" w14:textId="5846E7D0" w:rsidR="00597C74" w:rsidRPr="006C5D80" w:rsidRDefault="000C3B65" w:rsidP="000C3B65">
      <w:pPr>
        <w:pStyle w:val="SingleTxt"/>
        <w:tabs>
          <w:tab w:val="right" w:pos="1685"/>
        </w:tabs>
        <w:ind w:left="1742" w:hanging="475"/>
      </w:pPr>
      <w:r w:rsidRPr="006C5D80">
        <w:tab/>
        <w:t>•</w:t>
      </w:r>
      <w:r w:rsidRPr="006C5D80">
        <w:tab/>
      </w:r>
      <w:r w:rsidR="00597C74" w:rsidRPr="006C5D80">
        <w:t xml:space="preserve">El término </w:t>
      </w:r>
      <w:r w:rsidR="00D727C4" w:rsidRPr="006C5D80">
        <w:t>“</w:t>
      </w:r>
      <w:r w:rsidR="00597C74" w:rsidRPr="006C5D80">
        <w:t>consentimiento</w:t>
      </w:r>
      <w:r w:rsidR="00D727C4" w:rsidRPr="006C5D80">
        <w:t>”</w:t>
      </w:r>
      <w:r w:rsidR="00597C74" w:rsidRPr="006C5D80">
        <w:t xml:space="preserve"> significa el consentimiento libre y voluntario por una persona con la capacidad mental necesaria para darlo, y la sumisión sin resistencia física de una persona a un acto de otra no constituirá por sí </w:t>
      </w:r>
      <w:proofErr w:type="gramStart"/>
      <w:r w:rsidR="00597C74" w:rsidRPr="006C5D80">
        <w:t>sola consentimiento</w:t>
      </w:r>
      <w:proofErr w:type="gramEnd"/>
      <w:r w:rsidR="00597C74" w:rsidRPr="006C5D80">
        <w:t>;</w:t>
      </w:r>
    </w:p>
    <w:p w14:paraId="6C20DB06" w14:textId="4F8DB5CF" w:rsidR="00597C74" w:rsidRPr="006C5D80" w:rsidRDefault="000C3B65" w:rsidP="000C3B65">
      <w:pPr>
        <w:pStyle w:val="SingleTxt"/>
        <w:tabs>
          <w:tab w:val="right" w:pos="1685"/>
        </w:tabs>
        <w:ind w:left="1742" w:hanging="475"/>
      </w:pPr>
      <w:r w:rsidRPr="006C5D80">
        <w:tab/>
        <w:t>•</w:t>
      </w:r>
      <w:r w:rsidRPr="006C5D80">
        <w:tab/>
      </w:r>
      <w:r w:rsidR="00597C74" w:rsidRPr="006C5D80">
        <w:t xml:space="preserve">Sin limitar el subartículo </w:t>
      </w:r>
      <w:r w:rsidR="00597C74" w:rsidRPr="00C37370">
        <w:t>1</w:t>
      </w:r>
      <w:r w:rsidR="00597C74" w:rsidRPr="006C5D80">
        <w:t>), el consentimiento de una persona a un acto no se da libre y voluntariamente si se obtiene:</w:t>
      </w:r>
    </w:p>
    <w:p w14:paraId="437F6D71" w14:textId="3CED0FE0" w:rsidR="00597C74" w:rsidRPr="006C5D80" w:rsidRDefault="000C3B65" w:rsidP="000C3B65">
      <w:pPr>
        <w:pStyle w:val="SingleTxt"/>
        <w:tabs>
          <w:tab w:val="right" w:pos="1685"/>
        </w:tabs>
        <w:ind w:left="1742" w:hanging="475"/>
      </w:pPr>
      <w:r w:rsidRPr="006C5D80">
        <w:tab/>
        <w:t>•</w:t>
      </w:r>
      <w:r w:rsidRPr="006C5D80">
        <w:tab/>
      </w:r>
      <w:r w:rsidR="00B62FAE" w:rsidRPr="006C5D80">
        <w:t xml:space="preserve">Por </w:t>
      </w:r>
      <w:r w:rsidR="00597C74" w:rsidRPr="006C5D80">
        <w:t>la fuerza; o</w:t>
      </w:r>
    </w:p>
    <w:p w14:paraId="0A96500F" w14:textId="3B3BB769" w:rsidR="00597C74" w:rsidRPr="006C5D80" w:rsidRDefault="000C3B65" w:rsidP="000C3B65">
      <w:pPr>
        <w:pStyle w:val="SingleTxt"/>
        <w:tabs>
          <w:tab w:val="right" w:pos="1685"/>
        </w:tabs>
        <w:ind w:left="1742" w:hanging="475"/>
      </w:pPr>
      <w:r w:rsidRPr="006C5D80">
        <w:tab/>
        <w:t>•</w:t>
      </w:r>
      <w:r w:rsidRPr="006C5D80">
        <w:tab/>
      </w:r>
      <w:r w:rsidR="00B62FAE" w:rsidRPr="006C5D80">
        <w:t xml:space="preserve">Mediante </w:t>
      </w:r>
      <w:r w:rsidR="00597C74" w:rsidRPr="006C5D80">
        <w:t>amenaza o intimidación; o</w:t>
      </w:r>
    </w:p>
    <w:p w14:paraId="438A1848" w14:textId="312278E0" w:rsidR="00597C74" w:rsidRPr="006C5D80" w:rsidRDefault="000C3B65" w:rsidP="000C3B65">
      <w:pPr>
        <w:pStyle w:val="SingleTxt"/>
        <w:tabs>
          <w:tab w:val="right" w:pos="1685"/>
        </w:tabs>
        <w:ind w:left="1742" w:hanging="475"/>
      </w:pPr>
      <w:r w:rsidRPr="006C5D80">
        <w:tab/>
        <w:t>•</w:t>
      </w:r>
      <w:r w:rsidRPr="006C5D80">
        <w:tab/>
      </w:r>
      <w:r w:rsidR="00B62FAE" w:rsidRPr="006C5D80">
        <w:t xml:space="preserve">Por </w:t>
      </w:r>
      <w:r w:rsidR="00597C74" w:rsidRPr="006C5D80">
        <w:t>miedo a sufrir daños corporales; o</w:t>
      </w:r>
    </w:p>
    <w:p w14:paraId="23D24AEA" w14:textId="397ADFE6" w:rsidR="00597C74" w:rsidRPr="006C5D80" w:rsidRDefault="000C3B65" w:rsidP="000C3B65">
      <w:pPr>
        <w:pStyle w:val="SingleTxt"/>
        <w:tabs>
          <w:tab w:val="right" w:pos="1685"/>
        </w:tabs>
        <w:ind w:left="1742" w:hanging="475"/>
      </w:pPr>
      <w:r w:rsidRPr="006C5D80">
        <w:tab/>
        <w:t>•</w:t>
      </w:r>
      <w:r w:rsidRPr="006C5D80">
        <w:tab/>
      </w:r>
      <w:r w:rsidR="0017076D" w:rsidRPr="006C5D80">
        <w:t xml:space="preserve">Por </w:t>
      </w:r>
      <w:r w:rsidR="00597C74" w:rsidRPr="006C5D80">
        <w:t>ejercicio de la autoridad; o</w:t>
      </w:r>
    </w:p>
    <w:p w14:paraId="5590B4CB" w14:textId="3F27C975" w:rsidR="00597C74" w:rsidRPr="006C5D80" w:rsidRDefault="000C3B65" w:rsidP="000C3B65">
      <w:pPr>
        <w:pStyle w:val="SingleTxt"/>
        <w:tabs>
          <w:tab w:val="right" w:pos="1685"/>
        </w:tabs>
        <w:ind w:left="1742" w:hanging="475"/>
      </w:pPr>
      <w:r w:rsidRPr="006C5D80">
        <w:tab/>
        <w:t>•</w:t>
      </w:r>
      <w:r w:rsidRPr="006C5D80">
        <w:tab/>
      </w:r>
      <w:r w:rsidR="0017076D">
        <w:t>M</w:t>
      </w:r>
      <w:r w:rsidR="00597C74" w:rsidRPr="006C5D80">
        <w:t>ediante declaraciones falsas y fraudulentas sobre la naturaleza o la finalidad del acto; o</w:t>
      </w:r>
    </w:p>
    <w:p w14:paraId="2B74BC05" w14:textId="61FEF6F1" w:rsidR="00597C74" w:rsidRPr="006C5D80" w:rsidRDefault="000C3B65" w:rsidP="000C3B65">
      <w:pPr>
        <w:pStyle w:val="SingleTxt"/>
        <w:tabs>
          <w:tab w:val="right" w:pos="1685"/>
        </w:tabs>
        <w:ind w:left="1742" w:hanging="475"/>
      </w:pPr>
      <w:r w:rsidRPr="006C5D80">
        <w:tab/>
        <w:t>•</w:t>
      </w:r>
      <w:r w:rsidRPr="006C5D80">
        <w:tab/>
      </w:r>
      <w:r w:rsidR="00597C74" w:rsidRPr="006C5D80">
        <w:t>Por una creencia errónea inducida por la persona acusada de que esta era su pareja sexual.</w:t>
      </w:r>
    </w:p>
    <w:p w14:paraId="385DD15A" w14:textId="1ABBC6E2" w:rsidR="00597C74" w:rsidRPr="006C5D80" w:rsidRDefault="00597C74" w:rsidP="00142BE0">
      <w:pPr>
        <w:pStyle w:val="SingleTxt"/>
        <w:numPr>
          <w:ilvl w:val="0"/>
          <w:numId w:val="37"/>
        </w:numPr>
        <w:ind w:left="1267"/>
      </w:pPr>
      <w:r w:rsidRPr="006C5D80">
        <w:t>En Fiji se están produciendo cambios positivos en la legislación y en el poder judicial para la aplicación de los principios de la Convención. También hay casos de violencia doméstica y agresiones en el ámbito doméstico en los que los tribunales han dictado sentencias elevadas por delitos de violencia doméstica, lo que es un reflejo del compromiso del poder judicial con la Convención.</w:t>
      </w:r>
    </w:p>
    <w:p w14:paraId="3E441606" w14:textId="77777777" w:rsidR="000C3B65" w:rsidRPr="006C5D80" w:rsidRDefault="000C3B65" w:rsidP="000C3B65">
      <w:pPr>
        <w:pStyle w:val="SingleTxt"/>
        <w:spacing w:after="0" w:line="120" w:lineRule="exact"/>
        <w:rPr>
          <w:sz w:val="10"/>
        </w:rPr>
      </w:pPr>
    </w:p>
    <w:p w14:paraId="09626CF6" w14:textId="77777777" w:rsidR="000C3B65" w:rsidRPr="006C5D80" w:rsidRDefault="000C3B65" w:rsidP="000C3B65">
      <w:pPr>
        <w:pStyle w:val="SingleTxt"/>
        <w:spacing w:after="0" w:line="120" w:lineRule="exact"/>
        <w:rPr>
          <w:sz w:val="10"/>
        </w:rPr>
      </w:pPr>
    </w:p>
    <w:p w14:paraId="023532C1"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10 c) de la lista de cuestiones</w:t>
      </w:r>
      <w:bookmarkStart w:id="5" w:name="_Hlk187413012"/>
      <w:bookmarkEnd w:id="5"/>
    </w:p>
    <w:p w14:paraId="409B030F" w14:textId="77777777" w:rsidR="000C3B65" w:rsidRPr="006C5D80" w:rsidRDefault="000C3B65" w:rsidP="000C3B65">
      <w:pPr>
        <w:pStyle w:val="SingleTxt"/>
        <w:spacing w:after="0" w:line="120" w:lineRule="exact"/>
        <w:rPr>
          <w:sz w:val="10"/>
        </w:rPr>
      </w:pPr>
    </w:p>
    <w:p w14:paraId="12AF95A8" w14:textId="77777777" w:rsidR="000C3B65" w:rsidRPr="006C5D80" w:rsidRDefault="000C3B65" w:rsidP="000C3B65">
      <w:pPr>
        <w:pStyle w:val="SingleTxt"/>
        <w:spacing w:after="0" w:line="120" w:lineRule="exact"/>
        <w:rPr>
          <w:sz w:val="10"/>
        </w:rPr>
      </w:pPr>
    </w:p>
    <w:p w14:paraId="4DE8CD69" w14:textId="77777777" w:rsidR="00597C74" w:rsidRPr="006C5D80" w:rsidRDefault="00597C74" w:rsidP="00142BE0">
      <w:pPr>
        <w:pStyle w:val="SingleTxt"/>
        <w:numPr>
          <w:ilvl w:val="0"/>
          <w:numId w:val="38"/>
        </w:numPr>
        <w:ind w:left="1267"/>
      </w:pPr>
      <w:r w:rsidRPr="006C5D80">
        <w:t xml:space="preserve">El artículo </w:t>
      </w:r>
      <w:r w:rsidRPr="00C37370">
        <w:t>32</w:t>
      </w:r>
      <w:r w:rsidRPr="006C5D80">
        <w:t xml:space="preserve"> de la Ley de Derecho de Familia de </w:t>
      </w:r>
      <w:r w:rsidRPr="00C37370">
        <w:t>2003</w:t>
      </w:r>
      <w:r w:rsidRPr="006C5D80">
        <w:t xml:space="preserve"> prevé una orden judicial de nulidad del matrimonio que debe basarse en la nulidad del matrimonio. </w:t>
      </w:r>
    </w:p>
    <w:p w14:paraId="771D10EE" w14:textId="77777777" w:rsidR="00597C74" w:rsidRPr="006C5D80" w:rsidRDefault="00597C74" w:rsidP="00142BE0">
      <w:pPr>
        <w:pStyle w:val="SingleTxt"/>
        <w:numPr>
          <w:ilvl w:val="0"/>
          <w:numId w:val="39"/>
        </w:numPr>
        <w:ind w:left="1267"/>
        <w:rPr>
          <w:iCs/>
        </w:rPr>
      </w:pPr>
      <w:r w:rsidRPr="006C5D80">
        <w:t>Un matrimonio se considera nulo por los siguientes motivos legales:</w:t>
      </w:r>
    </w:p>
    <w:p w14:paraId="311F7EDC" w14:textId="3F2D8AFC" w:rsidR="00597C74" w:rsidRPr="006C5D80" w:rsidRDefault="000C3B65" w:rsidP="00597C74">
      <w:pPr>
        <w:pStyle w:val="SingleTxt"/>
        <w:rPr>
          <w:iCs/>
        </w:rPr>
      </w:pPr>
      <w:r w:rsidRPr="006C5D80">
        <w:tab/>
      </w:r>
      <w:r w:rsidR="00597C74" w:rsidRPr="006C5D80">
        <w:t>a)</w:t>
      </w:r>
      <w:r w:rsidR="00597C74" w:rsidRPr="006C5D80">
        <w:tab/>
        <w:t>Cualquiera de las partes está, en el momento del matrimonio, legalmente casada con otra persona;</w:t>
      </w:r>
    </w:p>
    <w:p w14:paraId="20529644" w14:textId="5139C382" w:rsidR="00597C74" w:rsidRPr="006C5D80" w:rsidRDefault="000C3B65" w:rsidP="00597C74">
      <w:pPr>
        <w:pStyle w:val="SingleTxt"/>
        <w:rPr>
          <w:iCs/>
        </w:rPr>
      </w:pPr>
      <w:r w:rsidRPr="006C5D80">
        <w:tab/>
      </w:r>
      <w:r w:rsidR="00597C74" w:rsidRPr="006C5D80">
        <w:t>b)</w:t>
      </w:r>
      <w:r w:rsidR="00597C74" w:rsidRPr="006C5D80">
        <w:tab/>
        <w:t>Las partes mantienen una relación prohibida;</w:t>
      </w:r>
    </w:p>
    <w:p w14:paraId="1B5B681A" w14:textId="300E2386" w:rsidR="00597C74" w:rsidRPr="006C5D80" w:rsidRDefault="000C3B65" w:rsidP="00597C74">
      <w:pPr>
        <w:pStyle w:val="SingleTxt"/>
        <w:rPr>
          <w:iCs/>
        </w:rPr>
      </w:pPr>
      <w:r w:rsidRPr="006C5D80">
        <w:lastRenderedPageBreak/>
        <w:tab/>
      </w:r>
      <w:r w:rsidR="00597C74" w:rsidRPr="006C5D80">
        <w:t>c)</w:t>
      </w:r>
      <w:r w:rsidR="00597C74" w:rsidRPr="006C5D80">
        <w:tab/>
        <w:t>El matrimonio no es un matrimonio válido según la ley del lugar donde se celebra el matrimonio por incumplimiento de los requisitos exigidos por la ley de dicho lugar respecto a la forma en que celebran los matrimonios;</w:t>
      </w:r>
    </w:p>
    <w:p w14:paraId="1CB5662B" w14:textId="2975A898" w:rsidR="00597C74" w:rsidRPr="006C5D80" w:rsidRDefault="000C3B65" w:rsidP="00597C74">
      <w:pPr>
        <w:pStyle w:val="SingleTxt"/>
        <w:rPr>
          <w:iCs/>
        </w:rPr>
      </w:pPr>
      <w:r w:rsidRPr="006C5D80">
        <w:tab/>
      </w:r>
      <w:r w:rsidR="00597C74" w:rsidRPr="006C5D80">
        <w:t>d)</w:t>
      </w:r>
      <w:r w:rsidR="00597C74" w:rsidRPr="006C5D80">
        <w:tab/>
        <w:t>El consentimiento al respecto de cualquiera de las partes no es un consentimiento real porque:</w:t>
      </w:r>
    </w:p>
    <w:p w14:paraId="761D465A" w14:textId="21D18BB0" w:rsidR="00597C74" w:rsidRPr="006C5D80" w:rsidRDefault="000C3B65" w:rsidP="00597C74">
      <w:pPr>
        <w:pStyle w:val="SingleTxt"/>
        <w:rPr>
          <w:iCs/>
        </w:rPr>
      </w:pPr>
      <w:r w:rsidRPr="006C5D80">
        <w:tab/>
      </w:r>
      <w:r w:rsidR="00597C74" w:rsidRPr="006C5D80">
        <w:t>i)</w:t>
      </w:r>
      <w:r w:rsidR="00597C74" w:rsidRPr="006C5D80">
        <w:tab/>
        <w:t>Se obtuvo mediante coacción o fraude;</w:t>
      </w:r>
    </w:p>
    <w:p w14:paraId="5C20D684" w14:textId="49DB717C" w:rsidR="00597C74" w:rsidRPr="006C5D80" w:rsidRDefault="000C3B65" w:rsidP="000C3B65">
      <w:pPr>
        <w:pStyle w:val="SingleTxt"/>
        <w:ind w:left="1742" w:hanging="475"/>
        <w:rPr>
          <w:iCs/>
        </w:rPr>
      </w:pPr>
      <w:r w:rsidRPr="006C5D80">
        <w:tab/>
      </w:r>
      <w:r w:rsidR="00597C74" w:rsidRPr="006C5D80">
        <w:t>ii)</w:t>
      </w:r>
      <w:r w:rsidR="00597C74" w:rsidRPr="006C5D80">
        <w:tab/>
        <w:t>Esa parte se equivoca en cuanto a la identidad de la otra parte o en cuanto a la naturaleza de la ceremonia celebrada; o</w:t>
      </w:r>
    </w:p>
    <w:p w14:paraId="72D26E7A" w14:textId="6D7E7274" w:rsidR="00597C74" w:rsidRPr="006C5D80" w:rsidRDefault="000C3B65" w:rsidP="00597C74">
      <w:pPr>
        <w:pStyle w:val="SingleTxt"/>
        <w:rPr>
          <w:iCs/>
        </w:rPr>
      </w:pPr>
      <w:r w:rsidRPr="006C5D80">
        <w:tab/>
      </w:r>
      <w:r w:rsidR="00597C74" w:rsidRPr="006C5D80">
        <w:t>iii)</w:t>
      </w:r>
      <w:r w:rsidR="00597C74" w:rsidRPr="006C5D80">
        <w:tab/>
        <w:t xml:space="preserve">Una parte es mentalmente incapaz de comprender la naturaleza y el efecto </w:t>
      </w:r>
      <w:r w:rsidR="00597C74" w:rsidRPr="006C5D80">
        <w:tab/>
        <w:t>de la ceremonia matrimonial; o</w:t>
      </w:r>
    </w:p>
    <w:p w14:paraId="0DE52713" w14:textId="26F9CE5F" w:rsidR="00597C74" w:rsidRPr="006C5D80" w:rsidRDefault="000C3B65" w:rsidP="00597C74">
      <w:pPr>
        <w:pStyle w:val="SingleTxt"/>
        <w:rPr>
          <w:iCs/>
        </w:rPr>
      </w:pPr>
      <w:r w:rsidRPr="006C5D80">
        <w:tab/>
      </w:r>
      <w:r w:rsidR="00597C74" w:rsidRPr="006C5D80">
        <w:t>e)</w:t>
      </w:r>
      <w:r w:rsidR="00597C74" w:rsidRPr="006C5D80">
        <w:tab/>
        <w:t>Cualquiera de las partes no tiene edad para contraer matrimonio, y no de otro modo.</w:t>
      </w:r>
    </w:p>
    <w:p w14:paraId="2B18B4FB" w14:textId="77777777" w:rsidR="00597C74" w:rsidRPr="006C5D80" w:rsidRDefault="00597C74" w:rsidP="00142BE0">
      <w:pPr>
        <w:pStyle w:val="SingleTxt"/>
        <w:numPr>
          <w:ilvl w:val="0"/>
          <w:numId w:val="40"/>
        </w:numPr>
        <w:ind w:left="1267"/>
      </w:pPr>
      <w:r w:rsidRPr="006C5D80">
        <w:t xml:space="preserve">Como se señala en la sección </w:t>
      </w:r>
      <w:r w:rsidRPr="00C37370">
        <w:t>32</w:t>
      </w:r>
      <w:r w:rsidRPr="006C5D80">
        <w:t xml:space="preserve"> d), el consentimiento para contraer matrimonio no es un consentimiento real si se ha dado por coacción o fraude, lo que responde al compromiso del poder judicial y de Fiji de anular y abordar todas las formas de presión ejercida sobre las víctimas de violación para que contraigan matrimonio con los agresores. Hay solicitudes de orden de nulidad a disposición de todas las personas, a las que se puede acceder en línea y desde las </w:t>
      </w:r>
      <w:r w:rsidRPr="00C37370">
        <w:t>18</w:t>
      </w:r>
      <w:r w:rsidRPr="006C5D80">
        <w:t xml:space="preserve"> secretarías del Tribunal de Familia situadas en las cuatro divisiones, es decir, las divisiones Central, Oriental, Occidental y Septentrional. Las víctimas de violación también tienen la opción de solicitar independientemente una orden de nulidad en la circunstancia de que la otra parte en el matrimonio no esté de acuerdo en presentar dicha solicitud. Las solicitudes de orden de nulidad matrimonial se tramitan ante la División de Familia del Tribunal Superior, que tiene jurisdicción exclusiva en la resolución de esta solicitud, lo cual es clara señal del férreo compromiso de Fiji con la aplicación de los principios de la Convención. En la causa </w:t>
      </w:r>
      <w:r w:rsidRPr="00C37370">
        <w:rPr>
          <w:i/>
          <w:iCs/>
        </w:rPr>
        <w:t xml:space="preserve">NK and ZMR [2009] FJHC </w:t>
      </w:r>
      <w:r w:rsidRPr="00685674">
        <w:rPr>
          <w:i/>
          <w:iCs/>
        </w:rPr>
        <w:t>95;</w:t>
      </w:r>
      <w:r w:rsidRPr="00685674">
        <w:t xml:space="preserve"> causa núm. 0089.2009</w:t>
      </w:r>
      <w:r w:rsidRPr="00685674">
        <w:rPr>
          <w:i/>
          <w:iCs/>
        </w:rPr>
        <w:t xml:space="preserve"> </w:t>
      </w:r>
      <w:r w:rsidRPr="00685674">
        <w:t>(2 de</w:t>
      </w:r>
      <w:r w:rsidRPr="006C5D80">
        <w:t xml:space="preserve"> abril de </w:t>
      </w:r>
      <w:r w:rsidRPr="00C37370">
        <w:t>2009</w:t>
      </w:r>
      <w:r w:rsidRPr="006C5D80">
        <w:t xml:space="preserve">), que es un asunto para una solicitud de nulidad de matrimonio en virtud del artículo </w:t>
      </w:r>
      <w:r w:rsidRPr="00C37370">
        <w:t>32</w:t>
      </w:r>
      <w:r w:rsidRPr="006C5D80">
        <w:t xml:space="preserve"> de la Ley de Derecho de Familia de </w:t>
      </w:r>
      <w:r w:rsidRPr="00C37370">
        <w:t>2003</w:t>
      </w:r>
      <w:r w:rsidRPr="006C5D80">
        <w:t xml:space="preserve"> en el que la esposa presentó una solicitud de nulidad de matrimonio sobre la base de que el matrimonio se celebró sin consentimiento real dado y que fue presionada por su padre y parientes para contraer matrimonio debido a la tradición y las expectativas religiosas de su familia. El Tribunal Superior dictaminó que, al no existir consentimiento real para el matrimonio, este debía declararse nulo. Al dictar sentencia, el Tribunal Superior indicó que los tribunales de Fiji, al aplicar esta ley, debían tener en cuenta, entre otras cosas, los principios consagrados en la Convención y que la ley no permitía que se obligara a nadie a contraer matrimonio, sino que ambas partes debían contraerlo voluntaria y libremente. </w:t>
      </w:r>
    </w:p>
    <w:p w14:paraId="6DE3DA0C" w14:textId="77777777" w:rsidR="00597C74" w:rsidRPr="006C5D80" w:rsidRDefault="00597C74" w:rsidP="00142BE0">
      <w:pPr>
        <w:pStyle w:val="SingleTxt"/>
        <w:numPr>
          <w:ilvl w:val="0"/>
          <w:numId w:val="41"/>
        </w:numPr>
        <w:ind w:left="1267"/>
      </w:pPr>
      <w:r w:rsidRPr="006C5D80">
        <w:t xml:space="preserve">A fin de redoblar los esfuerzos para procesar y castigar a los autores y cómplices de los casos de matrimonio infantil, el matrimonio infantil está prohibido por la legislación de Fiji, según lo dispuesto en el artículo </w:t>
      </w:r>
      <w:r w:rsidRPr="00C37370">
        <w:t>29</w:t>
      </w:r>
      <w:r w:rsidRPr="006C5D80">
        <w:t xml:space="preserve"> de la Ley de Matrimonio de </w:t>
      </w:r>
      <w:r w:rsidRPr="00C37370">
        <w:t>1968</w:t>
      </w:r>
      <w:r w:rsidRPr="006C5D80">
        <w:t>, en el que se tipifica como delito el matrimonio de un menor por cualquier persona de las tres formas siguientes:</w:t>
      </w:r>
    </w:p>
    <w:p w14:paraId="5930E888" w14:textId="2F2574D5" w:rsidR="00597C74" w:rsidRPr="006C5D80" w:rsidRDefault="000C3B65" w:rsidP="00597C74">
      <w:pPr>
        <w:pStyle w:val="SingleTxt"/>
      </w:pPr>
      <w:r w:rsidRPr="006C5D80">
        <w:tab/>
      </w:r>
      <w:r w:rsidR="00597C74" w:rsidRPr="006C5D80">
        <w:t>a)</w:t>
      </w:r>
      <w:r w:rsidR="00597C74" w:rsidRPr="006C5D80">
        <w:tab/>
        <w:t xml:space="preserve">Matrimonio voluntario e ilegal con una persona menor de </w:t>
      </w:r>
      <w:r w:rsidR="00597C74" w:rsidRPr="00C37370">
        <w:t>18</w:t>
      </w:r>
      <w:r w:rsidR="00597C74" w:rsidRPr="006C5D80">
        <w:t xml:space="preserve"> años; o</w:t>
      </w:r>
    </w:p>
    <w:p w14:paraId="44559215" w14:textId="4AFFCD1F" w:rsidR="00597C74" w:rsidRPr="006C5D80" w:rsidRDefault="000C3B65" w:rsidP="00597C74">
      <w:pPr>
        <w:pStyle w:val="SingleTxt"/>
      </w:pPr>
      <w:r w:rsidRPr="006C5D80">
        <w:tab/>
      </w:r>
      <w:r w:rsidR="00597C74" w:rsidRPr="006C5D80">
        <w:t>b)</w:t>
      </w:r>
      <w:r w:rsidR="00597C74" w:rsidRPr="006C5D80">
        <w:tab/>
        <w:t>Inducción o intento de inducción de cualquier agente matrimonial u otra persona a celebrar el matrimonio entre las partes cuando la persona que actúa de este modo sabe que una de las partes del matrimonio es menor de edad; o</w:t>
      </w:r>
    </w:p>
    <w:p w14:paraId="21D1FFF4" w14:textId="526D0284" w:rsidR="00597C74" w:rsidRPr="006C5D80" w:rsidRDefault="000C3B65" w:rsidP="00597C74">
      <w:pPr>
        <w:pStyle w:val="SingleTxt"/>
      </w:pPr>
      <w:r w:rsidRPr="006C5D80">
        <w:tab/>
      </w:r>
      <w:r w:rsidR="00597C74" w:rsidRPr="006C5D80">
        <w:t>c)</w:t>
      </w:r>
      <w:r w:rsidR="00597C74" w:rsidRPr="006C5D80">
        <w:tab/>
        <w:t>Asistencia al autor principal de cualquier acto o intento de los descritos en los párrafos i) y ii), a sabiendas de que una de las partes del matrimonio o del intento de matrimonio es menor de edad.</w:t>
      </w:r>
    </w:p>
    <w:p w14:paraId="105502B1" w14:textId="164196EC" w:rsidR="00597C74" w:rsidRPr="006C5D80" w:rsidRDefault="00597C74" w:rsidP="00142BE0">
      <w:pPr>
        <w:pStyle w:val="SingleTxt"/>
        <w:numPr>
          <w:ilvl w:val="0"/>
          <w:numId w:val="42"/>
        </w:numPr>
        <w:ind w:left="1267"/>
      </w:pPr>
      <w:r w:rsidRPr="006C5D80">
        <w:lastRenderedPageBreak/>
        <w:t xml:space="preserve">El delito de casarse con un menor conlleva una condena a una multa no superior a </w:t>
      </w:r>
      <w:r w:rsidRPr="00C37370">
        <w:t>500</w:t>
      </w:r>
      <w:r w:rsidRPr="006C5D80">
        <w:t xml:space="preserve"> dólares o a una pena de prisión no superior a </w:t>
      </w:r>
      <w:r w:rsidRPr="00C37370">
        <w:t>2</w:t>
      </w:r>
      <w:r w:rsidRPr="006C5D80">
        <w:t xml:space="preserve"> años. Anteriormente, la edad mínima para contraer matrimonio era de </w:t>
      </w:r>
      <w:r w:rsidRPr="00C37370">
        <w:t>18</w:t>
      </w:r>
      <w:r w:rsidRPr="006C5D80">
        <w:t xml:space="preserve"> años para los hombres y de </w:t>
      </w:r>
      <w:r w:rsidRPr="00C37370">
        <w:t>16</w:t>
      </w:r>
      <w:r w:rsidRPr="006C5D80">
        <w:t xml:space="preserve"> para las mujeres, con el consentimiento de los padres.</w:t>
      </w:r>
      <w:r w:rsidR="00D727C4" w:rsidRPr="006C5D80">
        <w:t xml:space="preserve"> </w:t>
      </w:r>
      <w:r w:rsidRPr="006C5D80">
        <w:t xml:space="preserve">Tras la modificación de </w:t>
      </w:r>
      <w:r w:rsidRPr="00C37370">
        <w:t>2009</w:t>
      </w:r>
      <w:r w:rsidRPr="006C5D80">
        <w:t xml:space="preserve">, el artículo </w:t>
      </w:r>
      <w:r w:rsidRPr="00C37370">
        <w:t>29</w:t>
      </w:r>
      <w:r w:rsidRPr="006C5D80">
        <w:t xml:space="preserve">, tal y como se recoge específicamente más arriba, modificó la edad del menor de </w:t>
      </w:r>
      <w:r w:rsidRPr="00C37370">
        <w:t>21</w:t>
      </w:r>
      <w:r w:rsidRPr="006C5D80">
        <w:t xml:space="preserve"> a </w:t>
      </w:r>
      <w:r w:rsidRPr="00C37370">
        <w:t>18</w:t>
      </w:r>
      <w:r w:rsidRPr="006C5D80">
        <w:t xml:space="preserve"> años, y tipificó como delito el hecho de que alguien pretendiera </w:t>
      </w:r>
      <w:r w:rsidR="00D727C4" w:rsidRPr="006C5D80">
        <w:t>“</w:t>
      </w:r>
      <w:r w:rsidRPr="006C5D80">
        <w:t>casar</w:t>
      </w:r>
      <w:r w:rsidR="00D727C4" w:rsidRPr="006C5D80">
        <w:t>”</w:t>
      </w:r>
      <w:r w:rsidRPr="006C5D80">
        <w:t xml:space="preserve"> a un menor, incluidos los agentes matrimoniales y los celebrantes de matrimonios civiles; La Constitución de la República de Fiji, que es su ley suprema, ha consagrado los derechos del niño en el artículo </w:t>
      </w:r>
      <w:r w:rsidRPr="00C37370">
        <w:t>41</w:t>
      </w:r>
      <w:r w:rsidRPr="006C5D80">
        <w:t xml:space="preserve">, que prevé la protección de los niños contra los malos tratos, el abandono, las prácticas culturales nocivas, cualquier forma de violencia, los tratos y castigos inhumanos y el trabajo peligroso o en condiciones de explotación, entre otras disposiciones y protecciones. La Constitución también defiende el interés superior del menor, que es la consideración primordial en todo asunto que le concierna, lo que también es un requisito en virtud de la Ley de Derecho de Familia de </w:t>
      </w:r>
      <w:r w:rsidRPr="00C37370">
        <w:t>2003</w:t>
      </w:r>
      <w:r w:rsidRPr="006C5D80">
        <w:t>.</w:t>
      </w:r>
      <w:r w:rsidR="00D727C4" w:rsidRPr="006C5D80">
        <w:t xml:space="preserve"> </w:t>
      </w:r>
    </w:p>
    <w:p w14:paraId="3982B9DF" w14:textId="77777777" w:rsidR="000C3B65" w:rsidRPr="00C37370" w:rsidRDefault="000C3B65" w:rsidP="000C3B65">
      <w:pPr>
        <w:pStyle w:val="SingleTxt"/>
        <w:spacing w:after="0" w:line="120" w:lineRule="exact"/>
        <w:rPr>
          <w:b/>
          <w:sz w:val="10"/>
        </w:rPr>
      </w:pPr>
    </w:p>
    <w:p w14:paraId="08442947" w14:textId="77777777" w:rsidR="000C3B65" w:rsidRPr="00C37370" w:rsidRDefault="000C3B65" w:rsidP="000C3B65">
      <w:pPr>
        <w:pStyle w:val="SingleTxt"/>
        <w:spacing w:after="0" w:line="120" w:lineRule="exact"/>
        <w:rPr>
          <w:b/>
          <w:sz w:val="10"/>
        </w:rPr>
      </w:pPr>
    </w:p>
    <w:p w14:paraId="28550BFB" w14:textId="04728C73"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10 d) de la lista de cuestiones</w:t>
      </w:r>
    </w:p>
    <w:p w14:paraId="3660D114" w14:textId="77777777" w:rsidR="000C3B65" w:rsidRPr="006C5D80" w:rsidRDefault="000C3B65" w:rsidP="000C3B65">
      <w:pPr>
        <w:pStyle w:val="SingleTxt"/>
        <w:spacing w:after="0" w:line="120" w:lineRule="exact"/>
        <w:rPr>
          <w:sz w:val="10"/>
        </w:rPr>
      </w:pPr>
    </w:p>
    <w:p w14:paraId="6223B077" w14:textId="77777777" w:rsidR="000C3B65" w:rsidRPr="006C5D80" w:rsidRDefault="000C3B65" w:rsidP="000C3B65">
      <w:pPr>
        <w:pStyle w:val="SingleTxt"/>
        <w:spacing w:after="0" w:line="120" w:lineRule="exact"/>
        <w:rPr>
          <w:sz w:val="10"/>
        </w:rPr>
      </w:pPr>
    </w:p>
    <w:p w14:paraId="61B96131" w14:textId="77777777" w:rsidR="00597C74" w:rsidRPr="006C5D80" w:rsidRDefault="00597C74" w:rsidP="00142BE0">
      <w:pPr>
        <w:pStyle w:val="SingleTxt"/>
        <w:numPr>
          <w:ilvl w:val="0"/>
          <w:numId w:val="43"/>
        </w:numPr>
        <w:ind w:left="1267"/>
      </w:pPr>
      <w:r w:rsidRPr="006C5D80">
        <w:t xml:space="preserve">En el artículo </w:t>
      </w:r>
      <w:r w:rsidRPr="00C37370">
        <w:t>91</w:t>
      </w:r>
      <w:r w:rsidRPr="006C5D80">
        <w:t xml:space="preserve"> de la Ley de Relaciones Laborales de </w:t>
      </w:r>
      <w:r w:rsidRPr="00C37370">
        <w:t>2007</w:t>
      </w:r>
      <w:r w:rsidRPr="006C5D80">
        <w:t xml:space="preserve"> se describen las formas de trabajo infantil prohibidas en Fiji:</w:t>
      </w:r>
    </w:p>
    <w:p w14:paraId="1FD279CE" w14:textId="2529BC15" w:rsidR="00597C74" w:rsidRPr="006C5D80" w:rsidRDefault="000C3B65" w:rsidP="00597C74">
      <w:pPr>
        <w:pStyle w:val="SingleTxt"/>
      </w:pPr>
      <w:r w:rsidRPr="006C5D80">
        <w:tab/>
      </w:r>
      <w:r w:rsidR="00597C74" w:rsidRPr="006C5D80">
        <w:t>a)</w:t>
      </w:r>
      <w:r w:rsidR="00597C74" w:rsidRPr="006C5D80">
        <w:tab/>
        <w:t>Todas las formas de esclavitud laboral o las prácticas análogas a la esclavitud, como la venta y la trata de niños, la servidumbre por deudas y cualquier forma de trabajo forzoso u obligatorio, incluido el reclutamiento forzoso u obligatorio de niños para utilizarlos en conflictos armados.</w:t>
      </w:r>
    </w:p>
    <w:p w14:paraId="6897A7FA" w14:textId="4D2130CB" w:rsidR="00597C74" w:rsidRPr="006C5D80" w:rsidRDefault="000C3B65" w:rsidP="00597C74">
      <w:pPr>
        <w:pStyle w:val="SingleTxt"/>
      </w:pPr>
      <w:r w:rsidRPr="006C5D80">
        <w:tab/>
      </w:r>
      <w:r w:rsidR="00597C74" w:rsidRPr="006C5D80">
        <w:t>b)</w:t>
      </w:r>
      <w:r w:rsidR="00597C74" w:rsidRPr="006C5D80">
        <w:tab/>
        <w:t>La utilización, el reclutamiento o la oferta de niños para la realización de actividades ilícitas, en particular la producción y el tráfico de estupefacientes, tal como se definen en los tratados internacionales pertinentes. o</w:t>
      </w:r>
    </w:p>
    <w:p w14:paraId="1D14215A" w14:textId="0D59BA4F" w:rsidR="00597C74" w:rsidRPr="006C5D80" w:rsidRDefault="000C3B65" w:rsidP="00597C74">
      <w:pPr>
        <w:pStyle w:val="SingleTxt"/>
      </w:pPr>
      <w:r w:rsidRPr="006C5D80">
        <w:tab/>
      </w:r>
      <w:r w:rsidR="00597C74" w:rsidRPr="006C5D80">
        <w:t>c)</w:t>
      </w:r>
      <w:r w:rsidR="00597C74" w:rsidRPr="006C5D80">
        <w:tab/>
        <w:t>La utilización, contratación u oferta de niños para la prostitución, la producción de pornografía o actuaciones pornográficas; la persona que emplee a un niño en una de estas formas prohibidas de trabajo infantil comete un delito.</w:t>
      </w:r>
    </w:p>
    <w:p w14:paraId="28503304" w14:textId="4571E4E4" w:rsidR="00597C74" w:rsidRPr="006C5D80" w:rsidRDefault="00597C74" w:rsidP="00142BE0">
      <w:pPr>
        <w:pStyle w:val="SingleTxt"/>
        <w:numPr>
          <w:ilvl w:val="0"/>
          <w:numId w:val="43"/>
        </w:numPr>
        <w:ind w:left="1267"/>
      </w:pPr>
      <w:r w:rsidRPr="006C5D80">
        <w:t xml:space="preserve">Además, la edad mínima para el empleo de niños en Fiji es de </w:t>
      </w:r>
      <w:r w:rsidRPr="00C37370">
        <w:t>15</w:t>
      </w:r>
      <w:r w:rsidRPr="006C5D80">
        <w:t xml:space="preserve"> años y un niño de entre </w:t>
      </w:r>
      <w:r w:rsidRPr="00C37370">
        <w:t>13</w:t>
      </w:r>
      <w:r w:rsidRPr="006C5D80">
        <w:t xml:space="preserve"> y </w:t>
      </w:r>
      <w:r w:rsidRPr="00C37370">
        <w:t>15</w:t>
      </w:r>
      <w:r w:rsidRPr="006C5D80">
        <w:t xml:space="preserve"> años no debe ser empleado en ninguna otra función que no sea la de empleo o trabajo ligero en un lugar de trabajo en el que estén empleados miembros de la misma familia o de un grupo comunal o religioso, siempre que dicho empleo no pueda ser perjudicial para la salud o el desarrollo del niño, y que el empleo no pueda perjudicar la asistencia del niño a la escuela, su participación en programas de orientación o formación profesional aprobados por una autoridad competente o su capacidad para beneficiarse de la instrucción recibida. Toda persona que emplee a un menor de </w:t>
      </w:r>
      <w:r w:rsidRPr="00C37370">
        <w:t>15</w:t>
      </w:r>
      <w:r w:rsidRPr="006C5D80">
        <w:t xml:space="preserve"> años comete un delito. El contenido de los planes de estudios del Ministerio de Educación promueve imágenes positivas de las niñas; por ejemplo, el nuevo plan de estudios de alfabetización y aritmética elemental permite a los niños desarrollar el respeto y la sensibilidad hacia los demás, en particular hacia aquellos cuyo sexo, capacidades, fe y creencias son diferentes de los suyos. Fomenta el discernimiento y capacita a los niños para combatir los prejuicios, la discriminación y la violencia contra las mujeres, las niñas y los niños. Otras asignaturas son Valores Morales y Educación Cívica en primaria y Educación para la Vida Familiar en secundaria.</w:t>
      </w:r>
      <w:r w:rsidR="00D727C4" w:rsidRPr="006C5D80">
        <w:t xml:space="preserve"> </w:t>
      </w:r>
      <w:r w:rsidRPr="006C5D80">
        <w:t xml:space="preserve">Además de esto, las escuelas también promueven programas cocurriculares como </w:t>
      </w:r>
      <w:r w:rsidR="00D727C4" w:rsidRPr="006C5D80">
        <w:t>“</w:t>
      </w:r>
      <w:r w:rsidRPr="006C5D80">
        <w:t>Cadete</w:t>
      </w:r>
      <w:r w:rsidR="00D727C4" w:rsidRPr="006C5D80">
        <w:t>”</w:t>
      </w:r>
      <w:r w:rsidRPr="006C5D80">
        <w:t xml:space="preserve">, </w:t>
      </w:r>
      <w:r w:rsidR="00D727C4" w:rsidRPr="006C5D80">
        <w:t>“</w:t>
      </w:r>
      <w:r w:rsidRPr="006C5D80">
        <w:t>Niñas guías</w:t>
      </w:r>
      <w:r w:rsidR="00D727C4" w:rsidRPr="006C5D80">
        <w:t>”</w:t>
      </w:r>
      <w:r w:rsidRPr="006C5D80">
        <w:t xml:space="preserve"> y </w:t>
      </w:r>
      <w:r w:rsidR="00D727C4" w:rsidRPr="006C5D80">
        <w:t>“</w:t>
      </w:r>
      <w:r w:rsidRPr="006C5D80">
        <w:t>Campeones del cambio</w:t>
      </w:r>
      <w:r w:rsidR="00D727C4" w:rsidRPr="006C5D80">
        <w:t>”</w:t>
      </w:r>
      <w:r w:rsidRPr="006C5D80">
        <w:t>.</w:t>
      </w:r>
      <w:r w:rsidR="00D727C4" w:rsidRPr="006C5D80">
        <w:t xml:space="preserve"> </w:t>
      </w:r>
      <w:r w:rsidRPr="006C5D80">
        <w:t xml:space="preserve">También se enseñan habilidades empresariales para dotar a los estudiantes de aptitudes sostenibles para toda la vida. El Mecanismo Nacional para las Mujeres ha incluido a las niñas en el Plan de Acción Nacional de Fiji para Prevenir la Violencia contra Todas las Mujeres y las Niñas, por lo que se está abordando la violencia contra las mujeres </w:t>
      </w:r>
      <w:r w:rsidRPr="006C5D80">
        <w:lastRenderedPageBreak/>
        <w:t>de todas las edades. La Fuerza de Policía de Fiji ha puesto en marcha el Programa Luz Azul que</w:t>
      </w:r>
    </w:p>
    <w:p w14:paraId="2BB5BF43" w14:textId="77777777" w:rsidR="000C3B65" w:rsidRPr="006C5D80" w:rsidRDefault="000C3B65" w:rsidP="000C3B65">
      <w:pPr>
        <w:pStyle w:val="SingleTxt"/>
        <w:spacing w:after="0" w:line="120" w:lineRule="exact"/>
        <w:rPr>
          <w:sz w:val="10"/>
        </w:rPr>
      </w:pPr>
    </w:p>
    <w:p w14:paraId="57EA0D48" w14:textId="77777777" w:rsidR="000C3B65" w:rsidRPr="006C5D80" w:rsidRDefault="000C3B65" w:rsidP="000C3B65">
      <w:pPr>
        <w:pStyle w:val="SingleTxt"/>
        <w:spacing w:after="0" w:line="120" w:lineRule="exact"/>
        <w:rPr>
          <w:sz w:val="10"/>
        </w:rPr>
      </w:pPr>
    </w:p>
    <w:p w14:paraId="27C1F892" w14:textId="75B6F3A6"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Trata y explotación de la prostitución</w:t>
      </w:r>
    </w:p>
    <w:p w14:paraId="0F9A4A88" w14:textId="77777777" w:rsidR="000C3B65" w:rsidRPr="006C5D80" w:rsidRDefault="000C3B65" w:rsidP="000C3B65">
      <w:pPr>
        <w:pStyle w:val="SingleTxt"/>
        <w:spacing w:after="0" w:line="120" w:lineRule="exact"/>
        <w:rPr>
          <w:sz w:val="10"/>
        </w:rPr>
      </w:pPr>
    </w:p>
    <w:p w14:paraId="3F8F06A7" w14:textId="77777777" w:rsidR="000C3B65" w:rsidRPr="006C5D80" w:rsidRDefault="000C3B65" w:rsidP="000C3B65">
      <w:pPr>
        <w:pStyle w:val="SingleTxt"/>
        <w:spacing w:after="0" w:line="120" w:lineRule="exact"/>
        <w:rPr>
          <w:sz w:val="10"/>
        </w:rPr>
      </w:pPr>
    </w:p>
    <w:p w14:paraId="5769C3E4"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11 a) de la lista de cuestiones</w:t>
      </w:r>
    </w:p>
    <w:p w14:paraId="79FB0375" w14:textId="77777777" w:rsidR="000C3B65" w:rsidRPr="006C5D80" w:rsidRDefault="000C3B65" w:rsidP="000C3B65">
      <w:pPr>
        <w:pStyle w:val="SingleTxt"/>
        <w:spacing w:after="0" w:line="120" w:lineRule="exact"/>
        <w:rPr>
          <w:sz w:val="10"/>
        </w:rPr>
      </w:pPr>
    </w:p>
    <w:p w14:paraId="513A5A65" w14:textId="77777777" w:rsidR="000C3B65" w:rsidRPr="006C5D80" w:rsidRDefault="000C3B65" w:rsidP="000C3B65">
      <w:pPr>
        <w:pStyle w:val="SingleTxt"/>
        <w:spacing w:after="0" w:line="120" w:lineRule="exact"/>
        <w:rPr>
          <w:sz w:val="10"/>
        </w:rPr>
      </w:pPr>
    </w:p>
    <w:p w14:paraId="0F8CED47" w14:textId="688DA44B" w:rsidR="00597C74" w:rsidRPr="006C5D80" w:rsidRDefault="00597C74" w:rsidP="00142BE0">
      <w:pPr>
        <w:pStyle w:val="SingleTxt"/>
        <w:numPr>
          <w:ilvl w:val="0"/>
          <w:numId w:val="44"/>
        </w:numPr>
        <w:ind w:left="1267"/>
      </w:pPr>
      <w:r w:rsidRPr="006C5D80">
        <w:t xml:space="preserve">La Ley Penal de </w:t>
      </w:r>
      <w:r w:rsidRPr="00C37370">
        <w:t>2009</w:t>
      </w:r>
      <w:r w:rsidRPr="006C5D80">
        <w:t xml:space="preserve">, que entró en vigor el </w:t>
      </w:r>
      <w:r w:rsidRPr="00C37370">
        <w:t>1</w:t>
      </w:r>
      <w:r w:rsidRPr="006C5D80">
        <w:t xml:space="preserve"> de febrero de </w:t>
      </w:r>
      <w:r w:rsidRPr="00C37370">
        <w:t>2010</w:t>
      </w:r>
      <w:r w:rsidRPr="006C5D80">
        <w:t xml:space="preserve">, crea una serie de delitos diseñados para cumplir con la obligación de Fiji en virtud de la Convención de las Naciones Unidas contra la Delincuencia Organizada Transnacional y dos de sus tres protocolos, el Protocolo para Prevenir, Reprimir y Sancionar la Trata de Personas, Especialmente Mujeres y Niños (Protocolo contra la Trata de Personas) y el Protocolo contra el Tráfico Ilícito de Migrantes por Tierra, Mar y Aire (Protocolo contra el Tráfico Ilícito de Migrantes). Al tipificar como delito la trata y el tráfico de personas en su legislación nacional, Fiji ha demostrado su compromiso de abordar eficazmente este problema mundial. La trata de personas es una cuestión de derechos humanos. Los tratantes actúan animados por la codicia y se aprovechan de víctimas vulnerables. Los traficantes utilizan tácticas coercitivas, como el engaño, el fraude, la intimidación, el aislamiento, la amenaza y el uso de la fuerza física y la servidumbre por deudas para controlar a sus víctimas. Por lo general, las víctimas son sometidas a formas degradantes de explotación, como la prostitución forzada, la servidumbre doméstica y otros tipos de trabajo. Los artículos pertinentes en la Ley Penal de </w:t>
      </w:r>
      <w:r w:rsidRPr="00C37370">
        <w:t>2009</w:t>
      </w:r>
      <w:r w:rsidRPr="006C5D80">
        <w:t xml:space="preserve"> son la División </w:t>
      </w:r>
      <w:r w:rsidRPr="00C37370">
        <w:t>6</w:t>
      </w:r>
      <w:r w:rsidRPr="006C5D80">
        <w:t xml:space="preserve"> para la Trata de Personas y Niños. Con el fin de poner en práctica la legislación mencionada anteriormente, el Ministerio de Interior e Inmigración, organismo principal en la elaboración de la Estrategia Nacional contra la Trata de Seres Humanos, ha elaborado estas políticas. Para aplicar la estrategia, también se elaboró un plan de acción nacional de lucha contra la trata de personas. Al frente de la aplicación estuvo un grupo de trabajo nacional, que abarcó a </w:t>
      </w:r>
      <w:r w:rsidR="00D727C4" w:rsidRPr="006C5D80">
        <w:t>“</w:t>
      </w:r>
      <w:r w:rsidRPr="006C5D80">
        <w:t>toda la nación</w:t>
      </w:r>
      <w:r w:rsidR="00D727C4" w:rsidRPr="006C5D80">
        <w:t>”</w:t>
      </w:r>
      <w:r w:rsidRPr="006C5D80">
        <w:t xml:space="preserve"> y estuvo formado por funcionarios gubernamentales y de ONG.</w:t>
      </w:r>
    </w:p>
    <w:p w14:paraId="52556354" w14:textId="77777777" w:rsidR="000C3B65" w:rsidRPr="00C37370" w:rsidRDefault="000C3B65" w:rsidP="000C3B65">
      <w:pPr>
        <w:pStyle w:val="SingleTxt"/>
        <w:spacing w:after="0" w:line="120" w:lineRule="exact"/>
        <w:rPr>
          <w:b/>
          <w:sz w:val="10"/>
        </w:rPr>
      </w:pPr>
    </w:p>
    <w:p w14:paraId="4533EA14" w14:textId="77777777" w:rsidR="000C3B65" w:rsidRPr="00C37370" w:rsidRDefault="000C3B65" w:rsidP="000C3B65">
      <w:pPr>
        <w:pStyle w:val="SingleTxt"/>
        <w:spacing w:after="0" w:line="120" w:lineRule="exact"/>
        <w:rPr>
          <w:b/>
          <w:sz w:val="10"/>
        </w:rPr>
      </w:pPr>
    </w:p>
    <w:p w14:paraId="2C778267" w14:textId="60B9C8B3"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11 b) de la lista de cuestiones</w:t>
      </w:r>
    </w:p>
    <w:p w14:paraId="33F023A0" w14:textId="77777777" w:rsidR="000C3B65" w:rsidRPr="006C5D80" w:rsidRDefault="000C3B65" w:rsidP="000C3B65">
      <w:pPr>
        <w:pStyle w:val="SingleTxt"/>
        <w:spacing w:after="0" w:line="120" w:lineRule="exact"/>
        <w:rPr>
          <w:sz w:val="10"/>
        </w:rPr>
      </w:pPr>
    </w:p>
    <w:p w14:paraId="1B8C4B52" w14:textId="77777777" w:rsidR="000C3B65" w:rsidRPr="006C5D80" w:rsidRDefault="000C3B65" w:rsidP="000C3B65">
      <w:pPr>
        <w:pStyle w:val="SingleTxt"/>
        <w:spacing w:after="0" w:line="120" w:lineRule="exact"/>
        <w:rPr>
          <w:sz w:val="10"/>
        </w:rPr>
      </w:pPr>
    </w:p>
    <w:p w14:paraId="7FD27970" w14:textId="7050FFD7" w:rsidR="00597C74" w:rsidRPr="006C5D80" w:rsidRDefault="00597C74" w:rsidP="00142BE0">
      <w:pPr>
        <w:pStyle w:val="SingleTxt"/>
        <w:numPr>
          <w:ilvl w:val="0"/>
          <w:numId w:val="45"/>
        </w:numPr>
        <w:ind w:left="1267"/>
      </w:pPr>
      <w:r w:rsidRPr="006C5D80">
        <w:t xml:space="preserve">El plan de acción nacional de lucha contra la trata de personas, que trata de la aplicación de la Estrategia Nacional de Lucha contra la Trata de Seres Humanos, es un documento que contiene acciones de </w:t>
      </w:r>
      <w:r w:rsidR="00D727C4" w:rsidRPr="006C5D80">
        <w:t>“</w:t>
      </w:r>
      <w:r w:rsidRPr="006C5D80">
        <w:t>toda la nación</w:t>
      </w:r>
      <w:r w:rsidR="00D727C4" w:rsidRPr="006C5D80">
        <w:t>”</w:t>
      </w:r>
      <w:r w:rsidRPr="006C5D80">
        <w:t xml:space="preserve"> para combatir la trata de seres humanos. Esto incluye, sin limitarse a estas, las intervenciones de las fuerzas de seguridad para perseguir a los grupos organizados delictivos que se dedican a la trata de seres humanos. Esto requeriría un análisis más profundo de las estructuras existentes y la mejor manera de combatirlas para lograr el éxito a largo plazo.</w:t>
      </w:r>
    </w:p>
    <w:p w14:paraId="5E6A35E4" w14:textId="77777777" w:rsidR="000C3B65" w:rsidRPr="006C5D80" w:rsidRDefault="000C3B65" w:rsidP="000C3B65">
      <w:pPr>
        <w:pStyle w:val="SingleTxt"/>
        <w:spacing w:after="0" w:line="120" w:lineRule="exact"/>
        <w:rPr>
          <w:sz w:val="10"/>
        </w:rPr>
      </w:pPr>
    </w:p>
    <w:p w14:paraId="0B7FC0FC" w14:textId="77777777" w:rsidR="000C3B65" w:rsidRPr="006C5D80" w:rsidRDefault="000C3B65" w:rsidP="000C3B65">
      <w:pPr>
        <w:pStyle w:val="SingleTxt"/>
        <w:spacing w:after="0" w:line="120" w:lineRule="exact"/>
        <w:rPr>
          <w:sz w:val="10"/>
        </w:rPr>
      </w:pPr>
    </w:p>
    <w:p w14:paraId="4889BD97"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11 c) de la lista de cuestiones</w:t>
      </w:r>
    </w:p>
    <w:p w14:paraId="7C0B79F7" w14:textId="77777777" w:rsidR="000C3B65" w:rsidRPr="006C5D80" w:rsidRDefault="000C3B65" w:rsidP="000C3B65">
      <w:pPr>
        <w:pStyle w:val="SingleTxt"/>
        <w:spacing w:after="0" w:line="120" w:lineRule="exact"/>
        <w:rPr>
          <w:sz w:val="10"/>
        </w:rPr>
      </w:pPr>
    </w:p>
    <w:p w14:paraId="09AF6268" w14:textId="77777777" w:rsidR="000C3B65" w:rsidRPr="006C5D80" w:rsidRDefault="000C3B65" w:rsidP="000C3B65">
      <w:pPr>
        <w:pStyle w:val="SingleTxt"/>
        <w:spacing w:after="0" w:line="120" w:lineRule="exact"/>
        <w:rPr>
          <w:sz w:val="10"/>
        </w:rPr>
      </w:pPr>
    </w:p>
    <w:p w14:paraId="673B2617" w14:textId="00E56A91" w:rsidR="00597C74" w:rsidRPr="006C5D80" w:rsidRDefault="00597C74" w:rsidP="00142BE0">
      <w:pPr>
        <w:pStyle w:val="SingleTxt"/>
        <w:numPr>
          <w:ilvl w:val="0"/>
          <w:numId w:val="46"/>
        </w:numPr>
        <w:ind w:left="1267"/>
      </w:pPr>
      <w:r w:rsidRPr="006C5D80">
        <w:t xml:space="preserve">El Plan de Acción Nacional de Lucha contra la Trata de Seres Humanos contempla todas las acciones necesarias para combatirla. Esto también incluye la capacitación y sensibilización de todas las partes interesadas para combatir todas las formas de trata de personas. Además, el papel de Fiji como centro de transporte regional la convierte en una posible zona de tránsito para la trata de personas. Como parte de las medidas para hacer frente a la cuestión de la trata de personas, la Ley Penal de </w:t>
      </w:r>
      <w:r w:rsidRPr="00C37370">
        <w:t>2009</w:t>
      </w:r>
      <w:r w:rsidRPr="006C5D80">
        <w:t xml:space="preserve">, en sus artículos </w:t>
      </w:r>
      <w:r w:rsidRPr="00C37370">
        <w:t>111</w:t>
      </w:r>
      <w:r w:rsidRPr="006C5D80">
        <w:t xml:space="preserve"> a </w:t>
      </w:r>
      <w:r w:rsidRPr="00C37370">
        <w:t>121</w:t>
      </w:r>
      <w:r w:rsidRPr="006C5D80">
        <w:t xml:space="preserve">, tipifica la trata y el artículo </w:t>
      </w:r>
      <w:r w:rsidRPr="00C37370">
        <w:t>117</w:t>
      </w:r>
      <w:r w:rsidRPr="006C5D80">
        <w:t xml:space="preserve"> contempla específicamente el delito de </w:t>
      </w:r>
      <w:r w:rsidR="00D727C4" w:rsidRPr="006C5D80">
        <w:t>“</w:t>
      </w:r>
      <w:r w:rsidRPr="006C5D80">
        <w:t>trata de personas y niños</w:t>
      </w:r>
      <w:r w:rsidR="00D727C4" w:rsidRPr="006C5D80">
        <w:t>”</w:t>
      </w:r>
      <w:r w:rsidRPr="006C5D80">
        <w:t xml:space="preserve">. No solo castiga el tráfico internacional, sino también el nacional. Esta legislación prevé penas más severas para los infractores, que van de un mínimo de </w:t>
      </w:r>
      <w:r w:rsidRPr="00C37370">
        <w:t>12</w:t>
      </w:r>
      <w:r w:rsidRPr="006C5D80">
        <w:t xml:space="preserve"> años a un máximo de </w:t>
      </w:r>
      <w:r w:rsidRPr="00C37370">
        <w:t>25</w:t>
      </w:r>
      <w:r w:rsidRPr="006C5D80">
        <w:t xml:space="preserve"> años de prisión. </w:t>
      </w:r>
      <w:r w:rsidRPr="006C5D80">
        <w:lastRenderedPageBreak/>
        <w:t>La Policía de Fronteras imparte formación interna y capacitación integrada con las partes interesadas pertinentes para reforzar la seguridad fronteriza.</w:t>
      </w:r>
      <w:r w:rsidR="00D727C4" w:rsidRPr="006C5D80">
        <w:t xml:space="preserve"> </w:t>
      </w:r>
      <w:r w:rsidRPr="006C5D80">
        <w:t>Las mujeres policía se distribuyen uniformemente para proporcionar seguridad o en los casos en que se requiere asistencia femenina para los viajeros locales e internacionales.</w:t>
      </w:r>
    </w:p>
    <w:p w14:paraId="076B4B1E" w14:textId="77777777" w:rsidR="000C3B65" w:rsidRPr="006C5D80" w:rsidRDefault="000C3B65" w:rsidP="000C3B65">
      <w:pPr>
        <w:pStyle w:val="SingleTxt"/>
        <w:spacing w:after="0" w:line="120" w:lineRule="exact"/>
        <w:rPr>
          <w:sz w:val="10"/>
        </w:rPr>
      </w:pPr>
    </w:p>
    <w:p w14:paraId="7B17407B" w14:textId="77777777" w:rsidR="000C3B65" w:rsidRPr="006C5D80" w:rsidRDefault="000C3B65" w:rsidP="000C3B65">
      <w:pPr>
        <w:pStyle w:val="SingleTxt"/>
        <w:spacing w:after="0" w:line="120" w:lineRule="exact"/>
        <w:rPr>
          <w:sz w:val="10"/>
        </w:rPr>
      </w:pPr>
    </w:p>
    <w:p w14:paraId="63313132"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11 d) de la lista de cuestiones</w:t>
      </w:r>
    </w:p>
    <w:p w14:paraId="2C007A74" w14:textId="77777777" w:rsidR="000C3B65" w:rsidRPr="006C5D80" w:rsidRDefault="000C3B65" w:rsidP="000C3B65">
      <w:pPr>
        <w:pStyle w:val="SingleTxt"/>
        <w:spacing w:after="0" w:line="120" w:lineRule="exact"/>
        <w:rPr>
          <w:sz w:val="10"/>
        </w:rPr>
      </w:pPr>
    </w:p>
    <w:p w14:paraId="5D9B50C7" w14:textId="77777777" w:rsidR="000C3B65" w:rsidRPr="006C5D80" w:rsidRDefault="000C3B65" w:rsidP="000C3B65">
      <w:pPr>
        <w:pStyle w:val="SingleTxt"/>
        <w:spacing w:after="0" w:line="120" w:lineRule="exact"/>
        <w:rPr>
          <w:sz w:val="10"/>
        </w:rPr>
      </w:pPr>
    </w:p>
    <w:p w14:paraId="71393A21" w14:textId="77777777" w:rsidR="00597C74" w:rsidRPr="006C5D80" w:rsidRDefault="00597C74" w:rsidP="00142BE0">
      <w:pPr>
        <w:pStyle w:val="SingleTxt"/>
        <w:numPr>
          <w:ilvl w:val="0"/>
          <w:numId w:val="47"/>
        </w:numPr>
        <w:ind w:left="1267"/>
      </w:pPr>
      <w:r w:rsidRPr="006C5D80">
        <w:t>La labor sobre esta cuestión se articula en el Plan de Acción Nacional de Lucha contra la Trata de Personas (</w:t>
      </w:r>
      <w:r w:rsidRPr="00C37370">
        <w:t>2021</w:t>
      </w:r>
      <w:r w:rsidRPr="006C5D80">
        <w:t>-</w:t>
      </w:r>
      <w:r w:rsidRPr="00C37370">
        <w:t>2026</w:t>
      </w:r>
      <w:r w:rsidRPr="006C5D80">
        <w:t>) de la República de Fiji. Hay cuatro pilares que apoyan el Plan de Acción Nacional. El apoyo a las víctimas y la rehabilitación se incluye en el pilar de protección. Este pilar dispone un enfoque coordinado y de colaboración para el apoyo y la rehabilitación de las víctimas a corto, medio y largo plazo, en el que el Gobierno colabore con la sociedad civil y las organizaciones confesionales para llevar a cabo esta importante y delicada labor.</w:t>
      </w:r>
    </w:p>
    <w:p w14:paraId="35E94860" w14:textId="77777777" w:rsidR="000C3B65" w:rsidRPr="006C5D80" w:rsidRDefault="000C3B65" w:rsidP="000C3B65">
      <w:pPr>
        <w:pStyle w:val="SingleTxt"/>
        <w:spacing w:after="0" w:line="120" w:lineRule="exact"/>
        <w:rPr>
          <w:sz w:val="10"/>
        </w:rPr>
      </w:pPr>
    </w:p>
    <w:p w14:paraId="45A28E04" w14:textId="77777777" w:rsidR="000C3B65" w:rsidRPr="006C5D80" w:rsidRDefault="000C3B65" w:rsidP="000C3B65">
      <w:pPr>
        <w:pStyle w:val="SingleTxt"/>
        <w:spacing w:after="0" w:line="120" w:lineRule="exact"/>
        <w:rPr>
          <w:sz w:val="10"/>
        </w:rPr>
      </w:pPr>
    </w:p>
    <w:p w14:paraId="3B780491"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12 a) de la lista de cuestiones</w:t>
      </w:r>
      <w:bookmarkStart w:id="6" w:name="_Hlk187413555"/>
      <w:bookmarkEnd w:id="6"/>
    </w:p>
    <w:p w14:paraId="54F2630D" w14:textId="77777777" w:rsidR="000C3B65" w:rsidRPr="006C5D80" w:rsidRDefault="000C3B65" w:rsidP="000C3B65">
      <w:pPr>
        <w:pStyle w:val="SingleTxt"/>
        <w:spacing w:after="0" w:line="120" w:lineRule="exact"/>
        <w:rPr>
          <w:sz w:val="10"/>
        </w:rPr>
      </w:pPr>
    </w:p>
    <w:p w14:paraId="23BE4229" w14:textId="77777777" w:rsidR="000C3B65" w:rsidRPr="006C5D80" w:rsidRDefault="000C3B65" w:rsidP="000C3B65">
      <w:pPr>
        <w:pStyle w:val="SingleTxt"/>
        <w:spacing w:after="0" w:line="120" w:lineRule="exact"/>
        <w:rPr>
          <w:sz w:val="10"/>
        </w:rPr>
      </w:pPr>
    </w:p>
    <w:p w14:paraId="0653FCD4" w14:textId="3CCC3406" w:rsidR="00597C74" w:rsidRPr="006C5D80" w:rsidRDefault="00597C74" w:rsidP="00142BE0">
      <w:pPr>
        <w:pStyle w:val="SingleTxt"/>
        <w:numPr>
          <w:ilvl w:val="0"/>
          <w:numId w:val="48"/>
        </w:numPr>
        <w:ind w:left="1267"/>
      </w:pPr>
      <w:r w:rsidRPr="004B1B5C">
        <w:rPr>
          <w:spacing w:val="0"/>
        </w:rPr>
        <w:t xml:space="preserve">En relación con la legislación y la normativa, con el fin despenalizar a las mujeres explotadas en la prostitución, en la Sección </w:t>
      </w:r>
      <w:r w:rsidRPr="00C37370">
        <w:rPr>
          <w:spacing w:val="0"/>
        </w:rPr>
        <w:t>13</w:t>
      </w:r>
      <w:r w:rsidRPr="004B1B5C">
        <w:rPr>
          <w:spacing w:val="0"/>
        </w:rPr>
        <w:t xml:space="preserve"> de la Ley Penal de </w:t>
      </w:r>
      <w:r w:rsidRPr="00C37370">
        <w:rPr>
          <w:spacing w:val="0"/>
        </w:rPr>
        <w:t>2009</w:t>
      </w:r>
      <w:r w:rsidRPr="004B1B5C">
        <w:rPr>
          <w:spacing w:val="0"/>
        </w:rPr>
        <w:t xml:space="preserve"> se describen los delitos de prostitución. Para cualquier modificación de la ley debe venir a través de la línea del Ministerio para la aprobación del Gabinete para la revisión de la Ley Penal de </w:t>
      </w:r>
      <w:r w:rsidRPr="00C37370">
        <w:rPr>
          <w:spacing w:val="0"/>
        </w:rPr>
        <w:t>2009</w:t>
      </w:r>
      <w:r w:rsidRPr="004B1B5C">
        <w:rPr>
          <w:spacing w:val="0"/>
        </w:rPr>
        <w:t>, que es el Ministerio de Justicia.</w:t>
      </w:r>
      <w:r w:rsidR="00D727C4" w:rsidRPr="004B1B5C">
        <w:rPr>
          <w:spacing w:val="0"/>
        </w:rPr>
        <w:t xml:space="preserve"> </w:t>
      </w:r>
      <w:r w:rsidRPr="004B1B5C">
        <w:rPr>
          <w:spacing w:val="0"/>
        </w:rPr>
        <w:t>La revisión de la legislación puede ser iniciada por el poder legislativo a través de la Comisión de Revisión de la Ley</w:t>
      </w:r>
      <w:r w:rsidRPr="006C5D80">
        <w:t>.</w:t>
      </w:r>
    </w:p>
    <w:p w14:paraId="3516CD7E" w14:textId="77777777" w:rsidR="000C3B65" w:rsidRPr="006C5D80" w:rsidRDefault="000C3B65" w:rsidP="000C3B65">
      <w:pPr>
        <w:pStyle w:val="SingleTxt"/>
        <w:spacing w:after="0" w:line="120" w:lineRule="exact"/>
        <w:rPr>
          <w:sz w:val="10"/>
        </w:rPr>
      </w:pPr>
    </w:p>
    <w:p w14:paraId="201DDA32" w14:textId="77777777" w:rsidR="000C3B65" w:rsidRPr="006C5D80" w:rsidRDefault="000C3B65" w:rsidP="000C3B65">
      <w:pPr>
        <w:pStyle w:val="SingleTxt"/>
        <w:spacing w:after="0" w:line="120" w:lineRule="exact"/>
        <w:rPr>
          <w:sz w:val="10"/>
        </w:rPr>
      </w:pPr>
    </w:p>
    <w:p w14:paraId="5F1715CC" w14:textId="77777777" w:rsidR="00597C74" w:rsidRPr="00C37370" w:rsidRDefault="00597C74" w:rsidP="000C3B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12 b) de la lista de cuestiones</w:t>
      </w:r>
    </w:p>
    <w:p w14:paraId="179E6140" w14:textId="77777777" w:rsidR="00142BE0" w:rsidRPr="006C5D80" w:rsidRDefault="00142BE0" w:rsidP="00142BE0">
      <w:pPr>
        <w:pStyle w:val="SingleTxt"/>
        <w:spacing w:after="0" w:line="120" w:lineRule="exact"/>
        <w:rPr>
          <w:sz w:val="10"/>
        </w:rPr>
      </w:pPr>
    </w:p>
    <w:p w14:paraId="1871450A" w14:textId="77777777" w:rsidR="00142BE0" w:rsidRPr="006C5D80" w:rsidRDefault="00142BE0" w:rsidP="00142BE0">
      <w:pPr>
        <w:pStyle w:val="SingleTxt"/>
        <w:spacing w:after="0" w:line="120" w:lineRule="exact"/>
        <w:rPr>
          <w:sz w:val="10"/>
        </w:rPr>
      </w:pPr>
    </w:p>
    <w:p w14:paraId="13AC2993" w14:textId="77777777" w:rsidR="00597C74" w:rsidRPr="006C5D80" w:rsidRDefault="00597C74" w:rsidP="00142BE0">
      <w:pPr>
        <w:pStyle w:val="SingleTxt"/>
        <w:numPr>
          <w:ilvl w:val="0"/>
          <w:numId w:val="49"/>
        </w:numPr>
        <w:ind w:left="1267"/>
      </w:pPr>
      <w:r w:rsidRPr="006C5D80">
        <w:t xml:space="preserve">En los artículos </w:t>
      </w:r>
      <w:r w:rsidRPr="00C37370">
        <w:t>88</w:t>
      </w:r>
      <w:r w:rsidRPr="006C5D80">
        <w:t xml:space="preserve"> a </w:t>
      </w:r>
      <w:r w:rsidRPr="00C37370">
        <w:t>94</w:t>
      </w:r>
      <w:r w:rsidRPr="006C5D80">
        <w:t xml:space="preserve"> de la Ley de Derecho de Familia de </w:t>
      </w:r>
      <w:r w:rsidRPr="00C37370">
        <w:t>2003</w:t>
      </w:r>
      <w:r w:rsidRPr="006C5D80">
        <w:t xml:space="preserve"> se describen las órdenes de pensión alimenticia. En caso de mora o impago, puede presentarse una solicitud de citación del deudor judicial ante el tribunal.</w:t>
      </w:r>
    </w:p>
    <w:p w14:paraId="4EC3A68C" w14:textId="77777777" w:rsidR="00597C74" w:rsidRPr="006C5D80" w:rsidRDefault="00597C74" w:rsidP="00142BE0">
      <w:pPr>
        <w:pStyle w:val="SingleTxt"/>
        <w:numPr>
          <w:ilvl w:val="0"/>
          <w:numId w:val="50"/>
        </w:numPr>
        <w:ind w:left="1267"/>
      </w:pPr>
      <w:r w:rsidRPr="006C5D80">
        <w:t>Potestades del tribunal</w:t>
      </w:r>
    </w:p>
    <w:p w14:paraId="42D920E6" w14:textId="74686C23" w:rsidR="00597C74" w:rsidRPr="006C5D80" w:rsidRDefault="00142BE0" w:rsidP="00142BE0">
      <w:pPr>
        <w:pStyle w:val="SingleTxt"/>
        <w:tabs>
          <w:tab w:val="right" w:pos="1685"/>
        </w:tabs>
        <w:ind w:left="1742" w:hanging="475"/>
      </w:pPr>
      <w:r w:rsidRPr="006C5D80">
        <w:tab/>
        <w:t>•</w:t>
      </w:r>
      <w:r w:rsidRPr="006C5D80">
        <w:tab/>
      </w:r>
      <w:r w:rsidR="00597C74" w:rsidRPr="00C37370">
        <w:t>89</w:t>
      </w:r>
      <w:r w:rsidR="00597C74" w:rsidRPr="006C5D80">
        <w:t xml:space="preserve"> </w:t>
      </w:r>
      <w:r w:rsidR="00597C74" w:rsidRPr="00C37370">
        <w:t>1</w:t>
      </w:r>
      <w:r w:rsidR="00597C74" w:rsidRPr="006C5D80">
        <w:t>)</w:t>
      </w:r>
      <w:r w:rsidR="000A2D7A">
        <w:tab/>
      </w:r>
      <w:r w:rsidR="00597C74" w:rsidRPr="006C5D80">
        <w:t>En los procedimientos para una orden de pensión alimenticia, el tribunal puede, sujeto a esta División, dictar cualquier que considere apropiada;</w:t>
      </w:r>
    </w:p>
    <w:p w14:paraId="1ED001CE" w14:textId="6509645D" w:rsidR="00597C74" w:rsidRPr="006C5D80" w:rsidRDefault="00142BE0" w:rsidP="00142BE0">
      <w:pPr>
        <w:pStyle w:val="SingleTxt"/>
        <w:tabs>
          <w:tab w:val="right" w:pos="1685"/>
        </w:tabs>
        <w:ind w:left="1742" w:hanging="475"/>
      </w:pPr>
      <w:r w:rsidRPr="006C5D80">
        <w:tab/>
        <w:t>•</w:t>
      </w:r>
      <w:r w:rsidRPr="006C5D80">
        <w:tab/>
      </w:r>
      <w:r w:rsidR="00597C74" w:rsidRPr="00C37370">
        <w:t>2</w:t>
      </w:r>
      <w:r w:rsidR="00597C74" w:rsidRPr="006C5D80">
        <w:t>)</w:t>
      </w:r>
      <w:r w:rsidR="00CD4B6C">
        <w:tab/>
      </w:r>
      <w:r w:rsidR="00597C74" w:rsidRPr="006C5D80">
        <w:t xml:space="preserve">El tribunal deberá, de conformidad con los artículos siguientes: </w:t>
      </w:r>
    </w:p>
    <w:p w14:paraId="2CE2050B" w14:textId="3D0DCF18" w:rsidR="00597C74" w:rsidRPr="006C5D80" w:rsidRDefault="00142BE0" w:rsidP="00142BE0">
      <w:pPr>
        <w:pStyle w:val="SingleTxt"/>
        <w:tabs>
          <w:tab w:val="right" w:pos="1685"/>
        </w:tabs>
        <w:ind w:left="1742" w:hanging="475"/>
      </w:pPr>
      <w:r w:rsidRPr="006C5D80">
        <w:tab/>
        <w:t>•</w:t>
      </w:r>
      <w:r w:rsidRPr="006C5D80">
        <w:tab/>
      </w:r>
      <w:r w:rsidR="00597C74" w:rsidRPr="006C5D80">
        <w:t xml:space="preserve">Considerar la ayuda económica necesaria para el mantenimiento del niño; y </w:t>
      </w:r>
    </w:p>
    <w:p w14:paraId="75E83C3A" w14:textId="1F7F88F0" w:rsidR="00597C74" w:rsidRPr="006C5D80" w:rsidRDefault="00142BE0" w:rsidP="004B1B5C">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6C5D80">
        <w:tab/>
        <w:t>•</w:t>
      </w:r>
      <w:r w:rsidRPr="006C5D80">
        <w:tab/>
      </w:r>
      <w:r w:rsidR="00597C74" w:rsidRPr="006C5D80">
        <w:t>Determinar la contribución económica, o las contribuciones económicas respectivas, a la manutención económica necesaria para el mantenimiento del niño que debe realizar una parte, o las partes, en el proceso.</w:t>
      </w:r>
    </w:p>
    <w:p w14:paraId="1165C0BE" w14:textId="77777777" w:rsidR="00336212" w:rsidRPr="006C5D80" w:rsidRDefault="00336212" w:rsidP="00336212">
      <w:pPr>
        <w:pStyle w:val="SingleTxt"/>
        <w:tabs>
          <w:tab w:val="right" w:pos="1685"/>
        </w:tabs>
        <w:spacing w:after="0" w:line="120" w:lineRule="exact"/>
        <w:ind w:left="1742" w:hanging="475"/>
        <w:rPr>
          <w:sz w:val="10"/>
        </w:rPr>
      </w:pPr>
    </w:p>
    <w:p w14:paraId="1C21491B" w14:textId="77777777" w:rsidR="00336212" w:rsidRPr="006C5D80" w:rsidRDefault="00336212" w:rsidP="00336212">
      <w:pPr>
        <w:pStyle w:val="SingleTxt"/>
        <w:tabs>
          <w:tab w:val="right" w:pos="1685"/>
        </w:tabs>
        <w:spacing w:after="0" w:line="120" w:lineRule="exact"/>
        <w:ind w:left="1742" w:hanging="475"/>
        <w:rPr>
          <w:sz w:val="10"/>
        </w:rPr>
      </w:pPr>
    </w:p>
    <w:p w14:paraId="695B76FA" w14:textId="77777777" w:rsidR="00597C74" w:rsidRPr="00C37370" w:rsidRDefault="00597C74" w:rsidP="00336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12 c) de la lista de cuestiones</w:t>
      </w:r>
    </w:p>
    <w:p w14:paraId="60584F75" w14:textId="77777777" w:rsidR="00336212" w:rsidRPr="006C5D80" w:rsidRDefault="00336212" w:rsidP="00336212">
      <w:pPr>
        <w:pStyle w:val="SingleTxt"/>
        <w:spacing w:after="0" w:line="120" w:lineRule="exact"/>
        <w:rPr>
          <w:sz w:val="10"/>
        </w:rPr>
      </w:pPr>
    </w:p>
    <w:p w14:paraId="416116BE" w14:textId="77777777" w:rsidR="00336212" w:rsidRPr="006C5D80" w:rsidRDefault="00336212" w:rsidP="00336212">
      <w:pPr>
        <w:pStyle w:val="SingleTxt"/>
        <w:spacing w:after="0" w:line="120" w:lineRule="exact"/>
        <w:rPr>
          <w:sz w:val="10"/>
        </w:rPr>
      </w:pPr>
    </w:p>
    <w:p w14:paraId="74F04309" w14:textId="77777777" w:rsidR="00597C74" w:rsidRPr="006C5D80" w:rsidRDefault="00597C74" w:rsidP="00D83D01">
      <w:pPr>
        <w:pStyle w:val="SingleTxt"/>
        <w:numPr>
          <w:ilvl w:val="0"/>
          <w:numId w:val="51"/>
        </w:numPr>
        <w:ind w:left="1267"/>
      </w:pPr>
      <w:r w:rsidRPr="006C5D80">
        <w:t xml:space="preserve"> Cuando un padre deja de pagar sistemáticamente la pensión alimenticia de sus hijos, la Ley de Deudores de </w:t>
      </w:r>
      <w:r w:rsidRPr="00C37370">
        <w:t>1886</w:t>
      </w:r>
      <w:r w:rsidRPr="006C5D80">
        <w:t xml:space="preserve"> (cap. </w:t>
      </w:r>
      <w:r w:rsidRPr="00C37370">
        <w:t>32</w:t>
      </w:r>
      <w:r w:rsidRPr="006C5D80">
        <w:t xml:space="preserve">) impone penas de prisión para los morosos. En </w:t>
      </w:r>
      <w:r w:rsidRPr="00C37370">
        <w:t>2018</w:t>
      </w:r>
      <w:r w:rsidRPr="006C5D80">
        <w:t xml:space="preserve">, el Gobierno, con la aprobación del Gabinete, estableció el Fondo de Apoyo a la Violencia Doméstica en colaboración con organismos clave, incluidos los que forman parte del Protocolo Nacional de Prestación de Servicios de Fiji. Este fondo ofrece ayuda monetaria temporal a las supervivientes de violencia de género hasta que un tribunal concede la orden de ayuda monetaria urgente, tras lo cual cesa la ayuda. En el ejercicio </w:t>
      </w:r>
      <w:r w:rsidRPr="00C37370">
        <w:t>2021</w:t>
      </w:r>
      <w:r w:rsidRPr="006C5D80">
        <w:t>/</w:t>
      </w:r>
      <w:r w:rsidRPr="00C37370">
        <w:t>22</w:t>
      </w:r>
      <w:r w:rsidRPr="006C5D80">
        <w:t xml:space="preserve">, menos de </w:t>
      </w:r>
      <w:r w:rsidRPr="00C37370">
        <w:t>10</w:t>
      </w:r>
      <w:r w:rsidRPr="006C5D80">
        <w:t xml:space="preserve"> mujeres y niños recibieron ayuda del fondo, dotado con </w:t>
      </w:r>
      <w:r w:rsidRPr="00C37370">
        <w:t>30</w:t>
      </w:r>
      <w:r w:rsidRPr="006C5D80">
        <w:t>.</w:t>
      </w:r>
      <w:r w:rsidRPr="00C37370">
        <w:t>000</w:t>
      </w:r>
      <w:r w:rsidRPr="006C5D80">
        <w:t xml:space="preserve"> dólares. El Mecanismo Nacional para las Mujeres </w:t>
      </w:r>
      <w:r w:rsidRPr="006C5D80">
        <w:lastRenderedPageBreak/>
        <w:t xml:space="preserve">administra el fondo y hay planes para un examen anual del presupuesto. El Programa de Alivio de la Pobreza PAP, puesto en marcha por el Departamento de Protección Social en </w:t>
      </w:r>
      <w:r w:rsidRPr="00C37370">
        <w:t>2015</w:t>
      </w:r>
      <w:r w:rsidRPr="006C5D80">
        <w:t>, ofrece ayuda económica a los reclusos próximos a ser excarcelados, incluidas las mujeres delincuentes. Desde su creación, cinco reclusas se han beneficiado del programa. Para prestar servicios sociales y sanitarios a las mujeres explotadas en la prostitución, las trabajadoras sexuales tienen acceso a clínicas de salud sexual y reproductiva en todo Fiji, más concretamente en las divisiones Central, Occidental y Septentrional a través de los centros de salud sexual y reproductiva.</w:t>
      </w:r>
    </w:p>
    <w:p w14:paraId="5E2DD92B" w14:textId="77777777" w:rsidR="00336212" w:rsidRPr="006C5D80" w:rsidRDefault="00336212" w:rsidP="00336212">
      <w:pPr>
        <w:pStyle w:val="SingleTxt"/>
        <w:spacing w:after="0" w:line="120" w:lineRule="exact"/>
        <w:rPr>
          <w:sz w:val="10"/>
        </w:rPr>
      </w:pPr>
    </w:p>
    <w:p w14:paraId="02AA8732" w14:textId="77777777" w:rsidR="00336212" w:rsidRPr="006C5D80" w:rsidRDefault="00336212" w:rsidP="00336212">
      <w:pPr>
        <w:pStyle w:val="SingleTxt"/>
        <w:spacing w:after="0" w:line="120" w:lineRule="exact"/>
        <w:rPr>
          <w:sz w:val="10"/>
        </w:rPr>
      </w:pPr>
    </w:p>
    <w:p w14:paraId="4048B7E4" w14:textId="77777777" w:rsidR="00597C74" w:rsidRPr="00C37370" w:rsidRDefault="00597C74" w:rsidP="00336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12 d) de la lista de cuestiones</w:t>
      </w:r>
    </w:p>
    <w:p w14:paraId="013EC1FF" w14:textId="77777777" w:rsidR="00336212" w:rsidRPr="006C5D80" w:rsidRDefault="00336212" w:rsidP="00336212">
      <w:pPr>
        <w:pStyle w:val="SingleTxt"/>
        <w:spacing w:after="0" w:line="120" w:lineRule="exact"/>
        <w:rPr>
          <w:sz w:val="10"/>
        </w:rPr>
      </w:pPr>
    </w:p>
    <w:p w14:paraId="5670F357" w14:textId="77777777" w:rsidR="00336212" w:rsidRPr="006C5D80" w:rsidRDefault="00336212" w:rsidP="00336212">
      <w:pPr>
        <w:pStyle w:val="SingleTxt"/>
        <w:spacing w:after="0" w:line="120" w:lineRule="exact"/>
        <w:rPr>
          <w:sz w:val="10"/>
        </w:rPr>
      </w:pPr>
    </w:p>
    <w:p w14:paraId="40C376FA" w14:textId="77777777" w:rsidR="00597C74" w:rsidRPr="006C5D80" w:rsidRDefault="00597C74" w:rsidP="00D83D01">
      <w:pPr>
        <w:pStyle w:val="SingleTxt"/>
        <w:numPr>
          <w:ilvl w:val="0"/>
          <w:numId w:val="52"/>
        </w:numPr>
        <w:ind w:left="1267"/>
      </w:pPr>
      <w:r w:rsidRPr="006C5D80">
        <w:t>EL Ministerio de la Juventud y el Deporte da prioridad a la igualdad de oportunidades y al empoderamiento de todos los jóvenes, independientemente de sus orígenes o circunstancias. Mediante la formación profesional y las oportunidades de generación de ingresos, el ministerio puede ayudar a las personas, incluidas las mujeres, a adquirir destrezas y conocimientos para lograr medios de vida sostenibles. Aunque no se disponga de datos específicos sobre las mujeres que sufren violencia doméstica o se dedican a la prostitución, centrarse en el empoderamiento puede contribuir a crear una sociedad más integradora y solidaria.</w:t>
      </w:r>
    </w:p>
    <w:p w14:paraId="5C14466C" w14:textId="77777777" w:rsidR="00336212" w:rsidRPr="006C5D80" w:rsidRDefault="00336212" w:rsidP="00336212">
      <w:pPr>
        <w:pStyle w:val="SingleTxt"/>
        <w:spacing w:after="0" w:line="120" w:lineRule="exact"/>
        <w:rPr>
          <w:sz w:val="10"/>
        </w:rPr>
      </w:pPr>
    </w:p>
    <w:p w14:paraId="45FD325C" w14:textId="77777777" w:rsidR="00336212" w:rsidRPr="006C5D80" w:rsidRDefault="00336212" w:rsidP="00336212">
      <w:pPr>
        <w:pStyle w:val="SingleTxt"/>
        <w:spacing w:after="0" w:line="120" w:lineRule="exact"/>
        <w:rPr>
          <w:sz w:val="10"/>
        </w:rPr>
      </w:pPr>
    </w:p>
    <w:p w14:paraId="25B823CC" w14:textId="77777777" w:rsidR="00597C74" w:rsidRPr="00C37370" w:rsidRDefault="00597C74" w:rsidP="00336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12 e) de la lista de cuestiones</w:t>
      </w:r>
    </w:p>
    <w:p w14:paraId="14A6B5FC" w14:textId="77777777" w:rsidR="00336212" w:rsidRPr="006C5D80" w:rsidRDefault="00336212" w:rsidP="00336212">
      <w:pPr>
        <w:pStyle w:val="SingleTxt"/>
        <w:spacing w:after="0" w:line="120" w:lineRule="exact"/>
        <w:rPr>
          <w:sz w:val="10"/>
        </w:rPr>
      </w:pPr>
    </w:p>
    <w:p w14:paraId="4F30543F" w14:textId="77777777" w:rsidR="00336212" w:rsidRPr="006C5D80" w:rsidRDefault="00336212" w:rsidP="00336212">
      <w:pPr>
        <w:pStyle w:val="SingleTxt"/>
        <w:spacing w:after="0" w:line="120" w:lineRule="exact"/>
        <w:rPr>
          <w:sz w:val="10"/>
        </w:rPr>
      </w:pPr>
    </w:p>
    <w:p w14:paraId="24420DD2" w14:textId="77777777" w:rsidR="00597C74" w:rsidRPr="006C5D80" w:rsidRDefault="00597C74" w:rsidP="00D83D01">
      <w:pPr>
        <w:pStyle w:val="SingleTxt"/>
        <w:numPr>
          <w:ilvl w:val="0"/>
          <w:numId w:val="53"/>
        </w:numPr>
        <w:ind w:left="1267"/>
      </w:pPr>
      <w:r w:rsidRPr="006C5D80">
        <w:t xml:space="preserve">No existen programas de generación de ingresos dirigidos específicamente a las mujeres que desean abandonar la prostitución, pero varios ministerios e instituciones ofrecen oportunidades de generación de ingresos y formación profesional a las mujeres que tienen dificultades para acceder al empleo formal o a la educación. El Ministerio de Juventud y Deportes cuenta con un presupuesto específico para programas de formación. El Mecanismo Nacional para las Mujeres apoya a las instituciones femeninas de Fiji mediante subvenciones para programas de formación profesional, capacitación para la vida cotidiana, educación financiera y desarrollo de aptitudes. Estas iniciativas incluyen programas en el Centro de Capacitación Profesional para Mujeres de Makoi, el Centro de Capacitación del Foro de Mujeres de Ba, el Centro de Capacitación para Mujeres de Alamnah y Homes of Hope. El Departamento de Silvicultura también ofrece programas continuos de generación de ingresos para mujeres individuales y grupos de mujeres. Además, el Programa de Pequeñas Subvenciones (SGS), que depende de la Oficina del </w:t>
      </w:r>
      <w:proofErr w:type="gramStart"/>
      <w:r w:rsidRPr="006C5D80">
        <w:t>Primer Ministro</w:t>
      </w:r>
      <w:proofErr w:type="gramEnd"/>
      <w:r w:rsidRPr="006C5D80">
        <w:t xml:space="preserve">, apoya proyectos rurales y periurbanos, con lo que una veintena de proyectos de empoderamiento de la mujer se subvencionan a través de este programa. El año pasado, estos proyectos incluyeron la adquisición de utensilios de cocina, máquinas de coser y artículos de serigrafía, por un total de </w:t>
      </w:r>
      <w:r w:rsidRPr="00C37370">
        <w:t>130</w:t>
      </w:r>
      <w:r w:rsidRPr="006C5D80">
        <w:t>.</w:t>
      </w:r>
      <w:r w:rsidRPr="00C37370">
        <w:t>240</w:t>
      </w:r>
      <w:r w:rsidRPr="006C5D80">
        <w:t xml:space="preserve"> dólares. La supervisión periódica de estos proyectos ha mostrado efectos positivos en el desarrollo de la comunidad y el pueblo, con grupos de mujeres que generan ingresos con el equipo proporcionado. Las mujeres reciben cada vez más apoyo para crear sus propias empresas. La Ley de Garantías Personales (</w:t>
      </w:r>
      <w:r w:rsidRPr="00C37370">
        <w:t>2019</w:t>
      </w:r>
      <w:r w:rsidRPr="006C5D80">
        <w:t xml:space="preserve">) permite a las mujeres utilizar bienes muebles personales como garantía para avalar un crédito. La modificación de la Ley de Urbanismo permite a las empresas a domicilio operar en zonas residenciales sin necesidad de recalificación, siempre que cumplan determinadas condiciones. En Fiji, las mujeres pueden dirigir empresas como empresarias individuales, sociedades colectivas, sociedades anónimas, cooperativas o asociaciones. Además, la mano de obra joven y formada de Fiji, compuesta por entre un </w:t>
      </w:r>
      <w:r w:rsidRPr="00C37370">
        <w:t>65</w:t>
      </w:r>
      <w:r w:rsidRPr="006C5D80">
        <w:t xml:space="preserve"> % y u </w:t>
      </w:r>
      <w:r w:rsidRPr="00C37370">
        <w:t>70</w:t>
      </w:r>
      <w:r w:rsidRPr="006C5D80">
        <w:t xml:space="preserve"> % de mujeres, está posicionando al país como destino preferente para los servicios globales de subcontratación, lo que ofrece nuevas oportunidades. Las economías verde y azul </w:t>
      </w:r>
      <w:r w:rsidRPr="006C5D80">
        <w:lastRenderedPageBreak/>
        <w:t>también presentan plataformas alternativas de generación de ingresos para las mujeres en toda su diversidad.</w:t>
      </w:r>
    </w:p>
    <w:p w14:paraId="7FC66A8F" w14:textId="77777777" w:rsidR="00336212" w:rsidRPr="006C5D80" w:rsidRDefault="00336212" w:rsidP="00336212">
      <w:pPr>
        <w:pStyle w:val="SingleTxt"/>
        <w:spacing w:after="0" w:line="120" w:lineRule="exact"/>
        <w:rPr>
          <w:sz w:val="10"/>
        </w:rPr>
      </w:pPr>
    </w:p>
    <w:p w14:paraId="74C09ED8" w14:textId="77777777" w:rsidR="00336212" w:rsidRPr="006C5D80" w:rsidRDefault="00336212" w:rsidP="00336212">
      <w:pPr>
        <w:pStyle w:val="SingleTxt"/>
        <w:spacing w:after="0" w:line="120" w:lineRule="exact"/>
        <w:rPr>
          <w:sz w:val="10"/>
        </w:rPr>
      </w:pPr>
    </w:p>
    <w:p w14:paraId="1518FA6C" w14:textId="295CCB7B"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Participación en la vida política y pública</w:t>
      </w:r>
    </w:p>
    <w:p w14:paraId="17A6A785" w14:textId="77777777" w:rsidR="009B6A98" w:rsidRPr="006C5D80" w:rsidRDefault="009B6A98" w:rsidP="009B6A98">
      <w:pPr>
        <w:pStyle w:val="SingleTxt"/>
        <w:spacing w:after="0" w:line="120" w:lineRule="exact"/>
        <w:rPr>
          <w:sz w:val="10"/>
        </w:rPr>
      </w:pPr>
    </w:p>
    <w:p w14:paraId="054BB42D" w14:textId="77777777" w:rsidR="009B6A98" w:rsidRPr="006C5D80" w:rsidRDefault="009B6A98" w:rsidP="009B6A98">
      <w:pPr>
        <w:pStyle w:val="SingleTxt"/>
        <w:spacing w:after="0" w:line="120" w:lineRule="exact"/>
        <w:rPr>
          <w:sz w:val="10"/>
        </w:rPr>
      </w:pPr>
    </w:p>
    <w:p w14:paraId="7A4BBF7F" w14:textId="77777777"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13 a) de la lista de cuestiones</w:t>
      </w:r>
    </w:p>
    <w:p w14:paraId="60FC3138" w14:textId="77777777" w:rsidR="009B6A98" w:rsidRPr="006C5D80" w:rsidRDefault="009B6A98" w:rsidP="009B6A98">
      <w:pPr>
        <w:pStyle w:val="SingleTxt"/>
        <w:spacing w:after="0" w:line="120" w:lineRule="exact"/>
        <w:rPr>
          <w:sz w:val="10"/>
        </w:rPr>
      </w:pPr>
    </w:p>
    <w:p w14:paraId="036A5F7C" w14:textId="77777777" w:rsidR="009B6A98" w:rsidRPr="006C5D80" w:rsidRDefault="009B6A98" w:rsidP="009B6A98">
      <w:pPr>
        <w:pStyle w:val="SingleTxt"/>
        <w:spacing w:after="0" w:line="120" w:lineRule="exact"/>
        <w:rPr>
          <w:sz w:val="10"/>
        </w:rPr>
      </w:pPr>
    </w:p>
    <w:p w14:paraId="46FE692B" w14:textId="0E1A25F6" w:rsidR="00597C74" w:rsidRPr="006C5D80" w:rsidRDefault="00597C74" w:rsidP="00D83D01">
      <w:pPr>
        <w:pStyle w:val="SingleTxt"/>
        <w:numPr>
          <w:ilvl w:val="0"/>
          <w:numId w:val="54"/>
        </w:numPr>
        <w:ind w:left="1267"/>
      </w:pPr>
      <w:r w:rsidRPr="006C5D80">
        <w:t xml:space="preserve">La Oficina Electoral de Fiji no tiene programas específicos dirigidos a la participación de las mujeres en la vida política y pública, pero lleva a cabo actividades de sensibilización en todo el país para educar a los votantes, incluidas las mujeres, sobre los procesos electorales. La campaña </w:t>
      </w:r>
      <w:r w:rsidR="00D727C4" w:rsidRPr="006C5D80">
        <w:t>“</w:t>
      </w:r>
      <w:r w:rsidRPr="006C5D80">
        <w:t>Conoce tu elección</w:t>
      </w:r>
      <w:r w:rsidR="00D727C4" w:rsidRPr="006C5D80">
        <w:t>”</w:t>
      </w:r>
      <w:r w:rsidRPr="006C5D80">
        <w:t xml:space="preserve">, celebrada durante las elecciones generales de </w:t>
      </w:r>
      <w:r w:rsidRPr="00C37370">
        <w:t>2018</w:t>
      </w:r>
      <w:r w:rsidRPr="006C5D80">
        <w:t xml:space="preserve"> y </w:t>
      </w:r>
      <w:r w:rsidRPr="00C37370">
        <w:t>2022</w:t>
      </w:r>
      <w:r w:rsidRPr="006C5D80">
        <w:t xml:space="preserve">, fue una importante iniciativa de concienciación de los votantes que incluyó materiales traducidos a varios idiomas y estuvo acompañada de una campaña de inscripción de votantes. En años no electorales, la Oficina Electoral también ofrece presentaciones sobre el proceso electoral en foros organizados por ONG, organizaciones de la sociedad civil y organizaciones de mujeres. El plan estratégico de la Oficina para </w:t>
      </w:r>
      <w:r w:rsidRPr="00C37370">
        <w:t>2024</w:t>
      </w:r>
      <w:r w:rsidRPr="006C5D80">
        <w:t>-</w:t>
      </w:r>
      <w:r w:rsidRPr="00C37370">
        <w:t>2027</w:t>
      </w:r>
      <w:r w:rsidRPr="006C5D80">
        <w:t xml:space="preserve"> incluye medidas de concienciación sobre la participación de las mujeres en la vida política. Los cambios en las leyes electorales, como la Ley Electoral (inscripción de votantes) de </w:t>
      </w:r>
      <w:r w:rsidRPr="00C37370">
        <w:t>2012</w:t>
      </w:r>
      <w:r w:rsidRPr="006C5D80">
        <w:t xml:space="preserve"> y la Ley de Interpretación de </w:t>
      </w:r>
      <w:r w:rsidRPr="00C37370">
        <w:t>1967</w:t>
      </w:r>
      <w:r w:rsidRPr="006C5D80">
        <w:t xml:space="preserve">, apoyan la igualdad de género en la participación política. La Constitución de Fiji garantiza el derecho a no sufrir discriminación por motivos de género. A mediados de </w:t>
      </w:r>
      <w:r w:rsidRPr="00C37370">
        <w:t>2023</w:t>
      </w:r>
      <w:r w:rsidRPr="006C5D80">
        <w:t xml:space="preserve">, el </w:t>
      </w:r>
      <w:r w:rsidRPr="00C37370">
        <w:t>59</w:t>
      </w:r>
      <w:r w:rsidRPr="006C5D80">
        <w:t xml:space="preserve"> % de los funcionarios públicos eran mujeres, y había más </w:t>
      </w:r>
      <w:proofErr w:type="gramStart"/>
      <w:r w:rsidRPr="006C5D80">
        <w:t>Secretarias</w:t>
      </w:r>
      <w:proofErr w:type="gramEnd"/>
      <w:r w:rsidRPr="006C5D80">
        <w:t xml:space="preserve"> Permanentes que el año anterior. Además, el </w:t>
      </w:r>
      <w:r w:rsidRPr="00C37370">
        <w:t>35</w:t>
      </w:r>
      <w:r w:rsidRPr="006C5D80">
        <w:t xml:space="preserve"> % de los titulares de puestos de nivel II, dependientes de los </w:t>
      </w:r>
      <w:proofErr w:type="gramStart"/>
      <w:r w:rsidRPr="006C5D80">
        <w:t>Secretarios</w:t>
      </w:r>
      <w:proofErr w:type="gramEnd"/>
      <w:r w:rsidRPr="006C5D80">
        <w:t xml:space="preserve"> Permanentes, eran mujeres. Aunque el Ministerio de Juventud y Deportes </w:t>
      </w:r>
      <w:proofErr w:type="gramStart"/>
      <w:r w:rsidRPr="006C5D80">
        <w:t>se centra principalmente en</w:t>
      </w:r>
      <w:proofErr w:type="gramEnd"/>
      <w:r w:rsidRPr="006C5D80">
        <w:t xml:space="preserve"> el desarrollo de la juventud y el deporte y no promueve directamente la igualdad de género en la vida política, reconoce la importancia de la igualdad de género como un objetivo social más amplio que requiere esfuerzos colectivos. El Ministerio mantiene el compromiso de desarrollar el potencial de los jóvenes y promover el deporte, al tiempo que reconoce la necesidad de la igualdad de género en la vida pública. En el período previo a las elecciones generales de </w:t>
      </w:r>
      <w:r w:rsidRPr="00C37370">
        <w:t>2022</w:t>
      </w:r>
      <w:r w:rsidRPr="006C5D80">
        <w:t xml:space="preserve">, la Oficinal Electoral puso en marcha un proyecto de participación comunitaria en dos fases. En la fase </w:t>
      </w:r>
      <w:r w:rsidRPr="00C37370">
        <w:t>1</w:t>
      </w:r>
      <w:r w:rsidRPr="006C5D80">
        <w:t xml:space="preserve">, la Oficina formó y certificó a </w:t>
      </w:r>
      <w:r w:rsidRPr="00C37370">
        <w:t>208</w:t>
      </w:r>
      <w:r w:rsidRPr="006C5D80">
        <w:t xml:space="preserve"> defensores electorales comunitarios, incluidas </w:t>
      </w:r>
      <w:r w:rsidRPr="00C37370">
        <w:t>47</w:t>
      </w:r>
      <w:r w:rsidRPr="006C5D80">
        <w:t xml:space="preserve"> mujeres representantes de grupos de mujeres de aldeas y asentamientos de todo Fiji. Estos defensores formados difundieron información sobre los procesos electorales de la Oficina en sus comunidades.</w:t>
      </w:r>
    </w:p>
    <w:p w14:paraId="2FD02DDD" w14:textId="77777777" w:rsidR="009B6A98" w:rsidRPr="006C5D80" w:rsidRDefault="009B6A98" w:rsidP="009B6A98">
      <w:pPr>
        <w:pStyle w:val="SingleTxt"/>
        <w:spacing w:after="0" w:line="120" w:lineRule="exact"/>
        <w:rPr>
          <w:sz w:val="10"/>
        </w:rPr>
      </w:pPr>
    </w:p>
    <w:p w14:paraId="18C8D243" w14:textId="77777777" w:rsidR="009B6A98" w:rsidRPr="006C5D80" w:rsidRDefault="009B6A98" w:rsidP="009B6A98">
      <w:pPr>
        <w:pStyle w:val="SingleTxt"/>
        <w:spacing w:after="0" w:line="120" w:lineRule="exact"/>
        <w:rPr>
          <w:sz w:val="10"/>
        </w:rPr>
      </w:pPr>
    </w:p>
    <w:p w14:paraId="29155E2E" w14:textId="77777777"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13 b) de la lista de cuestiones</w:t>
      </w:r>
      <w:bookmarkStart w:id="7" w:name="_Hlk187413839"/>
      <w:bookmarkEnd w:id="7"/>
    </w:p>
    <w:p w14:paraId="4C0BEEA1" w14:textId="77777777" w:rsidR="009B6A98" w:rsidRPr="006C5D80" w:rsidRDefault="009B6A98" w:rsidP="009B6A98">
      <w:pPr>
        <w:pStyle w:val="SingleTxt"/>
        <w:spacing w:after="0" w:line="120" w:lineRule="exact"/>
        <w:rPr>
          <w:sz w:val="10"/>
        </w:rPr>
      </w:pPr>
    </w:p>
    <w:p w14:paraId="09AFA417" w14:textId="77777777" w:rsidR="009B6A98" w:rsidRPr="006C5D80" w:rsidRDefault="009B6A98" w:rsidP="009B6A98">
      <w:pPr>
        <w:pStyle w:val="SingleTxt"/>
        <w:spacing w:after="0" w:line="120" w:lineRule="exact"/>
        <w:rPr>
          <w:sz w:val="10"/>
        </w:rPr>
      </w:pPr>
    </w:p>
    <w:p w14:paraId="33CAD018" w14:textId="77777777" w:rsidR="00597C74" w:rsidRPr="006C5D80" w:rsidRDefault="00597C74" w:rsidP="00D83D01">
      <w:pPr>
        <w:pStyle w:val="SingleTxt"/>
        <w:numPr>
          <w:ilvl w:val="0"/>
          <w:numId w:val="55"/>
        </w:numPr>
        <w:ind w:left="1267"/>
      </w:pPr>
      <w:r w:rsidRPr="006C5D80">
        <w:t>La Oficina Electoral de Fiji también organizó un Foro de Partes Interesadas sobre la Mejora de la Participación Electoral en el Hotel Grand Pacific. El Foro sirvió como ámbito en el que las partes interesadas presentes entablaran un diálogo activo sobre cuestiones relacionadas con las elecciones. La Oficina invitó a participar a diversas partes interesadas locales e internacionales. Entre las partes interesadas internacionales se encontraban representantes de la Comisión Electoral de Australia y Nueva Zelandia, así como representantes de la International Foundation for Electoral Systems. Entre las partes interesadas locales había representantes de partidos políticos, grupos de base de jóvenes y mujeres, académicos y miembros del Grupo de Trabajo sobre Accesibilidad para Personas con Discapacidad.</w:t>
      </w:r>
    </w:p>
    <w:p w14:paraId="14FB8ECC" w14:textId="77777777" w:rsidR="009B6A98" w:rsidRPr="006C5D80" w:rsidRDefault="009B6A98" w:rsidP="009B6A98">
      <w:pPr>
        <w:pStyle w:val="SingleTxt"/>
        <w:spacing w:after="0" w:line="120" w:lineRule="exact"/>
        <w:rPr>
          <w:sz w:val="10"/>
        </w:rPr>
      </w:pPr>
    </w:p>
    <w:p w14:paraId="0C7158A3" w14:textId="77777777" w:rsidR="009B6A98" w:rsidRPr="006C5D80" w:rsidRDefault="009B6A98" w:rsidP="009B6A98">
      <w:pPr>
        <w:pStyle w:val="SingleTxt"/>
        <w:spacing w:after="0" w:line="120" w:lineRule="exact"/>
        <w:rPr>
          <w:sz w:val="10"/>
        </w:rPr>
      </w:pPr>
    </w:p>
    <w:p w14:paraId="01768D78" w14:textId="77777777" w:rsidR="009B6A98" w:rsidRPr="00C37370" w:rsidRDefault="009B6A98">
      <w:pPr>
        <w:suppressAutoHyphens w:val="0"/>
        <w:spacing w:after="160" w:line="259" w:lineRule="auto"/>
        <w:rPr>
          <w:b/>
          <w:kern w:val="14"/>
          <w:sz w:val="24"/>
        </w:rPr>
      </w:pPr>
      <w:r w:rsidRPr="006C5D80">
        <w:br w:type="page"/>
      </w:r>
    </w:p>
    <w:p w14:paraId="069E0A34" w14:textId="4A5A3380"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13 c) de la lista de cuestiones</w:t>
      </w:r>
    </w:p>
    <w:p w14:paraId="31FEC802" w14:textId="77777777" w:rsidR="009B6A98" w:rsidRPr="006C5D80" w:rsidRDefault="009B6A98" w:rsidP="009B6A98">
      <w:pPr>
        <w:pStyle w:val="SingleTxt"/>
        <w:spacing w:after="0" w:line="120" w:lineRule="exact"/>
        <w:rPr>
          <w:sz w:val="10"/>
        </w:rPr>
      </w:pPr>
    </w:p>
    <w:p w14:paraId="72A58059" w14:textId="77777777" w:rsidR="009B6A98" w:rsidRPr="006C5D80" w:rsidRDefault="009B6A98" w:rsidP="009B6A98">
      <w:pPr>
        <w:pStyle w:val="SingleTxt"/>
        <w:spacing w:after="0" w:line="120" w:lineRule="exact"/>
        <w:rPr>
          <w:sz w:val="10"/>
        </w:rPr>
      </w:pPr>
    </w:p>
    <w:p w14:paraId="77FA2C6D" w14:textId="345C221F" w:rsidR="00597C74" w:rsidRPr="006C5D80" w:rsidRDefault="00597C74" w:rsidP="00D83D01">
      <w:pPr>
        <w:pStyle w:val="SingleTxt"/>
        <w:numPr>
          <w:ilvl w:val="0"/>
          <w:numId w:val="56"/>
        </w:numPr>
        <w:ind w:left="1267"/>
      </w:pPr>
      <w:r w:rsidRPr="004B1B5C">
        <w:rPr>
          <w:spacing w:val="0"/>
        </w:rPr>
        <w:t xml:space="preserve">La Oficina Electoral de Fiji ha contribuido a la creación de capacidad de liderazgo político de las mujeres. En </w:t>
      </w:r>
      <w:r w:rsidRPr="00C37370">
        <w:rPr>
          <w:spacing w:val="0"/>
        </w:rPr>
        <w:t>2022</w:t>
      </w:r>
      <w:r w:rsidRPr="004B1B5C">
        <w:rPr>
          <w:spacing w:val="0"/>
        </w:rPr>
        <w:t xml:space="preserve">, la Oficina Electoral participó en una sesión informativa de mentoría para mujeres que aspiraban a participar en la vida política, organizada por el Grupo de Mujeres Parlamentarias de la Commonwealth de Fiji. El Grupo está formado por todas las parlamentarias de la República de Fiji. El </w:t>
      </w:r>
      <w:r w:rsidRPr="00C37370">
        <w:rPr>
          <w:spacing w:val="0"/>
        </w:rPr>
        <w:t>18</w:t>
      </w:r>
      <w:r w:rsidRPr="004B1B5C">
        <w:rPr>
          <w:spacing w:val="0"/>
        </w:rPr>
        <w:t xml:space="preserve"> de mayo de </w:t>
      </w:r>
      <w:r w:rsidRPr="00C37370">
        <w:rPr>
          <w:spacing w:val="0"/>
        </w:rPr>
        <w:t>2022</w:t>
      </w:r>
      <w:r w:rsidRPr="004B1B5C">
        <w:rPr>
          <w:spacing w:val="0"/>
        </w:rPr>
        <w:t xml:space="preserve">, el Grupo de Fiji organizó un taller de mentoría para aspirantes a mujeres políticas. El Oficina Electoral participó en la sesión como orador invitado y presentó el </w:t>
      </w:r>
      <w:r w:rsidRPr="00C37370">
        <w:rPr>
          <w:i/>
          <w:iCs/>
          <w:spacing w:val="0"/>
        </w:rPr>
        <w:t>Manual de candidaturas</w:t>
      </w:r>
      <w:r w:rsidRPr="004B1B5C">
        <w:rPr>
          <w:spacing w:val="0"/>
        </w:rPr>
        <w:t xml:space="preserve">, explicó el proceso de presentación de candidaturas e impartió información fundamental a quienes desearan presentar sus candidaturas en las elecciones generales de </w:t>
      </w:r>
      <w:r w:rsidRPr="00C37370">
        <w:rPr>
          <w:spacing w:val="0"/>
        </w:rPr>
        <w:t>2022</w:t>
      </w:r>
      <w:r w:rsidRPr="004B1B5C">
        <w:rPr>
          <w:spacing w:val="0"/>
        </w:rPr>
        <w:t xml:space="preserve">. El Grupo facilitó un taller de mentoría para mujeres que aspiraban a participar en la vida política, celebrado simultáneamente en Suva, Nadi y Labasa el </w:t>
      </w:r>
      <w:r w:rsidRPr="00C37370">
        <w:rPr>
          <w:spacing w:val="0"/>
        </w:rPr>
        <w:t>18</w:t>
      </w:r>
      <w:r w:rsidRPr="004B1B5C">
        <w:rPr>
          <w:spacing w:val="0"/>
        </w:rPr>
        <w:t xml:space="preserve"> de mayo de </w:t>
      </w:r>
      <w:r w:rsidRPr="00C37370">
        <w:rPr>
          <w:spacing w:val="0"/>
        </w:rPr>
        <w:t>2022</w:t>
      </w:r>
      <w:r w:rsidRPr="004B1B5C">
        <w:rPr>
          <w:spacing w:val="0"/>
        </w:rPr>
        <w:t xml:space="preserve">. Asistieron </w:t>
      </w:r>
      <w:r w:rsidRPr="00C37370">
        <w:rPr>
          <w:spacing w:val="0"/>
        </w:rPr>
        <w:t>192</w:t>
      </w:r>
      <w:r w:rsidRPr="004B1B5C">
        <w:rPr>
          <w:spacing w:val="0"/>
        </w:rPr>
        <w:t xml:space="preserve"> mujeres de todo Fiji al taller de tutoría, que fue dirigido por las parlamentarias. El objetivo del taller era promover el papel de la mujer en la política y reunir a mujeres de todos los ámbitos interesadas en entrar en política. [Véase: </w:t>
      </w:r>
      <w:hyperlink r:id="rId23" w:history="1">
        <w:r w:rsidRPr="00C37370">
          <w:rPr>
            <w:rStyle w:val="Hyperlink"/>
            <w:spacing w:val="0"/>
          </w:rPr>
          <w:t>https://bit.ly/3KgcmRp</w:t>
        </w:r>
      </w:hyperlink>
      <w:r w:rsidRPr="004B1B5C">
        <w:rPr>
          <w:spacing w:val="0"/>
        </w:rPr>
        <w:t xml:space="preserve">] Formación del Grupo de Parlamentarias de Fiji en </w:t>
      </w:r>
      <w:r w:rsidRPr="00C37370">
        <w:rPr>
          <w:spacing w:val="0"/>
        </w:rPr>
        <w:t>2019</w:t>
      </w:r>
      <w:r w:rsidRPr="004B1B5C">
        <w:rPr>
          <w:spacing w:val="0"/>
        </w:rPr>
        <w:t xml:space="preserve"> como grupo informal de mujeres para promover y animar a las mujeres a presentarse a las elecciones y participar activamente en política</w:t>
      </w:r>
      <w:r w:rsidRPr="006C5D80">
        <w:t>.</w:t>
      </w:r>
    </w:p>
    <w:p w14:paraId="538752FF" w14:textId="77777777" w:rsidR="00597C74" w:rsidRPr="006C5D80" w:rsidRDefault="00597C74" w:rsidP="00D83D01">
      <w:pPr>
        <w:pStyle w:val="SingleTxt"/>
        <w:numPr>
          <w:ilvl w:val="0"/>
          <w:numId w:val="57"/>
        </w:numPr>
        <w:ind w:left="1267"/>
      </w:pPr>
      <w:r w:rsidRPr="006C5D80">
        <w:t xml:space="preserve">La Oficina Electoral no ha aplicado medidas especiales, como un sistema de cuotas, para garantizar una representación igualitaria e inclusiva de las candidatas en las listas de los partidos políticos. La Oficina no proporciona apoyo financiero ni formación a las candidatas a cargos públicos. Su función principal es llevar a cabo sesiones de concienciación e información sobre los procesos electorales dirigidas a diversas partes interesadas, incluidos los votantes, los partidos políticos, los medios de comunicación, las organizaciones de la sociedad civil y el público en general. Aunque la Oficina llevó a cabo presentaciones para promover la participación de las mujeres en las elecciones, estos esfuerzos consistieron principalmente en foros organizados para mujeres, organizados por ONG de mujeres y Media Watch Group, de cara a las elecciones generales de </w:t>
      </w:r>
      <w:r w:rsidRPr="00C37370">
        <w:t>2018</w:t>
      </w:r>
      <w:r w:rsidRPr="006C5D80">
        <w:t xml:space="preserve"> y </w:t>
      </w:r>
      <w:r w:rsidRPr="00C37370">
        <w:t>2022</w:t>
      </w:r>
      <w:r w:rsidRPr="006C5D80">
        <w:t>.</w:t>
      </w:r>
    </w:p>
    <w:p w14:paraId="6D3D7FA2" w14:textId="77777777" w:rsidR="009B6A98" w:rsidRPr="006C5D80" w:rsidRDefault="009B6A98" w:rsidP="009B6A98">
      <w:pPr>
        <w:pStyle w:val="SingleTxt"/>
        <w:spacing w:after="0" w:line="120" w:lineRule="exact"/>
        <w:rPr>
          <w:sz w:val="10"/>
        </w:rPr>
      </w:pPr>
    </w:p>
    <w:p w14:paraId="6858847F" w14:textId="77777777" w:rsidR="009B6A98" w:rsidRPr="006C5D80" w:rsidRDefault="009B6A98" w:rsidP="009B6A98">
      <w:pPr>
        <w:pStyle w:val="SingleTxt"/>
        <w:spacing w:after="0" w:line="120" w:lineRule="exact"/>
        <w:rPr>
          <w:sz w:val="10"/>
        </w:rPr>
      </w:pPr>
    </w:p>
    <w:p w14:paraId="0987F527" w14:textId="77777777"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 xml:space="preserve">Educación </w:t>
      </w:r>
    </w:p>
    <w:p w14:paraId="059F919F" w14:textId="77777777" w:rsidR="009B6A98" w:rsidRPr="006C5D80" w:rsidRDefault="009B6A98" w:rsidP="009B6A98">
      <w:pPr>
        <w:pStyle w:val="SingleTxt"/>
        <w:spacing w:after="0" w:line="120" w:lineRule="exact"/>
        <w:rPr>
          <w:sz w:val="10"/>
        </w:rPr>
      </w:pPr>
    </w:p>
    <w:p w14:paraId="4CBA82D0" w14:textId="77777777" w:rsidR="009B6A98" w:rsidRPr="006C5D80" w:rsidRDefault="009B6A98" w:rsidP="009B6A98">
      <w:pPr>
        <w:pStyle w:val="SingleTxt"/>
        <w:spacing w:after="0" w:line="120" w:lineRule="exact"/>
        <w:rPr>
          <w:sz w:val="10"/>
        </w:rPr>
      </w:pPr>
    </w:p>
    <w:p w14:paraId="3FD49DF4" w14:textId="77777777"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14 b) de la lista de cuestiones</w:t>
      </w:r>
    </w:p>
    <w:p w14:paraId="1958F9CC" w14:textId="77777777" w:rsidR="009B6A98" w:rsidRPr="006C5D80" w:rsidRDefault="009B6A98" w:rsidP="009B6A98">
      <w:pPr>
        <w:pStyle w:val="SingleTxt"/>
        <w:spacing w:after="0" w:line="120" w:lineRule="exact"/>
        <w:rPr>
          <w:sz w:val="10"/>
        </w:rPr>
      </w:pPr>
    </w:p>
    <w:p w14:paraId="0C50EDC0" w14:textId="77777777" w:rsidR="009B6A98" w:rsidRPr="006C5D80" w:rsidRDefault="009B6A98" w:rsidP="009B6A98">
      <w:pPr>
        <w:pStyle w:val="SingleTxt"/>
        <w:spacing w:after="0" w:line="120" w:lineRule="exact"/>
        <w:rPr>
          <w:sz w:val="10"/>
        </w:rPr>
      </w:pPr>
    </w:p>
    <w:p w14:paraId="5ABC69BD" w14:textId="7CC36FCD" w:rsidR="00597C74" w:rsidRPr="006C5D80" w:rsidRDefault="00597C74" w:rsidP="00D83D01">
      <w:pPr>
        <w:pStyle w:val="SingleTxt"/>
        <w:numPr>
          <w:ilvl w:val="0"/>
          <w:numId w:val="58"/>
        </w:numPr>
        <w:ind w:left="1267"/>
      </w:pPr>
      <w:r w:rsidRPr="006C5D80">
        <w:t>El Ministerio de Educación ha adoptado enfoques de varios niveles para abordar los problemas educativos que surgieron tras la pandemia de COVID-</w:t>
      </w:r>
      <w:r w:rsidRPr="00C37370">
        <w:t>19</w:t>
      </w:r>
      <w:r w:rsidRPr="006C5D80">
        <w:t xml:space="preserve">. Una iniciativa clave es la Beca de Educación Gratuita, que cubre la matrícula, los libros de texto y los servicios de autobús. Se proporciona apoyo escolar adicional, como paquetes de almuerzo y juegos de material educativo (por ejemplo, bolsas, libros y material de papelería). Las tasas de abandono escolar han fluctuado, siendo mayor entre los varones que entre las mujeres, aunque los datos no indican las razones específicas del abandono. El Ministerio no tiene una política de reintegración, pero se adapta a los estudiantes que desean regresar, con el apoyo de las oficinas de distrito. El programa </w:t>
      </w:r>
      <w:r w:rsidR="00D727C4" w:rsidRPr="006C5D80">
        <w:t>“</w:t>
      </w:r>
      <w:r w:rsidRPr="006C5D80">
        <w:t>Matua</w:t>
      </w:r>
      <w:r w:rsidR="00D727C4" w:rsidRPr="006C5D80">
        <w:t>”</w:t>
      </w:r>
      <w:r w:rsidRPr="006C5D80">
        <w:t xml:space="preserve"> ofrece una segunda oportunidad a las personas mayores de </w:t>
      </w:r>
      <w:r w:rsidRPr="00C37370">
        <w:t>20</w:t>
      </w:r>
      <w:r w:rsidRPr="006C5D80">
        <w:t xml:space="preserve"> años para completar su educación. Este año, el Ministerio también ha potenciado el sector profesional con iniciativas como la Política de Formación Profesional Técnica. Este proyecto de política esboza las prioridades del Gobierno de Fiji para la Política en los próximos diez años, con el objetivo de mejorar la eficacia, adaptarse a los cambios del mercado laboral y apoyar el crecimiento económico y la innovación mediante la colaboración entre los sectores público y privado. </w:t>
      </w:r>
    </w:p>
    <w:p w14:paraId="1BF4B3F8" w14:textId="77777777" w:rsidR="009B6A98" w:rsidRPr="00C37370" w:rsidRDefault="009B6A98" w:rsidP="009B6A98">
      <w:pPr>
        <w:pStyle w:val="SingleTxt"/>
        <w:spacing w:after="0" w:line="120" w:lineRule="exact"/>
        <w:rPr>
          <w:b/>
          <w:sz w:val="10"/>
        </w:rPr>
      </w:pPr>
    </w:p>
    <w:p w14:paraId="0EE4BDB8" w14:textId="77777777" w:rsidR="009B6A98" w:rsidRPr="00C37370" w:rsidRDefault="009B6A98" w:rsidP="009B6A98">
      <w:pPr>
        <w:pStyle w:val="SingleTxt"/>
        <w:spacing w:after="0" w:line="120" w:lineRule="exact"/>
        <w:rPr>
          <w:b/>
          <w:sz w:val="10"/>
        </w:rPr>
      </w:pPr>
    </w:p>
    <w:p w14:paraId="0AECAD33" w14:textId="77777777" w:rsidR="00163CA3" w:rsidRPr="00C37370" w:rsidRDefault="00163CA3">
      <w:pPr>
        <w:suppressAutoHyphens w:val="0"/>
        <w:spacing w:after="160" w:line="259" w:lineRule="auto"/>
        <w:rPr>
          <w:b/>
          <w:kern w:val="14"/>
          <w:sz w:val="24"/>
        </w:rPr>
      </w:pPr>
      <w:r>
        <w:rPr>
          <w:highlight w:val="cyan"/>
        </w:rPr>
        <w:br w:type="page"/>
      </w:r>
    </w:p>
    <w:p w14:paraId="0931582C" w14:textId="7823A7E3" w:rsidR="00597C74" w:rsidRPr="00C37370" w:rsidRDefault="00597C74" w:rsidP="009B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14 c) de la lista de cuestiones</w:t>
      </w:r>
    </w:p>
    <w:p w14:paraId="2D260D7F" w14:textId="77777777" w:rsidR="009B6A98" w:rsidRPr="006C5D80" w:rsidRDefault="009B6A98" w:rsidP="009B6A98">
      <w:pPr>
        <w:pStyle w:val="SingleTxt"/>
        <w:spacing w:after="0" w:line="120" w:lineRule="exact"/>
        <w:rPr>
          <w:sz w:val="10"/>
        </w:rPr>
      </w:pPr>
    </w:p>
    <w:p w14:paraId="6EC01953" w14:textId="77777777" w:rsidR="009B6A98" w:rsidRPr="006C5D80" w:rsidRDefault="009B6A98" w:rsidP="009B6A98">
      <w:pPr>
        <w:pStyle w:val="SingleTxt"/>
        <w:spacing w:after="0" w:line="120" w:lineRule="exact"/>
        <w:rPr>
          <w:sz w:val="10"/>
        </w:rPr>
      </w:pPr>
    </w:p>
    <w:p w14:paraId="451041A9" w14:textId="41260971" w:rsidR="00597C74" w:rsidRPr="006C5D80" w:rsidRDefault="00597C74" w:rsidP="00D83D01">
      <w:pPr>
        <w:pStyle w:val="SingleTxt"/>
        <w:numPr>
          <w:ilvl w:val="0"/>
          <w:numId w:val="59"/>
        </w:numPr>
        <w:ind w:left="1267"/>
      </w:pPr>
      <w:r w:rsidRPr="006C5D80">
        <w:t xml:space="preserve">El Ministerio de Salud y Servicios Médicos, en colaboración con el UNFPA y el Ministerio de Educación, trabaja para integrar la educación sobre salud y derechos sexuales y reproductivos en las escuelas. El Ministerio de Juventud y Deportes también hace hincapié en la importancia de formar a mujeres y niñas, centrándose especialmente en la salud y los derechos reproductivos. El Ministerio lleva a cabo programas regulares de formación en salud reproductiva para empoderar a mujeres y niñas proporcionándoles información esencial sobre anticoncepción, planificación familiar, prevención de infección de transmisión sexual y salud en general. Estos programas pretenden ayudar a mujeres y niñas a tomar decisiones informadas sobre su cuerpo, su salud y su futuro, fomentando la autonomía y la igualdad en la sociedad. El Marco Curricular Nacional de Fiji de </w:t>
      </w:r>
      <w:r w:rsidRPr="00C37370">
        <w:t>2013</w:t>
      </w:r>
      <w:r w:rsidRPr="006C5D80">
        <w:t>, gestionado por el Ministerio de Educación, e incorpora conceptos de salud sexual reproductiva e infección de transmisión sexual tanto en primaria como en secundaria. En primaria, los temas se tratan en las asignaturas de Vida Sana y Ciencias Básicas, mientras que la educación secundaria incluye Educación para la Vida Familiar y asignaturas científicas relevantes como Ciencias Básicas y Biología. La Unidad de Planes de Estudio está revisando el plan de estudios para garantizar que sea sensible a las cuestiones de género. Además, las asignaturas de idiomas como el inglés y las lenguas indígenas (vosa vakaviti, hindi, urdu y rotuman) abordan indirectamente cuestiones relacionadas con la salud y el bienestar sexuales. Estos temas exploran los valores culturales, la violencia sexual y el empoderamiento de las adolescentes. La asignatura Escritura también fomenta el pensamiento crítico y ofrece una plataforma para que los estudiantes debatan temas como la igualdad de género, el embarazo adolescente y el acoso en un entorno de propicio. Con la Fuerza de Policía de Fiji, la concienciación se ha llevado a cabo a través de los programas de policía comunitaria en las escuelas. Asimismo, la Política de Protección de la Infancia del Ministerio de Educación (</w:t>
      </w:r>
      <w:r w:rsidRPr="00C37370">
        <w:t>2015</w:t>
      </w:r>
      <w:r w:rsidRPr="006C5D80">
        <w:t>) muestra el compromiso del Ministerio con el bienestar, la seguridad, el respeto y la dignidad de los niños; la creación de un entorno de aprendizaje divertido y seguro para todos los niños, independientemente de su edad, cultura, capacidad, género, lengua, etnia y creencias religiosas; la adopción de todas las medidas racionales para proteger a los niños de daños, sesgos y tratos humillantes; el respeto de sus derechos, deseos, orientación sexual y sentimientos; la garantía de que no se discrimine a los estudiantes con malos resultados; la garantía de que todas las dudas y denuncias de abuso se traten de forma oportuna y adecuada; el empleo de funcionarios y profesores cualificados, registrados e idóneos para sus responsabilidades; la implicación de niños y padres para que las escuelas sean un lugar seguro para los niños y ayudar a las escuelas a elaborar y aplicar su propia política de protección de la infancia. Otros ámbitos de actuación son la Política de Gestión de Riesgos, la Política de Educación Especial e Inclusiva y la Política de Inspección y Seguimiento de los Centros Escolares. Se aplicarán perspectivas de género en la revisión de los planes de estudio para eliminar cualquier implicación de violencia en estos.</w:t>
      </w:r>
      <w:r w:rsidR="00D727C4" w:rsidRPr="006C5D80">
        <w:t xml:space="preserve"> </w:t>
      </w:r>
      <w:r w:rsidRPr="006C5D80">
        <w:t>Las asignaturas en las que estos conceptos se integran de forma destacada son en Primaria, Valores Morales y Educación Cívica, y en Secundaria, Educación para la Vida Familiar, Ciencias y Ciencias Sociales.</w:t>
      </w:r>
    </w:p>
    <w:p w14:paraId="10ACCD9F" w14:textId="77777777" w:rsidR="00076569" w:rsidRPr="006C5D80" w:rsidRDefault="00076569" w:rsidP="00076569">
      <w:pPr>
        <w:pStyle w:val="SingleTxt"/>
        <w:spacing w:after="0" w:line="120" w:lineRule="exact"/>
        <w:rPr>
          <w:sz w:val="10"/>
        </w:rPr>
      </w:pPr>
    </w:p>
    <w:p w14:paraId="0042E328" w14:textId="77777777" w:rsidR="00076569" w:rsidRPr="006C5D80" w:rsidRDefault="00076569" w:rsidP="00076569">
      <w:pPr>
        <w:pStyle w:val="SingleTxt"/>
        <w:spacing w:after="0" w:line="120" w:lineRule="exact"/>
        <w:rPr>
          <w:sz w:val="10"/>
        </w:rPr>
      </w:pPr>
    </w:p>
    <w:p w14:paraId="1BB3DAA5" w14:textId="77777777" w:rsidR="00597C74" w:rsidRPr="00C37370" w:rsidRDefault="00597C74" w:rsidP="000765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 xml:space="preserve">Respuesta al párrafo 14 d) de la lista de cuestiones </w:t>
      </w:r>
    </w:p>
    <w:p w14:paraId="6A8271CC" w14:textId="77777777" w:rsidR="00076569" w:rsidRPr="006C5D80" w:rsidRDefault="00076569" w:rsidP="00076569">
      <w:pPr>
        <w:pStyle w:val="SingleTxt"/>
        <w:spacing w:after="0" w:line="120" w:lineRule="exact"/>
        <w:rPr>
          <w:sz w:val="10"/>
        </w:rPr>
      </w:pPr>
    </w:p>
    <w:p w14:paraId="2A490196" w14:textId="77777777" w:rsidR="00076569" w:rsidRPr="006C5D80" w:rsidRDefault="00076569" w:rsidP="00076569">
      <w:pPr>
        <w:pStyle w:val="SingleTxt"/>
        <w:spacing w:after="0" w:line="120" w:lineRule="exact"/>
        <w:rPr>
          <w:sz w:val="10"/>
        </w:rPr>
      </w:pPr>
    </w:p>
    <w:p w14:paraId="5DD7B525" w14:textId="01265877" w:rsidR="00597C74" w:rsidRPr="006C5D80" w:rsidRDefault="00597C74" w:rsidP="00D83D01">
      <w:pPr>
        <w:pStyle w:val="SingleTxt"/>
        <w:numPr>
          <w:ilvl w:val="0"/>
          <w:numId w:val="60"/>
        </w:numPr>
        <w:ind w:left="1267"/>
      </w:pPr>
      <w:r w:rsidRPr="006C5D80">
        <w:t xml:space="preserve">El Ministerio de Educación no tiene una política o un programa de reintegración propiamente dichos, pero existe un programa </w:t>
      </w:r>
      <w:r w:rsidR="003F0C3B">
        <w:t>‘</w:t>
      </w:r>
      <w:proofErr w:type="spellStart"/>
      <w:r w:rsidRPr="006C5D80">
        <w:t>Matua</w:t>
      </w:r>
      <w:proofErr w:type="spellEnd"/>
      <w:r w:rsidR="003F0C3B">
        <w:t>’</w:t>
      </w:r>
      <w:r w:rsidRPr="006C5D80">
        <w:t xml:space="preserve">. Los datos de </w:t>
      </w:r>
      <w:r w:rsidRPr="00C37370">
        <w:t>2016</w:t>
      </w:r>
      <w:r w:rsidRPr="006C5D80">
        <w:t>-</w:t>
      </w:r>
      <w:r w:rsidRPr="00C37370">
        <w:t>2021</w:t>
      </w:r>
      <w:r w:rsidRPr="006C5D80">
        <w:t xml:space="preserve"> indican que la matrícula total en el Programa </w:t>
      </w:r>
      <w:r w:rsidR="0077380F">
        <w:t>‘</w:t>
      </w:r>
      <w:proofErr w:type="spellStart"/>
      <w:r w:rsidRPr="006C5D80">
        <w:t>Matua</w:t>
      </w:r>
      <w:proofErr w:type="spellEnd"/>
      <w:r w:rsidR="0077380F">
        <w:t>’</w:t>
      </w:r>
      <w:r w:rsidRPr="006C5D80">
        <w:t xml:space="preserve"> aumentó un </w:t>
      </w:r>
      <w:r w:rsidRPr="00C37370">
        <w:t>80</w:t>
      </w:r>
      <w:r w:rsidRPr="006C5D80">
        <w:t xml:space="preserve"> %, y pasó de </w:t>
      </w:r>
      <w:r w:rsidRPr="00C37370">
        <w:t>310</w:t>
      </w:r>
      <w:r w:rsidRPr="006C5D80">
        <w:t xml:space="preserve"> a </w:t>
      </w:r>
      <w:r w:rsidRPr="00C37370">
        <w:t>559</w:t>
      </w:r>
      <w:r w:rsidRPr="006C5D80">
        <w:t xml:space="preserve"> estudiantes, y que las mujeres representaban el </w:t>
      </w:r>
      <w:r w:rsidRPr="00C37370">
        <w:t>63</w:t>
      </w:r>
      <w:r w:rsidRPr="006C5D80">
        <w:t xml:space="preserve"> % de la población estudiantil. Sin embargo, el programa solo está disponible en Suva, lo que limita las </w:t>
      </w:r>
      <w:r w:rsidRPr="006C5D80">
        <w:lastRenderedPageBreak/>
        <w:t>oportunidades de educación de segunda oportunidad para las niñas y mujeres que viven en otros lugares de Fiji.</w:t>
      </w:r>
    </w:p>
    <w:p w14:paraId="4437BAD7" w14:textId="77777777" w:rsidR="00076569" w:rsidRPr="006C5D80" w:rsidRDefault="00076569" w:rsidP="00076569">
      <w:pPr>
        <w:pStyle w:val="SingleTxt"/>
        <w:spacing w:after="0" w:line="120" w:lineRule="exact"/>
        <w:rPr>
          <w:sz w:val="10"/>
        </w:rPr>
      </w:pPr>
    </w:p>
    <w:p w14:paraId="232F6359" w14:textId="77777777" w:rsidR="00076569" w:rsidRPr="006C5D80" w:rsidRDefault="00076569" w:rsidP="00076569">
      <w:pPr>
        <w:pStyle w:val="SingleTxt"/>
        <w:spacing w:after="0" w:line="120" w:lineRule="exact"/>
        <w:rPr>
          <w:sz w:val="10"/>
        </w:rPr>
      </w:pPr>
    </w:p>
    <w:p w14:paraId="374D380A" w14:textId="77777777" w:rsidR="00597C74" w:rsidRPr="00C37370" w:rsidRDefault="00597C74" w:rsidP="000765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14 f) de la lista de cuestiones</w:t>
      </w:r>
    </w:p>
    <w:p w14:paraId="0D6DBCE4" w14:textId="77777777" w:rsidR="00076569" w:rsidRPr="006C5D80" w:rsidRDefault="00076569" w:rsidP="00076569">
      <w:pPr>
        <w:pStyle w:val="SingleTxt"/>
        <w:spacing w:after="0" w:line="120" w:lineRule="exact"/>
        <w:rPr>
          <w:sz w:val="10"/>
        </w:rPr>
      </w:pPr>
    </w:p>
    <w:p w14:paraId="459CE643" w14:textId="77777777" w:rsidR="00076569" w:rsidRPr="006C5D80" w:rsidRDefault="00076569" w:rsidP="00076569">
      <w:pPr>
        <w:pStyle w:val="SingleTxt"/>
        <w:spacing w:after="0" w:line="120" w:lineRule="exact"/>
        <w:rPr>
          <w:sz w:val="10"/>
        </w:rPr>
      </w:pPr>
    </w:p>
    <w:p w14:paraId="286BAB2E" w14:textId="77777777" w:rsidR="00597C74" w:rsidRPr="006C5D80" w:rsidRDefault="00597C74" w:rsidP="00D83D01">
      <w:pPr>
        <w:pStyle w:val="SingleTxt"/>
        <w:numPr>
          <w:ilvl w:val="0"/>
          <w:numId w:val="61"/>
        </w:numPr>
        <w:ind w:left="1267"/>
      </w:pPr>
      <w:r w:rsidRPr="006C5D80">
        <w:t xml:space="preserve">El Ministerio de Educación ha observado un aumento de la matriculación femenina en asignaturas de ciencia, tecnología, ingeniería y matemáticas. Para ello, el Programa Niñas en las TIC, puesto en marcha en abril de </w:t>
      </w:r>
      <w:r w:rsidRPr="00C37370">
        <w:t>2023</w:t>
      </w:r>
      <w:r w:rsidRPr="006C5D80">
        <w:t xml:space="preserve"> en colaboración con el Ministerio de Comunicación y Digital Fiji en el instituto Vunimono, contó con </w:t>
      </w:r>
      <w:r w:rsidRPr="00C37370">
        <w:t>50</w:t>
      </w:r>
      <w:r w:rsidRPr="006C5D80">
        <w:t xml:space="preserve"> participantes femeninas de </w:t>
      </w:r>
      <w:r w:rsidRPr="00C37370">
        <w:t>9</w:t>
      </w:r>
      <w:r w:rsidRPr="006C5D80">
        <w:t xml:space="preserve">º a </w:t>
      </w:r>
      <w:r w:rsidRPr="00C37370">
        <w:t>13</w:t>
      </w:r>
      <w:r w:rsidRPr="006C5D80">
        <w:t xml:space="preserve">º curso. El programa pretende fomentar el interés de las niñas por los cursos de informática y promover la seguridad en línea. En los últimos seis años, el Ministerio de Tierras y Recursos Minerales ha visto aumentar el número de mujeres y niñas que se incorporan a profesiones dominadas por los hombres, y cada año se contrata al menos a una Licenciada en Topografía. El proceso abierto de nombramiento por méritos y contratación garantiza la eliminación de la discriminación, lo que permite que las mujeres cualificadas sean nombradas en función de sus méritos. El Ministerio de Juventud y Deportes se centra en ofrecer igualdad de oportunidades a mujeres y niñas en la reducción de desastres y el cambio climático, reconociendo los retos únicos a los que se enfrentan en estos campos. El Ministerio apuesta por su </w:t>
      </w:r>
      <w:proofErr w:type="gramStart"/>
      <w:r w:rsidRPr="006C5D80">
        <w:t>participación activa</w:t>
      </w:r>
      <w:proofErr w:type="gramEnd"/>
      <w:r w:rsidRPr="006C5D80">
        <w:t xml:space="preserve"> ofreciendo formación sobre salud y derechos reproductivos adaptada a las necesidades de las mujeres y las niñas. Estas formaciones pretenden empoderarlas para participar en iniciativas de reducción del riesgo de desastres y cambio climático. El Ministerio también trabaja para eliminar las disparidades de género mediante asesoramiento profesional, becas e incentivos para campos como la meteorología, la reducción del riesgo de desastres y el cambio climático, y anima a las niñas a seguir estas carreras. Además, el plan de estudios de formación del profesorado está diseñado para cuestionar los estereotipos y crear un entorno educativo propicio para que las niñas persigan sus intereses sin limitaciones. El Ministerio de la Juventud y el Deporte se compromete a crear una sociedad más inclusiva y resiliente garantizando la igualdad de oportunidades para mujeres y niñas en estos ámbitos cruciales. La Oficina Nacional de Gestión de Desastres coordina los programas de recuperación temprana y rehabilitación, en los que los sectores realizan evaluaciones detalladas de daños y presentan sus planes de rehabilitación al Gobierno para su financiación. Un principio clave que se promueve en las fases de recuperación y reconstrucción es el de reconstruir para mejorar, en el que la recuperación se diseña para ajustarse a las normas de resiliencia para desastres, teniendo debidamente en cuenta los requisitos de inclusión. La Oficina se remite al Plan Nacional de Gestión de Desastres de </w:t>
      </w:r>
      <w:r w:rsidRPr="00C37370">
        <w:t>1995</w:t>
      </w:r>
      <w:r w:rsidRPr="006C5D80">
        <w:t xml:space="preserve">, que es el documento rector en materia de rehabilitación y socorro. El Ministerio de Comercio, Cooperativas, Pequeñas y Medianas Empresas, en colaboración con el Banco Mundial, elaboró en </w:t>
      </w:r>
      <w:r w:rsidRPr="00C37370">
        <w:t>2019</w:t>
      </w:r>
      <w:r w:rsidRPr="006C5D80">
        <w:t xml:space="preserve"> una directriz para mejorar la seguridad y la resiliencia de las nuevas viviendas de una sola planta y escuelas en las zonas rurales de Fiji frente a vientos ciclónicos y terremotos, basándose en las buenas prácticas elaboradas tras el ciclón tropical Winston. Según el Ministerio de Educación, en </w:t>
      </w:r>
      <w:r w:rsidRPr="00C37370">
        <w:t>2017</w:t>
      </w:r>
      <w:r w:rsidRPr="006C5D80">
        <w:t xml:space="preserve"> había </w:t>
      </w:r>
      <w:r w:rsidRPr="00C37370">
        <w:t>31</w:t>
      </w:r>
      <w:r w:rsidRPr="006C5D80">
        <w:t xml:space="preserve"> escuelas afectadas y rehabilitadas, </w:t>
      </w:r>
      <w:r w:rsidRPr="00C37370">
        <w:t>19</w:t>
      </w:r>
      <w:r w:rsidRPr="006C5D80">
        <w:t xml:space="preserve"> en </w:t>
      </w:r>
      <w:r w:rsidRPr="00C37370">
        <w:t>2020</w:t>
      </w:r>
      <w:r w:rsidRPr="006C5D80">
        <w:t xml:space="preserve"> y </w:t>
      </w:r>
      <w:r w:rsidRPr="00C37370">
        <w:t>12</w:t>
      </w:r>
      <w:r w:rsidRPr="006C5D80">
        <w:t xml:space="preserve"> en </w:t>
      </w:r>
      <w:r w:rsidRPr="00C37370">
        <w:t>2021</w:t>
      </w:r>
      <w:r w:rsidRPr="006C5D80">
        <w:t>. Las instalaciones agua, saneamiento e higiene también se inspeccionan y se construyen conforme a las normas. El Ministerio de Tierras y Recursos Minerales proporciona servicios de cartografía, asesoramiento técnico y apoyo a la rehabilitación nacional de escuelas gravemente afectadas mediante la realización de evaluaciones geotécnicas de corrimientos de tierras, evaluaciones de inundaciones costeras y evaluaciones de reubicación para proporcionar la información importante y necesaria en apoyo de las decisiones de reconstrucción de otros organismos competentes como la Oficina Nacional de Gestión de Desastres y el Ministerio de Educación.</w:t>
      </w:r>
    </w:p>
    <w:p w14:paraId="4592CB7E" w14:textId="77777777" w:rsidR="00597C74" w:rsidRPr="00C37370" w:rsidRDefault="00597C74" w:rsidP="000765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14 g) de la lista de cuestiones</w:t>
      </w:r>
    </w:p>
    <w:p w14:paraId="47C796C8" w14:textId="77777777" w:rsidR="00076569" w:rsidRPr="006C5D80" w:rsidRDefault="00076569" w:rsidP="00076569">
      <w:pPr>
        <w:pStyle w:val="SingleTxt"/>
        <w:spacing w:after="0" w:line="120" w:lineRule="exact"/>
        <w:rPr>
          <w:sz w:val="10"/>
        </w:rPr>
      </w:pPr>
    </w:p>
    <w:p w14:paraId="75BCD940" w14:textId="77777777" w:rsidR="00076569" w:rsidRPr="006C5D80" w:rsidRDefault="00076569" w:rsidP="00076569">
      <w:pPr>
        <w:pStyle w:val="SingleTxt"/>
        <w:spacing w:after="0" w:line="120" w:lineRule="exact"/>
        <w:rPr>
          <w:sz w:val="10"/>
        </w:rPr>
      </w:pPr>
    </w:p>
    <w:p w14:paraId="2B957B10" w14:textId="77777777" w:rsidR="00597C74" w:rsidRPr="006C5D80" w:rsidRDefault="00597C74" w:rsidP="00D83D01">
      <w:pPr>
        <w:pStyle w:val="SingleTxt"/>
        <w:numPr>
          <w:ilvl w:val="0"/>
          <w:numId w:val="62"/>
        </w:numPr>
        <w:ind w:left="1267"/>
      </w:pPr>
      <w:r w:rsidRPr="006C5D80">
        <w:t xml:space="preserve">El Plan Nacional de Acción para Prevenir la Violencia contra las Mujeres y las Niñas promueve la igualdad de género y la prevención de la violencia contra las mujeres y niñas mediante acciones orientadas a crear lugares de trabajo seguros e inclusivos. Se centra en reforzar las políticas en el lugar de trabajo que apoyan la igualdad de género, la promoción de la mujer, la igualdad salarial y la protección de la maternidad y paternidad, y previenen la intimidación, el acoso sexual, la homofobia y la transfobia. La Fuerza de Policía de Fiji también lleva a cabo actividades de concienciación policial comunitaria en las escuelas, en las que se tratan cuestiones como el acoso escolar. El Ministerio de Educación se ha comprometido a aplicar una política de tolerancia cero frente al maltrato infantil, el trabajo infantil, la trata, el abandono y la explotación, como se indica en la Política de Protección de la Infancia de </w:t>
      </w:r>
      <w:r w:rsidRPr="00C37370">
        <w:t>2015</w:t>
      </w:r>
      <w:r w:rsidRPr="006C5D80">
        <w:t xml:space="preserve">. Esta política proporciona un marco para proteger a los niños, incluida la detección y notificación de abusos. Las escuelas deben elaborar sus propias políticas de protección de la infancia en consonancia con el Ministerio y nombrar a un Oficial de Protección Infantil responsable de las investigaciones. Las oficinas de división también designan oficiales o consejeros para tratar los casos de abuso infantil. El Ministerio colabora con las partes gubernamentales interesadas y con asociados como el UNICEF y el Consejo Asesor sobre Abuso de Sustancias para capacitar a más de </w:t>
      </w:r>
      <w:r w:rsidRPr="00C37370">
        <w:t>927</w:t>
      </w:r>
      <w:r w:rsidRPr="006C5D80">
        <w:t xml:space="preserve"> participantes, en su mayoría oficiales escolares de protección infantil. La Política de Gestión del Comportamiento (</w:t>
      </w:r>
      <w:r w:rsidRPr="00C37370">
        <w:t>2015</w:t>
      </w:r>
      <w:r w:rsidRPr="006C5D80">
        <w:t>) proporciona un marco para la gestión de la disciplina y el comportamiento de los alumnos en las escuelas. Establece expectativas claras sobre la conducta de los alumnos y describe las consecuencias de las infracciones del código de ética de la escuela. La política fomenta la colaboración entre las escuelas, el Ministerio de Educación, los padres y las comunidades para abordar los problemas de comportamiento en las escuelas de Fiji.</w:t>
      </w:r>
    </w:p>
    <w:p w14:paraId="798A846D" w14:textId="77777777" w:rsidR="00076569" w:rsidRPr="006C5D80" w:rsidRDefault="00076569" w:rsidP="00076569">
      <w:pPr>
        <w:pStyle w:val="SingleTxt"/>
        <w:spacing w:after="0" w:line="120" w:lineRule="exact"/>
        <w:rPr>
          <w:sz w:val="10"/>
        </w:rPr>
      </w:pPr>
    </w:p>
    <w:p w14:paraId="7C67D210" w14:textId="77777777" w:rsidR="00076569" w:rsidRPr="006C5D80" w:rsidRDefault="00076569" w:rsidP="00076569">
      <w:pPr>
        <w:pStyle w:val="SingleTxt"/>
        <w:spacing w:after="0" w:line="120" w:lineRule="exact"/>
        <w:rPr>
          <w:sz w:val="10"/>
        </w:rPr>
      </w:pPr>
    </w:p>
    <w:p w14:paraId="209EE9EF" w14:textId="4C7C1E05"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Empleo</w:t>
      </w:r>
    </w:p>
    <w:p w14:paraId="7890222D" w14:textId="77777777" w:rsidR="004A5989" w:rsidRPr="006C5D80" w:rsidRDefault="004A5989" w:rsidP="004A5989">
      <w:pPr>
        <w:pStyle w:val="SingleTxt"/>
        <w:spacing w:after="0" w:line="120" w:lineRule="exact"/>
        <w:rPr>
          <w:sz w:val="10"/>
        </w:rPr>
      </w:pPr>
    </w:p>
    <w:p w14:paraId="05AB1E9A" w14:textId="77777777" w:rsidR="004A5989" w:rsidRPr="006C5D80" w:rsidRDefault="004A5989" w:rsidP="004A5989">
      <w:pPr>
        <w:pStyle w:val="SingleTxt"/>
        <w:spacing w:after="0" w:line="120" w:lineRule="exact"/>
        <w:rPr>
          <w:sz w:val="10"/>
        </w:rPr>
      </w:pPr>
    </w:p>
    <w:p w14:paraId="0B81367E"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 xml:space="preserve">Respuesta al párrafo 15 a) de la lista de cuestiones </w:t>
      </w:r>
    </w:p>
    <w:p w14:paraId="09C6E279" w14:textId="77777777" w:rsidR="004A5989" w:rsidRPr="006C5D80" w:rsidRDefault="004A5989" w:rsidP="004A5989">
      <w:pPr>
        <w:pStyle w:val="SingleTxt"/>
        <w:spacing w:after="0" w:line="120" w:lineRule="exact"/>
        <w:rPr>
          <w:sz w:val="10"/>
        </w:rPr>
      </w:pPr>
    </w:p>
    <w:p w14:paraId="2AB0B2D3" w14:textId="77777777" w:rsidR="004A5989" w:rsidRPr="006C5D80" w:rsidRDefault="004A5989" w:rsidP="004A5989">
      <w:pPr>
        <w:pStyle w:val="SingleTxt"/>
        <w:spacing w:after="0" w:line="120" w:lineRule="exact"/>
        <w:rPr>
          <w:sz w:val="10"/>
        </w:rPr>
      </w:pPr>
    </w:p>
    <w:p w14:paraId="771429E1" w14:textId="77777777" w:rsidR="00597C74" w:rsidRPr="006C5D80" w:rsidRDefault="00597C74" w:rsidP="00D83D01">
      <w:pPr>
        <w:pStyle w:val="SingleTxt"/>
        <w:numPr>
          <w:ilvl w:val="0"/>
          <w:numId w:val="63"/>
        </w:numPr>
        <w:ind w:left="1267"/>
      </w:pPr>
      <w:r w:rsidRPr="006C5D80">
        <w:t xml:space="preserve">La Política Nacional de Empleo de Fiji para </w:t>
      </w:r>
      <w:r w:rsidRPr="00C37370">
        <w:t>2018</w:t>
      </w:r>
      <w:r w:rsidRPr="006C5D80">
        <w:t xml:space="preserve">, en el marco de la prioridad política </w:t>
      </w:r>
      <w:r w:rsidRPr="00C37370">
        <w:t>7</w:t>
      </w:r>
      <w:r w:rsidRPr="006C5D80">
        <w:t>, tiene como objetivo promover una mayor igualdad de género en el empleo y las condiciones de trabajo. Para lograr este objetivo se han puesto en marcha varias acciones e iniciativas estratégicas, como:</w:t>
      </w:r>
    </w:p>
    <w:p w14:paraId="5B97A016" w14:textId="7AE6FC2B" w:rsidR="00597C74" w:rsidRPr="006C5D80" w:rsidRDefault="004A5989" w:rsidP="00597C74">
      <w:pPr>
        <w:pStyle w:val="SingleTxt"/>
      </w:pPr>
      <w:r w:rsidRPr="006C5D80">
        <w:tab/>
      </w:r>
      <w:r w:rsidR="00597C74" w:rsidRPr="006C5D80">
        <w:t>a)</w:t>
      </w:r>
      <w:r w:rsidR="00597C74" w:rsidRPr="006C5D80">
        <w:tab/>
        <w:t>Retener a las mujeres con cualificaciones postescolares: Se han adoptado medidas para concebir formas de animar a más mujeres con cualificaciones postescolares a permanecer o volver al empleo formal. Con ello se pretende garantizar que las mujeres no se vean disuadidas de proseguir su carrera profesional tras adquirir cualificaciones;</w:t>
      </w:r>
    </w:p>
    <w:p w14:paraId="62E555DD" w14:textId="0A64E746" w:rsidR="00597C74" w:rsidRPr="006C5D80" w:rsidRDefault="004A5989" w:rsidP="00597C74">
      <w:pPr>
        <w:pStyle w:val="SingleTxt"/>
      </w:pPr>
      <w:r w:rsidRPr="006C5D80">
        <w:tab/>
      </w:r>
      <w:r w:rsidR="00597C74" w:rsidRPr="006C5D80">
        <w:t>b)</w:t>
      </w:r>
      <w:r w:rsidR="00597C74" w:rsidRPr="006C5D80">
        <w:tab/>
        <w:t xml:space="preserve">Servicio Nacional de Empleo: Desde </w:t>
      </w:r>
      <w:r w:rsidR="00597C74" w:rsidRPr="00C37370">
        <w:t>2010</w:t>
      </w:r>
      <w:r w:rsidR="00597C74" w:rsidRPr="006C5D80">
        <w:t xml:space="preserve">, el Servicio Nacional de Empleo presta diversos servicios a los desempleados inscritos. Estos servicios incluyen la inscripción, el asesoramiento, la evaluación de aptitudes, la formación en habilidades para la vida, la formación en habilidades específicas, el apego al trabajo, el apego al voluntariado y la colocación en empleos locales, empleos en el extranjero y colocaciones regionales de voluntariado. En particular, </w:t>
      </w:r>
      <w:r w:rsidR="00597C74" w:rsidRPr="00C37370">
        <w:t>492</w:t>
      </w:r>
      <w:r w:rsidR="00597C74" w:rsidRPr="006C5D80">
        <w:t xml:space="preserve"> mujeres, fueron contratadas entre </w:t>
      </w:r>
      <w:r w:rsidR="00597C74" w:rsidRPr="00C37370">
        <w:t>2018</w:t>
      </w:r>
      <w:r w:rsidR="00597C74" w:rsidRPr="006C5D80">
        <w:t xml:space="preserve"> y </w:t>
      </w:r>
      <w:r w:rsidR="00597C74" w:rsidRPr="00C37370">
        <w:t>2024</w:t>
      </w:r>
      <w:r w:rsidR="00597C74" w:rsidRPr="006C5D80">
        <w:t xml:space="preserve"> con éxito para realizar trabajos locales y voluntariado;</w:t>
      </w:r>
    </w:p>
    <w:p w14:paraId="131BF261" w14:textId="5C092066" w:rsidR="00597C74" w:rsidRPr="006C5D80" w:rsidRDefault="004A5989" w:rsidP="00597C74">
      <w:pPr>
        <w:pStyle w:val="SingleTxt"/>
      </w:pPr>
      <w:r w:rsidRPr="006C5D80">
        <w:tab/>
      </w:r>
      <w:r w:rsidR="00597C74" w:rsidRPr="006C5D80">
        <w:t>c)</w:t>
      </w:r>
      <w:r w:rsidR="00597C74" w:rsidRPr="006C5D80">
        <w:tab/>
        <w:t xml:space="preserve">Oportunidades de empleo en el extranjero: Un total de </w:t>
      </w:r>
      <w:r w:rsidR="00597C74" w:rsidRPr="00C37370">
        <w:t>1</w:t>
      </w:r>
      <w:r w:rsidR="00597C74" w:rsidRPr="006C5D80">
        <w:t>.</w:t>
      </w:r>
      <w:r w:rsidR="00597C74" w:rsidRPr="00C37370">
        <w:t>494</w:t>
      </w:r>
      <w:r w:rsidR="00597C74" w:rsidRPr="006C5D80">
        <w:t xml:space="preserve"> mujeres han sido contratadas en el extranjero en el marco de programas como el Programa de Empleo Estacional Reconocido y el Programa de Movilidad Laboral de Australia-</w:t>
      </w:r>
      <w:r w:rsidR="00597C74" w:rsidRPr="006C5D80">
        <w:lastRenderedPageBreak/>
        <w:t>Pacífico. Estas iniciativas ofrecen a las mujeres oportunidades de trabajar en países extranjeros;</w:t>
      </w:r>
    </w:p>
    <w:p w14:paraId="322E26B7" w14:textId="652CDD31" w:rsidR="00597C74" w:rsidRPr="006C5D80" w:rsidRDefault="004A5989" w:rsidP="00597C74">
      <w:pPr>
        <w:pStyle w:val="SingleTxt"/>
      </w:pPr>
      <w:r w:rsidRPr="006C5D80">
        <w:tab/>
      </w:r>
      <w:r w:rsidR="00597C74" w:rsidRPr="006C5D80">
        <w:t>d)</w:t>
      </w:r>
      <w:r w:rsidR="00597C74" w:rsidRPr="006C5D80">
        <w:tab/>
        <w:t>Fomentar el acceso de las mujeres a empleos no tradicionales: El Ministerio ha firmado memorandos de entendimiento con empresarios y proveedores de formación para crear oportunidades de formación de mujeres jóvenes en profesiones tradicionalmente dominadas por los hombres. Esto fomenta la diversidad de género en diversas industrias;</w:t>
      </w:r>
    </w:p>
    <w:p w14:paraId="2F900C27" w14:textId="052E8F79" w:rsidR="00597C74" w:rsidRPr="006C5D80" w:rsidRDefault="004A5989" w:rsidP="00597C74">
      <w:pPr>
        <w:pStyle w:val="SingleTxt"/>
      </w:pPr>
      <w:r w:rsidRPr="006C5D80">
        <w:tab/>
      </w:r>
      <w:r w:rsidR="00597C74" w:rsidRPr="006C5D80">
        <w:t>e)</w:t>
      </w:r>
      <w:r w:rsidR="00597C74" w:rsidRPr="006C5D80">
        <w:tab/>
        <w:t>Contratación abierta y transparente: La Administración Pública de Fiji ha adoptado un proceso de contratación abierto y transparente que pretende atraer a personas de diversos orígenes y con distintas experiencias. El proceso de contratación está diseñado para ser justo y libre de nepotismo o discriminación, y promover la igualdad de oportunidades para todos;</w:t>
      </w:r>
    </w:p>
    <w:p w14:paraId="442F0D8F" w14:textId="6642D34C" w:rsidR="00597C74" w:rsidRPr="006C5D80" w:rsidRDefault="004A5989" w:rsidP="00597C74">
      <w:pPr>
        <w:pStyle w:val="SingleTxt"/>
      </w:pPr>
      <w:r w:rsidRPr="006C5D80">
        <w:tab/>
      </w:r>
      <w:r w:rsidR="00597C74" w:rsidRPr="006C5D80">
        <w:t>f)</w:t>
      </w:r>
      <w:r w:rsidR="00597C74" w:rsidRPr="006C5D80">
        <w:tab/>
        <w:t>Equilibrio entre hombres y mujeres en los grupos de contratación: Los grupos de contratación deben tener un equilibrio entre hombres y mujeres e incluir miembros de otros ministerios o departamentos, garantizando un proceso de selección justo e imparcial;</w:t>
      </w:r>
    </w:p>
    <w:p w14:paraId="5C27F52C" w14:textId="2CB0E93F" w:rsidR="00597C74" w:rsidRPr="006C5D80" w:rsidRDefault="004A5989" w:rsidP="00597C74">
      <w:pPr>
        <w:pStyle w:val="SingleTxt"/>
      </w:pPr>
      <w:r w:rsidRPr="006C5D80">
        <w:tab/>
      </w:r>
      <w:r w:rsidR="00597C74" w:rsidRPr="006C5D80">
        <w:t>g)</w:t>
      </w:r>
      <w:r w:rsidR="00597C74" w:rsidRPr="006C5D80">
        <w:tab/>
        <w:t xml:space="preserve">Convenios internacionales: Fiji ha ratificado convenios internacionales, entre ellos el Convenio </w:t>
      </w:r>
      <w:r w:rsidR="00597C74" w:rsidRPr="00C37370">
        <w:t>100</w:t>
      </w:r>
      <w:r w:rsidR="00597C74" w:rsidRPr="006C5D80">
        <w:t xml:space="preserve"> sobre igualdad de remuneración y el Convenio </w:t>
      </w:r>
      <w:r w:rsidR="00597C74" w:rsidRPr="00C37370">
        <w:t>111</w:t>
      </w:r>
      <w:r w:rsidR="00597C74" w:rsidRPr="006C5D80">
        <w:t xml:space="preserve"> sobre discriminación (empleo y ocupación). Estos convenios hacen hincapié en la igualdad de retribución por un trabajo de igual valor y en la eliminación de la discriminación en el empleo basada en diversos factores;</w:t>
      </w:r>
    </w:p>
    <w:p w14:paraId="03F58B1B" w14:textId="19F0D92D" w:rsidR="00597C74" w:rsidRPr="006C5D80" w:rsidRDefault="004A5989" w:rsidP="00597C74">
      <w:pPr>
        <w:pStyle w:val="SingleTxt"/>
      </w:pPr>
      <w:r w:rsidRPr="006C5D80">
        <w:tab/>
      </w:r>
      <w:r w:rsidR="00597C74" w:rsidRPr="006C5D80">
        <w:t>h)</w:t>
      </w:r>
      <w:r w:rsidR="00597C74" w:rsidRPr="006C5D80">
        <w:tab/>
        <w:t>Iniciativas de empleo juvenil: El Ministerio de la Juventud y el Deporte trabaja activamente para recopilar las necesidades de los jóvenes, centrándose en ofrecerles oportunidades de empleo. Iniciativas como la Feria y Exposición de Empleo Juvenil recopilan datos para detectar carencias de cualificaciones y elaborar soluciones para el empleo juvenil;</w:t>
      </w:r>
    </w:p>
    <w:p w14:paraId="7DE6306B" w14:textId="47C84B2B" w:rsidR="00597C74" w:rsidRPr="006C5D80" w:rsidRDefault="004A5989" w:rsidP="00597C74">
      <w:pPr>
        <w:pStyle w:val="SingleTxt"/>
      </w:pPr>
      <w:r w:rsidRPr="006C5D80">
        <w:tab/>
      </w:r>
      <w:r w:rsidR="00597C74" w:rsidRPr="006C5D80">
        <w:t>i)</w:t>
      </w:r>
      <w:r w:rsidR="00597C74" w:rsidRPr="006C5D80">
        <w:tab/>
        <w:t>Programas de empoderamiento de los jóvenes: Estos programas abarcan una amplia gama de temas de formación, como la ley y el orden, la salud y el bienestar, el cambio climático, las habilidades interpersonales, la educación financiera, la gestión de proyectos, etc. Su objetivo es dotar a los jóvenes de las habilidades y conocimientos necesarios para su crecimiento personal y profesional;</w:t>
      </w:r>
    </w:p>
    <w:p w14:paraId="02DC801F" w14:textId="69F896D2" w:rsidR="00597C74" w:rsidRPr="006C5D80" w:rsidRDefault="004A5989" w:rsidP="00597C74">
      <w:pPr>
        <w:pStyle w:val="SingleTxt"/>
      </w:pPr>
      <w:r w:rsidRPr="006C5D80">
        <w:tab/>
      </w:r>
      <w:r w:rsidR="00597C74" w:rsidRPr="006C5D80">
        <w:t>j)</w:t>
      </w:r>
      <w:r w:rsidR="00597C74" w:rsidRPr="006C5D80">
        <w:tab/>
        <w:t>Formación especializada: El Ministerio ofrece formación especializada a través de sus centros de formación juvenil, que proporcionan a los jóvenes cualificaciones acreditadas en diversos campos;</w:t>
      </w:r>
    </w:p>
    <w:p w14:paraId="602BD37E" w14:textId="00BEED34" w:rsidR="00597C74" w:rsidRPr="006C5D80" w:rsidRDefault="004A5989" w:rsidP="00597C74">
      <w:pPr>
        <w:pStyle w:val="SingleTxt"/>
      </w:pPr>
      <w:r w:rsidRPr="006C5D80">
        <w:tab/>
      </w:r>
      <w:r w:rsidR="00597C74" w:rsidRPr="006C5D80">
        <w:t>k)</w:t>
      </w:r>
      <w:r w:rsidR="00597C74" w:rsidRPr="006C5D80">
        <w:tab/>
        <w:t>Formación práctica móvil: Este programa ofrece oportunidades de formación profesional de proximidad, enseñando a los jóvenes nuevas habilidades y mejorando las existentes. Su objetivo es aumentar las oportunidades de empleo y la generación de ingresos para los jóvenes;</w:t>
      </w:r>
    </w:p>
    <w:p w14:paraId="0C5D6564" w14:textId="379EA17C" w:rsidR="00597C74" w:rsidRPr="006C5D80" w:rsidRDefault="004A5989" w:rsidP="00597C74">
      <w:pPr>
        <w:pStyle w:val="SingleTxt"/>
      </w:pPr>
      <w:r w:rsidRPr="006C5D80">
        <w:tab/>
      </w:r>
      <w:r w:rsidR="00597C74" w:rsidRPr="006C5D80">
        <w:t>l)</w:t>
      </w:r>
      <w:r w:rsidR="00597C74" w:rsidRPr="006C5D80">
        <w:tab/>
        <w:t>Jóvenes con necesidades especiales: El ministerio reconoce la importancia de proporcionar formación a los jóvenes con discapacidades. Se procurando mejorar la inclusión y la capacitación de los jóvenes con capacidades diferentes;</w:t>
      </w:r>
    </w:p>
    <w:p w14:paraId="760764EC" w14:textId="5BA5D15C" w:rsidR="00597C74" w:rsidRPr="006C5D80" w:rsidRDefault="004A5989" w:rsidP="00597C74">
      <w:pPr>
        <w:pStyle w:val="SingleTxt"/>
      </w:pPr>
      <w:r w:rsidRPr="006C5D80">
        <w:tab/>
      </w:r>
      <w:r w:rsidR="00597C74" w:rsidRPr="006C5D80">
        <w:t>m)</w:t>
      </w:r>
      <w:r w:rsidR="00597C74" w:rsidRPr="006C5D80">
        <w:tab/>
        <w:t>Premio Internacional Duque de Edimburgo: Este programa de premios está diseñado para reconocer y celebrar los logros y el crecimiento personal de los jóvenes a través de actividades educativas no formales y de voluntariado.</w:t>
      </w:r>
    </w:p>
    <w:p w14:paraId="14B7A966" w14:textId="77777777" w:rsidR="00597C74" w:rsidRPr="006C5D80" w:rsidRDefault="00597C74" w:rsidP="00D83D01">
      <w:pPr>
        <w:pStyle w:val="SingleTxt"/>
        <w:numPr>
          <w:ilvl w:val="0"/>
          <w:numId w:val="64"/>
        </w:numPr>
        <w:ind w:left="1267"/>
      </w:pPr>
      <w:r w:rsidRPr="006C5D80">
        <w:t>Estas iniciativas promueven colectivamente la igualdad de género, el empoderamiento de los jóvenes y la inclusión en el mercado laboral, y contribuye a lograr una mano de obra más equitativa y diversa en Fiji.</w:t>
      </w:r>
    </w:p>
    <w:p w14:paraId="685EAC32" w14:textId="77777777" w:rsidR="004A5989" w:rsidRPr="006C5D80" w:rsidRDefault="004A5989" w:rsidP="004A5989">
      <w:pPr>
        <w:pStyle w:val="SingleTxt"/>
        <w:spacing w:after="0" w:line="120" w:lineRule="exact"/>
        <w:rPr>
          <w:sz w:val="10"/>
        </w:rPr>
      </w:pPr>
    </w:p>
    <w:p w14:paraId="243C003B" w14:textId="77777777" w:rsidR="004A5989" w:rsidRPr="006C5D80" w:rsidRDefault="004A5989" w:rsidP="004A5989">
      <w:pPr>
        <w:pStyle w:val="SingleTxt"/>
        <w:spacing w:after="0" w:line="120" w:lineRule="exact"/>
        <w:rPr>
          <w:sz w:val="10"/>
        </w:rPr>
      </w:pPr>
    </w:p>
    <w:p w14:paraId="64EA64AD"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15 b) de la lista de cuestiones</w:t>
      </w:r>
    </w:p>
    <w:p w14:paraId="54EF5C2A" w14:textId="77777777" w:rsidR="004A5989" w:rsidRPr="006C5D80" w:rsidRDefault="004A5989" w:rsidP="004A5989">
      <w:pPr>
        <w:pStyle w:val="SingleTxt"/>
        <w:spacing w:after="0" w:line="120" w:lineRule="exact"/>
        <w:rPr>
          <w:sz w:val="10"/>
        </w:rPr>
      </w:pPr>
    </w:p>
    <w:p w14:paraId="5369BD3C" w14:textId="77777777" w:rsidR="004A5989" w:rsidRPr="006C5D80" w:rsidRDefault="004A5989" w:rsidP="004A5989">
      <w:pPr>
        <w:pStyle w:val="SingleTxt"/>
        <w:spacing w:after="0" w:line="120" w:lineRule="exact"/>
        <w:rPr>
          <w:sz w:val="10"/>
        </w:rPr>
      </w:pPr>
    </w:p>
    <w:p w14:paraId="0F252AA6" w14:textId="77777777" w:rsidR="00597C74" w:rsidRPr="006C5D80" w:rsidRDefault="00597C74" w:rsidP="00D83D01">
      <w:pPr>
        <w:pStyle w:val="SingleTxt"/>
        <w:numPr>
          <w:ilvl w:val="0"/>
          <w:numId w:val="65"/>
        </w:numPr>
        <w:ind w:left="1267"/>
      </w:pPr>
      <w:r w:rsidRPr="006C5D80">
        <w:t xml:space="preserve">La Fuerza de Policía de Fiji promueve la igualdad en el lugar de trabajo, donde mujeres que desempeñan diversas funciones, como </w:t>
      </w:r>
      <w:proofErr w:type="gramStart"/>
      <w:r w:rsidRPr="006C5D80">
        <w:t>Directoras</w:t>
      </w:r>
      <w:proofErr w:type="gramEnd"/>
      <w:r w:rsidRPr="006C5D80">
        <w:t xml:space="preserve">, Oficiales Encargadas, Oficiales de Estación y Suboficiales (Sargentos e inferiores), y dirige tanto a personal masculino como femenino. El Ministerio sigue el proceso abierto de contratación por méritos para garantizar que la contratación y la promoción se basen únicamente en el mérito, sin discriminación. El Ministerio de Desarrollo Rural y Marítimo emplea a un </w:t>
      </w:r>
      <w:r w:rsidRPr="00C37370">
        <w:t>31</w:t>
      </w:r>
      <w:r w:rsidRPr="006C5D80">
        <w:t xml:space="preserve"> % de funcionarias desde el nivel superior hasta el de </w:t>
      </w:r>
      <w:proofErr w:type="gramStart"/>
      <w:r w:rsidRPr="006C5D80">
        <w:t>Secretaria</w:t>
      </w:r>
      <w:proofErr w:type="gramEnd"/>
      <w:r w:rsidRPr="006C5D80">
        <w:t xml:space="preserve"> Permanente, incluidas mujeres en puestos de Directora, Oficial Principal y Oficial Administrativa Superior. La Ley de Relaciones Laborales de </w:t>
      </w:r>
      <w:r w:rsidRPr="00C37370">
        <w:t>2007</w:t>
      </w:r>
      <w:r w:rsidRPr="006C5D80">
        <w:t xml:space="preserve"> prohíbe la discriminación por razón de género y otros factores en el empleo. El Ministerio garantiza prácticas justas mediante inspecciones en el lugar de trabajo para evitar la discriminación directa e indirecta. La Política Nacional de Empleo hace hincapié en la igualdad de acceso de las mujeres a los empleos y ascensos del sector público. La administración pública de Fiji ha reformado su proceso de contratación para que sea abierto, transparente y libre de nepotismo y discriminación, y cuente con paneles de contratación equilibrados entre hombres y mujeres. La parte </w:t>
      </w:r>
      <w:r w:rsidRPr="00C37370">
        <w:t>9</w:t>
      </w:r>
      <w:r w:rsidRPr="006C5D80">
        <w:t xml:space="preserve"> de la Ley se centra en la igualdad de oportunidades en el empleo, y el Ministerio de la Administración Pública (supervisa la aplicación del proceso abierto de contratación por méritos. El proceso abierto de contratación por méritos da prioridad al mérito, la transparencia, la no discriminación y el debido proceso. Además, Fiji ha ratificado el Convenio </w:t>
      </w:r>
      <w:r w:rsidRPr="00C37370">
        <w:t>100</w:t>
      </w:r>
      <w:r w:rsidRPr="006C5D80">
        <w:t xml:space="preserve"> sobre Igualdad de Remuneración, que aboga por la igualdad de retribución por un trabajo de igual valor, independientemente del género. El objetivo colectivo de estas medidas es lograr la igualdad de género y unas prácticas laborales justas en Fiji.</w:t>
      </w:r>
    </w:p>
    <w:p w14:paraId="0F4EFAA4" w14:textId="77777777" w:rsidR="004A5989" w:rsidRPr="006C5D80" w:rsidRDefault="004A5989" w:rsidP="004A5989">
      <w:pPr>
        <w:pStyle w:val="SingleTxt"/>
        <w:spacing w:after="0" w:line="120" w:lineRule="exact"/>
        <w:rPr>
          <w:sz w:val="10"/>
        </w:rPr>
      </w:pPr>
    </w:p>
    <w:p w14:paraId="57BE1685" w14:textId="77777777" w:rsidR="004A5989" w:rsidRPr="006C5D80" w:rsidRDefault="004A5989" w:rsidP="004A5989">
      <w:pPr>
        <w:pStyle w:val="SingleTxt"/>
        <w:spacing w:after="0" w:line="120" w:lineRule="exact"/>
        <w:rPr>
          <w:sz w:val="10"/>
        </w:rPr>
      </w:pPr>
    </w:p>
    <w:p w14:paraId="1FE1E811"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15 c) de la lista de cuestiones</w:t>
      </w:r>
      <w:bookmarkStart w:id="8" w:name="_Hlk187414588"/>
      <w:bookmarkEnd w:id="8"/>
    </w:p>
    <w:p w14:paraId="2F715801" w14:textId="77777777" w:rsidR="004A5989" w:rsidRPr="006C5D80" w:rsidRDefault="004A5989" w:rsidP="004A5989">
      <w:pPr>
        <w:pStyle w:val="SingleTxt"/>
        <w:spacing w:after="0" w:line="120" w:lineRule="exact"/>
        <w:rPr>
          <w:sz w:val="10"/>
        </w:rPr>
      </w:pPr>
    </w:p>
    <w:p w14:paraId="70CF8B10" w14:textId="77777777" w:rsidR="004A5989" w:rsidRPr="006C5D80" w:rsidRDefault="004A5989" w:rsidP="004A5989">
      <w:pPr>
        <w:pStyle w:val="SingleTxt"/>
        <w:spacing w:after="0" w:line="120" w:lineRule="exact"/>
        <w:rPr>
          <w:sz w:val="10"/>
        </w:rPr>
      </w:pPr>
    </w:p>
    <w:p w14:paraId="38908BC6" w14:textId="77777777" w:rsidR="00597C74" w:rsidRPr="006C5D80" w:rsidRDefault="00597C74" w:rsidP="00D83D01">
      <w:pPr>
        <w:pStyle w:val="SingleTxt"/>
        <w:numPr>
          <w:ilvl w:val="0"/>
          <w:numId w:val="66"/>
        </w:numPr>
        <w:ind w:left="1267"/>
      </w:pPr>
      <w:r w:rsidRPr="006C5D80">
        <w:t xml:space="preserve">El artículo </w:t>
      </w:r>
      <w:r w:rsidRPr="00C37370">
        <w:t>6</w:t>
      </w:r>
      <w:r w:rsidRPr="006C5D80">
        <w:t xml:space="preserve"> </w:t>
      </w:r>
      <w:r w:rsidRPr="00C37370">
        <w:t>4</w:t>
      </w:r>
      <w:r w:rsidRPr="006C5D80">
        <w:t xml:space="preserve">) de la Ley de Relaciones Laborales de </w:t>
      </w:r>
      <w:r w:rsidRPr="00C37370">
        <w:t>2007</w:t>
      </w:r>
      <w:r w:rsidRPr="006C5D80">
        <w:t xml:space="preserve"> establece que todo empresario debe pagar a </w:t>
      </w:r>
      <w:proofErr w:type="gramStart"/>
      <w:r w:rsidRPr="006C5D80">
        <w:t>los trabajadores y trabajadoras</w:t>
      </w:r>
      <w:proofErr w:type="gramEnd"/>
      <w:r w:rsidRPr="006C5D80">
        <w:t xml:space="preserve"> la misma remuneración por un trabajo de igual valor. El artículo </w:t>
      </w:r>
      <w:r w:rsidRPr="00C37370">
        <w:t>78</w:t>
      </w:r>
      <w:r w:rsidRPr="006C5D80">
        <w:t xml:space="preserve"> establece que un empresario no debe negarse a ofrecer o conceder a una persona los mismos salarios que se ofrecen a personas con cualificaciones iguales o sustancialmente similares empleadas en circunstancias iguales o sustancialmente similares para realizar un trabajo similar por ningún motivo, incluido el género de la persona. Si no se cumplen los artículos </w:t>
      </w:r>
      <w:r w:rsidRPr="00C37370">
        <w:t>6</w:t>
      </w:r>
      <w:r w:rsidRPr="006C5D80">
        <w:t xml:space="preserve"> </w:t>
      </w:r>
      <w:r w:rsidRPr="00C37370">
        <w:t>4</w:t>
      </w:r>
      <w:r w:rsidRPr="006C5D80">
        <w:t xml:space="preserve">) y </w:t>
      </w:r>
      <w:r w:rsidRPr="00C37370">
        <w:t>78</w:t>
      </w:r>
      <w:r w:rsidRPr="006C5D80">
        <w:t xml:space="preserve"> de la Ley, el trabajador debe solicitar el procedimiento de quejas y plantear si está en desventaja o es discriminado salarialmente.</w:t>
      </w:r>
    </w:p>
    <w:p w14:paraId="41C7D84F" w14:textId="77777777" w:rsidR="004A5989" w:rsidRPr="006C5D80" w:rsidRDefault="004A5989" w:rsidP="004A5989">
      <w:pPr>
        <w:pStyle w:val="SingleTxt"/>
        <w:spacing w:after="0" w:line="120" w:lineRule="exact"/>
        <w:rPr>
          <w:sz w:val="10"/>
        </w:rPr>
      </w:pPr>
    </w:p>
    <w:p w14:paraId="74EAAFB1" w14:textId="77777777" w:rsidR="004A5989" w:rsidRPr="006C5D80" w:rsidRDefault="004A5989" w:rsidP="004A5989">
      <w:pPr>
        <w:pStyle w:val="SingleTxt"/>
        <w:spacing w:after="0" w:line="120" w:lineRule="exact"/>
        <w:rPr>
          <w:sz w:val="10"/>
        </w:rPr>
      </w:pPr>
    </w:p>
    <w:p w14:paraId="1C4EFC3B"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15 d) de la lista de cuestiones</w:t>
      </w:r>
    </w:p>
    <w:p w14:paraId="5CB43134" w14:textId="77777777" w:rsidR="004A5989" w:rsidRPr="006C5D80" w:rsidRDefault="004A5989" w:rsidP="004A5989">
      <w:pPr>
        <w:pStyle w:val="SingleTxt"/>
        <w:spacing w:after="0" w:line="120" w:lineRule="exact"/>
        <w:rPr>
          <w:sz w:val="10"/>
        </w:rPr>
      </w:pPr>
    </w:p>
    <w:p w14:paraId="64E10AFF" w14:textId="77777777" w:rsidR="004A5989" w:rsidRPr="006C5D80" w:rsidRDefault="004A5989" w:rsidP="004A5989">
      <w:pPr>
        <w:pStyle w:val="SingleTxt"/>
        <w:spacing w:after="0" w:line="120" w:lineRule="exact"/>
        <w:rPr>
          <w:sz w:val="10"/>
        </w:rPr>
      </w:pPr>
    </w:p>
    <w:p w14:paraId="1D2F19FC" w14:textId="17CEFC81" w:rsidR="00597C74" w:rsidRPr="006C5D80" w:rsidRDefault="00597C74" w:rsidP="00D83D01">
      <w:pPr>
        <w:pStyle w:val="SingleTxt"/>
        <w:numPr>
          <w:ilvl w:val="0"/>
          <w:numId w:val="67"/>
        </w:numPr>
        <w:ind w:left="1267"/>
      </w:pPr>
      <w:r w:rsidRPr="006C5D80">
        <w:t xml:space="preserve">Los funcionarios del Ministerio del Servicio de Normas Laborales de Fiji han realizado unas </w:t>
      </w:r>
      <w:r w:rsidRPr="00C37370">
        <w:t>14</w:t>
      </w:r>
      <w:r w:rsidRPr="006C5D80">
        <w:t>.</w:t>
      </w:r>
      <w:r w:rsidRPr="00C37370">
        <w:t>616</w:t>
      </w:r>
      <w:r w:rsidRPr="006C5D80">
        <w:t xml:space="preserve"> inspecciones en centros de trabajo de todo el país. Estas inspecciones incluyen a los proveedores del mercado que ofrecen empleo, con el objetivo de garantizar que se sigan prácticas de empleo justas e igualitarias. Además, la Unidad de Salud y Seguridad en el Trabajo realiza inspecciones anuales en los mercados para garantizar la salud y seguridad de los trabajadores y evitar daños a la propiedad, el medio ambiente y el público. Las políticas de salud y seguridad en el trabajo están disponibles en todos los mercados, y existe un comité activo de salud y seguridad en el trabajo que supervisa las condiciones laborales en estos lugares de trabajo.</w:t>
      </w:r>
    </w:p>
    <w:p w14:paraId="40341479" w14:textId="77777777" w:rsidR="004A5989" w:rsidRPr="006C5D80" w:rsidRDefault="004A5989" w:rsidP="004A5989">
      <w:pPr>
        <w:pStyle w:val="SingleTxt"/>
        <w:spacing w:after="0" w:line="120" w:lineRule="exact"/>
        <w:rPr>
          <w:sz w:val="10"/>
        </w:rPr>
      </w:pPr>
    </w:p>
    <w:p w14:paraId="5314AC49" w14:textId="77777777" w:rsidR="004A5989" w:rsidRPr="006C5D80" w:rsidRDefault="004A5989" w:rsidP="004A5989">
      <w:pPr>
        <w:pStyle w:val="SingleTxt"/>
        <w:spacing w:after="0" w:line="120" w:lineRule="exact"/>
        <w:rPr>
          <w:sz w:val="10"/>
        </w:rPr>
      </w:pPr>
    </w:p>
    <w:p w14:paraId="0B47DA8D" w14:textId="77777777" w:rsidR="004A5989" w:rsidRPr="00C37370" w:rsidRDefault="004A5989">
      <w:pPr>
        <w:suppressAutoHyphens w:val="0"/>
        <w:spacing w:after="160" w:line="259" w:lineRule="auto"/>
        <w:rPr>
          <w:b/>
          <w:kern w:val="14"/>
          <w:sz w:val="24"/>
        </w:rPr>
      </w:pPr>
      <w:r w:rsidRPr="006C5D80">
        <w:br w:type="page"/>
      </w:r>
    </w:p>
    <w:p w14:paraId="33049504" w14:textId="39DDC12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15 e) de la lista de cuestiones</w:t>
      </w:r>
    </w:p>
    <w:p w14:paraId="3303F514" w14:textId="77777777" w:rsidR="004A5989" w:rsidRPr="006C5D80" w:rsidRDefault="004A5989" w:rsidP="004A5989">
      <w:pPr>
        <w:pStyle w:val="SingleTxt"/>
        <w:spacing w:after="0" w:line="120" w:lineRule="exact"/>
        <w:rPr>
          <w:sz w:val="10"/>
        </w:rPr>
      </w:pPr>
    </w:p>
    <w:p w14:paraId="07E4429C" w14:textId="77777777" w:rsidR="004A5989" w:rsidRPr="006C5D80" w:rsidRDefault="004A5989" w:rsidP="004A5989">
      <w:pPr>
        <w:pStyle w:val="SingleTxt"/>
        <w:spacing w:after="0" w:line="120" w:lineRule="exact"/>
        <w:rPr>
          <w:sz w:val="10"/>
        </w:rPr>
      </w:pPr>
    </w:p>
    <w:p w14:paraId="51D58455" w14:textId="77777777" w:rsidR="00597C74" w:rsidRPr="006C5D80" w:rsidRDefault="00597C74" w:rsidP="00D83D01">
      <w:pPr>
        <w:pStyle w:val="SingleTxt"/>
        <w:numPr>
          <w:ilvl w:val="0"/>
          <w:numId w:val="68"/>
        </w:numPr>
        <w:ind w:left="1267"/>
      </w:pPr>
      <w:r w:rsidRPr="006C5D80">
        <w:t xml:space="preserve">El artículo </w:t>
      </w:r>
      <w:r w:rsidRPr="00C37370">
        <w:t>77</w:t>
      </w:r>
      <w:r w:rsidRPr="006C5D80">
        <w:t xml:space="preserve"> </w:t>
      </w:r>
      <w:r w:rsidRPr="00C37370">
        <w:t>1</w:t>
      </w:r>
      <w:r w:rsidRPr="006C5D80">
        <w:t xml:space="preserve">) a) b) de la Ley de Relaciones Laborales de </w:t>
      </w:r>
      <w:r w:rsidRPr="00C37370">
        <w:t>2007</w:t>
      </w:r>
      <w:r w:rsidRPr="006C5D80">
        <w:t xml:space="preserve"> establece que un empresario o alguien que actúe en su nombre no debe negarse a emplear a un solicitante cualificado para un trabajo disponible ni ofrecerle condiciones de empleo menos favorables que a otras personas con capacidades similares en las mismas circunstancias. La Asociación Vuvale Fiji-Australia se centra en el fortalecimiento de la relación económica entre ambos países. En el marco de esta asociación, el Pacific Labour Scheme permite a los trabajadores fiyianos aceptar oportunidades de trabajo no estacional en zonas rurales y regionales de Australia durante un máximo de tres años. El objetivo de este plan es proporcionar ingresos y desarrollar las capacidades de los trabajadores fiyianos, beneficiando a sus familias y comunidades. El Australia-Pacific Technical College (APTC) colabora con Pacific Labour Facility en la formación de trabajadores del Pacífico para satisfacer las demandas de mano de obra de los empresarios australianos en el marco del programa Reunión de Líderes de las Islas del Pacífico. Esta asociación aborda la escasez de trabajadores australianos en sectores como el cuidado de ancianos y ofrece apoyo a las mujeres. El Servicio Nacional de Empleo ha firmado un memorando de entendimiento con empresas para ofrecer oportunidades de experiencia laboral a los jóvenes que abandonan los estudios o a los licenciados. No existen restricciones impuestas por el Servicio si un trabajador solicita un empleo formal en el extranjero en el marco de los programas Empresario Estacional Reconocido (RSE) o Movilidad Laboral en el Pacífico (PALM).</w:t>
      </w:r>
    </w:p>
    <w:p w14:paraId="02556337" w14:textId="77777777" w:rsidR="004A5989" w:rsidRPr="006C5D80" w:rsidRDefault="004A5989" w:rsidP="004A5989">
      <w:pPr>
        <w:pStyle w:val="SingleTxt"/>
        <w:spacing w:after="0" w:line="120" w:lineRule="exact"/>
        <w:rPr>
          <w:sz w:val="10"/>
        </w:rPr>
      </w:pPr>
    </w:p>
    <w:p w14:paraId="4A5999E7" w14:textId="77777777" w:rsidR="004A5989" w:rsidRPr="006C5D80" w:rsidRDefault="004A5989" w:rsidP="004A5989">
      <w:pPr>
        <w:pStyle w:val="SingleTxt"/>
        <w:spacing w:after="0" w:line="120" w:lineRule="exact"/>
        <w:rPr>
          <w:sz w:val="10"/>
        </w:rPr>
      </w:pPr>
    </w:p>
    <w:p w14:paraId="07428E78"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15 f) de la lista de cuestiones</w:t>
      </w:r>
    </w:p>
    <w:p w14:paraId="4F002F57" w14:textId="77777777" w:rsidR="004A5989" w:rsidRPr="006C5D80" w:rsidRDefault="004A5989" w:rsidP="004A5989">
      <w:pPr>
        <w:pStyle w:val="SingleTxt"/>
        <w:spacing w:after="0" w:line="120" w:lineRule="exact"/>
        <w:rPr>
          <w:sz w:val="10"/>
        </w:rPr>
      </w:pPr>
    </w:p>
    <w:p w14:paraId="0687FFA8" w14:textId="77777777" w:rsidR="004A5989" w:rsidRPr="006C5D80" w:rsidRDefault="004A5989" w:rsidP="004A5989">
      <w:pPr>
        <w:pStyle w:val="SingleTxt"/>
        <w:spacing w:after="0" w:line="120" w:lineRule="exact"/>
        <w:rPr>
          <w:sz w:val="10"/>
        </w:rPr>
      </w:pPr>
    </w:p>
    <w:p w14:paraId="1F60400D" w14:textId="77777777" w:rsidR="00597C74" w:rsidRPr="006C5D80" w:rsidRDefault="00597C74" w:rsidP="00D83D01">
      <w:pPr>
        <w:pStyle w:val="SingleTxt"/>
        <w:numPr>
          <w:ilvl w:val="0"/>
          <w:numId w:val="69"/>
        </w:numPr>
        <w:ind w:left="1267"/>
      </w:pPr>
      <w:r w:rsidRPr="006C5D80">
        <w:t xml:space="preserve">El Ministerio de Empleo y Relaciones Públicas e Industriales de Fiji ha tomado varias medidas para hacer cumplir y garantizar el cumplimiento de la Ley de Relaciones Laborales de </w:t>
      </w:r>
      <w:r w:rsidRPr="00C37370">
        <w:t>2007</w:t>
      </w:r>
      <w:r w:rsidRPr="006C5D80">
        <w:t>, en particular en lo relativo a la baja por maternidad y los derechos de las mujeres embarazadas en el lugar de trabajo. He aquí las principales medidas y disposiciones vigentes:</w:t>
      </w:r>
    </w:p>
    <w:p w14:paraId="4A85FDE0" w14:textId="6E94672F" w:rsidR="00597C74" w:rsidRPr="006C5D80" w:rsidRDefault="004A5989" w:rsidP="00597C74">
      <w:pPr>
        <w:pStyle w:val="SingleTxt"/>
      </w:pPr>
      <w:r w:rsidRPr="006C5D80">
        <w:tab/>
      </w:r>
      <w:r w:rsidR="00597C74" w:rsidRPr="006C5D80">
        <w:t>a)</w:t>
      </w:r>
      <w:r w:rsidR="00597C74" w:rsidRPr="006C5D80">
        <w:tab/>
        <w:t xml:space="preserve">Inspecciones en el lugar de trabajo: Los Servicios de Normas Laborales han realizado un total de </w:t>
      </w:r>
      <w:r w:rsidR="00597C74" w:rsidRPr="00C37370">
        <w:t>14</w:t>
      </w:r>
      <w:r w:rsidR="00597C74" w:rsidRPr="006C5D80">
        <w:t>.</w:t>
      </w:r>
      <w:r w:rsidR="00597C74" w:rsidRPr="00C37370">
        <w:t>616</w:t>
      </w:r>
      <w:r w:rsidR="00597C74" w:rsidRPr="006C5D80">
        <w:t xml:space="preserve"> inspecciones en el lugar de trabajo en todo Fiji desde </w:t>
      </w:r>
      <w:r w:rsidR="00597C74" w:rsidRPr="00C37370">
        <w:t>2018</w:t>
      </w:r>
      <w:r w:rsidR="00597C74" w:rsidRPr="006C5D80">
        <w:t>. Durante estas inspecciones, el ministerio audita las políticas de las empresas para asegurarse de que se aplican políticas de baja por maternidad. Esto contribuye a garantizar que los empresarios concedan el permiso de maternidad a sus empleadas;</w:t>
      </w:r>
    </w:p>
    <w:p w14:paraId="11695B56" w14:textId="4E47614C" w:rsidR="00597C74" w:rsidRPr="006C5D80" w:rsidRDefault="004A5989" w:rsidP="00597C74">
      <w:pPr>
        <w:pStyle w:val="SingleTxt"/>
      </w:pPr>
      <w:r w:rsidRPr="006C5D80">
        <w:tab/>
      </w:r>
      <w:r w:rsidR="00597C74" w:rsidRPr="006C5D80">
        <w:t>b)</w:t>
      </w:r>
      <w:r w:rsidR="00597C74" w:rsidRPr="006C5D80">
        <w:tab/>
      </w:r>
      <w:r w:rsidR="00597C74" w:rsidRPr="004B1B5C">
        <w:rPr>
          <w:spacing w:val="0"/>
        </w:rPr>
        <w:t xml:space="preserve">Campañas de sensibilización: El Ministerio ha llevado a cabo campañas de sensibilización relacionadas con la Ley de Relaciones Laborales de </w:t>
      </w:r>
      <w:r w:rsidR="00597C74" w:rsidRPr="00C37370">
        <w:rPr>
          <w:spacing w:val="0"/>
        </w:rPr>
        <w:t>2007</w:t>
      </w:r>
      <w:r w:rsidR="00597C74" w:rsidRPr="004B1B5C">
        <w:rPr>
          <w:spacing w:val="0"/>
        </w:rPr>
        <w:t xml:space="preserve"> durante las inspecciones en los centros de trabajo. Además, se han organizado sesiones formales de concienciación para los directivos de los sectores público y privado con el fin de educarlos sobre los derechos de las mujeres embarazadas, especialmente los recogidos en la Parte </w:t>
      </w:r>
      <w:r w:rsidR="00597C74" w:rsidRPr="00C37370">
        <w:rPr>
          <w:spacing w:val="0"/>
        </w:rPr>
        <w:t>11</w:t>
      </w:r>
      <w:r w:rsidR="00597C74" w:rsidRPr="004B1B5C">
        <w:rPr>
          <w:spacing w:val="0"/>
        </w:rPr>
        <w:t xml:space="preserve"> sobre Permiso Parental de la Ley de Relaciones Laborales de </w:t>
      </w:r>
      <w:r w:rsidR="00597C74" w:rsidRPr="00C37370">
        <w:rPr>
          <w:spacing w:val="0"/>
        </w:rPr>
        <w:t>2007</w:t>
      </w:r>
      <w:r w:rsidR="00597C74" w:rsidRPr="006C5D80">
        <w:t>;</w:t>
      </w:r>
    </w:p>
    <w:p w14:paraId="11E1A75F" w14:textId="236C77C1" w:rsidR="00597C74" w:rsidRPr="006C5D80" w:rsidRDefault="004A5989" w:rsidP="00597C74">
      <w:pPr>
        <w:pStyle w:val="SingleTxt"/>
      </w:pPr>
      <w:r w:rsidRPr="006C5D80">
        <w:tab/>
      </w:r>
      <w:r w:rsidR="00597C74" w:rsidRPr="006C5D80">
        <w:t>c)</w:t>
      </w:r>
      <w:r w:rsidR="00597C74" w:rsidRPr="006C5D80">
        <w:tab/>
        <w:t>Procedimientos de reclamación: A través de las auditorías realizadas en los centros de trabajo durante las inspecciones rutinarias, el ministerio se asegura de que todos los empleadores cuenten con procedimientos de reclamación en sus políticas de empresa. Estos procedimientos son esenciales para orientar a las mujeres en caso de que sean tratadas injustamente por su empleador;</w:t>
      </w:r>
    </w:p>
    <w:p w14:paraId="18DE92AC" w14:textId="133AE41C" w:rsidR="00597C74" w:rsidRPr="006C5D80" w:rsidRDefault="004A5989" w:rsidP="00597C74">
      <w:pPr>
        <w:pStyle w:val="SingleTxt"/>
      </w:pPr>
      <w:r w:rsidRPr="006C5D80">
        <w:tab/>
      </w:r>
      <w:r w:rsidR="00597C74" w:rsidRPr="006C5D80">
        <w:t>d)</w:t>
      </w:r>
      <w:r w:rsidR="00597C74" w:rsidRPr="006C5D80">
        <w:tab/>
        <w:t xml:space="preserve">Artículo </w:t>
      </w:r>
      <w:r w:rsidR="00597C74" w:rsidRPr="00C37370">
        <w:t>104</w:t>
      </w:r>
      <w:r w:rsidR="00597C74" w:rsidRPr="006C5D80">
        <w:t xml:space="preserve"> </w:t>
      </w:r>
      <w:r w:rsidR="00597C74" w:rsidRPr="00C37370">
        <w:t>1</w:t>
      </w:r>
      <w:r w:rsidR="00597C74" w:rsidRPr="006C5D80">
        <w:t xml:space="preserve">) de la Ley de Relaciones Laborales de </w:t>
      </w:r>
      <w:r w:rsidR="00597C74" w:rsidRPr="00C37370">
        <w:t>2007</w:t>
      </w:r>
      <w:r w:rsidR="00597C74" w:rsidRPr="006C5D80">
        <w:t>: prohíbe explícitamente el despido de trabajadoras por motivos de embarazo. Esta disposición legal salvaguarda la seguridad laboral de las mujeres embarazadas;</w:t>
      </w:r>
    </w:p>
    <w:p w14:paraId="2DAD9BF0" w14:textId="554DB41A" w:rsidR="00597C74" w:rsidRPr="006C5D80" w:rsidRDefault="004A5989" w:rsidP="00597C74">
      <w:pPr>
        <w:pStyle w:val="SingleTxt"/>
      </w:pPr>
      <w:r w:rsidRPr="006C5D80">
        <w:tab/>
      </w:r>
      <w:r w:rsidR="00597C74" w:rsidRPr="006C5D80">
        <w:t>e)</w:t>
      </w:r>
      <w:r w:rsidR="00597C74" w:rsidRPr="006C5D80">
        <w:tab/>
        <w:t xml:space="preserve">Duración del permiso de maternidad: Las órdenes generales establecen que las trabajadoras de la función pública tienen derecho a un permiso de maternidad de </w:t>
      </w:r>
      <w:r w:rsidR="00597C74" w:rsidRPr="00C37370">
        <w:lastRenderedPageBreak/>
        <w:t>98</w:t>
      </w:r>
      <w:r w:rsidR="00597C74" w:rsidRPr="006C5D80">
        <w:t xml:space="preserve"> días consecutivos. Este requisito se ajusta a la legislación laboral vigente y garantiza que las funcionarias tengan acceso a un período prolongado de licencia de maternidad; </w:t>
      </w:r>
    </w:p>
    <w:p w14:paraId="78441CA7" w14:textId="2103308D" w:rsidR="00597C74" w:rsidRPr="006C5D80" w:rsidRDefault="004A5989" w:rsidP="00597C74">
      <w:pPr>
        <w:pStyle w:val="SingleTxt"/>
      </w:pPr>
      <w:r w:rsidRPr="006C5D80">
        <w:tab/>
      </w:r>
      <w:r w:rsidR="00597C74" w:rsidRPr="006C5D80">
        <w:t>f)</w:t>
      </w:r>
      <w:r w:rsidR="00597C74" w:rsidRPr="006C5D80">
        <w:tab/>
        <w:t xml:space="preserve">Directriz de proceso abiertos de contratación por méritos: Se introdujo en </w:t>
      </w:r>
      <w:r w:rsidR="00597C74" w:rsidRPr="00C37370">
        <w:t>2016</w:t>
      </w:r>
      <w:r w:rsidR="00597C74" w:rsidRPr="006C5D80">
        <w:t xml:space="preserve"> para promover la equidad, la transparencia y la justicia en las decisiones de contratación dentro de la administración pública. Hace hincapié en las prácticas no discriminatorias y en las decisiones basadas únicamente en los requisitos del puesto. El proceso pretende crear unas condiciones equitativas para todos los solicitantes;</w:t>
      </w:r>
    </w:p>
    <w:p w14:paraId="680C2408" w14:textId="126A424E" w:rsidR="00597C74" w:rsidRPr="006C5D80" w:rsidRDefault="004A5989" w:rsidP="00597C74">
      <w:pPr>
        <w:pStyle w:val="SingleTxt"/>
      </w:pPr>
      <w:r w:rsidRPr="006C5D80">
        <w:tab/>
      </w:r>
      <w:r w:rsidR="00597C74" w:rsidRPr="006C5D80">
        <w:t>g)</w:t>
      </w:r>
      <w:r w:rsidR="00597C74" w:rsidRPr="006C5D80">
        <w:tab/>
        <w:t>Política de acoso, discriminación e intimidación: El ministerio ha elaborado una política para combatir el acoso, la discriminación y la intimidación, que se encuentra actualmente en fase de consulta. La política subraya el compromiso de la administración pública de Fiji de proporcionar un entorno de trabajo seguro e integrador, libre de discriminación, acoso e intimidación. Establece los requisitos para un comportamiento adecuado, la gestión de riesgos y el tratamiento de las quejas para garantizar que los incidentes se traten con seriedad, confidencialidad y equidad.</w:t>
      </w:r>
    </w:p>
    <w:p w14:paraId="34CF405E" w14:textId="77777777" w:rsidR="00597C74" w:rsidRPr="006C5D80" w:rsidRDefault="00597C74" w:rsidP="00D83D01">
      <w:pPr>
        <w:pStyle w:val="SingleTxt"/>
        <w:numPr>
          <w:ilvl w:val="0"/>
          <w:numId w:val="70"/>
        </w:numPr>
        <w:ind w:left="1267"/>
      </w:pPr>
      <w:r w:rsidRPr="006C5D80">
        <w:t>En general, estas iniciativas y políticas demuestran la dedicación del país a defender los derechos de las mujeres embarazadas en el lugar de trabajo, promover la equidad en las prácticas de empleo y garantizar un entorno de trabajo seguro e integrador para todos los funcionarios.</w:t>
      </w:r>
    </w:p>
    <w:p w14:paraId="3521DCD9" w14:textId="77777777" w:rsidR="004A5989" w:rsidRPr="006C5D80" w:rsidRDefault="004A5989" w:rsidP="004A5989">
      <w:pPr>
        <w:pStyle w:val="SingleTxt"/>
        <w:spacing w:after="0" w:line="120" w:lineRule="exact"/>
        <w:rPr>
          <w:sz w:val="10"/>
        </w:rPr>
      </w:pPr>
    </w:p>
    <w:p w14:paraId="0D72C9E2" w14:textId="77777777" w:rsidR="004A5989" w:rsidRPr="006C5D80" w:rsidRDefault="004A5989" w:rsidP="004A5989">
      <w:pPr>
        <w:pStyle w:val="SingleTxt"/>
        <w:spacing w:after="0" w:line="120" w:lineRule="exact"/>
        <w:rPr>
          <w:sz w:val="10"/>
        </w:rPr>
      </w:pPr>
    </w:p>
    <w:p w14:paraId="0DE51A7D"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15 g) de la lista de cuestiones</w:t>
      </w:r>
    </w:p>
    <w:p w14:paraId="7CA27881" w14:textId="77777777" w:rsidR="004A5989" w:rsidRPr="006C5D80" w:rsidRDefault="004A5989" w:rsidP="004A5989">
      <w:pPr>
        <w:pStyle w:val="SingleTxt"/>
        <w:spacing w:after="0" w:line="120" w:lineRule="exact"/>
        <w:rPr>
          <w:sz w:val="10"/>
        </w:rPr>
      </w:pPr>
    </w:p>
    <w:p w14:paraId="15C8B734" w14:textId="77777777" w:rsidR="004A5989" w:rsidRPr="006C5D80" w:rsidRDefault="004A5989" w:rsidP="004A5989">
      <w:pPr>
        <w:pStyle w:val="SingleTxt"/>
        <w:spacing w:after="0" w:line="120" w:lineRule="exact"/>
        <w:rPr>
          <w:sz w:val="10"/>
        </w:rPr>
      </w:pPr>
    </w:p>
    <w:p w14:paraId="2935D3B3" w14:textId="77777777" w:rsidR="00597C74" w:rsidRPr="006C5D80" w:rsidRDefault="00597C74" w:rsidP="00D83D01">
      <w:pPr>
        <w:pStyle w:val="SingleTxt"/>
        <w:numPr>
          <w:ilvl w:val="0"/>
          <w:numId w:val="71"/>
        </w:numPr>
        <w:ind w:left="1267"/>
      </w:pPr>
      <w:r w:rsidRPr="006C5D80">
        <w:t xml:space="preserve">En virtud de la enmienda presupuestaria revisada, se ha modificado el artículo </w:t>
      </w:r>
      <w:r w:rsidRPr="00C37370">
        <w:t>245</w:t>
      </w:r>
      <w:r w:rsidRPr="006C5D80">
        <w:t xml:space="preserve">C de la Ley de Relaciones Laborales de </w:t>
      </w:r>
      <w:r w:rsidRPr="00C37370">
        <w:t>2007</w:t>
      </w:r>
      <w:r w:rsidRPr="006C5D80">
        <w:t>. La enmienda establece que las personas ya no tienen derecho a la excedencia por cuidado de familiares retribuida dentro del período de la COVID-</w:t>
      </w:r>
      <w:r w:rsidRPr="00C37370">
        <w:t>19</w:t>
      </w:r>
      <w:r w:rsidRPr="006C5D80">
        <w:t xml:space="preserve">. Antes de este período, de enero al </w:t>
      </w:r>
      <w:r w:rsidRPr="00C37370">
        <w:t>28</w:t>
      </w:r>
      <w:r w:rsidRPr="006C5D80">
        <w:t xml:space="preserve"> de mayo de </w:t>
      </w:r>
      <w:r w:rsidRPr="00C37370">
        <w:t>2020</w:t>
      </w:r>
      <w:r w:rsidRPr="006C5D80">
        <w:t xml:space="preserve">, el cuidador principal de un niño tenía derecho a </w:t>
      </w:r>
      <w:r w:rsidRPr="00C37370">
        <w:t>5</w:t>
      </w:r>
      <w:r w:rsidRPr="006C5D80">
        <w:t xml:space="preserve"> días de licencia de paternidad. Del </w:t>
      </w:r>
      <w:r w:rsidRPr="00C37370">
        <w:t>29</w:t>
      </w:r>
      <w:r w:rsidRPr="006C5D80">
        <w:t xml:space="preserve"> de mayo de </w:t>
      </w:r>
      <w:r w:rsidRPr="00C37370">
        <w:t>2020</w:t>
      </w:r>
      <w:r w:rsidRPr="006C5D80">
        <w:t xml:space="preserve"> al </w:t>
      </w:r>
      <w:r w:rsidRPr="00C37370">
        <w:t>31</w:t>
      </w:r>
      <w:r w:rsidRPr="006C5D80">
        <w:t xml:space="preserve"> de julio de </w:t>
      </w:r>
      <w:r w:rsidRPr="00C37370">
        <w:t>2021</w:t>
      </w:r>
      <w:r w:rsidRPr="006C5D80">
        <w:t xml:space="preserve">, el derecho se redujo a </w:t>
      </w:r>
      <w:r w:rsidRPr="00C37370">
        <w:t>2</w:t>
      </w:r>
      <w:r w:rsidRPr="006C5D80">
        <w:t xml:space="preserve"> días de licencia de paternidad. A partir del </w:t>
      </w:r>
      <w:r w:rsidRPr="00C37370">
        <w:t>1</w:t>
      </w:r>
      <w:r w:rsidRPr="006C5D80">
        <w:t xml:space="preserve"> de agosto de </w:t>
      </w:r>
      <w:r w:rsidRPr="00C37370">
        <w:t>2021</w:t>
      </w:r>
      <w:r w:rsidRPr="006C5D80">
        <w:t xml:space="preserve"> y hasta el </w:t>
      </w:r>
      <w:r w:rsidRPr="00C37370">
        <w:t>31</w:t>
      </w:r>
      <w:r w:rsidRPr="006C5D80">
        <w:t xml:space="preserve"> de marzo de </w:t>
      </w:r>
      <w:r w:rsidRPr="00C37370">
        <w:t>2022</w:t>
      </w:r>
      <w:r w:rsidRPr="006C5D80">
        <w:t xml:space="preserve">, el derecho se reduce a </w:t>
      </w:r>
      <w:r w:rsidRPr="00C37370">
        <w:t>1</w:t>
      </w:r>
      <w:r w:rsidRPr="006C5D80">
        <w:t xml:space="preserve"> día de licencia de paternidad. A partir del </w:t>
      </w:r>
      <w:r w:rsidRPr="00C37370">
        <w:t>1</w:t>
      </w:r>
      <w:r w:rsidRPr="006C5D80">
        <w:t xml:space="preserve"> de abril de </w:t>
      </w:r>
      <w:r w:rsidRPr="00C37370">
        <w:t>2022</w:t>
      </w:r>
      <w:r w:rsidRPr="006C5D80">
        <w:t xml:space="preserve"> se suprime el derecho a la licencia de paternidad.</w:t>
      </w:r>
    </w:p>
    <w:p w14:paraId="6441121D" w14:textId="77777777" w:rsidR="004A5989" w:rsidRPr="006C5D80" w:rsidRDefault="004A5989" w:rsidP="004A5989">
      <w:pPr>
        <w:pStyle w:val="SingleTxt"/>
        <w:spacing w:after="0" w:line="120" w:lineRule="exact"/>
        <w:rPr>
          <w:sz w:val="10"/>
        </w:rPr>
      </w:pPr>
    </w:p>
    <w:p w14:paraId="2D91DBC3" w14:textId="77777777" w:rsidR="004A5989" w:rsidRPr="006C5D80" w:rsidRDefault="004A5989" w:rsidP="004A5989">
      <w:pPr>
        <w:pStyle w:val="SingleTxt"/>
        <w:spacing w:after="0" w:line="120" w:lineRule="exact"/>
        <w:rPr>
          <w:sz w:val="10"/>
        </w:rPr>
      </w:pPr>
    </w:p>
    <w:p w14:paraId="11074CE7"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15 h) de la lista de cuestiones</w:t>
      </w:r>
    </w:p>
    <w:p w14:paraId="7F450AD7" w14:textId="77777777" w:rsidR="004A5989" w:rsidRPr="006C5D80" w:rsidRDefault="004A5989" w:rsidP="004A5989">
      <w:pPr>
        <w:pStyle w:val="SingleTxt"/>
        <w:spacing w:after="0" w:line="120" w:lineRule="exact"/>
        <w:rPr>
          <w:sz w:val="10"/>
        </w:rPr>
      </w:pPr>
    </w:p>
    <w:p w14:paraId="0DBD2B3E" w14:textId="77777777" w:rsidR="004A5989" w:rsidRPr="006C5D80" w:rsidRDefault="004A5989" w:rsidP="004A5989">
      <w:pPr>
        <w:pStyle w:val="SingleTxt"/>
        <w:spacing w:after="0" w:line="120" w:lineRule="exact"/>
        <w:rPr>
          <w:sz w:val="10"/>
        </w:rPr>
      </w:pPr>
    </w:p>
    <w:p w14:paraId="601DE959" w14:textId="2272F9E5" w:rsidR="00597C74" w:rsidRPr="006C5D80" w:rsidRDefault="00597C74" w:rsidP="00D83D01">
      <w:pPr>
        <w:pStyle w:val="SingleTxt"/>
        <w:numPr>
          <w:ilvl w:val="0"/>
          <w:numId w:val="72"/>
        </w:numPr>
        <w:ind w:left="1267"/>
      </w:pPr>
      <w:r w:rsidRPr="006C5D80">
        <w:t xml:space="preserve">Fiji ha puesto en práctica la Política Nacional sobre Acoso Sexual en el Lugar de Trabajo de </w:t>
      </w:r>
      <w:r w:rsidRPr="00C37370">
        <w:t>2008</w:t>
      </w:r>
      <w:r w:rsidRPr="006C5D80">
        <w:t xml:space="preserve">, que obliga a todos los empleadores a tener una política interna por escrito y un procedimiento de reclamación sobre acoso sexual. Es importante que tanto el personal como los directivos colaboren en el desarrollo de esta política para garantizar el compromiso y reflejar las necesidades de ambas partes. Un miembro del Comité de Salud y Seguridad también puede actuar como responsable de quejas por acoso sexual, dotado de aptitudes de asesoramiento, mediación, negociación y resolución de conflictos. Las víctimas de acoso sexual en el lugar de trabajo pueden presentar denuncias al amparo de diversos regímenes legislativos, como la Ley de la Comisión de Derechos Humanos y Lucha contra la Discriminación de </w:t>
      </w:r>
      <w:r w:rsidRPr="00C37370">
        <w:t>2009</w:t>
      </w:r>
      <w:r w:rsidRPr="006C5D80">
        <w:t xml:space="preserve">, la Ley Penal de </w:t>
      </w:r>
      <w:r w:rsidRPr="00C37370">
        <w:t>2009</w:t>
      </w:r>
      <w:r w:rsidRPr="006C5D80">
        <w:t xml:space="preserve"> o la Ley de Relaciones Laborales de </w:t>
      </w:r>
      <w:r w:rsidRPr="00C37370">
        <w:t>2007</w:t>
      </w:r>
      <w:r w:rsidRPr="006C5D80">
        <w:t xml:space="preserve">. Los empresarios son responsables si no toman medidas razonables para prevenir el acoso sexual y deben elaborar y mantener una política coherente con las directrices nacionales. La policía de Fiji sigue una </w:t>
      </w:r>
      <w:r w:rsidR="00D727C4" w:rsidRPr="006C5D80">
        <w:t>“</w:t>
      </w:r>
      <w:r w:rsidRPr="006C5D80">
        <w:t>política de no abandono</w:t>
      </w:r>
      <w:r w:rsidR="00D727C4" w:rsidRPr="006C5D80">
        <w:t>”</w:t>
      </w:r>
      <w:r w:rsidRPr="006C5D80">
        <w:t xml:space="preserve"> y tramita las denuncias internas a través de un grupo de investigación, que puede llegar a la suspensión, el tribunal policial y el procedimiento judicial si es necesario. Los ministerios tratan los casos de acoso sexual, de los que se ocupa estrictamente el grupo de investigación. El Ministerio </w:t>
      </w:r>
      <w:r w:rsidRPr="006C5D80">
        <w:lastRenderedPageBreak/>
        <w:t>tiene una política de puertas abiertas para que los miembros del personal denuncien cualquier caso de acoso o amenaza sexual.</w:t>
      </w:r>
    </w:p>
    <w:p w14:paraId="73C3480B" w14:textId="77777777" w:rsidR="004A5989" w:rsidRPr="006C5D80" w:rsidRDefault="004A5989" w:rsidP="004A5989">
      <w:pPr>
        <w:pStyle w:val="SingleTxt"/>
        <w:spacing w:after="0" w:line="120" w:lineRule="exact"/>
        <w:rPr>
          <w:sz w:val="10"/>
        </w:rPr>
      </w:pPr>
    </w:p>
    <w:p w14:paraId="6075BB17" w14:textId="77777777" w:rsidR="004A5989" w:rsidRPr="006C5D80" w:rsidRDefault="004A5989" w:rsidP="004A5989">
      <w:pPr>
        <w:pStyle w:val="SingleTxt"/>
        <w:spacing w:after="0" w:line="120" w:lineRule="exact"/>
        <w:rPr>
          <w:sz w:val="10"/>
        </w:rPr>
      </w:pPr>
    </w:p>
    <w:p w14:paraId="768DD458" w14:textId="644A616D"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Salud</w:t>
      </w:r>
    </w:p>
    <w:p w14:paraId="51CE89AF" w14:textId="77777777" w:rsidR="004A5989" w:rsidRPr="006C5D80" w:rsidRDefault="004A5989" w:rsidP="004A5989">
      <w:pPr>
        <w:pStyle w:val="SingleTxt"/>
        <w:spacing w:after="0" w:line="120" w:lineRule="exact"/>
        <w:rPr>
          <w:sz w:val="10"/>
        </w:rPr>
      </w:pPr>
    </w:p>
    <w:p w14:paraId="35158DA9" w14:textId="77777777" w:rsidR="004A5989" w:rsidRPr="006C5D80" w:rsidRDefault="004A5989" w:rsidP="004A5989">
      <w:pPr>
        <w:pStyle w:val="SingleTxt"/>
        <w:spacing w:after="0" w:line="120" w:lineRule="exact"/>
        <w:rPr>
          <w:sz w:val="10"/>
        </w:rPr>
      </w:pPr>
    </w:p>
    <w:p w14:paraId="3A182C14"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16 a) de la lista de cuestiones</w:t>
      </w:r>
      <w:bookmarkStart w:id="9" w:name="_Hlk187415702"/>
      <w:bookmarkEnd w:id="9"/>
    </w:p>
    <w:p w14:paraId="6BBFAE81" w14:textId="77777777" w:rsidR="004A5989" w:rsidRPr="006C5D80" w:rsidRDefault="004A5989" w:rsidP="004A5989">
      <w:pPr>
        <w:pStyle w:val="SingleTxt"/>
        <w:spacing w:after="0" w:line="120" w:lineRule="exact"/>
        <w:rPr>
          <w:sz w:val="10"/>
        </w:rPr>
      </w:pPr>
    </w:p>
    <w:p w14:paraId="306AA80C" w14:textId="77777777" w:rsidR="004A5989" w:rsidRPr="006C5D80" w:rsidRDefault="004A5989" w:rsidP="004A5989">
      <w:pPr>
        <w:pStyle w:val="SingleTxt"/>
        <w:spacing w:after="0" w:line="120" w:lineRule="exact"/>
        <w:rPr>
          <w:sz w:val="10"/>
        </w:rPr>
      </w:pPr>
    </w:p>
    <w:p w14:paraId="4C5FDBB3" w14:textId="6AD0A416" w:rsidR="00597C74" w:rsidRPr="006C5D80" w:rsidRDefault="00597C74" w:rsidP="00D83D01">
      <w:pPr>
        <w:pStyle w:val="SingleTxt"/>
        <w:numPr>
          <w:ilvl w:val="0"/>
          <w:numId w:val="73"/>
        </w:numPr>
        <w:ind w:left="1267"/>
      </w:pPr>
      <w:r w:rsidRPr="006C5D80">
        <w:t xml:space="preserve">El Ministerio de Salud y Servicios Médicos cuenta con una estructura que gestiona, para Fiji, la </w:t>
      </w:r>
      <w:r w:rsidR="00D727C4" w:rsidRPr="006C5D80">
        <w:t>“</w:t>
      </w:r>
      <w:r w:rsidRPr="006C5D80">
        <w:t>Salud de la mujer</w:t>
      </w:r>
      <w:r w:rsidR="00D727C4" w:rsidRPr="006C5D80">
        <w:t>”</w:t>
      </w:r>
      <w:r w:rsidRPr="006C5D80">
        <w:t>, dependiente de la Unidad de Salud Familiar, que cuenta con un responsable del programa de Salud Materna y Cuestiones de Género.</w:t>
      </w:r>
      <w:r w:rsidR="000C3B65" w:rsidRPr="006C5D80">
        <w:t xml:space="preserve"> </w:t>
      </w:r>
      <w:r w:rsidRPr="006C5D80">
        <w:t xml:space="preserve">Además, se ha regularizado en el Ministerio un puesto específico para el cáncer de cuello uterino. El equipo de servicios farmacéuticos y biomédicos de Fiji cuenta con una persona específica que gestiona la cadena de suministro para la planificación familiar en el país, tanto para los asociados gubernamentales como para los no gubernamentales que tienen un memorando de entendimiento con el Ministerio. Tras la oficina nacional, hay personal de apoyo de división que gestiona específicamente las cuestiones de maternidad, recién nacidos y género. Todos estos puestos son de gestión y coordinación dentro del Ministerio de la Mujer y la Niña. Estos puestos están ahora regularizados por el Gobierno y establecidos de forma permanente mientras los ministerios lo consideren necesario. Los puestos trabajan específicamente con mujeres en el ámbito de la obstetricia o la ginecología. Aparte de la estructura anterior, el Ministerio está formado por personal de enfermería y médico y personal sanitario auxiliar que atienden a las mujeres y niñas por cualquier problema de salud por el que acudan al centro de atención; o una respuesta de salud pública requerida en la comunidad. Incluye conocimientos técnicos de obstetricia, ginecología y salud sexual y reproductiva, incluida la vacunación contra el papilomavirus humano en las escuelas y en las clínicas prenatales para todas las mujeres y niñas. En el ciclo presupuestario </w:t>
      </w:r>
      <w:r w:rsidRPr="00C37370">
        <w:t>2023</w:t>
      </w:r>
      <w:r w:rsidRPr="006C5D80">
        <w:t>-</w:t>
      </w:r>
      <w:r w:rsidRPr="00C37370">
        <w:t>2024</w:t>
      </w:r>
      <w:r w:rsidRPr="006C5D80">
        <w:t xml:space="preserve">, el Gobierno ha aumentado significativamente el presupuesto destinado a la salud de las mujeres a través de la asignación de salud familiar, hasta alcanzar los </w:t>
      </w:r>
      <w:r w:rsidRPr="00C37370">
        <w:t>300</w:t>
      </w:r>
      <w:r w:rsidRPr="006C5D80">
        <w:t>.</w:t>
      </w:r>
      <w:r w:rsidRPr="00C37370">
        <w:t>000</w:t>
      </w:r>
      <w:r w:rsidRPr="006C5D80">
        <w:t xml:space="preserve"> dólares; cáncer de cuello de útero a </w:t>
      </w:r>
      <w:r w:rsidRPr="00C37370">
        <w:t>200</w:t>
      </w:r>
      <w:r w:rsidRPr="006C5D80">
        <w:t>.</w:t>
      </w:r>
      <w:r w:rsidRPr="00C37370">
        <w:t>000</w:t>
      </w:r>
      <w:r w:rsidRPr="006C5D80">
        <w:t xml:space="preserve"> dólares y, por primera vez, el Ministerio de Salud cuenta con un presupuesto para la violencia de género de </w:t>
      </w:r>
      <w:r w:rsidRPr="00C37370">
        <w:t>50</w:t>
      </w:r>
      <w:r w:rsidRPr="006C5D80">
        <w:t>.</w:t>
      </w:r>
      <w:r w:rsidRPr="00C37370">
        <w:t>000</w:t>
      </w:r>
      <w:r w:rsidRPr="006C5D80">
        <w:t xml:space="preserve"> dólares, un presupuesto para la atención cardíaca prenatal de </w:t>
      </w:r>
      <w:r w:rsidRPr="00C37370">
        <w:t>100</w:t>
      </w:r>
      <w:r w:rsidRPr="006C5D80">
        <w:t>.</w:t>
      </w:r>
      <w:r w:rsidRPr="00C37370">
        <w:t>000</w:t>
      </w:r>
      <w:r w:rsidRPr="006C5D80">
        <w:t xml:space="preserve"> dólares, todo lo cual equivale a un aumento de más del </w:t>
      </w:r>
      <w:r w:rsidRPr="00C37370">
        <w:t>100</w:t>
      </w:r>
      <w:r w:rsidRPr="006C5D80">
        <w:t xml:space="preserve"> % del presupuesto para la salud de las mujeres.</w:t>
      </w:r>
    </w:p>
    <w:p w14:paraId="19306956" w14:textId="77777777" w:rsidR="004A5989" w:rsidRPr="006C5D80" w:rsidRDefault="004A5989" w:rsidP="004A5989">
      <w:pPr>
        <w:pStyle w:val="SingleTxt"/>
        <w:spacing w:after="0" w:line="120" w:lineRule="exact"/>
        <w:rPr>
          <w:sz w:val="10"/>
        </w:rPr>
      </w:pPr>
    </w:p>
    <w:p w14:paraId="1A78FC71" w14:textId="77777777" w:rsidR="004A5989" w:rsidRPr="006C5D80" w:rsidRDefault="004A5989" w:rsidP="004A5989">
      <w:pPr>
        <w:pStyle w:val="SingleTxt"/>
        <w:spacing w:after="0" w:line="120" w:lineRule="exact"/>
        <w:rPr>
          <w:sz w:val="10"/>
        </w:rPr>
      </w:pPr>
    </w:p>
    <w:p w14:paraId="147C331A" w14:textId="77777777" w:rsidR="00597C74" w:rsidRPr="00C37370" w:rsidRDefault="00597C74" w:rsidP="004A59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16 b) de la lista de cuestiones</w:t>
      </w:r>
    </w:p>
    <w:p w14:paraId="6E426DF9" w14:textId="77777777" w:rsidR="004A5989" w:rsidRPr="006C5D80" w:rsidRDefault="004A5989" w:rsidP="004A5989">
      <w:pPr>
        <w:pStyle w:val="SingleTxt"/>
        <w:spacing w:after="0" w:line="120" w:lineRule="exact"/>
        <w:rPr>
          <w:sz w:val="10"/>
        </w:rPr>
      </w:pPr>
    </w:p>
    <w:p w14:paraId="608F70F0" w14:textId="77777777" w:rsidR="004A5989" w:rsidRPr="006C5D80" w:rsidRDefault="004A5989" w:rsidP="004A5989">
      <w:pPr>
        <w:pStyle w:val="SingleTxt"/>
        <w:spacing w:after="0" w:line="120" w:lineRule="exact"/>
        <w:rPr>
          <w:sz w:val="10"/>
        </w:rPr>
      </w:pPr>
    </w:p>
    <w:p w14:paraId="7BC13473" w14:textId="77777777" w:rsidR="00597C74" w:rsidRPr="006C5D80" w:rsidRDefault="00597C74" w:rsidP="00D83D01">
      <w:pPr>
        <w:pStyle w:val="SingleTxt"/>
        <w:numPr>
          <w:ilvl w:val="0"/>
          <w:numId w:val="74"/>
        </w:numPr>
        <w:ind w:left="1267"/>
      </w:pPr>
      <w:r w:rsidRPr="006C5D80">
        <w:t xml:space="preserve">La Constitución de </w:t>
      </w:r>
      <w:r w:rsidRPr="00C37370">
        <w:t>2013</w:t>
      </w:r>
      <w:r w:rsidRPr="006C5D80">
        <w:t xml:space="preserve">, en su artículo </w:t>
      </w:r>
      <w:r w:rsidRPr="00C37370">
        <w:t>38</w:t>
      </w:r>
      <w:r w:rsidRPr="006C5D80">
        <w:t xml:space="preserve"> y sus subartículos pertinentes, establece el derecho de las mujeres a la plena autonomía en relación con el acceso a los servicios de salud, que se articulan de la siguiente manera:</w:t>
      </w:r>
    </w:p>
    <w:p w14:paraId="3E060EF9" w14:textId="761EB9E3" w:rsidR="00597C74" w:rsidRPr="006C5D80" w:rsidRDefault="004A5989" w:rsidP="00597C74">
      <w:pPr>
        <w:pStyle w:val="SingleTxt"/>
      </w:pPr>
      <w:r w:rsidRPr="006C5D80">
        <w:tab/>
      </w:r>
      <w:r w:rsidR="00597C74" w:rsidRPr="006C5D80">
        <w:t>a)</w:t>
      </w:r>
      <w:r w:rsidR="00597C74" w:rsidRPr="006C5D80">
        <w:tab/>
        <w:t>El Estado debe adoptar medidas razonables, dentro de los recursos de que disponga, para lograr la realización progresiva del derecho de toda persona a la salud y a las condiciones e instalaciones necesarias para gozar de buena salud, así como a los servicios de atención de la salud, incluida la salud reproductiva;</w:t>
      </w:r>
    </w:p>
    <w:p w14:paraId="09792F37" w14:textId="13CE310E" w:rsidR="00597C74" w:rsidRPr="006C5D80" w:rsidRDefault="004A5989" w:rsidP="00597C74">
      <w:pPr>
        <w:pStyle w:val="SingleTxt"/>
      </w:pPr>
      <w:r w:rsidRPr="006C5D80">
        <w:tab/>
      </w:r>
      <w:r w:rsidR="00597C74" w:rsidRPr="006C5D80">
        <w:t>b)</w:t>
      </w:r>
      <w:r w:rsidR="00597C74" w:rsidRPr="006C5D80">
        <w:tab/>
        <w:t>No se debe negar a una persona el tratamiento médico de urgencia;</w:t>
      </w:r>
    </w:p>
    <w:p w14:paraId="091512C5" w14:textId="683C95AA" w:rsidR="00597C74" w:rsidRPr="006C5D80" w:rsidRDefault="004A5989" w:rsidP="00597C74">
      <w:pPr>
        <w:pStyle w:val="SingleTxt"/>
      </w:pPr>
      <w:r w:rsidRPr="006C5D80">
        <w:tab/>
      </w:r>
      <w:r w:rsidR="00597C74" w:rsidRPr="006C5D80">
        <w:t>c)</w:t>
      </w:r>
      <w:r w:rsidR="00597C74" w:rsidRPr="006C5D80">
        <w:tab/>
        <w:t>Al aplicar cualquier derecho contemplado en esta sección, si el Estado alega que no dispone de los recursos necesarios para aplicar el derecho, es responsabilidad del Estado demostrar que no dispone de ellos.</w:t>
      </w:r>
    </w:p>
    <w:p w14:paraId="087DD57A" w14:textId="6F4A2B11" w:rsidR="00597C74" w:rsidRPr="006C5D80" w:rsidRDefault="00597C74" w:rsidP="00D83D01">
      <w:pPr>
        <w:pStyle w:val="SingleTxt"/>
        <w:numPr>
          <w:ilvl w:val="0"/>
          <w:numId w:val="75"/>
        </w:numPr>
        <w:ind w:left="1267"/>
      </w:pPr>
      <w:r w:rsidRPr="006C5D80">
        <w:t>Aunque todas las mujeres y niñas de Fiji tienen derecho a la salud, es necesario reforzar la promoción y la sensibilización a través del sector de la salud y todos los demás sectores.</w:t>
      </w:r>
    </w:p>
    <w:p w14:paraId="5E736EDA"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Respuesta al párrafo 16 c) de la lista de cuestiones</w:t>
      </w:r>
    </w:p>
    <w:p w14:paraId="64E91624" w14:textId="77777777" w:rsidR="001A0D84" w:rsidRPr="006C5D80" w:rsidRDefault="001A0D84" w:rsidP="001A0D84">
      <w:pPr>
        <w:pStyle w:val="SingleTxt"/>
        <w:spacing w:after="0" w:line="120" w:lineRule="exact"/>
        <w:rPr>
          <w:sz w:val="10"/>
        </w:rPr>
      </w:pPr>
    </w:p>
    <w:p w14:paraId="6283BB2D" w14:textId="77777777" w:rsidR="001A0D84" w:rsidRPr="006C5D80" w:rsidRDefault="001A0D84" w:rsidP="001A0D84">
      <w:pPr>
        <w:pStyle w:val="SingleTxt"/>
        <w:spacing w:after="0" w:line="120" w:lineRule="exact"/>
        <w:rPr>
          <w:sz w:val="10"/>
        </w:rPr>
      </w:pPr>
    </w:p>
    <w:p w14:paraId="0D70909E" w14:textId="77777777" w:rsidR="00597C74" w:rsidRPr="006C5D80" w:rsidRDefault="00597C74" w:rsidP="00D83D01">
      <w:pPr>
        <w:pStyle w:val="SingleTxt"/>
        <w:numPr>
          <w:ilvl w:val="0"/>
          <w:numId w:val="76"/>
        </w:numPr>
        <w:ind w:left="1267"/>
      </w:pPr>
      <w:r w:rsidRPr="006C5D80">
        <w:t xml:space="preserve">En los últimos cinco años, Fiji ha registrado más de </w:t>
      </w:r>
      <w:r w:rsidRPr="00C37370">
        <w:t>5</w:t>
      </w:r>
      <w:r w:rsidRPr="006C5D80">
        <w:t>.</w:t>
      </w:r>
      <w:r w:rsidRPr="00C37370">
        <w:t>000</w:t>
      </w:r>
      <w:r w:rsidRPr="006C5D80">
        <w:t xml:space="preserve"> embarazos en la adolescencia, de los cuales aproximadamente el </w:t>
      </w:r>
      <w:r w:rsidRPr="00C37370">
        <w:t>25</w:t>
      </w:r>
      <w:r w:rsidRPr="006C5D80">
        <w:t xml:space="preserve"> % eran menores de </w:t>
      </w:r>
      <w:r w:rsidRPr="00C37370">
        <w:t>15</w:t>
      </w:r>
      <w:r w:rsidRPr="006C5D80">
        <w:t xml:space="preserve"> años. Aunque todos los centros sanitarios del país ofrecen a los adolescentes acceso confidencial a métodos anticonceptivos e información relacionada, es necesario cambiar las mentalidades estereotipadas en torno a la sexualidad adolescente. En </w:t>
      </w:r>
      <w:r w:rsidRPr="00C37370">
        <w:t>2022</w:t>
      </w:r>
      <w:r w:rsidRPr="006C5D80">
        <w:t>-</w:t>
      </w:r>
      <w:r w:rsidRPr="00C37370">
        <w:t>2023</w:t>
      </w:r>
      <w:r w:rsidRPr="006C5D80">
        <w:t>, el Ministerio de Salud y Servicios Médicos, con el apoyo del UNFPA, elaboró las Directrices de Servicios de Salud Adaptadas para los Jóvenes, incluyendo un paquete de capacitación que se pondrá en marcha. Estas directrices proporcionan orientación técnica y operacional a las autoridades gubernamentales, las ONG y otras partes interesadas en la prestación de servicios de salud a los jóvenes. Las directrices se dirigen a un amplio abanico de profesionales de la salud y de otro tipo, incluidos administradores de centros, clínicos, trabajadores de promoción de la salud, trabajadores de divulgación y personal de apoyo, garantizando un enfoque normalizado y global. Las directrices se ajustan a las normas internacionales, como las normas mundiales de la OMS para los servicios adaptados a los jóvenes adolescentes, y hacen hincapié en las mejores prácticas y las pruebas actuales. Definen las responsabilidades de los trabajadores y los centros de atención de la salud y promueven un sistema sanitario más integrado, accesible y sostenible para los jóvenes. Las ocho normas mundiales de la OMS que abarcan las directrices incluyen la alfabetización en salud, el apoyo comunitario, los paquetes de servicios adecuados, las competencias de los proveedores, las características de las instalaciones, la equidad y la no discriminación, la mejora de los datos y la calidad, y la participación de los jóvenes.</w:t>
      </w:r>
    </w:p>
    <w:p w14:paraId="454C7CC0" w14:textId="77777777" w:rsidR="001A0D84" w:rsidRPr="006C5D80" w:rsidRDefault="001A0D84" w:rsidP="001A0D84">
      <w:pPr>
        <w:pStyle w:val="SingleTxt"/>
        <w:spacing w:after="0" w:line="120" w:lineRule="exact"/>
        <w:rPr>
          <w:sz w:val="10"/>
        </w:rPr>
      </w:pPr>
    </w:p>
    <w:p w14:paraId="0C3348FF" w14:textId="77777777" w:rsidR="001A0D84" w:rsidRPr="006C5D80" w:rsidRDefault="001A0D84" w:rsidP="001A0D84">
      <w:pPr>
        <w:pStyle w:val="SingleTxt"/>
        <w:spacing w:after="0" w:line="120" w:lineRule="exact"/>
        <w:rPr>
          <w:sz w:val="10"/>
        </w:rPr>
      </w:pPr>
    </w:p>
    <w:p w14:paraId="3268B4B2"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17 de la lista de cuestiones</w:t>
      </w:r>
    </w:p>
    <w:p w14:paraId="5DCCC934" w14:textId="77777777" w:rsidR="001A0D84" w:rsidRPr="006C5D80" w:rsidRDefault="001A0D84" w:rsidP="001A0D84">
      <w:pPr>
        <w:pStyle w:val="SingleTxt"/>
        <w:spacing w:after="0" w:line="120" w:lineRule="exact"/>
        <w:rPr>
          <w:sz w:val="10"/>
        </w:rPr>
      </w:pPr>
    </w:p>
    <w:p w14:paraId="534B4D45" w14:textId="77777777" w:rsidR="001A0D84" w:rsidRPr="00D21571" w:rsidRDefault="001A0D84" w:rsidP="001A0D84">
      <w:pPr>
        <w:pStyle w:val="SingleTxt"/>
        <w:spacing w:after="0" w:line="120" w:lineRule="exact"/>
        <w:rPr>
          <w:spacing w:val="0"/>
          <w:sz w:val="10"/>
        </w:rPr>
      </w:pPr>
    </w:p>
    <w:p w14:paraId="75E8EC73" w14:textId="77777777" w:rsidR="00597C74" w:rsidRPr="006C5D80" w:rsidRDefault="00597C74" w:rsidP="00D83D01">
      <w:pPr>
        <w:pStyle w:val="SingleTxt"/>
        <w:numPr>
          <w:ilvl w:val="0"/>
          <w:numId w:val="77"/>
        </w:numPr>
        <w:ind w:left="1267"/>
      </w:pPr>
      <w:r w:rsidRPr="00D21571">
        <w:rPr>
          <w:spacing w:val="0"/>
        </w:rPr>
        <w:t>En Fiji, los delitos de aborto se recogen en los artículos 234 a 236 de la Ley Penal de 2009. Un aborto es la interrupción de un embarazo. Sin embargo, según el derecho anglosajón, existen excepciones legales, como cuando la continuación del embarazo pudiera poner en peligro la vida de la madre (</w:t>
      </w:r>
      <w:r w:rsidRPr="00D21571">
        <w:rPr>
          <w:i/>
          <w:iCs/>
          <w:spacing w:val="0"/>
        </w:rPr>
        <w:t>Regina c. Emberson [1976] FJLawRp 21</w:t>
      </w:r>
      <w:r w:rsidRPr="00D21571">
        <w:rPr>
          <w:spacing w:val="0"/>
        </w:rPr>
        <w:t xml:space="preserve">; </w:t>
      </w:r>
      <w:r w:rsidRPr="00D21571">
        <w:rPr>
          <w:i/>
          <w:iCs/>
          <w:spacing w:val="0"/>
        </w:rPr>
        <w:t>[1976] 22 FLR 117</w:t>
      </w:r>
      <w:r w:rsidRPr="00D21571">
        <w:rPr>
          <w:spacing w:val="0"/>
        </w:rPr>
        <w:t>). Actualmente, en virtud de la Ley Penal (artículo 234), los abortos pueden practicarse legalmente, pero deben cumplirse criterios estrictos. Si un aborto es practicado de buena fe por un médico con diligencia y destreza razonables, y el embarazo es consecuencia de incesto o violación (incluidos hermanastros o hermanastras y abuelos), el aborto es legal. No existe un plazo concreto para realizar este aborto, ya que puede practicarse desde la primera semana de la fecundación, incluso antes del parto, a los 9 meses. En otro supuesto, si el embarazo es de 20 semanas o de 5 meses, el aborto puede seguir siendo legal si no practicarlo pone en grave peligro la salud física o mental de la madre, o si el propio embarazo supone un grave peligro para su salud física o mental. Aunque estas excepciones existen en Fiji, en realidad, las solicitudes de aborto rara vez se presentan porque cuando se denuncian casos de violación o incesto, el embarazo suele estar en sus últimas fases o el niño ya ha nacido. Estas excepciones legales codificadas reflejan la evolución de las perspectivas éticas, religiosas, médicas, sociales y económicas sobre el aborto</w:t>
      </w:r>
      <w:r w:rsidRPr="006C5D80">
        <w:t>.</w:t>
      </w:r>
    </w:p>
    <w:p w14:paraId="335DEF03" w14:textId="77777777" w:rsidR="001A0D84" w:rsidRPr="006C5D80" w:rsidRDefault="001A0D84" w:rsidP="001A0D84">
      <w:pPr>
        <w:pStyle w:val="SingleTxt"/>
        <w:spacing w:after="0" w:line="120" w:lineRule="exact"/>
        <w:rPr>
          <w:sz w:val="10"/>
        </w:rPr>
      </w:pPr>
    </w:p>
    <w:p w14:paraId="63D1E98D" w14:textId="77777777" w:rsidR="001A0D84" w:rsidRPr="006C5D80" w:rsidRDefault="001A0D84" w:rsidP="001A0D84">
      <w:pPr>
        <w:pStyle w:val="SingleTxt"/>
        <w:spacing w:after="0" w:line="120" w:lineRule="exact"/>
        <w:rPr>
          <w:sz w:val="10"/>
        </w:rPr>
      </w:pPr>
    </w:p>
    <w:p w14:paraId="03C3E52D"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18 de la lista de cuestiones</w:t>
      </w:r>
    </w:p>
    <w:p w14:paraId="7559019F" w14:textId="77777777" w:rsidR="001A0D84" w:rsidRPr="006C5D80" w:rsidRDefault="001A0D84" w:rsidP="001A0D84">
      <w:pPr>
        <w:pStyle w:val="SingleTxt"/>
        <w:spacing w:after="0" w:line="120" w:lineRule="exact"/>
        <w:rPr>
          <w:sz w:val="10"/>
        </w:rPr>
      </w:pPr>
    </w:p>
    <w:p w14:paraId="05FC2B7C" w14:textId="77777777" w:rsidR="001A0D84" w:rsidRPr="006C5D80" w:rsidRDefault="001A0D84" w:rsidP="001A0D84">
      <w:pPr>
        <w:pStyle w:val="SingleTxt"/>
        <w:spacing w:after="0" w:line="120" w:lineRule="exact"/>
        <w:rPr>
          <w:sz w:val="10"/>
        </w:rPr>
      </w:pPr>
    </w:p>
    <w:p w14:paraId="0D3BAA52" w14:textId="5E290198" w:rsidR="00597C74" w:rsidRPr="006C5D80" w:rsidRDefault="00597C74" w:rsidP="00D83D01">
      <w:pPr>
        <w:pStyle w:val="SingleTxt"/>
        <w:numPr>
          <w:ilvl w:val="0"/>
          <w:numId w:val="77"/>
        </w:numPr>
        <w:ind w:left="1267"/>
      </w:pPr>
      <w:r w:rsidRPr="006C5D80">
        <w:t xml:space="preserve">La administración de la vacuna contra el virus del papiloma humano es una importante arma de prevención para combatir el cáncer de cuello uterino. Fiji introdujo la vacuna contra el virus del papiloma humano en </w:t>
      </w:r>
      <w:r w:rsidRPr="00C37370">
        <w:t>2013</w:t>
      </w:r>
      <w:r w:rsidRPr="006C5D80">
        <w:t xml:space="preserve"> en su calendario escolar y se administra a todas las jóvenes de </w:t>
      </w:r>
      <w:r w:rsidRPr="00C37370">
        <w:t>8</w:t>
      </w:r>
      <w:r w:rsidRPr="006C5D80">
        <w:t xml:space="preserve">º curso. La cobertura de la vacuna en </w:t>
      </w:r>
      <w:r w:rsidRPr="006C5D80">
        <w:lastRenderedPageBreak/>
        <w:t xml:space="preserve">Fiji ha sido superior al </w:t>
      </w:r>
      <w:r w:rsidRPr="00C37370">
        <w:t>95</w:t>
      </w:r>
      <w:r w:rsidRPr="006C5D80">
        <w:t xml:space="preserve"> % para la primera dosis y superior al </w:t>
      </w:r>
      <w:r w:rsidRPr="00C37370">
        <w:t>45</w:t>
      </w:r>
      <w:r w:rsidRPr="006C5D80">
        <w:t xml:space="preserve"> % para la segunda. El programa escolar se vio significativamente afectado en </w:t>
      </w:r>
      <w:r w:rsidRPr="00C37370">
        <w:t>2021</w:t>
      </w:r>
      <w:r w:rsidRPr="006C5D80">
        <w:t xml:space="preserve"> debido a la pandemia de COVID-</w:t>
      </w:r>
      <w:r w:rsidRPr="00C37370">
        <w:t>19</w:t>
      </w:r>
      <w:r w:rsidRPr="006C5D80">
        <w:t xml:space="preserve">, pero recobró impulso en </w:t>
      </w:r>
      <w:r w:rsidRPr="00C37370">
        <w:t>2022</w:t>
      </w:r>
      <w:r w:rsidRPr="006C5D80">
        <w:t xml:space="preserve">. En </w:t>
      </w:r>
      <w:r w:rsidRPr="00C37370">
        <w:t>2024</w:t>
      </w:r>
      <w:r w:rsidRPr="006C5D80">
        <w:t xml:space="preserve">, el programa de vacunación adoptará un cambio de política recomendado por la OMS de reducir las dos dosis a una sola con una reducción de la edad a la que se administra, ya que los datos muestran una actividad sexual a una edad más temprana. Así, el año de administración se adelantaría del </w:t>
      </w:r>
      <w:r w:rsidRPr="00C37370">
        <w:t>8</w:t>
      </w:r>
      <w:r w:rsidRPr="006C5D80">
        <w:t xml:space="preserve">º al </w:t>
      </w:r>
      <w:r w:rsidRPr="00C37370">
        <w:t>6</w:t>
      </w:r>
      <w:r w:rsidRPr="006C5D80">
        <w:t xml:space="preserve">º año. Las estadísticas sobre la cobertura de la vacuna contra el papilomavirus humano figuran en el anexo </w:t>
      </w:r>
      <w:r w:rsidRPr="00C37370">
        <w:t>5</w:t>
      </w:r>
      <w:r w:rsidRPr="006C5D80">
        <w:t xml:space="preserve">. En la actualidad, el Ministerio de Salud utiliza Thin Prep como método de análisis prioritario, seguido de la citología vaginal tradicional y, en algunos casos, también se utiliza la VIA. El gráfico anterior muestra los métodos de análisis consolidados utilizados por el Ministerio. Los análisis se realizan en colaboración con otras partes interesadas, como Medical Services Pacific y la Asociación de Salud Reproductiva y Familiar de Fiji. Las estadísticas sobre análisis del cáncer de cuello uterino en Fiji de </w:t>
      </w:r>
      <w:r w:rsidRPr="00C37370">
        <w:t>2018</w:t>
      </w:r>
      <w:r w:rsidRPr="006C5D80">
        <w:t xml:space="preserve"> a </w:t>
      </w:r>
      <w:r w:rsidRPr="00C37370">
        <w:t>2022</w:t>
      </w:r>
      <w:r w:rsidRPr="006C5D80">
        <w:t xml:space="preserve"> se encuentran en el anexo</w:t>
      </w:r>
      <w:r w:rsidR="0094121B">
        <w:t> </w:t>
      </w:r>
      <w:r w:rsidRPr="00C37370">
        <w:t>6</w:t>
      </w:r>
      <w:r w:rsidRPr="006C5D80">
        <w:t xml:space="preserve">. En el anexo </w:t>
      </w:r>
      <w:r w:rsidRPr="00C37370">
        <w:t>7</w:t>
      </w:r>
      <w:r w:rsidRPr="006C5D80">
        <w:t xml:space="preserve"> también figuran estadísticas que muestran el número de pacientes a las que se ha diagnosticado cáncer de mama o de cuello uterino en Fiji. Estas cifras habían mostrado una tendencia gradual al alza hasta </w:t>
      </w:r>
      <w:r w:rsidRPr="00C37370">
        <w:t>2020</w:t>
      </w:r>
      <w:r w:rsidRPr="006C5D80">
        <w:t>, cuando la pandemia de COVID-</w:t>
      </w:r>
      <w:r w:rsidRPr="00C37370">
        <w:t>19</w:t>
      </w:r>
      <w:r w:rsidRPr="006C5D80">
        <w:t xml:space="preserve"> golpeó las costas del país. Esto está estrechamente relacionado con el número de análisis realizados después de la COVID-</w:t>
      </w:r>
      <w:r w:rsidRPr="00C37370">
        <w:t>19</w:t>
      </w:r>
      <w:r w:rsidRPr="006C5D80">
        <w:t>. El Ministerio de Salud y Servicios Médicos está actualizando su política en materia de cáncer de cuello uterino para incluir las pruebas de papilomavirus humano, y es probable que, una vez finalizado el ensayo piloto, se pase a la autoexploración del papilomavirus humano. El Ministerio está aprovechando el número de máquinas Gene Expert que se pusieron a disposición del país durante COVID-</w:t>
      </w:r>
      <w:r w:rsidRPr="00C37370">
        <w:t>19</w:t>
      </w:r>
      <w:r w:rsidRPr="006C5D80">
        <w:t>. Además de actualizar la orientación política, se está reforzando la coordinación nacional del análisis del cáncer de cuello uterino y de mama en colaboración con varias partes interesadas que trabajan en el programa de cribado, como la Sociedad Oncológica de Fiji, Medical Services Pacific, la Medical Services Pacific y Diabetic Fiji.</w:t>
      </w:r>
    </w:p>
    <w:p w14:paraId="46C66C47" w14:textId="77777777" w:rsidR="001A0D84" w:rsidRPr="006C5D80" w:rsidRDefault="001A0D84" w:rsidP="001A0D84">
      <w:pPr>
        <w:pStyle w:val="SingleTxt"/>
        <w:spacing w:after="0" w:line="120" w:lineRule="exact"/>
        <w:rPr>
          <w:sz w:val="10"/>
        </w:rPr>
      </w:pPr>
    </w:p>
    <w:p w14:paraId="13A28370" w14:textId="77777777" w:rsidR="001A0D84" w:rsidRPr="006C5D80" w:rsidRDefault="001A0D84" w:rsidP="001A0D84">
      <w:pPr>
        <w:pStyle w:val="SingleTxt"/>
        <w:spacing w:after="0" w:line="120" w:lineRule="exact"/>
        <w:rPr>
          <w:sz w:val="10"/>
        </w:rPr>
      </w:pPr>
    </w:p>
    <w:p w14:paraId="4501BD64" w14:textId="3CA7124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Empoderamiento económico y prestaciones sociales</w:t>
      </w:r>
    </w:p>
    <w:p w14:paraId="56A6CD05" w14:textId="77777777" w:rsidR="001A0D84" w:rsidRPr="006C5D80" w:rsidRDefault="001A0D84" w:rsidP="001A0D84">
      <w:pPr>
        <w:pStyle w:val="SingleTxt"/>
        <w:spacing w:after="0" w:line="120" w:lineRule="exact"/>
        <w:rPr>
          <w:sz w:val="10"/>
        </w:rPr>
      </w:pPr>
    </w:p>
    <w:p w14:paraId="16D1750C" w14:textId="77777777" w:rsidR="001A0D84" w:rsidRPr="006C5D80" w:rsidRDefault="001A0D84" w:rsidP="001A0D84">
      <w:pPr>
        <w:pStyle w:val="SingleTxt"/>
        <w:spacing w:after="0" w:line="120" w:lineRule="exact"/>
        <w:rPr>
          <w:sz w:val="10"/>
        </w:rPr>
      </w:pPr>
    </w:p>
    <w:p w14:paraId="6ECB889B" w14:textId="6F395756"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19 a) de la lista de cuestiones</w:t>
      </w:r>
    </w:p>
    <w:p w14:paraId="58C1D360" w14:textId="77777777" w:rsidR="001A0D84" w:rsidRPr="006C5D80" w:rsidRDefault="001A0D84" w:rsidP="001A0D84">
      <w:pPr>
        <w:pStyle w:val="SingleTxt"/>
        <w:spacing w:after="0" w:line="120" w:lineRule="exact"/>
        <w:rPr>
          <w:sz w:val="10"/>
        </w:rPr>
      </w:pPr>
    </w:p>
    <w:p w14:paraId="35BC8BB6" w14:textId="77777777" w:rsidR="001A0D84" w:rsidRPr="006C5D80" w:rsidRDefault="001A0D84" w:rsidP="001A0D84">
      <w:pPr>
        <w:pStyle w:val="SingleTxt"/>
        <w:spacing w:after="0" w:line="120" w:lineRule="exact"/>
        <w:rPr>
          <w:sz w:val="10"/>
        </w:rPr>
      </w:pPr>
    </w:p>
    <w:p w14:paraId="11449600" w14:textId="77777777" w:rsidR="00597C74" w:rsidRPr="006C5D80" w:rsidRDefault="00597C74" w:rsidP="00D83D01">
      <w:pPr>
        <w:pStyle w:val="SingleTxt"/>
        <w:numPr>
          <w:ilvl w:val="0"/>
          <w:numId w:val="78"/>
        </w:numPr>
        <w:ind w:left="1267"/>
      </w:pPr>
      <w:r w:rsidRPr="006C5D80">
        <w:t>El Gobierno de Fiji ha puesto en marcha diversos programas e iniciativas para promover la igualdad de acceso a los recursos financieros, en particular para las mujeres. Estos esfuerzos pretenden concienciar sobre los derechos de las mujeres respecto de los activos, las cuentas bancarias y el crédito financiero. Los puntos clave relacionados con estas iniciativas incluyen:</w:t>
      </w:r>
    </w:p>
    <w:p w14:paraId="0F3B42DD" w14:textId="734B1F83" w:rsidR="00597C74" w:rsidRPr="006C5D80" w:rsidRDefault="001A0D84" w:rsidP="00597C74">
      <w:pPr>
        <w:pStyle w:val="SingleTxt"/>
      </w:pPr>
      <w:r w:rsidRPr="006C5D80">
        <w:tab/>
      </w:r>
      <w:r w:rsidR="00597C74" w:rsidRPr="006C5D80">
        <w:t>a)</w:t>
      </w:r>
      <w:r w:rsidR="00597C74" w:rsidRPr="006C5D80">
        <w:tab/>
        <w:t>Colaboración entre el Gobierno y los ministerios competentes: El Gobierno colabora con los ministerios competentes para introducir y aplicar programas que faciliten el acceso de las mujeres a los recursos financieros. Este enfoque colaborativo simplifica el proceso de acceso y beneficio de los servicios financieros para las mujeres;</w:t>
      </w:r>
    </w:p>
    <w:p w14:paraId="6F80C8FC" w14:textId="2404CE2A" w:rsidR="00597C74" w:rsidRPr="006C5D80" w:rsidRDefault="001A0D84" w:rsidP="00597C74">
      <w:pPr>
        <w:pStyle w:val="SingleTxt"/>
      </w:pPr>
      <w:r w:rsidRPr="006C5D80">
        <w:tab/>
      </w:r>
      <w:r w:rsidR="00597C74" w:rsidRPr="006C5D80">
        <w:t>b)</w:t>
      </w:r>
      <w:r w:rsidR="00597C74" w:rsidRPr="006C5D80">
        <w:tab/>
        <w:t>Papel del Banco de Reserva de Fiji: El Banco de Reserva de Fiji desempeña un papel fundamental en el impulso de la inclusión financiera en el país. La inclusión financiera se define como la garantía de que todos los adultos, independientemente de su ubicación, situación socioeconómica o género, tengan acceso a servicios y productos financieros asequibles y apropiados y los utilicen eficazmente. El Banco colabora con las partes interesadas pertinentes para alcanzar varios objetivos clave, como proporcionar acceso oportuno a productos y servicios financieros, promover el uso de productos financieros para satisfacer diversas necesidades, ofrecer educación financiera y garantizar la protección del cliente;</w:t>
      </w:r>
    </w:p>
    <w:p w14:paraId="3AAB6E4C" w14:textId="6765F88C" w:rsidR="00597C74" w:rsidRPr="006C5D80" w:rsidRDefault="001A0D84" w:rsidP="00597C74">
      <w:pPr>
        <w:pStyle w:val="SingleTxt"/>
      </w:pPr>
      <w:r w:rsidRPr="006C5D80">
        <w:lastRenderedPageBreak/>
        <w:tab/>
      </w:r>
      <w:r w:rsidR="00597C74" w:rsidRPr="006C5D80">
        <w:t>c)</w:t>
      </w:r>
      <w:r w:rsidR="00597C74" w:rsidRPr="006C5D80">
        <w:tab/>
        <w:t xml:space="preserve">Formación en alfabetización financiera: En </w:t>
      </w:r>
      <w:r w:rsidR="00597C74" w:rsidRPr="00C37370">
        <w:t>2022</w:t>
      </w:r>
      <w:r w:rsidR="00597C74" w:rsidRPr="006C5D80">
        <w:t xml:space="preserve">, Fiji impartió formación sobre educación financiera a un total de </w:t>
      </w:r>
      <w:r w:rsidR="00597C74" w:rsidRPr="00C37370">
        <w:t>11</w:t>
      </w:r>
      <w:r w:rsidR="00597C74" w:rsidRPr="006C5D80">
        <w:t>.</w:t>
      </w:r>
      <w:r w:rsidR="00597C74" w:rsidRPr="00C37370">
        <w:t>535</w:t>
      </w:r>
      <w:r w:rsidR="00597C74" w:rsidRPr="006C5D80">
        <w:t xml:space="preserve"> participantes. De estos participantes, </w:t>
      </w:r>
      <w:r w:rsidR="00597C74" w:rsidRPr="00C37370">
        <w:t>7</w:t>
      </w:r>
      <w:r w:rsidR="00597C74" w:rsidRPr="006C5D80">
        <w:t>.</w:t>
      </w:r>
      <w:r w:rsidR="00597C74" w:rsidRPr="00C37370">
        <w:t>201</w:t>
      </w:r>
      <w:r w:rsidR="00597C74" w:rsidRPr="006C5D80">
        <w:t xml:space="preserve"> eran mujeres, lo que demuestra un fuerte compromiso con el empoderamiento de las mujeres con conocimientos financieros;</w:t>
      </w:r>
    </w:p>
    <w:p w14:paraId="5DB33219" w14:textId="4DFD0427" w:rsidR="00597C74" w:rsidRPr="006C5D80" w:rsidRDefault="001A0D84" w:rsidP="00597C74">
      <w:pPr>
        <w:pStyle w:val="SingleTxt"/>
      </w:pPr>
      <w:r w:rsidRPr="006C5D80">
        <w:tab/>
      </w:r>
      <w:r w:rsidR="00597C74" w:rsidRPr="006C5D80">
        <w:t>d)</w:t>
      </w:r>
      <w:r w:rsidR="00597C74" w:rsidRPr="006C5D80">
        <w:tab/>
        <w:t>Acceso a los servicios financieros: Diversas estadísticas ponen de relieve los avances en la inclusión financiera, como el número de usuarios registrados de dinero móvil activos, con una mayor proporción de mujeres (</w:t>
      </w:r>
      <w:r w:rsidR="00597C74" w:rsidRPr="00C37370">
        <w:t>67</w:t>
      </w:r>
      <w:r w:rsidR="00597C74" w:rsidRPr="006C5D80">
        <w:t>,</w:t>
      </w:r>
      <w:r w:rsidR="00597C74" w:rsidRPr="00C37370">
        <w:t>8</w:t>
      </w:r>
      <w:r w:rsidR="00597C74" w:rsidRPr="006C5D80">
        <w:t xml:space="preserve"> %) en comparación con los hombres (</w:t>
      </w:r>
      <w:r w:rsidR="00597C74" w:rsidRPr="00C37370">
        <w:t>63</w:t>
      </w:r>
      <w:r w:rsidR="00597C74" w:rsidRPr="006C5D80">
        <w:t>,</w:t>
      </w:r>
      <w:r w:rsidR="00597C74" w:rsidRPr="00C37370">
        <w:t>7</w:t>
      </w:r>
      <w:r w:rsidR="00597C74" w:rsidRPr="006C5D80">
        <w:t xml:space="preserve"> %); La banca por Internet es accesible a una parte importante de la población, ya que el </w:t>
      </w:r>
      <w:r w:rsidR="00597C74" w:rsidRPr="00C37370">
        <w:t>38</w:t>
      </w:r>
      <w:r w:rsidR="00597C74" w:rsidRPr="006C5D80">
        <w:t xml:space="preserve">% de las mujeres y el </w:t>
      </w:r>
      <w:r w:rsidR="00597C74" w:rsidRPr="00C37370">
        <w:t>41</w:t>
      </w:r>
      <w:r w:rsidR="00597C74" w:rsidRPr="006C5D80">
        <w:t>,</w:t>
      </w:r>
      <w:r w:rsidR="00597C74" w:rsidRPr="00C37370">
        <w:t>1</w:t>
      </w:r>
      <w:r w:rsidR="00597C74" w:rsidRPr="006C5D80">
        <w:t>% de los hombres utilizan este servicio; Una proporción de los adultos registrados recibe remesas de dinero móvil (</w:t>
      </w:r>
      <w:r w:rsidR="00597C74" w:rsidRPr="00C37370">
        <w:t>4</w:t>
      </w:r>
      <w:r w:rsidR="00597C74" w:rsidRPr="006C5D80">
        <w:t>,</w:t>
      </w:r>
      <w:r w:rsidR="00597C74" w:rsidRPr="00C37370">
        <w:t>8</w:t>
      </w:r>
      <w:r w:rsidR="00597C74" w:rsidRPr="006C5D80">
        <w:t xml:space="preserve"> % de mujeres y </w:t>
      </w:r>
      <w:r w:rsidR="00597C74" w:rsidRPr="00C37370">
        <w:t>4</w:t>
      </w:r>
      <w:r w:rsidR="00597C74" w:rsidRPr="006C5D80">
        <w:t xml:space="preserve"> % de hombres registrados); Un alto porcentaje (</w:t>
      </w:r>
      <w:r w:rsidR="00597C74" w:rsidRPr="00C37370">
        <w:t>84</w:t>
      </w:r>
      <w:r w:rsidR="00597C74" w:rsidRPr="006C5D80">
        <w:t xml:space="preserve"> %) de los adultos tiene acceso a cuentas bancarias, y el </w:t>
      </w:r>
      <w:r w:rsidR="00597C74" w:rsidRPr="00C37370">
        <w:t>78</w:t>
      </w:r>
      <w:r w:rsidR="00597C74" w:rsidRPr="006C5D80">
        <w:t>,</w:t>
      </w:r>
      <w:r w:rsidR="00597C74" w:rsidRPr="00C37370">
        <w:t>1</w:t>
      </w:r>
      <w:r w:rsidR="00597C74" w:rsidRPr="006C5D80">
        <w:t xml:space="preserve"> % de las mujeres las tiene; y aunque el </w:t>
      </w:r>
      <w:r w:rsidR="00597C74" w:rsidRPr="00C37370">
        <w:t>9</w:t>
      </w:r>
      <w:r w:rsidR="00597C74" w:rsidRPr="006C5D80">
        <w:t>,</w:t>
      </w:r>
      <w:r w:rsidR="00597C74" w:rsidRPr="00C37370">
        <w:t>5</w:t>
      </w:r>
      <w:r w:rsidR="00597C74" w:rsidRPr="006C5D80">
        <w:t xml:space="preserve"> % de los adultos tienen acceso al crédito formal, hay margen de mejora, especialmente para las mujeres (</w:t>
      </w:r>
      <w:r w:rsidR="00597C74" w:rsidRPr="00C37370">
        <w:t>6</w:t>
      </w:r>
      <w:r w:rsidR="00597C74" w:rsidRPr="006C5D80">
        <w:t>,</w:t>
      </w:r>
      <w:r w:rsidR="00597C74" w:rsidRPr="00C37370">
        <w:t>6</w:t>
      </w:r>
      <w:r w:rsidR="00597C74" w:rsidRPr="006C5D80">
        <w:t xml:space="preserve"> %);</w:t>
      </w:r>
    </w:p>
    <w:p w14:paraId="3E95D6C7" w14:textId="7E951837" w:rsidR="00597C74" w:rsidRPr="006C5D80" w:rsidRDefault="001A0D84" w:rsidP="00597C74">
      <w:pPr>
        <w:pStyle w:val="SingleTxt"/>
      </w:pPr>
      <w:r w:rsidRPr="006C5D80">
        <w:tab/>
      </w:r>
      <w:r w:rsidR="00597C74" w:rsidRPr="006C5D80">
        <w:t>e)</w:t>
      </w:r>
      <w:r w:rsidR="00597C74" w:rsidRPr="006C5D80">
        <w:tab/>
        <w:t xml:space="preserve">Prestaciones de la seguridad social para los agricultores: El Ministerio de Agricultura y Vías de Navegación se ha asociado con instituciones financieras para facilitar el acceso de los agricultores a créditos financieros, activos y cuentas bancarias. En particular, Bank of the South Pacific ofrece soluciones bancarias digitales a los agricultores, imparte formación financiera y facilita servicios bancarios móviles, incluso en zonas con escasa conectividad a la red. Según el Ministerio de Agricultura, </w:t>
      </w:r>
      <w:r w:rsidR="00597C74" w:rsidRPr="00C37370">
        <w:t>4</w:t>
      </w:r>
      <w:r w:rsidR="00597C74" w:rsidRPr="006C5D80">
        <w:t>.</w:t>
      </w:r>
      <w:r w:rsidR="00597C74" w:rsidRPr="00C37370">
        <w:t>786</w:t>
      </w:r>
      <w:r w:rsidR="00597C74" w:rsidRPr="006C5D80">
        <w:t xml:space="preserve"> agricultoras, frente a </w:t>
      </w:r>
      <w:r w:rsidR="00597C74" w:rsidRPr="00C37370">
        <w:t>37</w:t>
      </w:r>
      <w:r w:rsidR="00597C74" w:rsidRPr="006C5D80">
        <w:t>.</w:t>
      </w:r>
      <w:r w:rsidR="00597C74" w:rsidRPr="00C37370">
        <w:t>965</w:t>
      </w:r>
      <w:r w:rsidR="00597C74" w:rsidRPr="006C5D80">
        <w:t xml:space="preserve"> agricultores, tienen cuentas de ahorro en bancos u otras instituciones financieras. En el anexo </w:t>
      </w:r>
      <w:r w:rsidR="00597C74" w:rsidRPr="00C37370">
        <w:t>8</w:t>
      </w:r>
      <w:r w:rsidR="00597C74" w:rsidRPr="006C5D80">
        <w:t xml:space="preserve"> del presente informe figura un desglose de todas las estadísticas relacionadas con la agricultura;</w:t>
      </w:r>
    </w:p>
    <w:p w14:paraId="155D6723" w14:textId="38CF0432" w:rsidR="00597C74" w:rsidRPr="006C5D80" w:rsidRDefault="001A0D84" w:rsidP="00597C74">
      <w:pPr>
        <w:pStyle w:val="SingleTxt"/>
      </w:pPr>
      <w:r w:rsidRPr="006C5D80">
        <w:tab/>
      </w:r>
      <w:r w:rsidR="00597C74" w:rsidRPr="006C5D80">
        <w:t>f)</w:t>
      </w:r>
      <w:r w:rsidR="00597C74" w:rsidRPr="006C5D80">
        <w:tab/>
        <w:t>Ampliación de la Seguridad Social: El Ministerio de Agricultura y Vías de Navegación, la Autoridad de Comercialización Agrícola de Fiji y el Fondo Nacional de Previsión de Fiji han firmado un memorando de entendimiento para ampliar las prestaciones de la seguridad social a los agricultores. Esto permite a los agricultores utilizar los montos concedidos por el Fondo Nacional para diversas necesidades de seguridad social, como gastos médicos, educación y asistencia en caso de desastres;</w:t>
      </w:r>
    </w:p>
    <w:p w14:paraId="3B4A7132" w14:textId="78E0C2B5" w:rsidR="00597C74" w:rsidRPr="006C5D80" w:rsidRDefault="001A0D84" w:rsidP="00597C74">
      <w:pPr>
        <w:pStyle w:val="SingleTxt"/>
      </w:pPr>
      <w:r w:rsidRPr="006C5D80">
        <w:tab/>
      </w:r>
      <w:r w:rsidR="00597C74" w:rsidRPr="006C5D80">
        <w:t>g)</w:t>
      </w:r>
      <w:r w:rsidR="00597C74" w:rsidRPr="006C5D80">
        <w:tab/>
        <w:t xml:space="preserve">Exposición de mujeres: La Exposición Nacional de Mujeres de Fiji, organizada por el Ministerio de la Mujer, la Infancia y la Protección Social, ofrece una plataforma para que las artesanas muestren su obra y entren en contacto con los mercados. La exposición también facilita el acceso a servicios como la apertura de cuentas bancarias. En </w:t>
      </w:r>
      <w:r w:rsidR="00597C74" w:rsidRPr="00C37370">
        <w:t>2019</w:t>
      </w:r>
      <w:r w:rsidR="00597C74" w:rsidRPr="006C5D80">
        <w:t xml:space="preserve">, participaron </w:t>
      </w:r>
      <w:r w:rsidR="00597C74" w:rsidRPr="00C37370">
        <w:t>400</w:t>
      </w:r>
      <w:r w:rsidR="00597C74" w:rsidRPr="006C5D80">
        <w:t xml:space="preserve"> artesanas, y se planificó un evento similar para </w:t>
      </w:r>
      <w:r w:rsidR="00597C74" w:rsidRPr="00C37370">
        <w:t>2023</w:t>
      </w:r>
      <w:r w:rsidR="00597C74" w:rsidRPr="006C5D80">
        <w:t>;</w:t>
      </w:r>
    </w:p>
    <w:p w14:paraId="31E56FF2" w14:textId="11B83D54" w:rsidR="00597C74" w:rsidRPr="006C5D80" w:rsidRDefault="001A0D84" w:rsidP="00597C74">
      <w:pPr>
        <w:pStyle w:val="SingleTxt"/>
      </w:pPr>
      <w:r w:rsidRPr="006C5D80">
        <w:tab/>
      </w:r>
      <w:r w:rsidR="00597C74" w:rsidRPr="006C5D80">
        <w:t>h)</w:t>
      </w:r>
      <w:r w:rsidR="00597C74" w:rsidRPr="006C5D80">
        <w:tab/>
        <w:t xml:space="preserve">Apoyo financiero a las mujeres empresarias: El Banco de Desarrollo de Fiji destina </w:t>
      </w:r>
      <w:r w:rsidR="00597C74" w:rsidRPr="00C37370">
        <w:t>500</w:t>
      </w:r>
      <w:r w:rsidR="00597C74" w:rsidRPr="006C5D80">
        <w:t>.</w:t>
      </w:r>
      <w:r w:rsidR="00597C74" w:rsidRPr="00C37370">
        <w:t>000</w:t>
      </w:r>
      <w:r w:rsidR="00597C74" w:rsidRPr="006C5D80">
        <w:t xml:space="preserve"> dólares a apoyar a las mujeres empresarias a través de su Paquete de Préstamos para Empresarias. Esta iniciativa se dirige a las empresas registradas que lleven funcionando al menos seis meses, y ofrece préstamos de entre </w:t>
      </w:r>
      <w:r w:rsidR="00597C74" w:rsidRPr="00C37370">
        <w:t>1</w:t>
      </w:r>
      <w:r w:rsidR="00597C74" w:rsidRPr="006C5D80">
        <w:t>.</w:t>
      </w:r>
      <w:r w:rsidR="00597C74" w:rsidRPr="00C37370">
        <w:t>000</w:t>
      </w:r>
      <w:r w:rsidR="00597C74" w:rsidRPr="006C5D80">
        <w:t xml:space="preserve"> y </w:t>
      </w:r>
      <w:r w:rsidR="00597C74" w:rsidRPr="00C37370">
        <w:t>5</w:t>
      </w:r>
      <w:r w:rsidR="00597C74" w:rsidRPr="006C5D80">
        <w:t>.</w:t>
      </w:r>
      <w:r w:rsidR="00597C74" w:rsidRPr="00C37370">
        <w:t>000</w:t>
      </w:r>
      <w:r w:rsidR="00597C74" w:rsidRPr="006C5D80">
        <w:t xml:space="preserve"> dólares con un plazo de amortización de hasta tres años. Esta asignación cubre el </w:t>
      </w:r>
      <w:r w:rsidR="00597C74" w:rsidRPr="00C37370">
        <w:t>10</w:t>
      </w:r>
      <w:r w:rsidR="00597C74" w:rsidRPr="006C5D80">
        <w:t xml:space="preserve"> % de fondos propios exigido para los paquetes de préstamos, lo que facilita el acceso de las empresarias a la financiación. Se beneficiaron de esta iniciativa </w:t>
      </w:r>
      <w:r w:rsidR="00597C74" w:rsidRPr="00C37370">
        <w:t>778</w:t>
      </w:r>
      <w:r w:rsidR="00597C74" w:rsidRPr="006C5D80">
        <w:t xml:space="preserve"> mujeres entre </w:t>
      </w:r>
      <w:r w:rsidR="00597C74" w:rsidRPr="00C37370">
        <w:t>2022</w:t>
      </w:r>
      <w:r w:rsidR="00597C74" w:rsidRPr="006C5D80">
        <w:t xml:space="preserve"> y </w:t>
      </w:r>
      <w:r w:rsidR="00597C74" w:rsidRPr="00C37370">
        <w:t>2023</w:t>
      </w:r>
      <w:r w:rsidR="00597C74" w:rsidRPr="006C5D80">
        <w:t xml:space="preserve">; </w:t>
      </w:r>
      <w:r w:rsidR="00597C74" w:rsidRPr="002F457C">
        <w:t>y 1</w:t>
      </w:r>
      <w:r w:rsidR="007132D2" w:rsidRPr="002F457C">
        <w:t>.</w:t>
      </w:r>
      <w:r w:rsidR="00597C74" w:rsidRPr="002F457C">
        <w:t xml:space="preserve">247 </w:t>
      </w:r>
      <w:r w:rsidR="00597C74" w:rsidRPr="006C5D80">
        <w:t xml:space="preserve">mujeres entre </w:t>
      </w:r>
      <w:r w:rsidR="00597C74" w:rsidRPr="00C37370">
        <w:t>2023</w:t>
      </w:r>
      <w:r w:rsidR="00597C74" w:rsidRPr="006C5D80">
        <w:t xml:space="preserve"> y </w:t>
      </w:r>
      <w:r w:rsidR="00597C74" w:rsidRPr="00C37370">
        <w:t>2024</w:t>
      </w:r>
      <w:r w:rsidR="00597C74" w:rsidRPr="006C5D80">
        <w:t>;</w:t>
      </w:r>
    </w:p>
    <w:p w14:paraId="4A045627" w14:textId="04952C5F" w:rsidR="00597C74" w:rsidRPr="006C5D80" w:rsidRDefault="001A0D84" w:rsidP="00597C74">
      <w:pPr>
        <w:pStyle w:val="SingleTxt"/>
      </w:pPr>
      <w:r w:rsidRPr="006C5D80">
        <w:tab/>
      </w:r>
      <w:r w:rsidR="00597C74" w:rsidRPr="006C5D80">
        <w:t>i)</w:t>
      </w:r>
      <w:r w:rsidR="00597C74" w:rsidRPr="006C5D80">
        <w:tab/>
        <w:t xml:space="preserve">Las mujeres en los programas de pesca y juventud: Ministerios como el de Pesca y el de Juventud y Deportes también dan prioridad a la alfabetización financiera de las mujeres. Estos programas incluyen temas como la formación empresarial, la formación financiera, la elaboración de presupuestos, el crédito, el ahorro, el espíritu empresarial, etc. De </w:t>
      </w:r>
      <w:r w:rsidR="00597C74" w:rsidRPr="00C37370">
        <w:t>2020</w:t>
      </w:r>
      <w:r w:rsidR="00597C74" w:rsidRPr="006C5D80">
        <w:t xml:space="preserve"> a </w:t>
      </w:r>
      <w:r w:rsidR="00597C74" w:rsidRPr="00C37370">
        <w:t>2024</w:t>
      </w:r>
      <w:r w:rsidR="00597C74" w:rsidRPr="006C5D80">
        <w:t xml:space="preserve">, unos </w:t>
      </w:r>
      <w:r w:rsidR="00597C74" w:rsidRPr="00C37370">
        <w:t>37</w:t>
      </w:r>
      <w:r w:rsidR="00597C74" w:rsidRPr="006C5D80">
        <w:t xml:space="preserve"> grupos de mujeres se beneficiaron de esta iniciativa. </w:t>
      </w:r>
    </w:p>
    <w:p w14:paraId="2369FBB3" w14:textId="77777777" w:rsidR="00597C74" w:rsidRPr="006C5D80" w:rsidRDefault="00597C74" w:rsidP="00D83D01">
      <w:pPr>
        <w:pStyle w:val="SingleTxt"/>
        <w:numPr>
          <w:ilvl w:val="0"/>
          <w:numId w:val="79"/>
        </w:numPr>
        <w:ind w:left="1267"/>
      </w:pPr>
      <w:r w:rsidRPr="006C5D80">
        <w:t xml:space="preserve">En resumen, el Gobierno de Fiji, a través de varios ministerios, trabaja activamente para garantizar la igualdad de acceso a los recursos financieros, </w:t>
      </w:r>
      <w:r w:rsidRPr="006C5D80">
        <w:lastRenderedPageBreak/>
        <w:t>especialmente para las mujeres. Estos esfuerzos incluyen formación en alfabetización financiera, asociaciones con instituciones financieras y apoyo a las mujeres empresarias en diversos sectores de la economía. Las iniciativas pretenden capacitar a las mujeres y promover la inclusión económica.</w:t>
      </w:r>
    </w:p>
    <w:p w14:paraId="61867FAC" w14:textId="77777777" w:rsidR="001A0D84" w:rsidRPr="006C5D80" w:rsidRDefault="001A0D84" w:rsidP="001A0D84">
      <w:pPr>
        <w:pStyle w:val="SingleTxt"/>
        <w:spacing w:after="0" w:line="120" w:lineRule="exact"/>
        <w:rPr>
          <w:sz w:val="10"/>
        </w:rPr>
      </w:pPr>
    </w:p>
    <w:p w14:paraId="5637D68D" w14:textId="77777777" w:rsidR="001A0D84" w:rsidRPr="006C5D80" w:rsidRDefault="001A0D84" w:rsidP="001A0D84">
      <w:pPr>
        <w:pStyle w:val="SingleTxt"/>
        <w:spacing w:after="0" w:line="120" w:lineRule="exact"/>
        <w:rPr>
          <w:sz w:val="10"/>
        </w:rPr>
      </w:pPr>
    </w:p>
    <w:p w14:paraId="33E9BA3A"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19 b) de la lista de cuestiones</w:t>
      </w:r>
    </w:p>
    <w:p w14:paraId="4D1BB4E9" w14:textId="77777777" w:rsidR="001A0D84" w:rsidRPr="006C5D80" w:rsidRDefault="001A0D84" w:rsidP="001A0D84">
      <w:pPr>
        <w:pStyle w:val="SingleTxt"/>
        <w:spacing w:after="0" w:line="120" w:lineRule="exact"/>
        <w:rPr>
          <w:sz w:val="10"/>
        </w:rPr>
      </w:pPr>
    </w:p>
    <w:p w14:paraId="5EEADB0F" w14:textId="77777777" w:rsidR="001A0D84" w:rsidRPr="006C5D80" w:rsidRDefault="001A0D84" w:rsidP="001A0D84">
      <w:pPr>
        <w:pStyle w:val="SingleTxt"/>
        <w:spacing w:after="0" w:line="120" w:lineRule="exact"/>
        <w:rPr>
          <w:sz w:val="10"/>
        </w:rPr>
      </w:pPr>
    </w:p>
    <w:p w14:paraId="2899FF64" w14:textId="77777777" w:rsidR="00597C74" w:rsidRPr="006C5D80" w:rsidRDefault="00597C74" w:rsidP="00D83D01">
      <w:pPr>
        <w:pStyle w:val="SingleTxt"/>
        <w:numPr>
          <w:ilvl w:val="0"/>
          <w:numId w:val="80"/>
        </w:numPr>
        <w:ind w:left="1267"/>
      </w:pPr>
      <w:r w:rsidRPr="006C5D80">
        <w:t>El Ministerio de Empleo, Productividad y Relaciones Laborales de Fiji ha puesto en marcha disposiciones relativas a las cotizaciones de las mujeres al régimen de pensiones mientras disfrutan de una excedencia para cuidar de sus hijos. Los puntos clave de estas disposiciones son los siguientes:</w:t>
      </w:r>
    </w:p>
    <w:p w14:paraId="36E75B46" w14:textId="2C908E32" w:rsidR="00597C74" w:rsidRPr="006C5D80" w:rsidRDefault="001A0D84" w:rsidP="00597C74">
      <w:pPr>
        <w:pStyle w:val="SingleTxt"/>
      </w:pPr>
      <w:r w:rsidRPr="006C5D80">
        <w:tab/>
      </w:r>
      <w:r w:rsidR="00597C74" w:rsidRPr="006C5D80">
        <w:t>a)</w:t>
      </w:r>
      <w:r w:rsidR="00597C74" w:rsidRPr="006C5D80">
        <w:tab/>
        <w:t xml:space="preserve">Deducciones del empresario con consentimiento: De acuerdo con la Ley de Relaciones Laborales de </w:t>
      </w:r>
      <w:r w:rsidR="00597C74" w:rsidRPr="00C37370">
        <w:t>2007</w:t>
      </w:r>
      <w:r w:rsidR="00597C74" w:rsidRPr="006C5D80">
        <w:t xml:space="preserve">, art. </w:t>
      </w:r>
      <w:r w:rsidR="00597C74" w:rsidRPr="00C37370">
        <w:t>47</w:t>
      </w:r>
      <w:r w:rsidR="00597C74" w:rsidRPr="006C5D80">
        <w:t xml:space="preserve"> </w:t>
      </w:r>
      <w:r w:rsidR="00597C74" w:rsidRPr="00C37370">
        <w:t>1</w:t>
      </w:r>
      <w:r w:rsidR="00597C74" w:rsidRPr="006C5D80">
        <w:t>)</w:t>
      </w:r>
      <w:r w:rsidR="00D727C4" w:rsidRPr="006C5D80">
        <w:t xml:space="preserve"> </w:t>
      </w:r>
      <w:r w:rsidR="00597C74" w:rsidRPr="006C5D80">
        <w:t>b), los empleadores en Fiji tienen la autoridad, con el consentimiento por escrito del trabajador, para deducir una cantidad adeudada por el trabajador como contribución a diversos fondos o regímenes. Puede tratarse de fondos de previsión, fondos escolares, fondos de pensiones, fondos deportivos, planes de jubilación, seguros de vida o planes médicos, cooperativas de crédito, sindicatos, sociedades cooperativas u otros fondos o planes a los que pertenezca el trabajador. Los empresarios son responsables de recaudar estas cantidades retenidas y abonarlas a la entidad gestora del fondo o régimen correspondiente;</w:t>
      </w:r>
    </w:p>
    <w:p w14:paraId="64A54BE4" w14:textId="40ABCE75" w:rsidR="00597C74" w:rsidRPr="006C5D80" w:rsidRDefault="001A0D84" w:rsidP="00597C74">
      <w:pPr>
        <w:pStyle w:val="SingleTxt"/>
      </w:pPr>
      <w:r w:rsidRPr="006C5D80">
        <w:tab/>
      </w:r>
      <w:r w:rsidR="00597C74" w:rsidRPr="006C5D80">
        <w:t>b)</w:t>
      </w:r>
      <w:r w:rsidR="00597C74" w:rsidRPr="006C5D80">
        <w:tab/>
        <w:t xml:space="preserve">Derecho a licencia de maternidad: En virtud del artículo </w:t>
      </w:r>
      <w:r w:rsidR="00597C74" w:rsidRPr="00C37370">
        <w:t>101</w:t>
      </w:r>
      <w:r w:rsidR="00597C74" w:rsidRPr="006C5D80">
        <w:t xml:space="preserve"> </w:t>
      </w:r>
      <w:r w:rsidR="00597C74" w:rsidRPr="00C37370">
        <w:t>1</w:t>
      </w:r>
      <w:r w:rsidR="00597C74" w:rsidRPr="006C5D80">
        <w:t xml:space="preserve">) de la Ley de Relaciones Laborales de </w:t>
      </w:r>
      <w:r w:rsidR="00597C74" w:rsidRPr="00C37370">
        <w:t>2007</w:t>
      </w:r>
      <w:r w:rsidR="00597C74" w:rsidRPr="006C5D80">
        <w:t xml:space="preserve">, una mujer empleada en un lugar de trabajo en Fiji que espera dar a luz tiene derecho a licencia de maternidad. Este derecho le permite abstenerse de trabajar durante un período de </w:t>
      </w:r>
      <w:r w:rsidR="00597C74" w:rsidRPr="00C37370">
        <w:t>84</w:t>
      </w:r>
      <w:r w:rsidR="00597C74" w:rsidRPr="006C5D80">
        <w:t xml:space="preserve"> días consecutivos, siempre que presente al empresario un certificado de un médico o enfermeros registrados en el que se especifique la fecha prevista del parto. En particular, esta disposición ha sido modificada mediante la Ley núm. </w:t>
      </w:r>
      <w:r w:rsidR="00597C74" w:rsidRPr="00C37370">
        <w:t>23</w:t>
      </w:r>
      <w:r w:rsidR="00597C74" w:rsidRPr="006C5D80">
        <w:t xml:space="preserve"> de </w:t>
      </w:r>
      <w:r w:rsidR="00597C74" w:rsidRPr="00C37370">
        <w:t>2018</w:t>
      </w:r>
      <w:r w:rsidR="00597C74" w:rsidRPr="006C5D80">
        <w:t xml:space="preserve">, que cambió el derecho a la licencia de maternidad de </w:t>
      </w:r>
      <w:r w:rsidR="00597C74" w:rsidRPr="00C37370">
        <w:t>84</w:t>
      </w:r>
      <w:r w:rsidR="00597C74" w:rsidRPr="006C5D80">
        <w:t xml:space="preserve"> a </w:t>
      </w:r>
      <w:r w:rsidR="00597C74" w:rsidRPr="00C37370">
        <w:t>98</w:t>
      </w:r>
      <w:r w:rsidR="00597C74" w:rsidRPr="006C5D80">
        <w:t xml:space="preserve"> días.</w:t>
      </w:r>
    </w:p>
    <w:p w14:paraId="345D6443" w14:textId="77777777" w:rsidR="00597C74" w:rsidRPr="006C5D80" w:rsidRDefault="00597C74" w:rsidP="00D83D01">
      <w:pPr>
        <w:pStyle w:val="SingleTxt"/>
        <w:numPr>
          <w:ilvl w:val="0"/>
          <w:numId w:val="81"/>
        </w:numPr>
        <w:ind w:left="1267"/>
      </w:pPr>
      <w:r w:rsidRPr="006C5D80">
        <w:t xml:space="preserve">Estas disposiciones reflejan el compromiso de Fiji de apoyar a las mujeres en el lugar de trabajo, especialmente durante el embarazo y el parto. Garantizan que las mujeres tengan la oportunidad de disfrutar de un permiso de maternidad y de cotizar a diversos fondos o regímenes según lo acordado con su empresa. La reciente enmienda que amplía el permiso de maternidad a </w:t>
      </w:r>
      <w:r w:rsidRPr="00C37370">
        <w:t>98</w:t>
      </w:r>
      <w:r w:rsidRPr="006C5D80">
        <w:t xml:space="preserve"> días refuerza aún más el apoyo a las mujeres para conciliar las responsabilidades laborales y familiares.</w:t>
      </w:r>
    </w:p>
    <w:p w14:paraId="729F1B98" w14:textId="77777777" w:rsidR="001A0D84" w:rsidRPr="006C5D80" w:rsidRDefault="001A0D84" w:rsidP="001A0D84">
      <w:pPr>
        <w:pStyle w:val="SingleTxt"/>
        <w:spacing w:after="0" w:line="120" w:lineRule="exact"/>
        <w:rPr>
          <w:sz w:val="10"/>
        </w:rPr>
      </w:pPr>
    </w:p>
    <w:p w14:paraId="5DC899D0" w14:textId="77777777" w:rsidR="001A0D84" w:rsidRPr="006C5D80" w:rsidRDefault="001A0D84" w:rsidP="001A0D84">
      <w:pPr>
        <w:pStyle w:val="SingleTxt"/>
        <w:spacing w:after="0" w:line="120" w:lineRule="exact"/>
        <w:rPr>
          <w:sz w:val="10"/>
        </w:rPr>
      </w:pPr>
    </w:p>
    <w:p w14:paraId="7DDC3088"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19 c) de la lista de cuestiones</w:t>
      </w:r>
    </w:p>
    <w:p w14:paraId="33FD7CFF" w14:textId="77777777" w:rsidR="001A0D84" w:rsidRPr="006C5D80" w:rsidRDefault="001A0D84" w:rsidP="001A0D84">
      <w:pPr>
        <w:pStyle w:val="SingleTxt"/>
        <w:spacing w:after="0" w:line="120" w:lineRule="exact"/>
        <w:rPr>
          <w:sz w:val="10"/>
        </w:rPr>
      </w:pPr>
    </w:p>
    <w:p w14:paraId="0BC0C472" w14:textId="77777777" w:rsidR="001A0D84" w:rsidRPr="006C5D80" w:rsidRDefault="001A0D84" w:rsidP="001A0D84">
      <w:pPr>
        <w:pStyle w:val="SingleTxt"/>
        <w:spacing w:after="0" w:line="120" w:lineRule="exact"/>
        <w:rPr>
          <w:sz w:val="10"/>
        </w:rPr>
      </w:pPr>
    </w:p>
    <w:p w14:paraId="033EDB94" w14:textId="77777777" w:rsidR="00597C74" w:rsidRPr="006C5D80" w:rsidRDefault="00597C74" w:rsidP="00D83D01">
      <w:pPr>
        <w:pStyle w:val="SingleTxt"/>
        <w:numPr>
          <w:ilvl w:val="0"/>
          <w:numId w:val="82"/>
        </w:numPr>
        <w:ind w:left="1267"/>
      </w:pPr>
      <w:r w:rsidRPr="006C5D80">
        <w:t>En Fiji se han hecho esfuerzos para mejorar las prestaciones del régimen de pensiones acumuladas por las mujeres modificando la normativa relativa al empleo en la función pública. He aquí los puntos clave de estas enmiendas:</w:t>
      </w:r>
    </w:p>
    <w:p w14:paraId="1D7A6E25" w14:textId="1CAB9915" w:rsidR="00597C74" w:rsidRPr="006C5D80" w:rsidRDefault="001A0D84" w:rsidP="00597C74">
      <w:pPr>
        <w:pStyle w:val="SingleTxt"/>
      </w:pPr>
      <w:r w:rsidRPr="006C5D80">
        <w:tab/>
      </w:r>
      <w:r w:rsidR="00597C74" w:rsidRPr="006C5D80">
        <w:t>a)</w:t>
      </w:r>
      <w:r w:rsidR="00597C74" w:rsidRPr="006C5D80">
        <w:tab/>
        <w:t xml:space="preserve">Modificación del Reglamento de la Función Pública: El Reglamento Modificado de la Función Pública (General) fue revisado de nuevo y publicado en el boletín el </w:t>
      </w:r>
      <w:r w:rsidR="00597C74" w:rsidRPr="00C37370">
        <w:t>21</w:t>
      </w:r>
      <w:r w:rsidR="00597C74" w:rsidRPr="006C5D80">
        <w:t xml:space="preserve"> de enero de </w:t>
      </w:r>
      <w:r w:rsidR="00597C74" w:rsidRPr="00C37370">
        <w:t>2023</w:t>
      </w:r>
      <w:r w:rsidR="00597C74" w:rsidRPr="006C5D80">
        <w:t xml:space="preserve">. Estas modificaciones se refieren a la edad de jubilación de los funcionarios empleados por los </w:t>
      </w:r>
      <w:proofErr w:type="gramStart"/>
      <w:r w:rsidR="00597C74" w:rsidRPr="006C5D80">
        <w:t>Secretarios</w:t>
      </w:r>
      <w:proofErr w:type="gramEnd"/>
      <w:r w:rsidR="00597C74" w:rsidRPr="006C5D80">
        <w:t xml:space="preserve"> Permanentes en virtud del artículo </w:t>
      </w:r>
      <w:r w:rsidR="00597C74" w:rsidRPr="00C37370">
        <w:t>127</w:t>
      </w:r>
      <w:r w:rsidR="00597C74" w:rsidRPr="006C5D80">
        <w:t xml:space="preserve"> de la Constitución de </w:t>
      </w:r>
      <w:r w:rsidR="00597C74" w:rsidRPr="00C37370">
        <w:t>2013</w:t>
      </w:r>
      <w:r w:rsidR="00597C74" w:rsidRPr="006C5D80">
        <w:t xml:space="preserve">. Los cambios en la edad de jubilación se aplicaron tras el visto bueno de la Comisión de Administración Pública y la posterior aprobación del Consejo de </w:t>
      </w:r>
      <w:proofErr w:type="gramStart"/>
      <w:r w:rsidR="00597C74" w:rsidRPr="006C5D80">
        <w:t>Ministros</w:t>
      </w:r>
      <w:proofErr w:type="gramEnd"/>
      <w:r w:rsidR="00597C74" w:rsidRPr="006C5D80">
        <w:t>;</w:t>
      </w:r>
    </w:p>
    <w:p w14:paraId="7CE04FD1" w14:textId="7E1C8D1F" w:rsidR="00597C74" w:rsidRPr="006C5D80" w:rsidRDefault="001A0D84" w:rsidP="00597C74">
      <w:pPr>
        <w:pStyle w:val="SingleTxt"/>
      </w:pPr>
      <w:r w:rsidRPr="006C5D80">
        <w:tab/>
      </w:r>
      <w:r w:rsidR="00597C74" w:rsidRPr="006C5D80">
        <w:t>b)</w:t>
      </w:r>
      <w:r w:rsidR="00597C74" w:rsidRPr="006C5D80">
        <w:tab/>
        <w:t xml:space="preserve">Aumento de la edad de jubilación: Las enmiendas permiten, en particular, aumentar la edad de jubilación a </w:t>
      </w:r>
      <w:r w:rsidR="00597C74" w:rsidRPr="00C37370">
        <w:t>60</w:t>
      </w:r>
      <w:r w:rsidR="00597C74" w:rsidRPr="006C5D80">
        <w:t xml:space="preserve"> años para todos los funcionarios cubiertos por este reglamento. Este cambio amplía la vida laboral de los funcionarios, ofreciéndoles </w:t>
      </w:r>
      <w:r w:rsidR="00597C74" w:rsidRPr="006C5D80">
        <w:lastRenderedPageBreak/>
        <w:t xml:space="preserve">la oportunidad de trabajar hasta los </w:t>
      </w:r>
      <w:r w:rsidR="00597C74" w:rsidRPr="00C37370">
        <w:t>60</w:t>
      </w:r>
      <w:r w:rsidR="00597C74" w:rsidRPr="006C5D80">
        <w:t xml:space="preserve"> años y, en consecuencia, acumular mayores prestaciones del régimen de pensiones;</w:t>
      </w:r>
    </w:p>
    <w:p w14:paraId="4462F59E" w14:textId="285EDDF1" w:rsidR="00597C74" w:rsidRPr="006C5D80" w:rsidRDefault="001A0D84" w:rsidP="00597C74">
      <w:pPr>
        <w:pStyle w:val="SingleTxt"/>
      </w:pPr>
      <w:r w:rsidRPr="006C5D80">
        <w:tab/>
      </w:r>
      <w:r w:rsidR="00597C74" w:rsidRPr="006C5D80">
        <w:t>c)</w:t>
      </w:r>
      <w:r w:rsidR="00597C74" w:rsidRPr="006C5D80">
        <w:tab/>
        <w:t xml:space="preserve">Ministerio de Empleo, Productividad y Relaciones Laborales - Ley de Relaciones Laborales de </w:t>
      </w:r>
      <w:r w:rsidR="00597C74" w:rsidRPr="00C37370">
        <w:t>2007</w:t>
      </w:r>
      <w:r w:rsidR="00597C74" w:rsidRPr="006C5D80">
        <w:t xml:space="preserve"> - Art. </w:t>
      </w:r>
      <w:r w:rsidR="00597C74" w:rsidRPr="00C37370">
        <w:t>77</w:t>
      </w:r>
      <w:r w:rsidR="00597C74" w:rsidRPr="006C5D80">
        <w:t xml:space="preserve"> </w:t>
      </w:r>
      <w:r w:rsidR="00597C74" w:rsidRPr="00C37370">
        <w:t>1</w:t>
      </w:r>
      <w:r w:rsidR="00597C74" w:rsidRPr="006C5D80">
        <w:t xml:space="preserve">) d) de la Ley de Relaciones Laborales de </w:t>
      </w:r>
      <w:r w:rsidR="00597C74" w:rsidRPr="00C37370">
        <w:t>2007</w:t>
      </w:r>
      <w:r w:rsidR="00597C74" w:rsidRPr="006C5D80">
        <w:t xml:space="preserve">: El Ministerio de Empleo, Productividad y Relaciones Laborales también desempeña un papel en la salvaguardia de los derechos de los trabajadores. Según el artículo </w:t>
      </w:r>
      <w:r w:rsidR="00597C74" w:rsidRPr="00C37370">
        <w:t>77</w:t>
      </w:r>
      <w:r w:rsidR="00597C74" w:rsidRPr="006C5D80">
        <w:t xml:space="preserve"> </w:t>
      </w:r>
      <w:r w:rsidR="00597C74" w:rsidRPr="00C37370">
        <w:t>1</w:t>
      </w:r>
      <w:r w:rsidR="00597C74" w:rsidRPr="006C5D80">
        <w:t xml:space="preserve">) d) de la Ley de Relaciones Laborales de </w:t>
      </w:r>
      <w:r w:rsidR="00597C74" w:rsidRPr="00C37370">
        <w:t>2007</w:t>
      </w:r>
      <w:r w:rsidR="00597C74" w:rsidRPr="006C5D80">
        <w:t>, si un solicitante de empleo o un trabajador está cualificado para un determinado tipo de trabajo, un empresario o alguien que actúe en su nombre no debe jubilar al trabajador, exigirle que se jubile o dimitir, excepto cuando existan leyes escritas o contratos de trabajo que especifiquen una edad de jubilación. Estas modificaciones y disposiciones reglamentarias tienen como objetivo promover la igualdad de género y la seguridad financiera de las mujeres mediante la ampliación del período durante el cual pueden contribuir a sus pensiones y, en última instancia, recibir mayores prestaciones de jubilación. Además, hacen hincapié en que la jubilación no debe imponerse a los trabajadores en función de la edad, garantizando que las decisiones de jubilación se tomen de acuerdo con las leyes escritas o los acuerdos contractuales.</w:t>
      </w:r>
    </w:p>
    <w:p w14:paraId="5C6B2E12" w14:textId="77777777" w:rsidR="001A0D84" w:rsidRPr="00C37370" w:rsidRDefault="001A0D84" w:rsidP="001A0D84">
      <w:pPr>
        <w:pStyle w:val="SingleTxt"/>
        <w:spacing w:after="0" w:line="120" w:lineRule="exact"/>
        <w:rPr>
          <w:b/>
          <w:sz w:val="10"/>
        </w:rPr>
      </w:pPr>
    </w:p>
    <w:p w14:paraId="4543EB44" w14:textId="77777777" w:rsidR="001A0D84" w:rsidRPr="00C37370" w:rsidRDefault="001A0D84" w:rsidP="001A0D84">
      <w:pPr>
        <w:pStyle w:val="SingleTxt"/>
        <w:spacing w:after="0" w:line="120" w:lineRule="exact"/>
        <w:rPr>
          <w:b/>
          <w:sz w:val="10"/>
        </w:rPr>
      </w:pPr>
    </w:p>
    <w:p w14:paraId="23758F6F" w14:textId="5A752DCE"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 xml:space="preserve">Mujeres del medio rural </w:t>
      </w:r>
    </w:p>
    <w:p w14:paraId="40D6E241" w14:textId="77777777" w:rsidR="001A0D84" w:rsidRPr="006C5D80" w:rsidRDefault="001A0D84" w:rsidP="001A0D84">
      <w:pPr>
        <w:pStyle w:val="SingleTxt"/>
        <w:spacing w:after="0" w:line="120" w:lineRule="exact"/>
        <w:rPr>
          <w:sz w:val="10"/>
        </w:rPr>
      </w:pPr>
    </w:p>
    <w:p w14:paraId="76AAD3B1" w14:textId="77777777" w:rsidR="001A0D84" w:rsidRPr="006C5D80" w:rsidRDefault="001A0D84" w:rsidP="001A0D84">
      <w:pPr>
        <w:pStyle w:val="SingleTxt"/>
        <w:spacing w:after="0" w:line="120" w:lineRule="exact"/>
        <w:rPr>
          <w:sz w:val="10"/>
        </w:rPr>
      </w:pPr>
    </w:p>
    <w:p w14:paraId="700C516A"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20 a) de la lista de cuestiones</w:t>
      </w:r>
    </w:p>
    <w:p w14:paraId="75DFCE2D" w14:textId="77777777" w:rsidR="001A0D84" w:rsidRPr="006C5D80" w:rsidRDefault="001A0D84" w:rsidP="001A0D84">
      <w:pPr>
        <w:pStyle w:val="SingleTxt"/>
        <w:spacing w:after="0" w:line="120" w:lineRule="exact"/>
        <w:rPr>
          <w:sz w:val="10"/>
        </w:rPr>
      </w:pPr>
    </w:p>
    <w:p w14:paraId="5A3F4C4F" w14:textId="77777777" w:rsidR="001A0D84" w:rsidRPr="006C5D80" w:rsidRDefault="001A0D84" w:rsidP="001A0D84">
      <w:pPr>
        <w:pStyle w:val="SingleTxt"/>
        <w:spacing w:after="0" w:line="120" w:lineRule="exact"/>
        <w:rPr>
          <w:sz w:val="10"/>
        </w:rPr>
      </w:pPr>
    </w:p>
    <w:p w14:paraId="239C4346" w14:textId="5A300753" w:rsidR="00597C74" w:rsidRPr="006C5D80" w:rsidRDefault="00597C74" w:rsidP="00D83D01">
      <w:pPr>
        <w:pStyle w:val="SingleTxt"/>
        <w:numPr>
          <w:ilvl w:val="0"/>
          <w:numId w:val="83"/>
        </w:numPr>
        <w:ind w:left="1267"/>
      </w:pPr>
      <w:r w:rsidRPr="006C5D80">
        <w:t xml:space="preserve">Según la Evaluación de Género en Fiji, las mujeres rurales ganan, en promedio, el </w:t>
      </w:r>
      <w:r w:rsidRPr="00C37370">
        <w:t>75</w:t>
      </w:r>
      <w:r w:rsidRPr="006C5D80">
        <w:t xml:space="preserve"> % de lo que ganan los hombres rurales, y una brecha salarial entre el campo y la ciudad del </w:t>
      </w:r>
      <w:r w:rsidRPr="00C37370">
        <w:t>45</w:t>
      </w:r>
      <w:r w:rsidRPr="006C5D80">
        <w:t xml:space="preserve"> % aumenta significativamente la vulnerabilidad a la pobreza de la población de las zonas rurales. En virtud de la Carta de Derechos, todos los fiyianos, incluidas las mujeres, tienen derecho constitucional a acceder a la protección social. El Estado está obligado a proporcionar esto de conformidad con el artículo </w:t>
      </w:r>
      <w:r w:rsidRPr="00C37370">
        <w:t>37</w:t>
      </w:r>
      <w:r w:rsidRPr="006C5D80">
        <w:t xml:space="preserve"> (</w:t>
      </w:r>
      <w:r w:rsidR="00D727C4" w:rsidRPr="006C5D80">
        <w:t>“</w:t>
      </w:r>
      <w:r w:rsidRPr="006C5D80">
        <w:t>Derecho</w:t>
      </w:r>
      <w:r w:rsidR="00D727C4" w:rsidRPr="006C5D80">
        <w:t>”</w:t>
      </w:r>
      <w:r w:rsidRPr="006C5D80">
        <w:t xml:space="preserve">) de la Constitución de </w:t>
      </w:r>
      <w:r w:rsidRPr="00C37370">
        <w:t>2013</w:t>
      </w:r>
      <w:r w:rsidRPr="006C5D80">
        <w:t xml:space="preserve"> a los regímenes de seguridad social, el cual dispone que:</w:t>
      </w:r>
    </w:p>
    <w:p w14:paraId="3CCDA055" w14:textId="0373D0AB" w:rsidR="00597C74" w:rsidRPr="006C5D80" w:rsidRDefault="001A0D84" w:rsidP="001A0D84">
      <w:pPr>
        <w:pStyle w:val="SingleTxt"/>
        <w:tabs>
          <w:tab w:val="right" w:pos="1685"/>
        </w:tabs>
        <w:ind w:left="1742" w:hanging="475"/>
      </w:pPr>
      <w:r w:rsidRPr="006C5D80">
        <w:tab/>
        <w:t>•</w:t>
      </w:r>
      <w:r w:rsidRPr="006C5D80">
        <w:tab/>
      </w:r>
      <w:r w:rsidR="00597C74" w:rsidRPr="00C37370">
        <w:t>37</w:t>
      </w:r>
      <w:r w:rsidR="00597C74" w:rsidRPr="006C5D80">
        <w:t xml:space="preserve"> </w:t>
      </w:r>
      <w:r w:rsidR="00597C74" w:rsidRPr="00C37370">
        <w:t>1</w:t>
      </w:r>
      <w:r w:rsidR="00597C74" w:rsidRPr="006C5D80">
        <w:t>) El Estado debe adoptar medidas razonables dentro de los límites de sus recursos disponibles para lograr la realización progresiva del derecho de toda persona a los regímenes de seguridad social, ya sean privados o públicos, para su sustento en tiempos de necesidad, incluido el derecho a este sustento con cargo a los recursos públicos si no puede mantenerse a sí misma y a las personas a su cargo;</w:t>
      </w:r>
    </w:p>
    <w:p w14:paraId="378CB6CB" w14:textId="0BEA4874" w:rsidR="00597C74" w:rsidRPr="006C5D80" w:rsidRDefault="001A0D84" w:rsidP="001A0D84">
      <w:pPr>
        <w:pStyle w:val="SingleTxt"/>
        <w:tabs>
          <w:tab w:val="right" w:pos="1685"/>
        </w:tabs>
        <w:ind w:left="1742" w:hanging="475"/>
      </w:pPr>
      <w:r w:rsidRPr="006C5D80">
        <w:tab/>
        <w:t>•</w:t>
      </w:r>
      <w:r w:rsidRPr="006C5D80">
        <w:tab/>
      </w:r>
      <w:r w:rsidR="00597C74" w:rsidRPr="00C37370">
        <w:t>2</w:t>
      </w:r>
      <w:r w:rsidR="00597C74" w:rsidRPr="006C5D80">
        <w:t xml:space="preserve">) Al aplicar cualquier derecho contemplado en este artículo, si el Estado alega que no dispone de los recursos necesarios para aplicar el derecho, es responsabilidad del Estado demostrar que no dispone de ellos. </w:t>
      </w:r>
    </w:p>
    <w:p w14:paraId="2C4D6263" w14:textId="6952BB40" w:rsidR="00597C74" w:rsidRPr="006C5D80" w:rsidRDefault="00597C74" w:rsidP="00D83D01">
      <w:pPr>
        <w:pStyle w:val="SingleTxt"/>
        <w:numPr>
          <w:ilvl w:val="0"/>
          <w:numId w:val="84"/>
        </w:numPr>
        <w:ind w:left="1267"/>
      </w:pPr>
      <w:r w:rsidRPr="006C5D80">
        <w:t xml:space="preserve">En Fiji, los programas de protección social administrados por el Departamento de Protección Social atienden a los hogares pobres, las personas con discapacidad, los niños vulnerables y las personas mayores. Estas transferencias no contributivas en efectivo o en especie tienen criterios de selección y, en algunos casos, condiciones. La Política de Asistencia Social de </w:t>
      </w:r>
      <w:r w:rsidRPr="00C37370">
        <w:t>2021</w:t>
      </w:r>
      <w:r w:rsidRPr="006C5D80">
        <w:t xml:space="preserve"> da prioridad a los programas que tienen en cuenta las cuestiones de género para las distintas etapas de la vida. La mayoría de las mujeres trabajadoras, sobre todo el </w:t>
      </w:r>
      <w:r w:rsidRPr="00C37370">
        <w:t>75</w:t>
      </w:r>
      <w:r w:rsidRPr="006C5D80">
        <w:t xml:space="preserve"> % en las zonas rurales, carecen de protección social y estabilidad laboral. Menos de un tercio de las personas con trabajo informal remunerado son mujeres, y el </w:t>
      </w:r>
      <w:r w:rsidRPr="00C37370">
        <w:t>35</w:t>
      </w:r>
      <w:r w:rsidRPr="006C5D80">
        <w:t xml:space="preserve"> % de las mujeres trabajadoras y el </w:t>
      </w:r>
      <w:r w:rsidRPr="00C37370">
        <w:t>62</w:t>
      </w:r>
      <w:r w:rsidRPr="006C5D80">
        <w:t xml:space="preserve"> % de los trabajadores rurales de Fiji tienen un empleo precario. Los ingresos medios de hombres y mujeres del medio rural son el </w:t>
      </w:r>
      <w:r w:rsidRPr="00C37370">
        <w:t>75</w:t>
      </w:r>
      <w:r w:rsidRPr="006C5D80">
        <w:t xml:space="preserve"> % y el </w:t>
      </w:r>
      <w:r w:rsidRPr="00C37370">
        <w:t>45</w:t>
      </w:r>
      <w:r w:rsidRPr="006C5D80">
        <w:t xml:space="preserve"> % de la media nacional, lo que aumenta la susceptibilidad de las mujeres a la pobreza. En </w:t>
      </w:r>
      <w:r w:rsidRPr="00C37370">
        <w:t>2019</w:t>
      </w:r>
      <w:r w:rsidRPr="006C5D80">
        <w:t>-</w:t>
      </w:r>
      <w:r w:rsidRPr="00C37370">
        <w:t>2020</w:t>
      </w:r>
      <w:r w:rsidRPr="006C5D80">
        <w:t xml:space="preserve">, el </w:t>
      </w:r>
      <w:r w:rsidRPr="00C37370">
        <w:t>24</w:t>
      </w:r>
      <w:r w:rsidRPr="006C5D80">
        <w:t>,</w:t>
      </w:r>
      <w:r w:rsidRPr="00C37370">
        <w:t>1</w:t>
      </w:r>
      <w:r w:rsidRPr="006C5D80">
        <w:t xml:space="preserve"> % de la población vivía en situación de pobreza, y el consumo era inferior a </w:t>
      </w:r>
      <w:r w:rsidRPr="00C37370">
        <w:t>2</w:t>
      </w:r>
      <w:r w:rsidRPr="006C5D80">
        <w:t>.</w:t>
      </w:r>
      <w:r w:rsidRPr="00C37370">
        <w:t>179</w:t>
      </w:r>
      <w:r w:rsidRPr="006C5D80">
        <w:t>,</w:t>
      </w:r>
      <w:r w:rsidRPr="00C37370">
        <w:t>39</w:t>
      </w:r>
      <w:r w:rsidRPr="006C5D80">
        <w:t xml:space="preserve"> </w:t>
      </w:r>
      <w:r w:rsidRPr="006C5D80">
        <w:lastRenderedPageBreak/>
        <w:t>dólares de Fiji por equivalente adulto al año. Las tasas de pobreza eran casi iguales para mujeres (</w:t>
      </w:r>
      <w:r w:rsidRPr="00C37370">
        <w:t>28</w:t>
      </w:r>
      <w:r w:rsidRPr="006C5D80">
        <w:t>,</w:t>
      </w:r>
      <w:r w:rsidRPr="00C37370">
        <w:t>9</w:t>
      </w:r>
      <w:r w:rsidRPr="006C5D80">
        <w:t xml:space="preserve"> %) y hombres (</w:t>
      </w:r>
      <w:r w:rsidRPr="00C37370">
        <w:t>30</w:t>
      </w:r>
      <w:r w:rsidRPr="006C5D80">
        <w:t>,</w:t>
      </w:r>
      <w:r w:rsidRPr="00C37370">
        <w:t>8</w:t>
      </w:r>
      <w:r w:rsidRPr="006C5D80">
        <w:t xml:space="preserve"> %), pero las zonas rurales se enfrentaban al doble de pobreza que las urbanas, representando el </w:t>
      </w:r>
      <w:r w:rsidRPr="00C37370">
        <w:t>36</w:t>
      </w:r>
      <w:r w:rsidRPr="006C5D80">
        <w:t>,</w:t>
      </w:r>
      <w:r w:rsidRPr="00C37370">
        <w:t>5</w:t>
      </w:r>
      <w:r w:rsidRPr="006C5D80">
        <w:t xml:space="preserve"> % de toda la pobreza. Las mujeres y las niñas de las zonas rurales son especialmente vulnerables a la pobreza debido a los desastres naturales y a la insuficiencia de los servicios públicos. En </w:t>
      </w:r>
      <w:r w:rsidRPr="00C37370">
        <w:t>2021</w:t>
      </w:r>
      <w:r w:rsidRPr="006C5D80">
        <w:t xml:space="preserve">, el </w:t>
      </w:r>
      <w:r w:rsidRPr="00C37370">
        <w:t>76</w:t>
      </w:r>
      <w:r w:rsidRPr="006C5D80">
        <w:t>,</w:t>
      </w:r>
      <w:r w:rsidRPr="00C37370">
        <w:t>2</w:t>
      </w:r>
      <w:r w:rsidR="00D727C4" w:rsidRPr="006C5D80">
        <w:t xml:space="preserve"> </w:t>
      </w:r>
      <w:r w:rsidRPr="006C5D80">
        <w:t xml:space="preserve">% de los hogares fiyianos y el </w:t>
      </w:r>
      <w:r w:rsidRPr="00C37370">
        <w:t>88</w:t>
      </w:r>
      <w:r w:rsidRPr="006C5D80">
        <w:t xml:space="preserve"> % de los menores de </w:t>
      </w:r>
      <w:r w:rsidRPr="00C37370">
        <w:t>18</w:t>
      </w:r>
      <w:r w:rsidRPr="006C5D80">
        <w:t xml:space="preserve"> años había recibido asistencia social en los tres meses anteriores. En </w:t>
      </w:r>
      <w:r w:rsidRPr="00C37370">
        <w:t>2019</w:t>
      </w:r>
      <w:r w:rsidRPr="006C5D80">
        <w:t xml:space="preserve">, el </w:t>
      </w:r>
      <w:r w:rsidRPr="00C37370">
        <w:t>87</w:t>
      </w:r>
      <w:r w:rsidRPr="006C5D80">
        <w:t>,</w:t>
      </w:r>
      <w:r w:rsidRPr="00C37370">
        <w:t>5</w:t>
      </w:r>
      <w:r w:rsidRPr="006C5D80">
        <w:t xml:space="preserve"> % de los fiyianos de </w:t>
      </w:r>
      <w:r w:rsidRPr="00C37370">
        <w:t>65</w:t>
      </w:r>
      <w:r w:rsidRPr="006C5D80">
        <w:t xml:space="preserve"> años o más recibieron una pensión. El Departamento de Protección Social tiene oficinas en todos los distritos, incluidas las zonas marítimas, y colabora con los Comisionados de División y las Oficinas Provinciales para dar a conocer los programas de protección social en las comunidades rurales. El Departamento también utiliza el Programa REACH, que se dirige a las comunidades rurales para ofrecer una exposición móvil de servicios a quienes no pueden acceder fácilmente a los servicios esenciales. Entre </w:t>
      </w:r>
      <w:r w:rsidRPr="00C37370">
        <w:t>2015</w:t>
      </w:r>
      <w:r w:rsidRPr="006C5D80">
        <w:t xml:space="preserve"> y </w:t>
      </w:r>
      <w:r w:rsidRPr="00C37370">
        <w:t>2019</w:t>
      </w:r>
      <w:r w:rsidRPr="006C5D80">
        <w:t xml:space="preserve">, REACH llevó a cabo </w:t>
      </w:r>
      <w:r w:rsidRPr="00C37370">
        <w:t>59</w:t>
      </w:r>
      <w:r w:rsidRPr="006C5D80">
        <w:t xml:space="preserve"> misiones en </w:t>
      </w:r>
      <w:r w:rsidRPr="00C37370">
        <w:t>1</w:t>
      </w:r>
      <w:r w:rsidRPr="006C5D80">
        <w:t>.</w:t>
      </w:r>
      <w:r w:rsidRPr="00C37370">
        <w:t>153</w:t>
      </w:r>
      <w:r w:rsidRPr="006C5D80">
        <w:t xml:space="preserve"> comunidades de </w:t>
      </w:r>
      <w:r w:rsidRPr="00C37370">
        <w:t>152</w:t>
      </w:r>
      <w:r w:rsidRPr="006C5D80">
        <w:t xml:space="preserve"> distritos de las </w:t>
      </w:r>
      <w:r w:rsidRPr="00C37370">
        <w:t>14</w:t>
      </w:r>
      <w:r w:rsidRPr="006C5D80">
        <w:t xml:space="preserve"> provincias de Fiji. Se ha ayudado a un total de </w:t>
      </w:r>
      <w:r w:rsidRPr="00C37370">
        <w:t>26</w:t>
      </w:r>
      <w:r w:rsidRPr="006C5D80">
        <w:t>.</w:t>
      </w:r>
      <w:r w:rsidRPr="00C37370">
        <w:t>003</w:t>
      </w:r>
      <w:r w:rsidRPr="006C5D80">
        <w:t xml:space="preserve"> personas, de las cuales </w:t>
      </w:r>
      <w:r w:rsidRPr="00C37370">
        <w:t>9</w:t>
      </w:r>
      <w:r w:rsidRPr="006C5D80">
        <w:t>.</w:t>
      </w:r>
      <w:r w:rsidRPr="00C37370">
        <w:t>664</w:t>
      </w:r>
      <w:r w:rsidRPr="006C5D80">
        <w:t xml:space="preserve"> eran mujeres. De los </w:t>
      </w:r>
      <w:r w:rsidRPr="00C37370">
        <w:t>47</w:t>
      </w:r>
      <w:r w:rsidRPr="006C5D80">
        <w:t>.</w:t>
      </w:r>
      <w:r w:rsidRPr="00C37370">
        <w:t>561</w:t>
      </w:r>
      <w:r w:rsidRPr="006C5D80">
        <w:t xml:space="preserve"> servicios prestados durante estas misiones, el </w:t>
      </w:r>
      <w:r w:rsidRPr="00C37370">
        <w:t>56</w:t>
      </w:r>
      <w:r w:rsidRPr="006C5D80">
        <w:t xml:space="preserve"> % fueron prestados a mujeres. Los datos relativos a REACH figuran en el anexo </w:t>
      </w:r>
      <w:r w:rsidRPr="00C37370">
        <w:t>9</w:t>
      </w:r>
      <w:r w:rsidRPr="006C5D80">
        <w:t>.</w:t>
      </w:r>
      <w:r w:rsidR="00D727C4" w:rsidRPr="006C5D80">
        <w:t xml:space="preserve"> </w:t>
      </w:r>
      <w:r w:rsidRPr="006C5D80">
        <w:t>En el ámbito del desarrollo rural, las mujeres han mostrado sus aspiraciones a participar en iniciativas de liderazgo y desarrollo económico en sus comunidades, que se debaten en foros de desarrollo como las reuniones de aldea (</w:t>
      </w:r>
      <w:r w:rsidR="00D727C4" w:rsidRPr="006C5D80">
        <w:t>“</w:t>
      </w:r>
      <w:r w:rsidRPr="006C5D80">
        <w:t>Bose va Koro</w:t>
      </w:r>
      <w:r w:rsidR="00D727C4" w:rsidRPr="006C5D80">
        <w:t>”</w:t>
      </w:r>
      <w:r w:rsidRPr="006C5D80">
        <w:t>), las reuniones de distrito (</w:t>
      </w:r>
      <w:r w:rsidR="00D727C4" w:rsidRPr="006C5D80">
        <w:t>“</w:t>
      </w:r>
      <w:r w:rsidRPr="006C5D80">
        <w:t>Bose Ni Tikina</w:t>
      </w:r>
      <w:r w:rsidR="00D727C4" w:rsidRPr="006C5D80">
        <w:t>”</w:t>
      </w:r>
      <w:r w:rsidRPr="006C5D80">
        <w:t>) y las reuniones provinciales (</w:t>
      </w:r>
      <w:r w:rsidR="00D727C4" w:rsidRPr="006C5D80">
        <w:t>“</w:t>
      </w:r>
      <w:r w:rsidRPr="006C5D80">
        <w:t>Bose Ni Yasana</w:t>
      </w:r>
      <w:r w:rsidR="00D727C4" w:rsidRPr="006C5D80">
        <w:t>”</w:t>
      </w:r>
      <w:r w:rsidRPr="006C5D80">
        <w:t xml:space="preserve">). Las mujeres asistidas en el marco del Programa de Autoayuda en los últimos </w:t>
      </w:r>
      <w:r w:rsidRPr="00C37370">
        <w:t>7</w:t>
      </w:r>
      <w:r w:rsidRPr="006C5D80">
        <w:t xml:space="preserve"> años (</w:t>
      </w:r>
      <w:r w:rsidRPr="00C37370">
        <w:t>2016</w:t>
      </w:r>
      <w:r w:rsidRPr="006C5D80">
        <w:t>-</w:t>
      </w:r>
      <w:r w:rsidRPr="00C37370">
        <w:t>2022</w:t>
      </w:r>
      <w:r w:rsidRPr="006C5D80">
        <w:t xml:space="preserve">) representan el </w:t>
      </w:r>
      <w:r w:rsidRPr="00C37370">
        <w:t>7</w:t>
      </w:r>
      <w:r w:rsidRPr="006C5D80">
        <w:t xml:space="preserve"> % del total de proyectos del Programa. Los proyectos solicitados por las mujeres rurales abarcan diversos sectores, como la iniciativa empresarial, la agricultura, la pesca y el transporte, por citar algunos, con un costo de más de </w:t>
      </w:r>
      <w:r w:rsidRPr="00C37370">
        <w:t>450</w:t>
      </w:r>
      <w:r w:rsidRPr="006C5D80">
        <w:t>.</w:t>
      </w:r>
      <w:r w:rsidRPr="00C37370">
        <w:t>000</w:t>
      </w:r>
      <w:r w:rsidRPr="006C5D80">
        <w:t xml:space="preserve"> dólares de Fiji. </w:t>
      </w:r>
    </w:p>
    <w:p w14:paraId="2FC4453C" w14:textId="77777777" w:rsidR="00597C74" w:rsidRPr="006C5D80" w:rsidRDefault="00597C74" w:rsidP="00D83D01">
      <w:pPr>
        <w:pStyle w:val="SingleTxt"/>
        <w:numPr>
          <w:ilvl w:val="0"/>
          <w:numId w:val="84"/>
        </w:numPr>
        <w:ind w:left="1267"/>
      </w:pPr>
      <w:r w:rsidRPr="006C5D80">
        <w:t xml:space="preserve">El Gobierno, a través del Ministerio de Agricultura y Vías de Navegación, ofrece ayuda financiera a </w:t>
      </w:r>
      <w:r w:rsidRPr="00C37370">
        <w:t>30</w:t>
      </w:r>
      <w:r w:rsidRPr="006C5D80">
        <w:t xml:space="preserve"> agricultores comerciales y agroindustrias, aportando fondos propios que cubren el </w:t>
      </w:r>
      <w:r w:rsidRPr="00C37370">
        <w:t>20</w:t>
      </w:r>
      <w:r w:rsidRPr="006C5D80">
        <w:t xml:space="preserve"> % de los costos de inversión, mientras que el Banco de Desarrollo de Fiji financia el </w:t>
      </w:r>
      <w:r w:rsidRPr="00C37370">
        <w:t>80</w:t>
      </w:r>
      <w:r w:rsidRPr="006C5D80">
        <w:t xml:space="preserve"> % restante. Esta iniciativa, introducida en </w:t>
      </w:r>
      <w:r w:rsidRPr="00C37370">
        <w:t>2022</w:t>
      </w:r>
      <w:r w:rsidRPr="006C5D80">
        <w:t xml:space="preserve">, tiene como objetivo mejorar la mecanización y las infraestructuras agrícolas, reforzar los sistemas alimentarios, impulsar las exportaciones y mejorar la resiliencia de la cadena de suministro, con préstamos de hasta </w:t>
      </w:r>
      <w:r w:rsidRPr="00C37370">
        <w:t>250</w:t>
      </w:r>
      <w:r w:rsidRPr="006C5D80">
        <w:t>.</w:t>
      </w:r>
      <w:r w:rsidRPr="00C37370">
        <w:t>000</w:t>
      </w:r>
      <w:r w:rsidRPr="006C5D80">
        <w:t xml:space="preserve"> dólares de Fiji disponibles para los agricultores que cumplan los requisitos. En la actualidad, el </w:t>
      </w:r>
      <w:r w:rsidRPr="00C37370">
        <w:t>5</w:t>
      </w:r>
      <w:r w:rsidRPr="006C5D80">
        <w:t>,</w:t>
      </w:r>
      <w:r w:rsidRPr="00C37370">
        <w:t>5</w:t>
      </w:r>
      <w:r w:rsidRPr="006C5D80">
        <w:t xml:space="preserve"> % de los beneficiarios de esos servicios son mujeres. El Ministerio también dirige el Programa de Autoayuda para empoderar a las mujeres rurales mediante actividades económicas, y ha ejecutado en los últimos seis años más de </w:t>
      </w:r>
      <w:r w:rsidRPr="00C37370">
        <w:t>40</w:t>
      </w:r>
      <w:r w:rsidRPr="006C5D80">
        <w:t xml:space="preserve"> proyectos sociales y de generación de ingresos que benefician a las mujeres. Entre </w:t>
      </w:r>
      <w:r w:rsidRPr="00C37370">
        <w:t>2016</w:t>
      </w:r>
      <w:r w:rsidRPr="006C5D80">
        <w:t xml:space="preserve"> y </w:t>
      </w:r>
      <w:r w:rsidRPr="00C37370">
        <w:t>2021</w:t>
      </w:r>
      <w:r w:rsidRPr="006C5D80">
        <w:t xml:space="preserve">, el Programa de Acceso Comunitario a Caminos, Senderos y Puentes Peatonales, financiado íntegramente por el Gobierno, ha visto completados más de </w:t>
      </w:r>
      <w:r w:rsidRPr="00C37370">
        <w:t>300</w:t>
      </w:r>
      <w:r w:rsidRPr="006C5D80">
        <w:t xml:space="preserve"> proyectos con un costo de </w:t>
      </w:r>
      <w:r w:rsidRPr="00C37370">
        <w:t>7</w:t>
      </w:r>
      <w:r w:rsidRPr="006C5D80">
        <w:t xml:space="preserve"> millones de dólares de Fiji, lo que mejoró el acceso a los servicios esenciales. El programa de Ayuda a la Vivienda Rural, reintroducido en </w:t>
      </w:r>
      <w:r w:rsidRPr="00C37370">
        <w:t>2023</w:t>
      </w:r>
      <w:r w:rsidRPr="006C5D80">
        <w:t xml:space="preserve"> con un compromiso de </w:t>
      </w:r>
      <w:r w:rsidRPr="00C37370">
        <w:t>3</w:t>
      </w:r>
      <w:r w:rsidRPr="006C5D80">
        <w:t xml:space="preserve"> millones de dólares de Fiji, ofrece varios planes de ayuda a la vivienda. Se exige a los solicitantes que contribuyan con un tercio de los costos, excepto para los beneficiarios de la asistencia social. El Programa de Agua de Alto Riesgo, puesto en marcha en </w:t>
      </w:r>
      <w:r w:rsidRPr="00C37370">
        <w:t>2021</w:t>
      </w:r>
      <w:r w:rsidRPr="006C5D80">
        <w:t xml:space="preserve">, ha implantado </w:t>
      </w:r>
      <w:r w:rsidRPr="00C37370">
        <w:t>13</w:t>
      </w:r>
      <w:r w:rsidRPr="006C5D80">
        <w:t xml:space="preserve"> sistemas ecológicos de purificación con un costo de más de </w:t>
      </w:r>
      <w:r w:rsidRPr="00C37370">
        <w:t>570</w:t>
      </w:r>
      <w:r w:rsidRPr="006C5D80">
        <w:t>.</w:t>
      </w:r>
      <w:r w:rsidRPr="00C37370">
        <w:t>000</w:t>
      </w:r>
      <w:r w:rsidRPr="006C5D80">
        <w:t xml:space="preserve"> dólares de Fiji, lo que ha mejorado el acceso al agua potable de los hogares rurales y reducido los riesgos de enfermedades transmitidas por el agua. El Programa de Subvenciones de Ayuda a los Emprendedores Marítimos tiene por objeto mejorar la accesibilidad y promover el espíritu empresarial en las comunidades marítimas. Los planes de protección social de Fiji, cruciales durante la pandemia de COVID-</w:t>
      </w:r>
      <w:r w:rsidRPr="00C37370">
        <w:t>19</w:t>
      </w:r>
      <w:r w:rsidRPr="006C5D80">
        <w:t xml:space="preserve">, ayudaron a más de </w:t>
      </w:r>
      <w:r w:rsidRPr="00C37370">
        <w:t>118</w:t>
      </w:r>
      <w:r w:rsidRPr="006C5D80">
        <w:t>.</w:t>
      </w:r>
      <w:r w:rsidRPr="00C37370">
        <w:t>000</w:t>
      </w:r>
      <w:r w:rsidRPr="006C5D80">
        <w:t xml:space="preserve"> personas en </w:t>
      </w:r>
      <w:r w:rsidRPr="00C37370">
        <w:t>2021</w:t>
      </w:r>
      <w:r w:rsidRPr="006C5D80">
        <w:t>, con especial atención a la igualdad de género en los programas de asistencia social dirigidos a ancianos, familias vulnerables y personas con discapacidad.</w:t>
      </w:r>
    </w:p>
    <w:p w14:paraId="17A0DD66" w14:textId="35A2AF33" w:rsidR="00597C74" w:rsidRPr="006C5D80" w:rsidRDefault="00597C74" w:rsidP="004B1B5C">
      <w:pPr>
        <w:pStyle w:val="SingleTxt"/>
        <w:numPr>
          <w:ilvl w:val="0"/>
          <w:numId w:val="85"/>
        </w:numPr>
        <w:tabs>
          <w:tab w:val="clear" w:pos="2693"/>
          <w:tab w:val="num" w:pos="0"/>
          <w:tab w:val="left" w:pos="2520"/>
        </w:tabs>
        <w:ind w:left="1267"/>
      </w:pPr>
      <w:r w:rsidRPr="006C5D80">
        <w:lastRenderedPageBreak/>
        <w:t xml:space="preserve">En </w:t>
      </w:r>
      <w:r w:rsidRPr="00C37370">
        <w:t>2021</w:t>
      </w:r>
      <w:r w:rsidRPr="006C5D80">
        <w:t xml:space="preserve">, el </w:t>
      </w:r>
      <w:r w:rsidRPr="00C37370">
        <w:t>76</w:t>
      </w:r>
      <w:r w:rsidRPr="006C5D80">
        <w:t xml:space="preserve"> % de las familias fiyianas y el </w:t>
      </w:r>
      <w:r w:rsidRPr="00C37370">
        <w:t>88</w:t>
      </w:r>
      <w:r w:rsidRPr="006C5D80">
        <w:t xml:space="preserve"> % de los menores de </w:t>
      </w:r>
      <w:r w:rsidRPr="00C37370">
        <w:t>18</w:t>
      </w:r>
      <w:r w:rsidRPr="006C5D80">
        <w:t xml:space="preserve"> años vivían en hogares que recibían al menos un tipo de asistencia social. Sin embargo, en </w:t>
      </w:r>
      <w:r w:rsidRPr="00C37370">
        <w:t>2019</w:t>
      </w:r>
      <w:r w:rsidRPr="006C5D80">
        <w:t xml:space="preserve"> solo el </w:t>
      </w:r>
      <w:r w:rsidRPr="00C37370">
        <w:t>87</w:t>
      </w:r>
      <w:r w:rsidRPr="006C5D80">
        <w:t xml:space="preserve"> % de los fiyianos de </w:t>
      </w:r>
      <w:r w:rsidRPr="00C37370">
        <w:t>65</w:t>
      </w:r>
      <w:r w:rsidRPr="006C5D80">
        <w:t xml:space="preserve"> años o más obtuvieron algún tipo de protección social. Fiji ha alcanzado la meta del ODS </w:t>
      </w:r>
      <w:r w:rsidRPr="00C37370">
        <w:t>3</w:t>
      </w:r>
      <w:r w:rsidRPr="006C5D80">
        <w:t>.</w:t>
      </w:r>
      <w:r w:rsidRPr="00C37370">
        <w:t>1</w:t>
      </w:r>
      <w:r w:rsidRPr="006C5D80">
        <w:t>.</w:t>
      </w:r>
      <w:r w:rsidRPr="00C37370">
        <w:t>2</w:t>
      </w:r>
      <w:r w:rsidRPr="006C5D80">
        <w:t xml:space="preserve">, tras lograr que el </w:t>
      </w:r>
      <w:r w:rsidRPr="00C37370">
        <w:t>100</w:t>
      </w:r>
      <w:r w:rsidRPr="006C5D80">
        <w:t xml:space="preserve"> % de los partos fueran atendidos por profesionales cualificados. En </w:t>
      </w:r>
      <w:r w:rsidRPr="00C37370">
        <w:t>2020</w:t>
      </w:r>
      <w:r w:rsidRPr="006C5D80">
        <w:t xml:space="preserve">, el Programa de Madres Embarazadas Rurales proporcionó vales de comida a más de </w:t>
      </w:r>
      <w:r w:rsidRPr="00C37370">
        <w:t>8</w:t>
      </w:r>
      <w:r w:rsidRPr="006C5D80">
        <w:t>.</w:t>
      </w:r>
      <w:r w:rsidRPr="00C37370">
        <w:t>000</w:t>
      </w:r>
      <w:r w:rsidRPr="006C5D80">
        <w:t xml:space="preserve"> mujeres rurales embarazadas, con el objetivo de mejorar la salud </w:t>
      </w:r>
      <w:r w:rsidRPr="004B1B5C">
        <w:rPr>
          <w:spacing w:val="0"/>
        </w:rPr>
        <w:t xml:space="preserve">materna y reducir la </w:t>
      </w:r>
      <w:r w:rsidRPr="004B1B5C">
        <w:rPr>
          <w:spacing w:val="0"/>
          <w:w w:val="102"/>
        </w:rPr>
        <w:t>mortalidad infantil</w:t>
      </w:r>
      <w:r w:rsidR="00593383" w:rsidRPr="004B1B5C">
        <w:rPr>
          <w:spacing w:val="0"/>
          <w:w w:val="102"/>
        </w:rPr>
        <w:t xml:space="preserve"> (fuente: </w:t>
      </w:r>
      <w:hyperlink r:id="rId24" w:history="1">
        <w:r w:rsidR="00593383" w:rsidRPr="00C37370">
          <w:rPr>
            <w:rStyle w:val="Hyperlink"/>
            <w:spacing w:val="0"/>
            <w:w w:val="102"/>
          </w:rPr>
          <w:t>https://www.mwcsp.gov.fj/wp-content/uploads/2023/04/0227</w:t>
        </w:r>
        <w:r w:rsidR="00DA5455" w:rsidRPr="00C37370">
          <w:rPr>
            <w:rStyle w:val="Hyperlink"/>
            <w:spacing w:val="0"/>
            <w:w w:val="102"/>
          </w:rPr>
          <w:br/>
        </w:r>
        <w:r w:rsidR="00593383" w:rsidRPr="00C37370">
          <w:rPr>
            <w:rStyle w:val="Hyperlink"/>
            <w:spacing w:val="0"/>
            <w:w w:val="102"/>
          </w:rPr>
          <w:t>_DeepDive_SINGLE_PAGES.pdf</w:t>
        </w:r>
      </w:hyperlink>
      <w:r w:rsidR="00593383" w:rsidRPr="004B1B5C">
        <w:rPr>
          <w:spacing w:val="0"/>
        </w:rPr>
        <w:t>)</w:t>
      </w:r>
      <w:r w:rsidRPr="006C5D80">
        <w:t xml:space="preserve">. La mayoría de las trabajadoras fiyianas se dedican al empleo informal, caracterizado por la falta de seguridad laboral, los ingresos irregulares y la ausencia de protección social. Esto incluye a tres cuartas partes de las mujeres rurales, las mujeres de asentamientos informales, las mujeres mayores urbanas y rurales, incluidas las viudas, las mujeres con discapacidad y las mujeres que se identifican como parte de la comunidad LGBTQ. Las mujeres representan menos de un tercio de los fiyianos con empleo informal remunerado. Casi cuatro de cada </w:t>
      </w:r>
      <w:r w:rsidRPr="00C37370">
        <w:t>10</w:t>
      </w:r>
      <w:r w:rsidRPr="006C5D80">
        <w:t xml:space="preserve"> fiyianos con trabajo, incluido el </w:t>
      </w:r>
      <w:r w:rsidRPr="00C37370">
        <w:t>35</w:t>
      </w:r>
      <w:r w:rsidRPr="006C5D80">
        <w:t xml:space="preserve"> % de las mujeres trabajadoras y el </w:t>
      </w:r>
      <w:r w:rsidRPr="00C37370">
        <w:t>62</w:t>
      </w:r>
      <w:r w:rsidRPr="006C5D80">
        <w:t xml:space="preserve"> % de los fiyianos rurales empleados, tienen un empleo vulnerable. Esto quiere decir que son autónomos o trabajadores por cuenta propia, o son trabajadores de subsistencia o familiares y comunitarios. El plan para microempresas y pequeñas y medianas empresas, creado en </w:t>
      </w:r>
      <w:r w:rsidRPr="00C37370">
        <w:t>2012</w:t>
      </w:r>
      <w:r w:rsidRPr="006C5D80">
        <w:t xml:space="preserve">, se amplió en noviembre de </w:t>
      </w:r>
      <w:r w:rsidRPr="00C37370">
        <w:t>2020</w:t>
      </w:r>
      <w:r w:rsidRPr="006C5D80">
        <w:t xml:space="preserve"> para incluir a las microempresas, y tiene una dotación total de </w:t>
      </w:r>
      <w:r w:rsidRPr="00C37370">
        <w:t>9</w:t>
      </w:r>
      <w:r w:rsidRPr="006C5D80">
        <w:t>,</w:t>
      </w:r>
      <w:r w:rsidRPr="00C37370">
        <w:t>0</w:t>
      </w:r>
      <w:r w:rsidRPr="006C5D80">
        <w:t xml:space="preserve"> millones de dólares y administrado por el Banco de la Reserva de Fiji. En virtud de este plan, el Gobierno garantizará el </w:t>
      </w:r>
      <w:r w:rsidRPr="00C37370">
        <w:t>60</w:t>
      </w:r>
      <w:r w:rsidRPr="006C5D80">
        <w:t xml:space="preserve"> % del capital principal pendiente de los préstamos impagados de las microempresas y pequeñas y medianas empresas hasta un límite de </w:t>
      </w:r>
      <w:r w:rsidRPr="00C37370">
        <w:t>60</w:t>
      </w:r>
      <w:r w:rsidRPr="006C5D80">
        <w:t>.</w:t>
      </w:r>
      <w:r w:rsidRPr="00C37370">
        <w:t>000</w:t>
      </w:r>
      <w:r w:rsidRPr="006C5D80">
        <w:t xml:space="preserve"> dólares por empresa. En particular, esto apunta a fomentar la participación de las mujeres en la actividad empresarial y a apoyar el desarrollo de las zonas rurales y los sectores tradicionales. </w:t>
      </w:r>
      <w:r w:rsidRPr="00F45E58">
        <w:rPr>
          <w:spacing w:val="-2"/>
        </w:rPr>
        <w:t xml:space="preserve">El Gobierno garantizará el 75 % del capital principal pendiente de los </w:t>
      </w:r>
      <w:r w:rsidRPr="00394200">
        <w:t>préstamos impagados,</w:t>
      </w:r>
      <w:r w:rsidRPr="00F45E58">
        <w:rPr>
          <w:spacing w:val="-2"/>
        </w:rPr>
        <w:t xml:space="preserve"> hasta un límite de 75.000 dólares por empresa, en todos los préstamos </w:t>
      </w:r>
      <w:r w:rsidRPr="00394200">
        <w:t>de las microempresas</w:t>
      </w:r>
      <w:r w:rsidRPr="00F45E58">
        <w:rPr>
          <w:spacing w:val="-2"/>
        </w:rPr>
        <w:t xml:space="preserve"> y pequeñas y medianas empresas a mujeres empresarias, así como a las que trabajan en los sectores de la agricultura, la silvicultura y la pesca. Se espera que el plan mejore el acceso de las microempresas y pequeñas y medianas empresas a la </w:t>
      </w:r>
      <w:r w:rsidRPr="00394200">
        <w:t>financiación aligerando</w:t>
      </w:r>
      <w:r w:rsidRPr="00F45E58">
        <w:rPr>
          <w:spacing w:val="-2"/>
        </w:rPr>
        <w:t xml:space="preserve"> los elevados requisitos de garantías y, al mismo tiempo, permita a </w:t>
      </w:r>
      <w:r w:rsidRPr="00394200">
        <w:t>las instituciones crediticias</w:t>
      </w:r>
      <w:r w:rsidRPr="00F45E58">
        <w:rPr>
          <w:spacing w:val="-2"/>
        </w:rPr>
        <w:t xml:space="preserve"> </w:t>
      </w:r>
      <w:r w:rsidRPr="00F07BE3">
        <w:t>compartir parte del</w:t>
      </w:r>
      <w:r w:rsidRPr="00F45E58">
        <w:rPr>
          <w:spacing w:val="-2"/>
        </w:rPr>
        <w:t xml:space="preserve"> riesgo con el Gobierno. Puede accederse al plan es accesible a través de bancos comerciales, instituciones de crédito autorizadas y el Banco de Desarrollo de </w:t>
      </w:r>
      <w:proofErr w:type="spellStart"/>
      <w:r w:rsidRPr="00F45E58">
        <w:rPr>
          <w:spacing w:val="-2"/>
        </w:rPr>
        <w:t>Fiji</w:t>
      </w:r>
      <w:proofErr w:type="spellEnd"/>
      <w:r w:rsidRPr="00F45E58">
        <w:rPr>
          <w:spacing w:val="-2"/>
        </w:rPr>
        <w:t xml:space="preserve"> (fuente:</w:t>
      </w:r>
      <w:r w:rsidRPr="004B1B5C">
        <w:rPr>
          <w:spacing w:val="0"/>
        </w:rPr>
        <w:t xml:space="preserve"> </w:t>
      </w:r>
      <w:hyperlink r:id="rId25" w:history="1">
        <w:r w:rsidRPr="00C37370">
          <w:rPr>
            <w:rStyle w:val="Hyperlink"/>
            <w:spacing w:val="0"/>
          </w:rPr>
          <w:t>https://www.rbf.gov.fj/wp-content/uploads/2022/03/MSMECGS-Guidelines_Mar2022.pdf</w:t>
        </w:r>
      </w:hyperlink>
      <w:r w:rsidRPr="006C5D80">
        <w:t>).</w:t>
      </w:r>
    </w:p>
    <w:p w14:paraId="730C45BA" w14:textId="77777777" w:rsidR="001A0D84" w:rsidRPr="006C5D80" w:rsidRDefault="001A0D84" w:rsidP="001A0D84">
      <w:pPr>
        <w:pStyle w:val="SingleTxt"/>
        <w:spacing w:after="0" w:line="120" w:lineRule="exact"/>
        <w:rPr>
          <w:sz w:val="10"/>
        </w:rPr>
      </w:pPr>
    </w:p>
    <w:p w14:paraId="65B41013" w14:textId="77777777" w:rsidR="001A0D84" w:rsidRPr="006C5D80" w:rsidRDefault="001A0D84" w:rsidP="001A0D84">
      <w:pPr>
        <w:pStyle w:val="SingleTxt"/>
        <w:spacing w:after="0" w:line="120" w:lineRule="exact"/>
        <w:rPr>
          <w:sz w:val="10"/>
        </w:rPr>
      </w:pPr>
    </w:p>
    <w:p w14:paraId="115A5A4A"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20 b) de la lista de cuestiones</w:t>
      </w:r>
    </w:p>
    <w:p w14:paraId="087118EE" w14:textId="77777777" w:rsidR="001A0D84" w:rsidRPr="006C5D80" w:rsidRDefault="001A0D84" w:rsidP="001A0D84">
      <w:pPr>
        <w:pStyle w:val="SingleTxt"/>
        <w:spacing w:after="0" w:line="120" w:lineRule="exact"/>
        <w:rPr>
          <w:sz w:val="10"/>
        </w:rPr>
      </w:pPr>
    </w:p>
    <w:p w14:paraId="31CF4174" w14:textId="77777777" w:rsidR="001A0D84" w:rsidRPr="006C5D80" w:rsidRDefault="001A0D84" w:rsidP="001A0D84">
      <w:pPr>
        <w:pStyle w:val="SingleTxt"/>
        <w:spacing w:after="0" w:line="120" w:lineRule="exact"/>
        <w:rPr>
          <w:sz w:val="10"/>
        </w:rPr>
      </w:pPr>
    </w:p>
    <w:p w14:paraId="52468041" w14:textId="77777777" w:rsidR="00597C74" w:rsidRPr="006C5D80" w:rsidRDefault="00597C74" w:rsidP="00D83D01">
      <w:pPr>
        <w:pStyle w:val="SingleTxt"/>
        <w:numPr>
          <w:ilvl w:val="0"/>
          <w:numId w:val="86"/>
        </w:numPr>
        <w:ind w:left="1267"/>
      </w:pPr>
      <w:r w:rsidRPr="006C5D80">
        <w:t>El Gobierno de Fiji aún no ha elaborado programas específicos para promover el reparto equitativo de las responsabilidades domésticas y del cuidado de los niños entre hombres y mujeres, ni para abordar la priorización de los hombres lo que respecta al acceso a los alimentos. Sin embargo, persisten los roles tradicionales de género, sobre todo en los hogares rurales de Fiji, donde las mujeres suelen encargarse de tareas domésticas como cocinar, limpiar y cuidar a los niños, mientras que los hombres son el principal sostén de la familia, a menudo dedicados a la agricultura u otras actividades generadoras de ingresos. Las familias ampliadas son comunes en las zonas rurales, y las tareas de cuidado de los niños suelen repartirse entre madres, abuelas y miembros de estas. En las zonas rurales de Fiji, los hombres suelen encargarse de las tareas agrícolas pesadas, mientras que las mujeres, sobre todo en la agricultura de subsistencia, se dedican más a la producción de cultivos. Las mujeres (</w:t>
      </w:r>
      <w:r w:rsidRPr="00C37370">
        <w:t>85</w:t>
      </w:r>
      <w:r w:rsidRPr="006C5D80">
        <w:t xml:space="preserve"> %) participan mucho más en la producción de cultivos que los hombres (</w:t>
      </w:r>
      <w:r w:rsidRPr="00C37370">
        <w:t>29</w:t>
      </w:r>
      <w:r w:rsidRPr="006C5D80">
        <w:t xml:space="preserve"> %), lo que pone de relieve su papel crucial a la hora de garantizar la seguridad alimentaria de sus familias. Aunque los papeles tradicionales definen la responsabilidad de las </w:t>
      </w:r>
      <w:r w:rsidRPr="006C5D80">
        <w:lastRenderedPageBreak/>
        <w:t>mujeres en la agricultura de subsistencia, hay signos de cambio. Las generaciones más jóvenes, que tienen un mejor acceso a la educación y una mayor concienciación sobre la igualdad de género, reconocen la necesidad de un reparto más equitativo de las tareas domésticas y del cuidado de los hijos. En las zonas rurales de Fiji prevalece el sentido de la responsabilidad colectiva, y las familias extensas y los vecinos prestan apoyo en el cuidado de los niños y las tareas domésticas, especialmente en épocas de mucho trabajo o enfermedad. Los esfuerzos de las ONG y las iniciativas gubernamentales están cambiando gradualmente las actitudes sobre la división del trabajo en los hogares, y hay un movimiento creciente hacia un reparto más equitativo de las responsabilidades. Sin embargo, estos cambios varían según la comunidad, influidos por las tradiciones culturales, las condiciones económicas y la exposición a factores externos.</w:t>
      </w:r>
    </w:p>
    <w:p w14:paraId="00682F70" w14:textId="77777777" w:rsidR="001A0D84" w:rsidRPr="006C5D80" w:rsidRDefault="001A0D84" w:rsidP="001A0D84">
      <w:pPr>
        <w:pStyle w:val="SingleTxt"/>
        <w:spacing w:after="0" w:line="120" w:lineRule="exact"/>
        <w:rPr>
          <w:sz w:val="10"/>
        </w:rPr>
      </w:pPr>
    </w:p>
    <w:p w14:paraId="232CAA5F" w14:textId="77777777" w:rsidR="001A0D84" w:rsidRPr="006C5D80" w:rsidRDefault="001A0D84" w:rsidP="001A0D84">
      <w:pPr>
        <w:pStyle w:val="SingleTxt"/>
        <w:spacing w:after="0" w:line="120" w:lineRule="exact"/>
        <w:rPr>
          <w:sz w:val="10"/>
        </w:rPr>
      </w:pPr>
    </w:p>
    <w:p w14:paraId="75B3205E"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20 c) de la lista de cuestiones</w:t>
      </w:r>
    </w:p>
    <w:p w14:paraId="5792D08B" w14:textId="77777777" w:rsidR="001A0D84" w:rsidRPr="006C5D80" w:rsidRDefault="001A0D84" w:rsidP="001A0D84">
      <w:pPr>
        <w:pStyle w:val="SingleTxt"/>
        <w:spacing w:after="0" w:line="120" w:lineRule="exact"/>
        <w:rPr>
          <w:sz w:val="10"/>
        </w:rPr>
      </w:pPr>
    </w:p>
    <w:p w14:paraId="4AC30924" w14:textId="77777777" w:rsidR="001A0D84" w:rsidRPr="006C5D80" w:rsidRDefault="001A0D84" w:rsidP="001A0D84">
      <w:pPr>
        <w:pStyle w:val="SingleTxt"/>
        <w:spacing w:after="0" w:line="120" w:lineRule="exact"/>
        <w:rPr>
          <w:sz w:val="10"/>
        </w:rPr>
      </w:pPr>
    </w:p>
    <w:p w14:paraId="73ED9F6B" w14:textId="51245DF8" w:rsidR="00597C74" w:rsidRPr="006C5D80" w:rsidRDefault="00597C74" w:rsidP="00D83D01">
      <w:pPr>
        <w:pStyle w:val="SingleTxt"/>
        <w:numPr>
          <w:ilvl w:val="0"/>
          <w:numId w:val="87"/>
        </w:numPr>
        <w:ind w:left="1267"/>
      </w:pPr>
      <w:r w:rsidRPr="006C5D80">
        <w:t xml:space="preserve">Nuestra legislación, en particular la relativa a la tierra nativa, establece la unidad de propiedad de la tierra, en la que la propiedad de la tierra no se basa en el género, sino en si la persona es miembro del </w:t>
      </w:r>
      <w:r w:rsidR="00D57D59">
        <w:t>‘</w:t>
      </w:r>
      <w:proofErr w:type="spellStart"/>
      <w:r w:rsidRPr="006C5D80">
        <w:t>mataqali</w:t>
      </w:r>
      <w:proofErr w:type="spellEnd"/>
      <w:r w:rsidR="00D57D59">
        <w:t>’</w:t>
      </w:r>
      <w:r w:rsidRPr="006C5D80">
        <w:t xml:space="preserve"> (unidad de propiedad de la tierra). La legislación sobre el uso de la tierra prevé un banco de tierras en el que el </w:t>
      </w:r>
      <w:r w:rsidRPr="00C37370">
        <w:t>60</w:t>
      </w:r>
      <w:r w:rsidRPr="006C5D80">
        <w:t xml:space="preserve"> % de los </w:t>
      </w:r>
      <w:r w:rsidR="00140D02">
        <w:t>‘</w:t>
      </w:r>
      <w:proofErr w:type="spellStart"/>
      <w:r w:rsidRPr="006C5D80">
        <w:t>mataqali</w:t>
      </w:r>
      <w:proofErr w:type="spellEnd"/>
      <w:r w:rsidR="00140D02">
        <w:t>’</w:t>
      </w:r>
      <w:r w:rsidRPr="006C5D80">
        <w:t>, incluidas las mujeres, se destinan al banco de tierras. El Ministerio de Tierras y Recursos Minerales tiene en marcha un proyecto de actividades relacionadas con las aguas subterráneas destinado específicamente a las comunidades rurales y aisladas que no tienen acceso al suministro de agua corriente. Además, para hacer frente a los problemas del agua, los recursos de aguas subterráneas estaban disponibles para el consumo humano y otros usos.</w:t>
      </w:r>
      <w:r w:rsidR="00D727C4" w:rsidRPr="006C5D80">
        <w:t xml:space="preserve"> </w:t>
      </w:r>
      <w:r w:rsidRPr="006C5D80">
        <w:t xml:space="preserve">El presupuesto actual del proyecto es de </w:t>
      </w:r>
      <w:r w:rsidRPr="00C37370">
        <w:t>2</w:t>
      </w:r>
      <w:r w:rsidRPr="006C5D80">
        <w:t>,</w:t>
      </w:r>
      <w:r w:rsidRPr="00C37370">
        <w:t>5</w:t>
      </w:r>
      <w:r w:rsidRPr="006C5D80">
        <w:t xml:space="preserve"> millones de dólares para las islas grandes (Vanua Levu, Viti Levu y Taveuni), lo que supone un aumento de </w:t>
      </w:r>
      <w:r w:rsidRPr="00C37370">
        <w:t>500</w:t>
      </w:r>
      <w:r w:rsidRPr="006C5D80">
        <w:t>.</w:t>
      </w:r>
      <w:r w:rsidRPr="00C37370">
        <w:t>000</w:t>
      </w:r>
      <w:r w:rsidRPr="006C5D80">
        <w:t xml:space="preserve"> dólares respecto al año pasado, y de </w:t>
      </w:r>
      <w:r w:rsidRPr="00C37370">
        <w:t>1</w:t>
      </w:r>
      <w:r w:rsidRPr="006C5D80">
        <w:t xml:space="preserve"> millón de dólares para las islas pequeñas (Lomaiviti, Lau, Yasawa, Kadavu y el grupo de islas de Beqa).</w:t>
      </w:r>
      <w:r w:rsidR="00D727C4" w:rsidRPr="006C5D80">
        <w:t xml:space="preserve"> </w:t>
      </w:r>
      <w:r w:rsidRPr="006C5D80">
        <w:t xml:space="preserve">Debido a su impacto positivo en las comunidades, el ministerio también ha seguido recibiendo aumentos anuales de la financiación asignada a este proyecto. En el período de explotación </w:t>
      </w:r>
      <w:r w:rsidRPr="00C37370">
        <w:t>2019</w:t>
      </w:r>
      <w:r w:rsidRPr="006C5D80">
        <w:t>-</w:t>
      </w:r>
      <w:r w:rsidRPr="00C37370">
        <w:t>2022</w:t>
      </w:r>
      <w:r w:rsidRPr="006C5D80">
        <w:t xml:space="preserve"> se perforaron con éxito </w:t>
      </w:r>
      <w:r w:rsidRPr="00C37370">
        <w:t>31</w:t>
      </w:r>
      <w:r w:rsidRPr="006C5D80">
        <w:t xml:space="preserve"> pozos en el marco de este proyecto.</w:t>
      </w:r>
    </w:p>
    <w:p w14:paraId="5D17A21A" w14:textId="77777777" w:rsidR="001A0D84" w:rsidRPr="006C5D80" w:rsidRDefault="001A0D84" w:rsidP="001A0D84">
      <w:pPr>
        <w:pStyle w:val="SingleTxt"/>
        <w:spacing w:after="0" w:line="120" w:lineRule="exact"/>
        <w:rPr>
          <w:sz w:val="10"/>
        </w:rPr>
      </w:pPr>
    </w:p>
    <w:p w14:paraId="55954CD8" w14:textId="77777777" w:rsidR="001A0D84" w:rsidRPr="006C5D80" w:rsidRDefault="001A0D84" w:rsidP="001A0D84">
      <w:pPr>
        <w:pStyle w:val="SingleTxt"/>
        <w:spacing w:after="0" w:line="120" w:lineRule="exact"/>
        <w:rPr>
          <w:sz w:val="10"/>
        </w:rPr>
      </w:pPr>
    </w:p>
    <w:p w14:paraId="7E09D403" w14:textId="77777777" w:rsidR="00597C74" w:rsidRPr="00C37370" w:rsidRDefault="00597C74" w:rsidP="001A0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20 d) de la lista de cuestiones</w:t>
      </w:r>
      <w:bookmarkStart w:id="10" w:name="_Hlk187416938"/>
      <w:bookmarkEnd w:id="10"/>
    </w:p>
    <w:p w14:paraId="191BED15" w14:textId="77777777" w:rsidR="001A0D84" w:rsidRPr="006C5D80" w:rsidRDefault="001A0D84" w:rsidP="001A0D84">
      <w:pPr>
        <w:pStyle w:val="SingleTxt"/>
        <w:spacing w:after="0" w:line="120" w:lineRule="exact"/>
        <w:rPr>
          <w:sz w:val="10"/>
        </w:rPr>
      </w:pPr>
    </w:p>
    <w:p w14:paraId="722E04A2" w14:textId="77777777" w:rsidR="001A0D84" w:rsidRPr="006C5D80" w:rsidRDefault="001A0D84" w:rsidP="001A0D84">
      <w:pPr>
        <w:pStyle w:val="SingleTxt"/>
        <w:spacing w:after="0" w:line="120" w:lineRule="exact"/>
        <w:rPr>
          <w:sz w:val="10"/>
        </w:rPr>
      </w:pPr>
    </w:p>
    <w:p w14:paraId="5A1778F0" w14:textId="77777777" w:rsidR="00597C74" w:rsidRPr="006C5D80" w:rsidRDefault="00597C74" w:rsidP="00D83D01">
      <w:pPr>
        <w:pStyle w:val="SingleTxt"/>
        <w:numPr>
          <w:ilvl w:val="0"/>
          <w:numId w:val="88"/>
        </w:numPr>
        <w:ind w:left="1267"/>
      </w:pPr>
      <w:r w:rsidRPr="006C5D80">
        <w:t>El proceso del Ministerio de Tierras de venta de tierras o consentimiento para vender o transferir no da prioridad a las solicitudes masculinas sobre las femeninas. Aunque este proceso no aboga activamente por el interés de las mujeres en la propiedad de la tierra, los requisitos reglamentarios en los tratos sobre la tierra sí proporcionan el marco para la concesión por méritos de arrendamientos y propiedad con independencia del género. Las mujeres rurales que estén registradas como propietarias de tierras, bienes o intereses o que sean arrendatarias de tierras tienen los mismos derechos privilegiados en relación con el registro de tierras, títulos y escrituras. El Registro de Títulos inscribirá los documentos que se presenten con sujeción a los requisitos y se asegurará de que el propietario registrado firme los documentos. El Ministerio de Justicia tramita con imparcialidad todos los documentos relativos al registro.</w:t>
      </w:r>
    </w:p>
    <w:p w14:paraId="4D9A7F0B" w14:textId="77777777" w:rsidR="00891DCB" w:rsidRPr="006C5D80" w:rsidRDefault="00891DCB" w:rsidP="00891DCB">
      <w:pPr>
        <w:pStyle w:val="SingleTxt"/>
        <w:spacing w:after="0" w:line="120" w:lineRule="exact"/>
        <w:rPr>
          <w:sz w:val="10"/>
        </w:rPr>
      </w:pPr>
    </w:p>
    <w:p w14:paraId="5772655C" w14:textId="77777777" w:rsidR="00891DCB" w:rsidRPr="006C5D80" w:rsidRDefault="00891DCB" w:rsidP="00891DCB">
      <w:pPr>
        <w:pStyle w:val="SingleTxt"/>
        <w:spacing w:after="0" w:line="120" w:lineRule="exact"/>
        <w:rPr>
          <w:sz w:val="10"/>
        </w:rPr>
      </w:pPr>
    </w:p>
    <w:p w14:paraId="51878726"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20 e) de la lista de cuestiones</w:t>
      </w:r>
    </w:p>
    <w:p w14:paraId="0D4374A4" w14:textId="77777777" w:rsidR="00891DCB" w:rsidRPr="006C5D80" w:rsidRDefault="00891DCB" w:rsidP="00891DCB">
      <w:pPr>
        <w:pStyle w:val="SingleTxt"/>
        <w:spacing w:after="0" w:line="120" w:lineRule="exact"/>
        <w:rPr>
          <w:sz w:val="10"/>
        </w:rPr>
      </w:pPr>
    </w:p>
    <w:p w14:paraId="44A953A5" w14:textId="77777777" w:rsidR="00891DCB" w:rsidRPr="006C5D80" w:rsidRDefault="00891DCB" w:rsidP="00891DCB">
      <w:pPr>
        <w:pStyle w:val="SingleTxt"/>
        <w:spacing w:after="0" w:line="120" w:lineRule="exact"/>
        <w:rPr>
          <w:sz w:val="10"/>
        </w:rPr>
      </w:pPr>
    </w:p>
    <w:p w14:paraId="57588F3A" w14:textId="557AC475" w:rsidR="00597C74" w:rsidRPr="006C5D80" w:rsidRDefault="00597C74" w:rsidP="00D83D01">
      <w:pPr>
        <w:pStyle w:val="SingleTxt"/>
        <w:numPr>
          <w:ilvl w:val="0"/>
          <w:numId w:val="89"/>
        </w:numPr>
        <w:ind w:left="1267"/>
      </w:pPr>
      <w:r w:rsidRPr="006C5D80">
        <w:t xml:space="preserve">Programa de Mejora y Formalización de los Asentamientos Informales del Ministerio de Vivienda. El programa se dirigía a los asentamientos informales con el objetivo de ofrecer lotes subdivididos con todos los servicios en arrendamiento a </w:t>
      </w:r>
      <w:r w:rsidRPr="00C37370">
        <w:t>99</w:t>
      </w:r>
      <w:r w:rsidRPr="006C5D80">
        <w:t xml:space="preserve"> </w:t>
      </w:r>
      <w:r w:rsidRPr="006C5D80">
        <w:lastRenderedPageBreak/>
        <w:t xml:space="preserve">años dentro de estas zonas. El programa de Saneamiento de Alto Riesgo del Ministerio de Desarrollo Rural y Marítimo es un programa totalmente financiado que está alineado con la Constitución de </w:t>
      </w:r>
      <w:r w:rsidRPr="00C37370">
        <w:t>2013</w:t>
      </w:r>
      <w:r w:rsidRPr="006C5D80">
        <w:t xml:space="preserve"> y garantiza el derecho de todos los fiyianos a tener acceso a instalaciones de saneamiento limpias y seguras. Para hacer efectivo este derecho, el Gobierno se ha comprometido a proporcionar acceso a instalaciones de saneamiento adecuadas en las zonas rurales. El censo nacional de </w:t>
      </w:r>
      <w:r w:rsidRPr="00C37370">
        <w:t>2017</w:t>
      </w:r>
      <w:r w:rsidRPr="006C5D80">
        <w:t xml:space="preserve"> informa que, en Fiji, alrededor del </w:t>
      </w:r>
      <w:r w:rsidRPr="00C37370">
        <w:t>30</w:t>
      </w:r>
      <w:r w:rsidRPr="006C5D80">
        <w:t>,</w:t>
      </w:r>
      <w:r w:rsidRPr="00C37370">
        <w:t>5</w:t>
      </w:r>
      <w:r w:rsidRPr="006C5D80">
        <w:t xml:space="preserve"> % de los hogares rurales utilizan saneamiento de alto riesgo, lo que equivale a </w:t>
      </w:r>
      <w:r w:rsidRPr="00C37370">
        <w:t>25</w:t>
      </w:r>
      <w:r w:rsidRPr="006C5D80">
        <w:t>.</w:t>
      </w:r>
      <w:r w:rsidRPr="00C37370">
        <w:t>387</w:t>
      </w:r>
      <w:r w:rsidRPr="006C5D80">
        <w:t xml:space="preserve"> hogares o </w:t>
      </w:r>
      <w:r w:rsidRPr="00C37370">
        <w:t>102</w:t>
      </w:r>
      <w:r w:rsidRPr="006C5D80">
        <w:t>.</w:t>
      </w:r>
      <w:r w:rsidRPr="00C37370">
        <w:t>996</w:t>
      </w:r>
      <w:r w:rsidRPr="006C5D80">
        <w:t xml:space="preserve"> personas en un hogar de </w:t>
      </w:r>
      <w:r w:rsidRPr="00C37370">
        <w:t>4</w:t>
      </w:r>
      <w:r w:rsidRPr="006C5D80">
        <w:t xml:space="preserve"> personas. La iniciativa abarca la construcción de inodoros con cisterna y se dirige específicamente a miembros vulnerables de la comunidad, como personas mayores, personas con discapacidad y madres solas. En el ejercicio económico </w:t>
      </w:r>
      <w:r w:rsidRPr="00C37370">
        <w:t>2021</w:t>
      </w:r>
      <w:r w:rsidRPr="006C5D80">
        <w:t>-</w:t>
      </w:r>
      <w:r w:rsidRPr="00C37370">
        <w:t>2022</w:t>
      </w:r>
      <w:r w:rsidRPr="006C5D80">
        <w:t xml:space="preserve">, el Ministerio construyó más de </w:t>
      </w:r>
      <w:r w:rsidRPr="00C37370">
        <w:t>59</w:t>
      </w:r>
      <w:r w:rsidRPr="006C5D80">
        <w:t xml:space="preserve"> inodoros de cisterna en diecinueve comunidades a un costo de más de </w:t>
      </w:r>
      <w:r w:rsidRPr="00C37370">
        <w:t>286</w:t>
      </w:r>
      <w:r w:rsidRPr="006C5D80">
        <w:t>.</w:t>
      </w:r>
      <w:r w:rsidRPr="00C37370">
        <w:t>000</w:t>
      </w:r>
      <w:r w:rsidRPr="006C5D80">
        <w:t xml:space="preserve"> dólares de Fiji. Los hogares de la aldea de Sawa en Verata, Tailevu (División Central) solían compartir las instalaciones de saneamiento, pero esto ya es cosa del pasado después de que el Gobierno terminara, el </w:t>
      </w:r>
      <w:r w:rsidRPr="00C37370">
        <w:t>19</w:t>
      </w:r>
      <w:r w:rsidRPr="006C5D80">
        <w:t xml:space="preserve"> de julio de </w:t>
      </w:r>
      <w:r w:rsidRPr="00C37370">
        <w:t>2022</w:t>
      </w:r>
      <w:r w:rsidRPr="006C5D80">
        <w:t xml:space="preserve">, la construcción de seis inodoros de cisterna para seis familias. Esto es coherente con el plan del Gobierno de reducir las enfermedades relacionadas con la salud, en particular la fiebre tifoidea, el dengue y la disentería. Según el jefe de la aldea, Isaia Waverailagi, </w:t>
      </w:r>
      <w:r w:rsidR="00D727C4" w:rsidRPr="006C5D80">
        <w:t>“</w:t>
      </w:r>
      <w:r w:rsidRPr="006C5D80">
        <w:t>debido a los problemas a los que se enfrentaban, el programa será de gran ayuda para que las familias mejoren sus medios de subsistencia</w:t>
      </w:r>
      <w:r w:rsidR="00D727C4" w:rsidRPr="006C5D80">
        <w:t>”</w:t>
      </w:r>
      <w:r w:rsidRPr="006C5D80">
        <w:t>.</w:t>
      </w:r>
    </w:p>
    <w:p w14:paraId="76671D80" w14:textId="77777777" w:rsidR="00891DCB" w:rsidRPr="006C5D80" w:rsidRDefault="00891DCB" w:rsidP="00891DCB">
      <w:pPr>
        <w:pStyle w:val="SingleTxt"/>
        <w:spacing w:after="0" w:line="120" w:lineRule="exact"/>
        <w:rPr>
          <w:sz w:val="10"/>
        </w:rPr>
      </w:pPr>
    </w:p>
    <w:p w14:paraId="76A0EAFF" w14:textId="77777777" w:rsidR="00891DCB" w:rsidRPr="006C5D80" w:rsidRDefault="00891DCB" w:rsidP="00891DCB">
      <w:pPr>
        <w:pStyle w:val="SingleTxt"/>
        <w:spacing w:after="0" w:line="120" w:lineRule="exact"/>
        <w:rPr>
          <w:sz w:val="10"/>
        </w:rPr>
      </w:pPr>
    </w:p>
    <w:p w14:paraId="7B7B766A" w14:textId="6785C93F"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Reducción del riesgo de desastres y cambio climático</w:t>
      </w:r>
    </w:p>
    <w:p w14:paraId="4784CF08" w14:textId="77777777" w:rsidR="00891DCB" w:rsidRPr="006C5D80" w:rsidRDefault="00891DCB" w:rsidP="00891DCB">
      <w:pPr>
        <w:pStyle w:val="SingleTxt"/>
        <w:spacing w:after="0" w:line="120" w:lineRule="exact"/>
        <w:rPr>
          <w:sz w:val="10"/>
        </w:rPr>
      </w:pPr>
    </w:p>
    <w:p w14:paraId="2C477B7D" w14:textId="77777777" w:rsidR="00891DCB" w:rsidRPr="006C5D80" w:rsidRDefault="00891DCB" w:rsidP="00891DCB">
      <w:pPr>
        <w:pStyle w:val="SingleTxt"/>
        <w:spacing w:after="0" w:line="120" w:lineRule="exact"/>
        <w:rPr>
          <w:sz w:val="10"/>
        </w:rPr>
      </w:pPr>
    </w:p>
    <w:p w14:paraId="4A7AB240"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21 a) de la lista de cuestiones</w:t>
      </w:r>
      <w:bookmarkStart w:id="11" w:name="_Hlk187416359"/>
      <w:bookmarkEnd w:id="11"/>
    </w:p>
    <w:p w14:paraId="50AF1BE0" w14:textId="77777777" w:rsidR="00891DCB" w:rsidRPr="006C5D80" w:rsidRDefault="00891DCB" w:rsidP="00891DCB">
      <w:pPr>
        <w:pStyle w:val="SingleTxt"/>
        <w:spacing w:after="0" w:line="120" w:lineRule="exact"/>
        <w:rPr>
          <w:sz w:val="10"/>
        </w:rPr>
      </w:pPr>
    </w:p>
    <w:p w14:paraId="23EEA547" w14:textId="77777777" w:rsidR="00891DCB" w:rsidRPr="006C5D80" w:rsidRDefault="00891DCB" w:rsidP="00891DCB">
      <w:pPr>
        <w:pStyle w:val="SingleTxt"/>
        <w:spacing w:after="0" w:line="120" w:lineRule="exact"/>
        <w:rPr>
          <w:sz w:val="10"/>
        </w:rPr>
      </w:pPr>
    </w:p>
    <w:p w14:paraId="601510E6" w14:textId="77777777" w:rsidR="00597C74" w:rsidRPr="006C5D80" w:rsidRDefault="00597C74" w:rsidP="00D83D01">
      <w:pPr>
        <w:pStyle w:val="SingleTxt"/>
        <w:numPr>
          <w:ilvl w:val="0"/>
          <w:numId w:val="90"/>
        </w:numPr>
        <w:ind w:left="1267"/>
      </w:pPr>
      <w:r w:rsidRPr="006C5D80">
        <w:t xml:space="preserve">El Ministerio de la Juventud y el Deporte se ha comprometido a abordar las disparidades de género a través de programas de formación centrados en la reducción de riesgos de desastre y la adaptación al cambio climático para las mujeres de Fiji. Estas sesiones ponen de relieve el papel vital de las mujeres en la resiliencia de la comunidad, capacitándolas para adoptar decisiones y elaborar políticas relacionadas con la reducción de riesgos de desastre y la adaptación al cambio climático. El objetivo de los programas es potenciar la capacidad de acción de las mujeres, reconociendo su contribución a la construcción de comunidades resilientes. Dada la vulnerabilidad de Fiji a las inundaciones y los ciclones tropicales, que afectan a la economía y la población, estas iniciativas son esenciales para mitigar los efectos del cambio climático en la agricultura. El Ministerio de Agricultura y Vías de Navegación ha integrado la resiliencia climática en la agricultura a través de su Plan de Desarrollo Estratégico, y ha potenciado la investigación y aplicando estrategias de adaptación para los agricultores. Diversas iniciativas de desarrollo agrícola incluyen formación en gestión del riesgo de desastres y la reducción del riesgo de desastres, rehabilitación de granjas y programas de apoyo a la ganadería y la gestión sostenible de la tierra. El Ministerio de Agricultura evalúa los daños antes y después de ocurrido el desastre para elaborar planes de rehabilitación y garantizar el suministro oportuno de productos básicos, como agua y alimentos. El Gobierno de Fiji asigna anualmente fondos a la Oficina Nacional de Gestión de Desastres para las necesidades de respuesta inmediata, y ha creado un fondo rotatorio para la ayuda en casos de desastre. Se preposicionan suministros de socorro y un mecanismo estructurado de respuesta a desastres garantiza que las necesidades de la comunidad se cubran entre dos y siete días después de que ocurra uno, lo que demuestra el compromiso del Gobierno con el bienestar de los ciudadanos en las crisis. En el anexo </w:t>
      </w:r>
      <w:r w:rsidRPr="00C37370">
        <w:t>10</w:t>
      </w:r>
      <w:r w:rsidRPr="006C5D80">
        <w:t xml:space="preserve"> se proporcionan más detalles sobre todos los programas. La Oficina Nacional de Gestión de Desastres trabaja con el Ministerio de la Mujer, la Infancia y la Protección Social, la policía y los proveedores de servicios de asesoramiento para garantizar que las mujeres dispongan de un mecanismo de denuncia para todas las cuestiones relacionadas con la violencia </w:t>
      </w:r>
      <w:r w:rsidRPr="006C5D80">
        <w:lastRenderedPageBreak/>
        <w:t>de género y el acoso, y que se tomen las medidas adecuadas para garantizar la seguridad y la dignidad de las víctimas y de las personas en situación de riesgo. La Oficina colabora con múltiples partes interesadas para integrar mecanismos de apoyo en los planes de preparación para desastres. Estos mecanismos incluyen la creación de refugios exclusivos para mujeres, diseñados para servir como espacios seguros donde las mujeres puedan denunciar casos de violencia de género y buscar acceso a rehabilitación. La medida garantiza la disponibilidad de un mecanismo de denuncia para abordar un amplio espectro de cuestiones relacionadas con la violencia de género y el acoso. Además, subraya el compromiso de salvaguardar la dignidad, la seguridad y el bienestar de las víctimas y las personas en situación de riesgo en el contexto de la respuesta y la preparación ante desastres.</w:t>
      </w:r>
    </w:p>
    <w:p w14:paraId="52EF1DAE" w14:textId="77777777" w:rsidR="00891DCB" w:rsidRPr="006C5D80" w:rsidRDefault="00891DCB" w:rsidP="00891DCB">
      <w:pPr>
        <w:pStyle w:val="SingleTxt"/>
        <w:spacing w:after="0" w:line="120" w:lineRule="exact"/>
        <w:rPr>
          <w:sz w:val="10"/>
        </w:rPr>
      </w:pPr>
    </w:p>
    <w:p w14:paraId="0742D103" w14:textId="77777777" w:rsidR="00891DCB" w:rsidRPr="006C5D80" w:rsidRDefault="00891DCB" w:rsidP="00891DCB">
      <w:pPr>
        <w:pStyle w:val="SingleTxt"/>
        <w:spacing w:after="0" w:line="120" w:lineRule="exact"/>
        <w:rPr>
          <w:sz w:val="10"/>
        </w:rPr>
      </w:pPr>
    </w:p>
    <w:p w14:paraId="2336249E"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21 b) de la lista de cuestiones</w:t>
      </w:r>
    </w:p>
    <w:p w14:paraId="2461E1DE" w14:textId="77777777" w:rsidR="00891DCB" w:rsidRPr="006C5D80" w:rsidRDefault="00891DCB" w:rsidP="00891DCB">
      <w:pPr>
        <w:pStyle w:val="SingleTxt"/>
        <w:spacing w:after="0" w:line="120" w:lineRule="exact"/>
        <w:rPr>
          <w:sz w:val="10"/>
        </w:rPr>
      </w:pPr>
    </w:p>
    <w:p w14:paraId="015A54FD" w14:textId="77777777" w:rsidR="00891DCB" w:rsidRPr="006C5D80" w:rsidRDefault="00891DCB" w:rsidP="00891DCB">
      <w:pPr>
        <w:pStyle w:val="SingleTxt"/>
        <w:spacing w:after="0" w:line="120" w:lineRule="exact"/>
        <w:rPr>
          <w:sz w:val="10"/>
        </w:rPr>
      </w:pPr>
    </w:p>
    <w:p w14:paraId="6F278BCD" w14:textId="77777777" w:rsidR="00597C74" w:rsidRPr="006C5D80" w:rsidRDefault="00597C74" w:rsidP="00D83D01">
      <w:pPr>
        <w:pStyle w:val="SingleTxt"/>
        <w:numPr>
          <w:ilvl w:val="0"/>
          <w:numId w:val="91"/>
        </w:numPr>
        <w:ind w:left="1267"/>
      </w:pPr>
      <w:r w:rsidRPr="006C5D80">
        <w:t xml:space="preserve">La Ley de Gestión Ambiental de </w:t>
      </w:r>
      <w:r w:rsidRPr="00C37370">
        <w:t>2005</w:t>
      </w:r>
      <w:r w:rsidRPr="006C5D80">
        <w:t xml:space="preserve"> es la legislación pertinente en materia de medio ambiente para el sector privado.</w:t>
      </w:r>
    </w:p>
    <w:p w14:paraId="47B8D0E6" w14:textId="77777777" w:rsidR="00891DCB" w:rsidRPr="006C5D80" w:rsidRDefault="00891DCB" w:rsidP="00891DCB">
      <w:pPr>
        <w:pStyle w:val="SingleTxt"/>
        <w:spacing w:after="0" w:line="120" w:lineRule="exact"/>
        <w:rPr>
          <w:sz w:val="10"/>
        </w:rPr>
      </w:pPr>
    </w:p>
    <w:p w14:paraId="71292671" w14:textId="77777777" w:rsidR="00891DCB" w:rsidRPr="006C5D80" w:rsidRDefault="00891DCB" w:rsidP="00891DCB">
      <w:pPr>
        <w:pStyle w:val="SingleTxt"/>
        <w:spacing w:after="0" w:line="120" w:lineRule="exact"/>
        <w:rPr>
          <w:sz w:val="10"/>
        </w:rPr>
      </w:pPr>
    </w:p>
    <w:p w14:paraId="5B2B1F79"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21 c) de la lista de cuestiones</w:t>
      </w:r>
      <w:bookmarkStart w:id="12" w:name="_Hlk187416579"/>
      <w:bookmarkEnd w:id="12"/>
    </w:p>
    <w:p w14:paraId="4ADC5D72" w14:textId="77777777" w:rsidR="00891DCB" w:rsidRPr="006C5D80" w:rsidRDefault="00891DCB" w:rsidP="00891DCB">
      <w:pPr>
        <w:pStyle w:val="SingleTxt"/>
        <w:spacing w:after="0" w:line="120" w:lineRule="exact"/>
        <w:rPr>
          <w:sz w:val="10"/>
        </w:rPr>
      </w:pPr>
    </w:p>
    <w:p w14:paraId="41A2A156" w14:textId="77777777" w:rsidR="00891DCB" w:rsidRPr="006C5D80" w:rsidRDefault="00891DCB" w:rsidP="00891DCB">
      <w:pPr>
        <w:pStyle w:val="SingleTxt"/>
        <w:spacing w:after="0" w:line="120" w:lineRule="exact"/>
        <w:rPr>
          <w:sz w:val="10"/>
        </w:rPr>
      </w:pPr>
    </w:p>
    <w:p w14:paraId="2063434B" w14:textId="77777777" w:rsidR="00597C74" w:rsidRPr="006C5D80" w:rsidRDefault="00597C74" w:rsidP="00D83D01">
      <w:pPr>
        <w:pStyle w:val="SingleTxt"/>
        <w:numPr>
          <w:ilvl w:val="0"/>
          <w:numId w:val="92"/>
        </w:numPr>
        <w:ind w:left="1267"/>
      </w:pPr>
      <w:r w:rsidRPr="006C5D80">
        <w:t xml:space="preserve">La Oficina Nacional de Gestión de Desastres pretende ser inclusiva implicando activamente a las mujeres, incluidas las que residen en zonas rurales, en la elaboración de políticas de reducción del riesgo de desastres y cambio climático. Todos los principales documentos normativos, incluidos la Política Nacional para la Reducción del Riesgo de Desastres, la Política Humanitaria Nacional y el </w:t>
      </w:r>
      <w:r w:rsidRPr="00C37370">
        <w:rPr>
          <w:i/>
          <w:iCs/>
        </w:rPr>
        <w:t xml:space="preserve">Manual de formación para la gestión comunitaria del riesgo de desastres </w:t>
      </w:r>
      <w:r w:rsidRPr="006C5D80">
        <w:t xml:space="preserve">ponen de relieve la importancia de implicar activamente a las mujeres y las niñas en la planificación y las discusiones relativas a la formación en gestión comunitaria del riesgo de desastres y la adaptación al cambio climático. Además, la Oficina Nacional de Gestión de Desastres ha adoptado medidas para prestar apoyo a las mujeres, las niñas y todos los grupos vulnerables durante todo el ciclo del desastre. Para ello se ha creado el Grupo de Seguridad y Protección, cuyo objetivo es atender las necesidades específicas de la población durante los desastres y antes y después de ellos. La Oficina Nacional garantiza que se incluya a las mujeres en todos los debates relacionados con la reducción del riesgo de desastres y la gestión del riesgo de desastres. La Política Nacional para la Reducción del Riesgo de Desastres, la Política Humanitaria Nacional y el </w:t>
      </w:r>
      <w:r w:rsidRPr="00C37370">
        <w:rPr>
          <w:i/>
          <w:iCs/>
        </w:rPr>
        <w:t>Manual de formación para la gestión comunitaria del riesgo de desastres</w:t>
      </w:r>
      <w:r w:rsidRPr="006C5D80">
        <w:t xml:space="preserve"> promueven la </w:t>
      </w:r>
      <w:proofErr w:type="gramStart"/>
      <w:r w:rsidRPr="006C5D80">
        <w:t>participación activa</w:t>
      </w:r>
      <w:proofErr w:type="gramEnd"/>
      <w:r w:rsidRPr="006C5D80">
        <w:t xml:space="preserve"> de las mujeres y las niñas en la planificación y las discusiones relativas a gestión del riesgo de desastres y la adaptación al cambio climático. Además, la Oficina Nacional de Gestión de Desastres ha creado el Grupo de Seguridad y Protección para garantizar que se atiendan adecuadamente las necesidades de las mujeres, las niñas y todos los demás grupos vulnerables durante los desastres y antes y después de ellos. Con respecto al examen de mitad de período de Sendái </w:t>
      </w:r>
      <w:r w:rsidRPr="00C37370">
        <w:t>2023</w:t>
      </w:r>
      <w:r w:rsidRPr="006C5D80">
        <w:t xml:space="preserve">, Fiji puso en marcha en </w:t>
      </w:r>
      <w:r w:rsidRPr="00C37370">
        <w:t>2021</w:t>
      </w:r>
      <w:r w:rsidRPr="006C5D80">
        <w:t xml:space="preserve"> un programa paramétrico de microseguros basado en el mercado para hacer frente a los riesgos relacionados con el clima, lo que lo convirtió en el primer país del Pacífico en hacerlo. Dirigido inicialmente a pequeños agricultores, pescadores y vendedores de mercado, el programa pretende ampliarse para incluir otros sectores de subsistencia y pequeñas y medianas empresas. Dos aseguradoras regionales suscriben el programa, mientras que los concentradores asociados facilitan su amplia distribución. Para garantizar un acceso equitativo, el </w:t>
      </w:r>
      <w:r w:rsidRPr="00C37370">
        <w:t>1</w:t>
      </w:r>
      <w:r w:rsidRPr="006C5D80">
        <w:t xml:space="preserve"> de agosto de </w:t>
      </w:r>
      <w:r w:rsidRPr="00C37370">
        <w:t>2021</w:t>
      </w:r>
      <w:r w:rsidRPr="006C5D80">
        <w:t xml:space="preserve"> el Parlamento de Fiji aprobó una ley que eximía del IVA a los productos de seguros paramétricos. Esta medida legislativa subraya el compromiso de Fiji de hacer más accesibles estas prestaciones de seguro a los grupos vulnerables y de bajos ingresos. Esta innovadora póliza de seguros se </w:t>
      </w:r>
      <w:r w:rsidRPr="006C5D80">
        <w:lastRenderedPageBreak/>
        <w:t>ajusta a los esfuerzos más amplios de Fiji en materia de reducción de riesgos de desastres y adaptación al cambio climático con el objetivo de proporcionar protección financiera contra los efectos de los desastres naturales. Como forma de microseguro, da prioridad a la asequibilidad y la accesibilidad, y promueve un enfoque más integrador y resistente de la gestión de los riesgos relacionados con el clima y la respuesta a los desastres. Este seguro está diseñado con el objetivo de proporcionar protección financiera a las mujeres y otras personas vulnerables en caso de catástrofes naturales. Como producto de microseguro, su propósito fundamental es ofrecer asequibilidad y accesibilidad, en particular a las personas con recursos financieros limitados.</w:t>
      </w:r>
    </w:p>
    <w:p w14:paraId="7C74258A" w14:textId="77777777" w:rsidR="00891DCB" w:rsidRPr="006C5D80" w:rsidRDefault="00891DCB" w:rsidP="00891DCB">
      <w:pPr>
        <w:pStyle w:val="SingleTxt"/>
        <w:spacing w:after="0" w:line="120" w:lineRule="exact"/>
        <w:rPr>
          <w:sz w:val="10"/>
        </w:rPr>
      </w:pPr>
    </w:p>
    <w:p w14:paraId="068C84ED" w14:textId="77777777" w:rsidR="00891DCB" w:rsidRPr="006C5D80" w:rsidRDefault="00891DCB" w:rsidP="00891DCB">
      <w:pPr>
        <w:pStyle w:val="SingleTxt"/>
        <w:spacing w:after="0" w:line="120" w:lineRule="exact"/>
        <w:rPr>
          <w:sz w:val="10"/>
        </w:rPr>
      </w:pPr>
    </w:p>
    <w:p w14:paraId="1B196206" w14:textId="42B69C83"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Grupos desfavorecidos de mujeres</w:t>
      </w:r>
    </w:p>
    <w:p w14:paraId="5D76871E" w14:textId="77777777" w:rsidR="00891DCB" w:rsidRPr="006C5D80" w:rsidRDefault="00891DCB" w:rsidP="00891DCB">
      <w:pPr>
        <w:pStyle w:val="SingleTxt"/>
        <w:spacing w:after="0" w:line="120" w:lineRule="exact"/>
        <w:rPr>
          <w:sz w:val="10"/>
        </w:rPr>
      </w:pPr>
    </w:p>
    <w:p w14:paraId="206399C8" w14:textId="77777777" w:rsidR="00891DCB" w:rsidRPr="006C5D80" w:rsidRDefault="00891DCB" w:rsidP="00891DCB">
      <w:pPr>
        <w:pStyle w:val="SingleTxt"/>
        <w:spacing w:after="0" w:line="120" w:lineRule="exact"/>
        <w:rPr>
          <w:sz w:val="10"/>
        </w:rPr>
      </w:pPr>
    </w:p>
    <w:p w14:paraId="37D2487C"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 los párrafos 22 y 23 de la lista de cuestiones</w:t>
      </w:r>
    </w:p>
    <w:p w14:paraId="1818969E" w14:textId="77777777" w:rsidR="00891DCB" w:rsidRPr="006C5D80" w:rsidRDefault="00891DCB" w:rsidP="00891DCB">
      <w:pPr>
        <w:pStyle w:val="SingleTxt"/>
        <w:spacing w:after="0" w:line="120" w:lineRule="exact"/>
        <w:rPr>
          <w:sz w:val="10"/>
        </w:rPr>
      </w:pPr>
    </w:p>
    <w:p w14:paraId="5A941ED4" w14:textId="77777777" w:rsidR="00891DCB" w:rsidRPr="006C5D80" w:rsidRDefault="00891DCB" w:rsidP="00891DCB">
      <w:pPr>
        <w:pStyle w:val="SingleTxt"/>
        <w:spacing w:after="0" w:line="120" w:lineRule="exact"/>
        <w:rPr>
          <w:sz w:val="10"/>
        </w:rPr>
      </w:pPr>
    </w:p>
    <w:p w14:paraId="1933A1C1" w14:textId="5C747743" w:rsidR="00597C74" w:rsidRPr="006C5D80" w:rsidRDefault="00597C74" w:rsidP="00D83D01">
      <w:pPr>
        <w:pStyle w:val="SingleTxt"/>
        <w:numPr>
          <w:ilvl w:val="0"/>
          <w:numId w:val="93"/>
        </w:numPr>
        <w:ind w:left="1267"/>
      </w:pPr>
      <w:r w:rsidRPr="006C5D80">
        <w:t xml:space="preserve">El marco político y normativo de Fiji apoya la creación de un entorno propicio para las mujeres y promueve la igualdad de género en todo el Gobierno. El artículo </w:t>
      </w:r>
      <w:r w:rsidRPr="00C37370">
        <w:t>26</w:t>
      </w:r>
      <w:r w:rsidRPr="006C5D80">
        <w:t xml:space="preserve"> de la Constitución de </w:t>
      </w:r>
      <w:r w:rsidRPr="00C37370">
        <w:t>2013</w:t>
      </w:r>
      <w:r w:rsidRPr="006C5D80">
        <w:t xml:space="preserve"> dispone que todas las personas son iguales ante la ley y tienen derecho a la misma protección, el mismo trato y el mismo beneficio de la ley.</w:t>
      </w:r>
      <w:r w:rsidR="00D727C4" w:rsidRPr="006C5D80">
        <w:t xml:space="preserve"> </w:t>
      </w:r>
      <w:r w:rsidRPr="006C5D80">
        <w:t xml:space="preserve">Además, no se debe discriminar injustamente a una persona, directa o indirectamente, por motivos, entre otros, de sus características o circunstancias personales reales o supuestas, como la raza, la cultura, la etnia, el color, el lugar de origen, el sexo, el género, la orientación sexual, la identidad y expresión de género, la situación económica, la discapacidad, la edad o el estado social o de salud. Fiji ha adoptado en su legislación los principios y fundamentos de la lucha contra la discriminación recogidos en el artículo </w:t>
      </w:r>
      <w:r w:rsidRPr="00C37370">
        <w:t>26</w:t>
      </w:r>
      <w:r w:rsidRPr="006C5D80">
        <w:t xml:space="preserve"> de la Constitución de </w:t>
      </w:r>
      <w:r w:rsidRPr="00C37370">
        <w:t>2013</w:t>
      </w:r>
      <w:r w:rsidRPr="006C5D80">
        <w:t xml:space="preserve">. El artículo </w:t>
      </w:r>
      <w:r w:rsidRPr="00C37370">
        <w:t>6</w:t>
      </w:r>
      <w:r w:rsidRPr="006C5D80">
        <w:t xml:space="preserve"> de la Ley de Relaciones Laborales de </w:t>
      </w:r>
      <w:r w:rsidRPr="00C37370">
        <w:t>2007</w:t>
      </w:r>
      <w:r w:rsidRPr="006C5D80">
        <w:t xml:space="preserve"> establece los principios y derechos fundamentales de todas las personas empleadas en Fiji, que incluyen, entre otras cosas, que todo empleador pagará a los trabajadores y trabajadoras la misma remuneración por un trabajo de igual valor, y que nadie discriminará a ningún trabajador o posible trabajador por motivos de género, orientación sexual, origen social, embarazo y discapacidad, entre otros. Además, en el artículo </w:t>
      </w:r>
      <w:r w:rsidRPr="00C37370">
        <w:t>75</w:t>
      </w:r>
      <w:r w:rsidRPr="006C5D80">
        <w:t xml:space="preserve"> de la Ley de Relaciones Laborales de </w:t>
      </w:r>
      <w:r w:rsidRPr="00C37370">
        <w:t>2007</w:t>
      </w:r>
      <w:r w:rsidRPr="006C5D80">
        <w:t xml:space="preserve"> se establece las prohibiciones de discriminación, reflejo del artículo </w:t>
      </w:r>
      <w:r w:rsidRPr="00C37370">
        <w:t>26</w:t>
      </w:r>
      <w:r w:rsidRPr="006C5D80">
        <w:t xml:space="preserve"> de la Constitución de </w:t>
      </w:r>
      <w:r w:rsidRPr="00C37370">
        <w:t>2013</w:t>
      </w:r>
      <w:r w:rsidRPr="006C5D80">
        <w:t xml:space="preserve">, que incluyen la prohibición de discriminar basándose en el género, la orientación sexual, la discapacidad, la situación económica y social, y curiosamente, por ser portador de VIH/sida. El Ministerio de Empleo, Productividad y Relaciones Laborales ha trabajado incesantemente para promover la sensibilización en materia de lucha contra la discriminación, </w:t>
      </w:r>
      <w:proofErr w:type="gramStart"/>
      <w:r w:rsidRPr="006C5D80">
        <w:t>haciendo especial hincapié</w:t>
      </w:r>
      <w:proofErr w:type="gramEnd"/>
      <w:r w:rsidRPr="006C5D80">
        <w:t xml:space="preserve"> en los motivos prohibidos de discriminación estipulados en la Ley de Relaciones Laborales de </w:t>
      </w:r>
      <w:r w:rsidRPr="00C37370">
        <w:t>2007</w:t>
      </w:r>
      <w:r w:rsidRPr="006C5D80">
        <w:t>. Esta sensibilización se realiza a través de tertulias radiofónicas y capacitación con empresarios, trabajadores y comunidades. El Ministerio de la Administración Pública, a través de sus procesos, directrices y formación en toda la función pública, promueve un entorno que valora la diversidad, la imparcialidad y la equidad en todas las decisiones relativas a la dotación de personal, en particular en lo que respecta a las actividades que repercutirían en el mérito relativo de las decisiones de contratación y selección, y aboga por una inclusividad exenta de discriminación.</w:t>
      </w:r>
      <w:r w:rsidR="00D727C4" w:rsidRPr="006C5D80">
        <w:t xml:space="preserve"> </w:t>
      </w:r>
      <w:proofErr w:type="gramStart"/>
      <w:r w:rsidRPr="006C5D80">
        <w:t>Además</w:t>
      </w:r>
      <w:proofErr w:type="gramEnd"/>
      <w:r w:rsidRPr="006C5D80">
        <w:t xml:space="preserve"> se aplican por igual los principios de la justicia natural a cualquier asunto disciplinario en todos los ministerios, con lo que se elimina toda forma de discriminación en el proceso. El Ministerio también cuenta con la Directriz sobre Disciplina y la Directriz sobre Acoso aplicables a toda la administración pública, a las que se hace referencia en circunstancias en las que se plantean cuestiones de inclusión social y discapacidad para debatirlas. El Ministerio de Desarrollo Rural y Marítimo y Gestión de Desastres está considerando la formación de un Comité de Género que estudiará el desarrollo </w:t>
      </w:r>
      <w:r w:rsidRPr="006C5D80">
        <w:lastRenderedPageBreak/>
        <w:t>de una política de género destinada a abordar los problemas a los que se enfrentan las mujeres en las zonas rurales, incluidos los problemas a los que se enfrentan los grupos desfavorecidos de mujeres en nuestras comunidades.</w:t>
      </w:r>
      <w:r w:rsidR="00D727C4" w:rsidRPr="006C5D80">
        <w:t xml:space="preserve"> </w:t>
      </w:r>
      <w:r w:rsidRPr="006C5D80">
        <w:t>En la actualidad, el Ministerio de Salud y Servicios Médicos presta servicios sanitarios a todas las mujeres, independientemente de su situación o del grupo desfavorecido en el que se identifiquen.</w:t>
      </w:r>
    </w:p>
    <w:p w14:paraId="6CD12162" w14:textId="77777777" w:rsidR="00597C74" w:rsidRPr="006C5D80" w:rsidRDefault="00597C74" w:rsidP="00D83D01">
      <w:pPr>
        <w:pStyle w:val="SingleTxt"/>
        <w:numPr>
          <w:ilvl w:val="0"/>
          <w:numId w:val="94"/>
        </w:numPr>
        <w:ind w:left="1267"/>
      </w:pPr>
      <w:r w:rsidRPr="006C5D80">
        <w:t>Fiji ha realizado importantes gestiones para garantizar los derechos y la inclusión de las personas con discapacidad en diversos ámbitos de la sociedad, como la educación, la salud, el empleo y el reconocimiento legal. Entre los aspectos más destacados de estas gestiones figuran los siguientes:</w:t>
      </w:r>
    </w:p>
    <w:p w14:paraId="2DFA9640" w14:textId="787B484A" w:rsidR="00597C74" w:rsidRPr="006C5D80" w:rsidRDefault="00891DCB" w:rsidP="00597C74">
      <w:pPr>
        <w:pStyle w:val="SingleTxt"/>
      </w:pPr>
      <w:r w:rsidRPr="006C5D80">
        <w:tab/>
      </w:r>
      <w:r w:rsidR="00597C74" w:rsidRPr="006C5D80">
        <w:t>a)</w:t>
      </w:r>
      <w:r w:rsidR="00597C74" w:rsidRPr="006C5D80">
        <w:tab/>
        <w:t xml:space="preserve">Marco jurídico y ratificación: Fiji ratificó la Convención sobre los Derechos de las Personas con Discapacidad en </w:t>
      </w:r>
      <w:r w:rsidR="00597C74" w:rsidRPr="00C37370">
        <w:t>2017</w:t>
      </w:r>
      <w:r w:rsidR="00597C74" w:rsidRPr="006C5D80">
        <w:t xml:space="preserve"> y aprobó la Ley de Derechos de las Personas con Discapacidad en </w:t>
      </w:r>
      <w:r w:rsidR="00597C74" w:rsidRPr="00C37370">
        <w:t>2018</w:t>
      </w:r>
      <w:r w:rsidR="00597C74" w:rsidRPr="006C5D80">
        <w:t>. Este marco jurídico defiende los derechos de las personas con discapacidad y garantiza la igualdad en materia de ciudadanía, derechos y responsabilidades;</w:t>
      </w:r>
    </w:p>
    <w:p w14:paraId="0162F397" w14:textId="2C914575" w:rsidR="00597C74" w:rsidRPr="006C5D80" w:rsidRDefault="00891DCB" w:rsidP="00597C74">
      <w:pPr>
        <w:pStyle w:val="SingleTxt"/>
      </w:pPr>
      <w:r w:rsidRPr="006C5D80">
        <w:tab/>
      </w:r>
      <w:r w:rsidR="00597C74" w:rsidRPr="006C5D80">
        <w:t>b)</w:t>
      </w:r>
      <w:r w:rsidR="00597C74" w:rsidRPr="006C5D80">
        <w:tab/>
        <w:t>Acceso a la justicia: Fiji ha introducido iniciativas para mejorar el acceso a la justicia de las personas con discapacidad. Esto incluye el programa de Empoderamiento y Cohesión en materia de Derechos y los Servicios de Acceso a la Justicia prestados por organizaciones como la Fiji Disabled Peoples Federation y la Asociación de Sordos de Fiji. Los miembros del Comité Distrital de Discapacidad participan a menudo en estos programas de sensibilización;</w:t>
      </w:r>
    </w:p>
    <w:p w14:paraId="4C278F44" w14:textId="5C2255AC" w:rsidR="00597C74" w:rsidRPr="006C5D80" w:rsidRDefault="00891DCB" w:rsidP="00597C74">
      <w:pPr>
        <w:pStyle w:val="SingleTxt"/>
      </w:pPr>
      <w:r w:rsidRPr="006C5D80">
        <w:tab/>
      </w:r>
      <w:r w:rsidR="00597C74" w:rsidRPr="006C5D80">
        <w:t>c)</w:t>
      </w:r>
      <w:r w:rsidR="00597C74" w:rsidRPr="006C5D80">
        <w:tab/>
        <w:t>Formación del personal: Diversas organizaciones y asociaciones colaboran en la formación del personal de los sistemas judicial y penitenciario. Esto incluye programas de concienciación, sensibilización y servicios de intérpretes, lo que garantiza que la justicia y los servicios jurídicos sean inclusivos y accesibles;</w:t>
      </w:r>
    </w:p>
    <w:p w14:paraId="24B01260" w14:textId="2C3D7BDB" w:rsidR="00597C74" w:rsidRPr="006C5D80" w:rsidRDefault="00891DCB" w:rsidP="00597C74">
      <w:pPr>
        <w:pStyle w:val="SingleTxt"/>
      </w:pPr>
      <w:r w:rsidRPr="006C5D80">
        <w:tab/>
      </w:r>
      <w:r w:rsidR="00597C74" w:rsidRPr="006C5D80">
        <w:t>d)</w:t>
      </w:r>
      <w:r w:rsidR="00597C74" w:rsidRPr="006C5D80">
        <w:tab/>
        <w:t>Igual reconocimiento ante la ley: La Constitución de Fiji y la Ley de Derechos de las Personas con Discapacidad defienden la igualdad de reconocimiento ante la ley de todos los ciudadanos, incluidas las personas con discapacidad. Se han creado instituciones como la Comisión de Asistencia Jurídica y la Comisión de Derechos Humanos y Lucha contra la Discriminación para apoyar el ejercicio de los derechos constitucionales y proporcionar asistencia jurídica cuando sea necesario;</w:t>
      </w:r>
    </w:p>
    <w:p w14:paraId="11BDB6AF" w14:textId="4DC54844" w:rsidR="00597C74" w:rsidRPr="006C5D80" w:rsidRDefault="00891DCB" w:rsidP="00597C74">
      <w:pPr>
        <w:pStyle w:val="SingleTxt"/>
      </w:pPr>
      <w:r w:rsidRPr="006C5D80">
        <w:tab/>
      </w:r>
      <w:r w:rsidR="00597C74" w:rsidRPr="006C5D80">
        <w:t>e)</w:t>
      </w:r>
      <w:r w:rsidR="00597C74" w:rsidRPr="006C5D80">
        <w:tab/>
        <w:t>Servicios de salud: Fiji garantiza la accesibilidad financiera a los servicios de salud proporcionando asistencia sanitaria y medicamentos sin costo alguno para los beneficiarios. Las tecnologías de apoyo también están disponibles a través de proveedores de servicios para personas con discapacidad, con el apoyo de subvenciones públicas. Además, hay iniciativas para que la información y los servicios de salud sean accesibles a las personas con discapacidad en diversos formatos y lenguas;</w:t>
      </w:r>
    </w:p>
    <w:p w14:paraId="361607D4" w14:textId="24722C07" w:rsidR="00597C74" w:rsidRPr="006C5D80" w:rsidRDefault="00891DCB" w:rsidP="00597C74">
      <w:pPr>
        <w:pStyle w:val="SingleTxt"/>
      </w:pPr>
      <w:r w:rsidRPr="006C5D80">
        <w:tab/>
      </w:r>
      <w:r w:rsidR="00597C74" w:rsidRPr="006C5D80">
        <w:t>f)</w:t>
      </w:r>
      <w:r w:rsidR="00597C74" w:rsidRPr="006C5D80">
        <w:tab/>
        <w:t xml:space="preserve">Empleo: Fiji promueve la igualdad de oportunidades en el empleo para las personas con discapacidad a través de políticas como la Política Nacional de Empleo, cuotas de empleo e incentivos fiscales para los empleadores que contraten a personas con discapacidad. Iniciativas como </w:t>
      </w:r>
      <w:r w:rsidR="00D727C4" w:rsidRPr="006C5D80">
        <w:t>“</w:t>
      </w:r>
      <w:r w:rsidR="00597C74" w:rsidRPr="006C5D80">
        <w:t>Incluye la discapacidad, emplea ‘ESTA’ capacidad</w:t>
      </w:r>
      <w:r w:rsidR="00D727C4" w:rsidRPr="006C5D80">
        <w:t>”</w:t>
      </w:r>
      <w:r w:rsidR="00597C74" w:rsidRPr="006C5D80">
        <w:t xml:space="preserve"> preparan a las personas con discapacidad para el empleo y combaten el estigma;</w:t>
      </w:r>
    </w:p>
    <w:p w14:paraId="063728F6" w14:textId="4B0FBB6B" w:rsidR="00597C74" w:rsidRPr="006C5D80" w:rsidRDefault="00891DCB" w:rsidP="00597C74">
      <w:pPr>
        <w:pStyle w:val="SingleTxt"/>
      </w:pPr>
      <w:r w:rsidRPr="006C5D80">
        <w:tab/>
      </w:r>
      <w:r w:rsidR="00597C74" w:rsidRPr="006C5D80">
        <w:t>g)</w:t>
      </w:r>
      <w:r w:rsidR="00597C74" w:rsidRPr="006C5D80">
        <w:tab/>
        <w:t xml:space="preserve">Formación profesional y empleo por cuenta propia: Fiji ofrece programas accesibles de </w:t>
      </w:r>
      <w:proofErr w:type="gramStart"/>
      <w:r w:rsidR="00597C74" w:rsidRPr="006C5D80">
        <w:t>orientación profesional y formación profesional</w:t>
      </w:r>
      <w:proofErr w:type="gramEnd"/>
      <w:r w:rsidR="00597C74" w:rsidRPr="006C5D80">
        <w:t>. Se hace hincapié en el espíritu empresarial, mediante iniciativas de apoyo al empleo por cuenta propia y a las pequeñas empresas de personas con discapacidad;</w:t>
      </w:r>
    </w:p>
    <w:p w14:paraId="0D2B09C9" w14:textId="3595DE86" w:rsidR="00597C74" w:rsidRPr="006C5D80" w:rsidRDefault="00891DCB" w:rsidP="00597C74">
      <w:pPr>
        <w:pStyle w:val="SingleTxt"/>
      </w:pPr>
      <w:r w:rsidRPr="006C5D80">
        <w:tab/>
      </w:r>
      <w:r w:rsidR="00597C74" w:rsidRPr="006C5D80">
        <w:t>h)</w:t>
      </w:r>
      <w:r w:rsidR="00597C74" w:rsidRPr="006C5D80">
        <w:tab/>
        <w:t xml:space="preserve">Educación: Para garantizar la igualdad de acceso a la educación, Fiji ofrece programas de becas para personas con discapacidad. El Plan de Becas para </w:t>
      </w:r>
      <w:r w:rsidR="00597C74" w:rsidRPr="006C5D80">
        <w:lastRenderedPageBreak/>
        <w:t>Estudiantes con Necesidades Especiales cubre los gastos de matrícula y otros gastos conexos. Además, organizaciones como la Sociedad de Ciegos de Fiji ofrecen becas a estudiantes con discapacidad visual.</w:t>
      </w:r>
    </w:p>
    <w:p w14:paraId="47232223" w14:textId="77777777" w:rsidR="00597C74" w:rsidRPr="006C5D80" w:rsidRDefault="00597C74" w:rsidP="00D83D01">
      <w:pPr>
        <w:pStyle w:val="SingleTxt"/>
        <w:numPr>
          <w:ilvl w:val="0"/>
          <w:numId w:val="95"/>
        </w:numPr>
        <w:ind w:left="1267"/>
      </w:pPr>
      <w:r w:rsidRPr="006C5D80">
        <w:t>En general, la adhesión de Fiji a la inclusión y a la igualdad de derechos de las personas con discapacidad se refleja en su marco jurídico, sus políticas y sus actividades de colaboración en diversos sectores. Estas iniciativas pretenden crear una sociedad más inclusiva y accesible para todos los ciudadanos.</w:t>
      </w:r>
    </w:p>
    <w:p w14:paraId="65BA4645" w14:textId="77777777" w:rsidR="00891DCB" w:rsidRPr="006C5D80" w:rsidRDefault="00891DCB" w:rsidP="00891DCB">
      <w:pPr>
        <w:pStyle w:val="SingleTxt"/>
        <w:spacing w:after="0" w:line="120" w:lineRule="exact"/>
        <w:rPr>
          <w:sz w:val="10"/>
        </w:rPr>
      </w:pPr>
    </w:p>
    <w:p w14:paraId="04294AC2" w14:textId="77777777" w:rsidR="00891DCB" w:rsidRPr="006C5D80" w:rsidRDefault="00891DCB" w:rsidP="00891DCB">
      <w:pPr>
        <w:pStyle w:val="SingleTxt"/>
        <w:spacing w:after="0" w:line="120" w:lineRule="exact"/>
        <w:rPr>
          <w:sz w:val="10"/>
        </w:rPr>
      </w:pPr>
    </w:p>
    <w:p w14:paraId="29E16272" w14:textId="405E84D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Matrimonio y relaciones familiares</w:t>
      </w:r>
    </w:p>
    <w:p w14:paraId="775896C0" w14:textId="77777777" w:rsidR="00891DCB" w:rsidRPr="006C5D80" w:rsidRDefault="00891DCB" w:rsidP="00891DCB">
      <w:pPr>
        <w:pStyle w:val="SingleTxt"/>
        <w:spacing w:after="0" w:line="120" w:lineRule="exact"/>
        <w:rPr>
          <w:sz w:val="10"/>
        </w:rPr>
      </w:pPr>
    </w:p>
    <w:p w14:paraId="2E8C3FFB" w14:textId="77777777" w:rsidR="00891DCB" w:rsidRPr="006C5D80" w:rsidRDefault="00891DCB" w:rsidP="00891DCB">
      <w:pPr>
        <w:pStyle w:val="SingleTxt"/>
        <w:spacing w:after="0" w:line="120" w:lineRule="exact"/>
        <w:rPr>
          <w:sz w:val="10"/>
        </w:rPr>
      </w:pPr>
    </w:p>
    <w:p w14:paraId="468A7F10"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24 a) de la lista de cuestiones</w:t>
      </w:r>
    </w:p>
    <w:p w14:paraId="3EF5B113" w14:textId="77777777" w:rsidR="00891DCB" w:rsidRPr="006C5D80" w:rsidRDefault="00891DCB" w:rsidP="00891DCB">
      <w:pPr>
        <w:pStyle w:val="SingleTxt"/>
        <w:spacing w:after="0" w:line="120" w:lineRule="exact"/>
        <w:rPr>
          <w:sz w:val="10"/>
        </w:rPr>
      </w:pPr>
    </w:p>
    <w:p w14:paraId="27259EF4" w14:textId="77777777" w:rsidR="00891DCB" w:rsidRPr="006C5D80" w:rsidRDefault="00891DCB" w:rsidP="00891DCB">
      <w:pPr>
        <w:pStyle w:val="SingleTxt"/>
        <w:spacing w:after="0" w:line="120" w:lineRule="exact"/>
        <w:rPr>
          <w:sz w:val="10"/>
        </w:rPr>
      </w:pPr>
    </w:p>
    <w:p w14:paraId="4A3965E0" w14:textId="77777777" w:rsidR="00597C74" w:rsidRPr="006C5D80" w:rsidRDefault="00597C74" w:rsidP="00D83D01">
      <w:pPr>
        <w:pStyle w:val="SingleTxt"/>
        <w:numPr>
          <w:ilvl w:val="0"/>
          <w:numId w:val="96"/>
        </w:numPr>
        <w:ind w:left="1267"/>
      </w:pPr>
      <w:r w:rsidRPr="006C5D80">
        <w:t xml:space="preserve">El matrimonio infantil está prohibido por la legislación de Fiji, según lo dispuesto en el artículo </w:t>
      </w:r>
      <w:r w:rsidRPr="00C37370">
        <w:t>29</w:t>
      </w:r>
      <w:r w:rsidRPr="006C5D80">
        <w:t xml:space="preserve"> de la Ley de matrimonios de </w:t>
      </w:r>
      <w:r w:rsidRPr="00C37370">
        <w:t>1968</w:t>
      </w:r>
      <w:r w:rsidRPr="006C5D80">
        <w:t xml:space="preserve"> y, con el fin de hacer cumplir esta ley, el Ministerio de Justicia participa en los programas REACH destinados a concienciar a la población rural sobre la edad legal para contraer matrimonio, que es de </w:t>
      </w:r>
      <w:r w:rsidRPr="00C37370">
        <w:t>18</w:t>
      </w:r>
      <w:r w:rsidRPr="006C5D80">
        <w:t xml:space="preserve"> años tanto para hombres como para mujeres, la prohibición del matrimonio infantil y las sanciones por incumplimiento de estas leyes. Los servicios también son accesibles a través del Programa REACH a fin de permitir el acceso a aquellos que recorrerían largas distancias para acceder a los servicios de nacimientos, defunciones y matrimonios del Ministerio de Justicia. El Ministerio de Justicia también participa en giras organizadas por el Ministerio de Desarrollo Rural y Marítimo y Gestión de Desastres y el Ministerio de Asuntos iTaukeis en las que se informa a las zonas rurales y marítimas sobre la edad legal para contraer matrimonio y la prohibición del matrimonio infantil en Fiji. El Ministerio de Interior e Inmigración, a través de la Fuerza de Policía de Fiji, lleva a cabo actividades de concienciación en escuelas y comunidades a cargo de agentes de policía comunitaria sobre la edad legal para contraer matrimonio, que es de </w:t>
      </w:r>
      <w:r w:rsidRPr="00C37370">
        <w:t>18</w:t>
      </w:r>
      <w:r w:rsidRPr="006C5D80">
        <w:t xml:space="preserve"> años en adelante.</w:t>
      </w:r>
    </w:p>
    <w:p w14:paraId="2F526D86" w14:textId="77777777" w:rsidR="00891DCB" w:rsidRPr="006C5D80" w:rsidRDefault="00891DCB" w:rsidP="00891DCB">
      <w:pPr>
        <w:pStyle w:val="SingleTxt"/>
        <w:spacing w:after="0" w:line="120" w:lineRule="exact"/>
        <w:rPr>
          <w:sz w:val="10"/>
        </w:rPr>
      </w:pPr>
    </w:p>
    <w:p w14:paraId="2BA20D43" w14:textId="77777777" w:rsidR="00891DCB" w:rsidRPr="006C5D80" w:rsidRDefault="00891DCB" w:rsidP="00891DCB">
      <w:pPr>
        <w:pStyle w:val="SingleTxt"/>
        <w:spacing w:after="0" w:line="120" w:lineRule="exact"/>
        <w:rPr>
          <w:sz w:val="10"/>
        </w:rPr>
      </w:pPr>
    </w:p>
    <w:p w14:paraId="17060CC8" w14:textId="77777777" w:rsidR="00597C74" w:rsidRPr="00C37370" w:rsidRDefault="00597C74" w:rsidP="00891D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24 b) de la lista de cuestiones</w:t>
      </w:r>
    </w:p>
    <w:p w14:paraId="275DC4D5" w14:textId="77777777" w:rsidR="00891DCB" w:rsidRPr="006C5D80" w:rsidRDefault="00891DCB" w:rsidP="00891DCB">
      <w:pPr>
        <w:pStyle w:val="SingleTxt"/>
        <w:spacing w:after="0" w:line="120" w:lineRule="exact"/>
        <w:rPr>
          <w:sz w:val="10"/>
        </w:rPr>
      </w:pPr>
    </w:p>
    <w:p w14:paraId="7D5CD159" w14:textId="77777777" w:rsidR="00891DCB" w:rsidRPr="006C5D80" w:rsidRDefault="00891DCB" w:rsidP="00891DCB">
      <w:pPr>
        <w:pStyle w:val="SingleTxt"/>
        <w:spacing w:after="0" w:line="120" w:lineRule="exact"/>
        <w:rPr>
          <w:sz w:val="10"/>
        </w:rPr>
      </w:pPr>
    </w:p>
    <w:p w14:paraId="5E25164B" w14:textId="77777777" w:rsidR="00597C74" w:rsidRPr="006C5D80" w:rsidRDefault="00597C74" w:rsidP="00D83D01">
      <w:pPr>
        <w:pStyle w:val="SingleTxt"/>
        <w:numPr>
          <w:ilvl w:val="0"/>
          <w:numId w:val="97"/>
        </w:numPr>
        <w:ind w:left="1267"/>
      </w:pPr>
      <w:r w:rsidRPr="006C5D80">
        <w:t xml:space="preserve">En </w:t>
      </w:r>
      <w:r w:rsidRPr="00C37370">
        <w:t>2021</w:t>
      </w:r>
      <w:r w:rsidRPr="006C5D80">
        <w:t xml:space="preserve">, el artículo </w:t>
      </w:r>
      <w:r w:rsidRPr="00C37370">
        <w:t>4</w:t>
      </w:r>
      <w:r w:rsidRPr="006C5D80">
        <w:t xml:space="preserve"> de la Ley Electoral (Registro de Votantes) de </w:t>
      </w:r>
      <w:r w:rsidRPr="00C37370">
        <w:t>2012</w:t>
      </w:r>
      <w:r w:rsidRPr="006C5D80">
        <w:t xml:space="preserve"> fue modificada por la Ley Electoral (Registro de Votantes) (Enmienda) núm. </w:t>
      </w:r>
      <w:r w:rsidRPr="00C37370">
        <w:t>40</w:t>
      </w:r>
      <w:r w:rsidRPr="006C5D80">
        <w:t xml:space="preserve"> de </w:t>
      </w:r>
      <w:r w:rsidRPr="00C37370">
        <w:t>2021</w:t>
      </w:r>
      <w:r w:rsidRPr="006C5D80">
        <w:t xml:space="preserve">, que estableció como requisito que los solicitantes debían indicar en su solicitud de registro de votantes su nombre completo tal y como figuraba en su certificado de nacimiento. Esto significaba que las mujeres casadas que decidieran utilizar su apellido de casada para inscribirse en el censo electoral tendrían que cambiar su nombre en el certificado de nacimiento para incluir su apellido de casada. Esta enmienda supuso la discriminación de las mujeres casadas y vulneró su derecho democrático al voto. Sin embargo, tras el reciente cambio de administración en </w:t>
      </w:r>
      <w:r w:rsidRPr="00C37370">
        <w:t>2023</w:t>
      </w:r>
      <w:r w:rsidRPr="006C5D80">
        <w:t xml:space="preserve">, el Gobierno de coalición introdujo un cambio positivo a través de la Ley Electoral (Registro de Votantes) (Enmienda) de </w:t>
      </w:r>
      <w:r w:rsidRPr="00C37370">
        <w:t>2023</w:t>
      </w:r>
      <w:r w:rsidRPr="006C5D80">
        <w:t xml:space="preserve">, de </w:t>
      </w:r>
      <w:r w:rsidRPr="00C37370">
        <w:t>14</w:t>
      </w:r>
      <w:r w:rsidRPr="006C5D80">
        <w:t xml:space="preserve"> de julio de </w:t>
      </w:r>
      <w:r w:rsidRPr="00C37370">
        <w:t>2023</w:t>
      </w:r>
      <w:r w:rsidRPr="006C5D80">
        <w:t xml:space="preserve">, que eliminó el requisito de que los solicitantes de registro de votantes tuvieran que incluir en la solicitud su nombre completo según su certificado de nacimiento, que fue aprobada por el Parlamento de Fiji y entró en vigor. La Ley Electoral (Registro de Votantes) (Enmienda) de </w:t>
      </w:r>
      <w:r w:rsidRPr="00C37370">
        <w:t>2023</w:t>
      </w:r>
      <w:r w:rsidRPr="006C5D80">
        <w:t xml:space="preserve"> eliminó todas las enmiendas realizadas en </w:t>
      </w:r>
      <w:r w:rsidRPr="00C37370">
        <w:t>2021</w:t>
      </w:r>
      <w:r w:rsidRPr="006C5D80">
        <w:t xml:space="preserve"> por la Ley Electoral (Registro de Votantes) (Enmienda) núm. </w:t>
      </w:r>
      <w:r w:rsidRPr="00C37370">
        <w:t>40</w:t>
      </w:r>
      <w:r w:rsidRPr="006C5D80">
        <w:t xml:space="preserve"> de </w:t>
      </w:r>
      <w:r w:rsidRPr="00C37370">
        <w:t>2021</w:t>
      </w:r>
      <w:r w:rsidRPr="006C5D80">
        <w:t>. La consecuencia de este nuevo cambio es que las mujeres casadas que deseen registrarse como votantes con su nombre de casadas no necesitan cambiar su nombre en su certificado de nacimiento para reflejar el nuevo nombre. Las mujeres casadas pueden inscribirse en el censo electoral con su nombre completo, ya sea el de casada o el de soltera, por lo que pueden ejercer plenamente su derecho democrático al voto, sin discriminación.</w:t>
      </w:r>
    </w:p>
    <w:p w14:paraId="53EBA340" w14:textId="77777777" w:rsidR="00D83D01" w:rsidRPr="006C5D80" w:rsidRDefault="00D83D01" w:rsidP="00D83D01">
      <w:pPr>
        <w:pStyle w:val="SingleTxt"/>
        <w:spacing w:after="0" w:line="120" w:lineRule="exact"/>
        <w:rPr>
          <w:sz w:val="10"/>
        </w:rPr>
      </w:pPr>
    </w:p>
    <w:p w14:paraId="4FD51995" w14:textId="4F4AD8D3" w:rsidR="00597C74" w:rsidRPr="00C37370" w:rsidRDefault="00597C74" w:rsidP="00D83D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lastRenderedPageBreak/>
        <w:tab/>
      </w:r>
      <w:r w:rsidRPr="00C37370">
        <w:tab/>
        <w:t>Información adicional</w:t>
      </w:r>
    </w:p>
    <w:p w14:paraId="3DD1B4C7" w14:textId="77777777" w:rsidR="00D83D01" w:rsidRPr="006C5D80" w:rsidRDefault="00D83D01" w:rsidP="00D83D01">
      <w:pPr>
        <w:pStyle w:val="SingleTxt"/>
        <w:spacing w:after="0" w:line="120" w:lineRule="exact"/>
        <w:rPr>
          <w:sz w:val="10"/>
        </w:rPr>
      </w:pPr>
    </w:p>
    <w:p w14:paraId="731862E3" w14:textId="77777777" w:rsidR="00D83D01" w:rsidRPr="006C5D80" w:rsidRDefault="00D83D01" w:rsidP="00D83D01">
      <w:pPr>
        <w:pStyle w:val="SingleTxt"/>
        <w:spacing w:after="0" w:line="120" w:lineRule="exact"/>
        <w:rPr>
          <w:sz w:val="10"/>
        </w:rPr>
      </w:pPr>
    </w:p>
    <w:p w14:paraId="3D4336E8" w14:textId="77777777" w:rsidR="00597C74" w:rsidRPr="00C37370" w:rsidRDefault="00597C74" w:rsidP="00D83D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7370">
        <w:tab/>
      </w:r>
      <w:r w:rsidRPr="00C37370">
        <w:tab/>
        <w:t>Respuesta al párrafo 25 de la lista de cuestiones</w:t>
      </w:r>
    </w:p>
    <w:p w14:paraId="589C3746" w14:textId="77777777" w:rsidR="00D83D01" w:rsidRPr="006C5D80" w:rsidRDefault="00D83D01" w:rsidP="00D83D01">
      <w:pPr>
        <w:pStyle w:val="SingleTxt"/>
        <w:spacing w:after="0" w:line="120" w:lineRule="exact"/>
        <w:rPr>
          <w:sz w:val="10"/>
        </w:rPr>
      </w:pPr>
    </w:p>
    <w:p w14:paraId="590E9AA0" w14:textId="77777777" w:rsidR="00D83D01" w:rsidRPr="006C5D80" w:rsidRDefault="00D83D01" w:rsidP="00D83D01">
      <w:pPr>
        <w:pStyle w:val="SingleTxt"/>
        <w:spacing w:after="0" w:line="120" w:lineRule="exact"/>
        <w:rPr>
          <w:sz w:val="10"/>
        </w:rPr>
      </w:pPr>
    </w:p>
    <w:p w14:paraId="569E2A96" w14:textId="6EC2D9AB" w:rsidR="00597C74" w:rsidRPr="006C5D80" w:rsidRDefault="00597C74" w:rsidP="00D83D01">
      <w:pPr>
        <w:pStyle w:val="SingleTxt"/>
        <w:numPr>
          <w:ilvl w:val="0"/>
          <w:numId w:val="98"/>
        </w:numPr>
        <w:ind w:left="1267"/>
      </w:pPr>
      <w:r w:rsidRPr="006C5D80">
        <w:t xml:space="preserve">El Ministerio del Interior e Inmigración de Fiji participa activamente en la promoción del Programa para las Mujeres, la Paz y la Seguridad, en consonancia con resoluciones internacionales como la resolución </w:t>
      </w:r>
      <w:hyperlink r:id="rId26" w:history="1">
        <w:r w:rsidRPr="00C37370">
          <w:rPr>
            <w:rStyle w:val="Hyperlink"/>
          </w:rPr>
          <w:t>1325 (2000)</w:t>
        </w:r>
      </w:hyperlink>
      <w:r w:rsidRPr="006C5D80">
        <w:t xml:space="preserve"> del Consejo de Seguridad. Esto incluye fomentar un lugar de trabajo que incluya la perspectiva de género, ofrecer formación sobre la integración de la perspectiva de género, colaborar con las fuerzas disciplinadas en materia de las mujeres, la paz y la seguridad, y apoyar las iniciativas interinstitucionales. Aunque Fiji no cuenta con un plan de acción nacional oficial sobre la prevención de la violencia de género, varios organismos públicos, entre ellos la Fuerza de Policía y las Fuerzas Militares de Fiji, imparten formación sobre la violencia de género. El Ministerio del Interior e Inmigración también colabora con las Fuerzas Militares en el seguimiento y control de las armas. El compromiso del país con el programa en favor de las mujeres, la paz y la seguridad va más allá de las cuestiones tradicionales de seguridad e incluye el cambio climático y la ciberseguridad. La representación femenina en las Fuerzas Militares y de Policía ha aumentado, aunque sigue siendo limitada en los altos mandos, y ambas fuerzas están trabajando para aumentar la participación de las mujeres en las operaciones de paz y en el ejército.</w:t>
      </w:r>
    </w:p>
    <w:p w14:paraId="0CD4A133" w14:textId="77777777" w:rsidR="00597C74" w:rsidRPr="006C5D80" w:rsidRDefault="00597C74" w:rsidP="00D83D01">
      <w:pPr>
        <w:pStyle w:val="SingleTxt"/>
        <w:numPr>
          <w:ilvl w:val="0"/>
          <w:numId w:val="98"/>
        </w:numPr>
        <w:ind w:left="1267"/>
      </w:pPr>
      <w:r w:rsidRPr="006C5D80">
        <w:t xml:space="preserve">En julio de </w:t>
      </w:r>
      <w:r w:rsidRPr="00C37370">
        <w:t>2023</w:t>
      </w:r>
      <w:r w:rsidRPr="006C5D80">
        <w:t xml:space="preserve">, el Gobierno de Fiji revocó las enmiendas introducidas en la Ley de Interpretación de </w:t>
      </w:r>
      <w:r w:rsidRPr="00C37370">
        <w:t>1967</w:t>
      </w:r>
      <w:r w:rsidRPr="006C5D80">
        <w:t xml:space="preserve"> y en la Ley Electoral (Registro de Votantes) de </w:t>
      </w:r>
      <w:r w:rsidRPr="00C37370">
        <w:t>2012</w:t>
      </w:r>
      <w:r w:rsidRPr="006C5D80">
        <w:t xml:space="preserve">, que anteriormente habían restringido a las mujeres la posibilidad de registrarse con el apellido de su cónyuge sin actualizar sus partidas de nacimiento. Las revisiones permiten ahora a las mujeres registrarse con el nombre que elijan sin restricciones. </w:t>
      </w:r>
    </w:p>
    <w:p w14:paraId="5438D9CC" w14:textId="77777777" w:rsidR="00597C74" w:rsidRPr="006C5D80" w:rsidRDefault="00597C74" w:rsidP="00D83D01">
      <w:pPr>
        <w:pStyle w:val="SingleTxt"/>
        <w:numPr>
          <w:ilvl w:val="0"/>
          <w:numId w:val="99"/>
        </w:numPr>
        <w:ind w:left="1267"/>
      </w:pPr>
      <w:r w:rsidRPr="006C5D80">
        <w:t xml:space="preserve">El Ministerio de Educación de Fiji organizó una cumbre nacional sobre educación en septiembre de </w:t>
      </w:r>
      <w:r w:rsidRPr="00C37370">
        <w:t>2023</w:t>
      </w:r>
      <w:r w:rsidRPr="006C5D80">
        <w:t xml:space="preserve">, centrada en la inclusión, la colaboración, la asociación y la transparencia. La cumbre destacó los logros de las alumnas que, desde </w:t>
      </w:r>
      <w:r w:rsidRPr="00C37370">
        <w:t>2018</w:t>
      </w:r>
      <w:r w:rsidRPr="006C5D80">
        <w:t xml:space="preserve">, han superado a los alumnos en los exámenes nacionales en los años </w:t>
      </w:r>
      <w:r w:rsidRPr="00C37370">
        <w:t>12</w:t>
      </w:r>
      <w:r w:rsidRPr="006C5D80">
        <w:t xml:space="preserve"> y </w:t>
      </w:r>
      <w:r w:rsidRPr="00C37370">
        <w:t>13</w:t>
      </w:r>
      <w:r w:rsidRPr="006C5D80">
        <w:t xml:space="preserve">. Las profesoras también representan el </w:t>
      </w:r>
      <w:r w:rsidRPr="00C37370">
        <w:t>65</w:t>
      </w:r>
      <w:r w:rsidRPr="006C5D80">
        <w:t xml:space="preserve"> % del personal docente. El Ministerio de Educación también apoya a las escuelas en la construcción y mantenimiento de infraestructuras y capacita a los funcionarios de educación en la preparación para desastres, dada la vulnerabilidad del país ante estos.</w:t>
      </w:r>
    </w:p>
    <w:p w14:paraId="6A15B2D9" w14:textId="240850C3" w:rsidR="00597C74" w:rsidRPr="006C5D80" w:rsidRDefault="00597C74" w:rsidP="00D83D01">
      <w:pPr>
        <w:pStyle w:val="SingleTxt"/>
        <w:numPr>
          <w:ilvl w:val="0"/>
          <w:numId w:val="99"/>
        </w:numPr>
        <w:ind w:left="1267"/>
      </w:pPr>
      <w:r w:rsidRPr="006C5D80">
        <w:t xml:space="preserve">El Programa de Escuelas Saludables, puesto en marcha en </w:t>
      </w:r>
      <w:r w:rsidRPr="00C37370">
        <w:t>2009</w:t>
      </w:r>
      <w:r w:rsidRPr="006C5D80">
        <w:t xml:space="preserve"> mediante un memorando de entendimiento con otros organismos gubernamentales, tiene como objetivo hacer frente a los problemas de salud en las escuelas. El programa se centra ahora en la dieta y la actividad física, el agua, el saneamiento y la higiene, y la salud mental y el bienestar. El Ministerio de Educación colabora con organizaciones como el UNICEF, ADRA, Plan International y Save the Children Fiji para crear capacidad en materia de reducción del riesgo de desastres y resiliencia. Estas alianzas han permitido elaborar nuevas herramientas, como la aplicación ONA para la evaluación de daños, y revisar los suministros de emergencia, como los kits Escuela en una Caja y los kits recreativos, para garantizar que se ajusten a las necesidades locales. La iniciativa de reducción del riesgo de desastres y aumento de la resiliencia en las escuelas ayuda a garantizar que los niños estén protegidos de los peligros en las escuelas, los hogares y las comunidades.</w:t>
      </w:r>
    </w:p>
    <w:p w14:paraId="5C04A01D" w14:textId="2816F523" w:rsidR="00330D8A" w:rsidRPr="008A0875" w:rsidRDefault="00D83D01" w:rsidP="00330D8A">
      <w:pPr>
        <w:pStyle w:val="SingleTxt"/>
      </w:pPr>
      <w:r w:rsidRPr="006879FA">
        <w:rPr>
          <w:noProof/>
          <w:w w:val="100"/>
        </w:rPr>
        <mc:AlternateContent>
          <mc:Choice Requires="wps">
            <w:drawing>
              <wp:anchor distT="0" distB="0" distL="114300" distR="114300" simplePos="0" relativeHeight="251660288" behindDoc="0" locked="0" layoutInCell="1" allowOverlap="1" wp14:anchorId="13C712AA" wp14:editId="7585F320">
                <wp:simplePos x="0" y="0"/>
                <wp:positionH relativeFrom="column">
                  <wp:posOffset>2669540</wp:posOffset>
                </wp:positionH>
                <wp:positionV relativeFrom="paragraph">
                  <wp:posOffset>304800</wp:posOffset>
                </wp:positionV>
                <wp:extent cx="914400" cy="0"/>
                <wp:effectExtent l="0" t="0" r="0" b="0"/>
                <wp:wrapNone/>
                <wp:docPr id="89460936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B4D11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30D8A" w:rsidRPr="008A0875" w:rsidSect="008A087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7T15:40:00Z" w:initials="Start">
    <w:p w14:paraId="1FF7552D" w14:textId="77777777" w:rsidR="00CC6E5B" w:rsidRPr="006C5D80" w:rsidRDefault="00CC6E5B">
      <w:pPr>
        <w:pStyle w:val="CommentText"/>
      </w:pPr>
      <w:r w:rsidRPr="006C5D80">
        <w:rPr>
          <w:rStyle w:val="CommentReference"/>
        </w:rPr>
        <w:annotationRef/>
      </w:r>
      <w:r w:rsidRPr="006C5D80">
        <w:t>&lt;&lt;ODS JOB NO&gt;&gt;N2501202S&lt;&lt;ODS JOB NO&gt;&gt;</w:t>
      </w:r>
    </w:p>
    <w:p w14:paraId="7713FF59" w14:textId="77777777" w:rsidR="00CC6E5B" w:rsidRPr="006C5D80" w:rsidRDefault="00CC6E5B">
      <w:pPr>
        <w:pStyle w:val="CommentText"/>
      </w:pPr>
      <w:r w:rsidRPr="006C5D80">
        <w:t>&lt;&lt;ODS DOC SYMBOL1&gt;&gt;CEDAW/C/FJI/6&lt;&lt;ODS DOC SYMBOL1&gt;&gt;</w:t>
      </w:r>
    </w:p>
    <w:p w14:paraId="1386FB74" w14:textId="5537F9D5" w:rsidR="00CC6E5B" w:rsidRDefault="00CC6E5B">
      <w:pPr>
        <w:pStyle w:val="CommentText"/>
      </w:pPr>
      <w:r w:rsidRPr="006C5D80">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86FB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B05DD1" w16cex:dateUtc="2025-03-07T20: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86FB74" w16cid:durableId="26B05D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148EC" w14:textId="77777777" w:rsidR="00F44849" w:rsidRPr="006C5D80" w:rsidRDefault="00F44849" w:rsidP="00331D20">
      <w:r w:rsidRPr="006C5D80">
        <w:separator/>
      </w:r>
    </w:p>
  </w:endnote>
  <w:endnote w:type="continuationSeparator" w:id="0">
    <w:p w14:paraId="0533062B" w14:textId="77777777" w:rsidR="00F44849" w:rsidRPr="006C5D80" w:rsidRDefault="00F44849" w:rsidP="00331D20">
      <w:r w:rsidRPr="006C5D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C6E5B" w:rsidRPr="006C5D80" w14:paraId="72BB5456" w14:textId="77777777" w:rsidTr="00CC6E5B">
      <w:tc>
        <w:tcPr>
          <w:tcW w:w="4920" w:type="dxa"/>
          <w:shd w:val="clear" w:color="auto" w:fill="auto"/>
          <w:vAlign w:val="bottom"/>
        </w:tcPr>
        <w:p w14:paraId="5DD2B65D" w14:textId="3188D04B" w:rsidR="00CC6E5B" w:rsidRPr="004B1B5C" w:rsidRDefault="00CC6E5B" w:rsidP="00CC6E5B">
          <w:pPr>
            <w:pStyle w:val="Footer"/>
            <w:rPr>
              <w:noProof w:val="0"/>
              <w:color w:val="000000"/>
              <w:lang w:val="es-ES_tradnl"/>
            </w:rPr>
          </w:pPr>
          <w:r w:rsidRPr="004B1B5C">
            <w:rPr>
              <w:noProof w:val="0"/>
              <w:lang w:val="es-ES_tradnl"/>
            </w:rPr>
            <w:fldChar w:fldCharType="begin"/>
          </w:r>
          <w:r w:rsidRPr="004B1B5C">
            <w:rPr>
              <w:noProof w:val="0"/>
              <w:lang w:val="es-ES_tradnl"/>
            </w:rPr>
            <w:instrText xml:space="preserve"> PAGE  \* Arabic  \* MERGEFORMAT </w:instrText>
          </w:r>
          <w:r w:rsidRPr="004B1B5C">
            <w:rPr>
              <w:noProof w:val="0"/>
              <w:lang w:val="es-ES_tradnl"/>
            </w:rPr>
            <w:fldChar w:fldCharType="separate"/>
          </w:r>
          <w:r w:rsidRPr="004B1B5C">
            <w:rPr>
              <w:noProof w:val="0"/>
              <w:lang w:val="es-ES_tradnl"/>
            </w:rPr>
            <w:t>3</w:t>
          </w:r>
          <w:r w:rsidRPr="004B1B5C">
            <w:rPr>
              <w:noProof w:val="0"/>
              <w:lang w:val="es-ES_tradnl"/>
            </w:rPr>
            <w:fldChar w:fldCharType="end"/>
          </w:r>
          <w:r w:rsidRPr="004B1B5C">
            <w:rPr>
              <w:noProof w:val="0"/>
              <w:lang w:val="es-ES_tradnl"/>
            </w:rPr>
            <w:t>/</w:t>
          </w:r>
          <w:r w:rsidRPr="004B1B5C">
            <w:rPr>
              <w:noProof w:val="0"/>
              <w:lang w:val="es-ES_tradnl"/>
            </w:rPr>
            <w:fldChar w:fldCharType="begin"/>
          </w:r>
          <w:r w:rsidRPr="004B1B5C">
            <w:rPr>
              <w:noProof w:val="0"/>
              <w:lang w:val="es-ES_tradnl"/>
            </w:rPr>
            <w:instrText xml:space="preserve"> NUMPAGES  \* Arabic  \* MERGEFORMAT </w:instrText>
          </w:r>
          <w:r w:rsidRPr="004B1B5C">
            <w:rPr>
              <w:noProof w:val="0"/>
              <w:lang w:val="es-ES_tradnl"/>
            </w:rPr>
            <w:fldChar w:fldCharType="separate"/>
          </w:r>
          <w:r w:rsidRPr="004B1B5C">
            <w:rPr>
              <w:noProof w:val="0"/>
              <w:lang w:val="es-ES_tradnl"/>
            </w:rPr>
            <w:t>4</w:t>
          </w:r>
          <w:r w:rsidRPr="004B1B5C">
            <w:rPr>
              <w:noProof w:val="0"/>
              <w:lang w:val="es-ES_tradnl"/>
            </w:rPr>
            <w:fldChar w:fldCharType="end"/>
          </w:r>
        </w:p>
      </w:tc>
      <w:tc>
        <w:tcPr>
          <w:tcW w:w="4920" w:type="dxa"/>
          <w:shd w:val="clear" w:color="auto" w:fill="auto"/>
          <w:vAlign w:val="bottom"/>
        </w:tcPr>
        <w:p w14:paraId="77AAE90B" w14:textId="06B62962" w:rsidR="00CC6E5B" w:rsidRPr="004B1B5C" w:rsidRDefault="00CC6E5B" w:rsidP="00CC6E5B">
          <w:pPr>
            <w:pStyle w:val="Footer"/>
            <w:jc w:val="right"/>
            <w:rPr>
              <w:b w:val="0"/>
              <w:noProof w:val="0"/>
              <w:color w:val="000000"/>
              <w:sz w:val="14"/>
              <w:lang w:val="es-ES_tradnl"/>
            </w:rPr>
          </w:pPr>
          <w:r w:rsidRPr="004B1B5C">
            <w:rPr>
              <w:b w:val="0"/>
              <w:noProof w:val="0"/>
              <w:color w:val="000000"/>
              <w:sz w:val="14"/>
              <w:lang w:val="es-ES_tradnl"/>
            </w:rPr>
            <w:fldChar w:fldCharType="begin"/>
          </w:r>
          <w:r w:rsidRPr="004B1B5C">
            <w:rPr>
              <w:b w:val="0"/>
              <w:noProof w:val="0"/>
              <w:color w:val="000000"/>
              <w:sz w:val="14"/>
              <w:lang w:val="es-ES_tradnl"/>
            </w:rPr>
            <w:instrText xml:space="preserve"> DOCVARIABLE "FooterJN" \* MERGEFORMAT </w:instrText>
          </w:r>
          <w:r w:rsidRPr="004B1B5C">
            <w:rPr>
              <w:b w:val="0"/>
              <w:noProof w:val="0"/>
              <w:color w:val="000000"/>
              <w:sz w:val="14"/>
              <w:lang w:val="es-ES_tradnl"/>
            </w:rPr>
            <w:fldChar w:fldCharType="separate"/>
          </w:r>
          <w:r w:rsidRPr="004B1B5C">
            <w:rPr>
              <w:b w:val="0"/>
              <w:noProof w:val="0"/>
              <w:color w:val="000000"/>
              <w:sz w:val="14"/>
              <w:lang w:val="es-ES_tradnl"/>
            </w:rPr>
            <w:t>25-00699</w:t>
          </w:r>
          <w:r w:rsidRPr="004B1B5C">
            <w:rPr>
              <w:b w:val="0"/>
              <w:noProof w:val="0"/>
              <w:color w:val="000000"/>
              <w:sz w:val="14"/>
              <w:lang w:val="es-ES_tradnl"/>
            </w:rPr>
            <w:fldChar w:fldCharType="end"/>
          </w:r>
        </w:p>
      </w:tc>
    </w:tr>
  </w:tbl>
  <w:p w14:paraId="7A8E96BD" w14:textId="77777777" w:rsidR="00CC6E5B" w:rsidRPr="004B1B5C" w:rsidRDefault="00CC6E5B" w:rsidP="00CC6E5B">
    <w:pPr>
      <w:pStyle w:val="Footer"/>
      <w:rPr>
        <w:noProof w:val="0"/>
        <w:lang w:val="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C6E5B" w:rsidRPr="006C5D80" w14:paraId="0A2317DD" w14:textId="77777777" w:rsidTr="00CC6E5B">
      <w:tc>
        <w:tcPr>
          <w:tcW w:w="4920" w:type="dxa"/>
          <w:shd w:val="clear" w:color="auto" w:fill="auto"/>
          <w:vAlign w:val="bottom"/>
        </w:tcPr>
        <w:p w14:paraId="07BA4CF1" w14:textId="08BA57D4" w:rsidR="00CC6E5B" w:rsidRPr="004B1B5C" w:rsidRDefault="00CC6E5B" w:rsidP="00CC6E5B">
          <w:pPr>
            <w:pStyle w:val="Footer"/>
            <w:rPr>
              <w:b w:val="0"/>
              <w:noProof w:val="0"/>
              <w:color w:val="000000"/>
              <w:sz w:val="14"/>
              <w:lang w:val="es-ES_tradnl"/>
            </w:rPr>
          </w:pPr>
          <w:r w:rsidRPr="004B1B5C">
            <w:rPr>
              <w:b w:val="0"/>
              <w:noProof w:val="0"/>
              <w:color w:val="000000"/>
              <w:sz w:val="14"/>
              <w:lang w:val="es-ES_tradnl"/>
            </w:rPr>
            <w:fldChar w:fldCharType="begin"/>
          </w:r>
          <w:r w:rsidRPr="004B1B5C">
            <w:rPr>
              <w:b w:val="0"/>
              <w:noProof w:val="0"/>
              <w:color w:val="000000"/>
              <w:sz w:val="14"/>
              <w:lang w:val="es-ES_tradnl"/>
            </w:rPr>
            <w:instrText xml:space="preserve"> DOCVARIABLE "FooterJN" \* MERGEFORMAT </w:instrText>
          </w:r>
          <w:r w:rsidRPr="004B1B5C">
            <w:rPr>
              <w:b w:val="0"/>
              <w:noProof w:val="0"/>
              <w:color w:val="000000"/>
              <w:sz w:val="14"/>
              <w:lang w:val="es-ES_tradnl"/>
            </w:rPr>
            <w:fldChar w:fldCharType="separate"/>
          </w:r>
          <w:r w:rsidRPr="004B1B5C">
            <w:rPr>
              <w:b w:val="0"/>
              <w:noProof w:val="0"/>
              <w:color w:val="000000"/>
              <w:sz w:val="14"/>
              <w:lang w:val="es-ES_tradnl"/>
            </w:rPr>
            <w:t>25-00699</w:t>
          </w:r>
          <w:r w:rsidRPr="004B1B5C">
            <w:rPr>
              <w:b w:val="0"/>
              <w:noProof w:val="0"/>
              <w:color w:val="000000"/>
              <w:sz w:val="14"/>
              <w:lang w:val="es-ES_tradnl"/>
            </w:rPr>
            <w:fldChar w:fldCharType="end"/>
          </w:r>
        </w:p>
      </w:tc>
      <w:tc>
        <w:tcPr>
          <w:tcW w:w="4920" w:type="dxa"/>
          <w:shd w:val="clear" w:color="auto" w:fill="auto"/>
          <w:vAlign w:val="bottom"/>
        </w:tcPr>
        <w:p w14:paraId="11266CA8" w14:textId="40A0DCB2" w:rsidR="00CC6E5B" w:rsidRPr="004B1B5C" w:rsidRDefault="00CC6E5B" w:rsidP="00CC6E5B">
          <w:pPr>
            <w:pStyle w:val="Footer"/>
            <w:jc w:val="right"/>
            <w:rPr>
              <w:noProof w:val="0"/>
              <w:lang w:val="es-ES_tradnl"/>
            </w:rPr>
          </w:pPr>
          <w:r w:rsidRPr="004B1B5C">
            <w:rPr>
              <w:noProof w:val="0"/>
              <w:lang w:val="es-ES_tradnl"/>
            </w:rPr>
            <w:fldChar w:fldCharType="begin"/>
          </w:r>
          <w:r w:rsidRPr="004B1B5C">
            <w:rPr>
              <w:noProof w:val="0"/>
              <w:lang w:val="es-ES_tradnl"/>
            </w:rPr>
            <w:instrText xml:space="preserve"> PAGE  \* Arabic  \* MERGEFORMAT </w:instrText>
          </w:r>
          <w:r w:rsidRPr="004B1B5C">
            <w:rPr>
              <w:noProof w:val="0"/>
              <w:lang w:val="es-ES_tradnl"/>
            </w:rPr>
            <w:fldChar w:fldCharType="separate"/>
          </w:r>
          <w:r w:rsidRPr="004B1B5C">
            <w:rPr>
              <w:noProof w:val="0"/>
              <w:lang w:val="es-ES_tradnl"/>
            </w:rPr>
            <w:t>2</w:t>
          </w:r>
          <w:r w:rsidRPr="004B1B5C">
            <w:rPr>
              <w:noProof w:val="0"/>
              <w:lang w:val="es-ES_tradnl"/>
            </w:rPr>
            <w:fldChar w:fldCharType="end"/>
          </w:r>
          <w:r w:rsidRPr="004B1B5C">
            <w:rPr>
              <w:noProof w:val="0"/>
              <w:lang w:val="es-ES_tradnl"/>
            </w:rPr>
            <w:t>/</w:t>
          </w:r>
          <w:r w:rsidRPr="004B1B5C">
            <w:rPr>
              <w:noProof w:val="0"/>
              <w:lang w:val="es-ES_tradnl"/>
            </w:rPr>
            <w:fldChar w:fldCharType="begin"/>
          </w:r>
          <w:r w:rsidRPr="004B1B5C">
            <w:rPr>
              <w:noProof w:val="0"/>
              <w:lang w:val="es-ES_tradnl"/>
            </w:rPr>
            <w:instrText xml:space="preserve"> NUMPAGES  \* Arabic  \* MERGEFORMAT </w:instrText>
          </w:r>
          <w:r w:rsidRPr="004B1B5C">
            <w:rPr>
              <w:noProof w:val="0"/>
              <w:lang w:val="es-ES_tradnl"/>
            </w:rPr>
            <w:fldChar w:fldCharType="separate"/>
          </w:r>
          <w:r w:rsidRPr="004B1B5C">
            <w:rPr>
              <w:noProof w:val="0"/>
              <w:lang w:val="es-ES_tradnl"/>
            </w:rPr>
            <w:t>4</w:t>
          </w:r>
          <w:r w:rsidRPr="004B1B5C">
            <w:rPr>
              <w:noProof w:val="0"/>
              <w:lang w:val="es-ES_tradnl"/>
            </w:rPr>
            <w:fldChar w:fldCharType="end"/>
          </w:r>
        </w:p>
      </w:tc>
    </w:tr>
  </w:tbl>
  <w:p w14:paraId="74214FD5" w14:textId="77777777" w:rsidR="00CC6E5B" w:rsidRPr="004B1B5C" w:rsidRDefault="00CC6E5B" w:rsidP="00CC6E5B">
    <w:pPr>
      <w:pStyle w:val="Footer"/>
      <w:rPr>
        <w:noProof w:val="0"/>
        <w:lang w:val="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F7B87" w14:textId="39BB160C" w:rsidR="00CC6E5B" w:rsidRPr="004B1B5C" w:rsidRDefault="00CC6E5B" w:rsidP="00CC6E5B">
    <w:pPr>
      <w:pStyle w:val="Footer"/>
      <w:spacing w:line="120" w:lineRule="exact"/>
      <w:rPr>
        <w:b w:val="0"/>
        <w:noProof w:val="0"/>
        <w:sz w:val="10"/>
        <w:lang w:val="es-ES_tradnl"/>
      </w:rPr>
    </w:pPr>
    <w:r w:rsidRPr="004B1B5C">
      <w:rPr>
        <w:b w:val="0"/>
        <w:sz w:val="10"/>
        <w:lang w:val="es-ES_tradnl"/>
      </w:rPr>
      <w:drawing>
        <wp:anchor distT="0" distB="0" distL="114300" distR="114300" simplePos="0" relativeHeight="251658240" behindDoc="0" locked="0" layoutInCell="1" allowOverlap="1" wp14:anchorId="0A97F6E9" wp14:editId="3D702D4F">
          <wp:simplePos x="0" y="0"/>
          <wp:positionH relativeFrom="column">
            <wp:posOffset>5568315</wp:posOffset>
          </wp:positionH>
          <wp:positionV relativeFrom="paragraph">
            <wp:posOffset>-283210</wp:posOffset>
          </wp:positionV>
          <wp:extent cx="694690" cy="694690"/>
          <wp:effectExtent l="0" t="0" r="0" b="0"/>
          <wp:wrapNone/>
          <wp:docPr id="8868649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C6E5B" w:rsidRPr="006C5D80" w14:paraId="16007969" w14:textId="77777777" w:rsidTr="00CC6E5B">
      <w:tc>
        <w:tcPr>
          <w:tcW w:w="3830" w:type="dxa"/>
          <w:shd w:val="clear" w:color="auto" w:fill="auto"/>
        </w:tcPr>
        <w:p w14:paraId="30287FD5" w14:textId="1B846A59" w:rsidR="00CC6E5B" w:rsidRPr="004B1B5C" w:rsidRDefault="00CC6E5B" w:rsidP="00CC6E5B">
          <w:pPr>
            <w:pStyle w:val="ReleaseDate"/>
            <w:rPr>
              <w:lang w:val="es-ES_tradnl"/>
            </w:rPr>
          </w:pPr>
          <w:r w:rsidRPr="004B1B5C">
            <w:rPr>
              <w:lang w:val="es-ES_tradnl"/>
            </w:rPr>
            <w:t>25-00699 (</w:t>
          </w:r>
          <w:proofErr w:type="gramStart"/>
          <w:r w:rsidRPr="004B1B5C">
            <w:rPr>
              <w:lang w:val="es-ES_tradnl"/>
            </w:rPr>
            <w:t xml:space="preserve">S)   </w:t>
          </w:r>
          <w:proofErr w:type="gramEnd"/>
          <w:r w:rsidRPr="004B1B5C">
            <w:rPr>
              <w:lang w:val="es-ES_tradnl"/>
            </w:rPr>
            <w:t xml:space="preserve"> </w:t>
          </w:r>
          <w:r w:rsidR="00555941">
            <w:rPr>
              <w:lang w:val="es-ES_tradnl"/>
            </w:rPr>
            <w:t>31</w:t>
          </w:r>
          <w:r w:rsidRPr="004B1B5C">
            <w:rPr>
              <w:lang w:val="es-ES_tradnl"/>
            </w:rPr>
            <w:t>0</w:t>
          </w:r>
          <w:r w:rsidR="00555941">
            <w:rPr>
              <w:lang w:val="es-ES_tradnl"/>
            </w:rPr>
            <w:t>1</w:t>
          </w:r>
          <w:r w:rsidRPr="004B1B5C">
            <w:rPr>
              <w:lang w:val="es-ES_tradnl"/>
            </w:rPr>
            <w:t>25    0</w:t>
          </w:r>
          <w:r w:rsidR="00555941">
            <w:rPr>
              <w:lang w:val="es-ES_tradnl"/>
            </w:rPr>
            <w:t>2</w:t>
          </w:r>
          <w:r w:rsidRPr="004B1B5C">
            <w:rPr>
              <w:lang w:val="es-ES_tradnl"/>
            </w:rPr>
            <w:t>0</w:t>
          </w:r>
          <w:r w:rsidR="00555941">
            <w:rPr>
              <w:lang w:val="es-ES_tradnl"/>
            </w:rPr>
            <w:t>4</w:t>
          </w:r>
          <w:r w:rsidRPr="004B1B5C">
            <w:rPr>
              <w:lang w:val="es-ES_tradnl"/>
            </w:rPr>
            <w:t>25</w:t>
          </w:r>
        </w:p>
        <w:p w14:paraId="001F8134" w14:textId="1CBCD830" w:rsidR="00CC6E5B" w:rsidRPr="004B1B5C" w:rsidRDefault="00CC6E5B" w:rsidP="00CC6E5B">
          <w:pPr>
            <w:pStyle w:val="Footer"/>
            <w:spacing w:before="80" w:line="210" w:lineRule="exact"/>
            <w:rPr>
              <w:rFonts w:ascii="Barcode 3 of 9 by request" w:hAnsi="Barcode 3 of 9 by request"/>
              <w:b w:val="0"/>
              <w:noProof w:val="0"/>
              <w:sz w:val="24"/>
              <w:lang w:val="es-ES_tradnl"/>
            </w:rPr>
          </w:pPr>
          <w:r w:rsidRPr="004B1B5C">
            <w:rPr>
              <w:rFonts w:ascii="Barcode 3 of 9 by request" w:hAnsi="Barcode 3 of 9 by request"/>
              <w:noProof w:val="0"/>
              <w:sz w:val="24"/>
              <w:lang w:val="es-ES_tradnl"/>
            </w:rPr>
            <w:t>*2500699*</w:t>
          </w:r>
        </w:p>
      </w:tc>
      <w:tc>
        <w:tcPr>
          <w:tcW w:w="4920" w:type="dxa"/>
          <w:shd w:val="clear" w:color="auto" w:fill="auto"/>
          <w:vAlign w:val="bottom"/>
        </w:tcPr>
        <w:p w14:paraId="53AC59DE" w14:textId="0883B43F" w:rsidR="00CC6E5B" w:rsidRPr="004B1B5C" w:rsidRDefault="00CC6E5B" w:rsidP="00CC6E5B">
          <w:pPr>
            <w:pStyle w:val="Footer"/>
            <w:ind w:right="115"/>
            <w:jc w:val="right"/>
            <w:rPr>
              <w:b w:val="0"/>
              <w:noProof w:val="0"/>
              <w:sz w:val="20"/>
              <w:lang w:val="es-ES_tradnl"/>
            </w:rPr>
          </w:pPr>
          <w:r w:rsidRPr="004B1B5C">
            <w:rPr>
              <w:b w:val="0"/>
              <w:sz w:val="20"/>
              <w:lang w:val="es-ES_tradnl"/>
            </w:rPr>
            <w:drawing>
              <wp:inline distT="0" distB="0" distL="0" distR="0" wp14:anchorId="3FA6794D" wp14:editId="58B294A9">
                <wp:extent cx="1082042" cy="231648"/>
                <wp:effectExtent l="0" t="0" r="3810" b="0"/>
                <wp:docPr id="744583112" name="Picture 2"/>
                <wp:cNvGraphicFramePr/>
                <a:graphic xmlns:a="http://schemas.openxmlformats.org/drawingml/2006/main">
                  <a:graphicData uri="http://schemas.openxmlformats.org/drawingml/2006/picture">
                    <pic:pic xmlns:pic="http://schemas.openxmlformats.org/drawingml/2006/picture">
                      <pic:nvPicPr>
                        <pic:cNvPr id="74458311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0697418" w14:textId="77777777" w:rsidR="00CC6E5B" w:rsidRPr="004B1B5C" w:rsidRDefault="00CC6E5B" w:rsidP="00CC6E5B">
    <w:pPr>
      <w:pStyle w:val="Footer"/>
      <w:spacing w:line="56" w:lineRule="auto"/>
      <w:rPr>
        <w:b w:val="0"/>
        <w:noProof w:val="0"/>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F4B5F" w14:textId="77777777" w:rsidR="00F44849" w:rsidRPr="006C5D80" w:rsidRDefault="00F44849" w:rsidP="00331D20">
      <w:r w:rsidRPr="006C5D80">
        <w:separator/>
      </w:r>
    </w:p>
  </w:footnote>
  <w:footnote w:type="continuationSeparator" w:id="0">
    <w:p w14:paraId="636A88C6" w14:textId="77777777" w:rsidR="00F44849" w:rsidRPr="006C5D80" w:rsidRDefault="00F44849" w:rsidP="00331D20">
      <w:r w:rsidRPr="006C5D8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6E5B" w:rsidRPr="006C5D80" w14:paraId="1ABA6C9F" w14:textId="77777777" w:rsidTr="00CC6E5B">
      <w:trPr>
        <w:trHeight w:hRule="exact" w:val="864"/>
      </w:trPr>
      <w:tc>
        <w:tcPr>
          <w:tcW w:w="4920" w:type="dxa"/>
          <w:shd w:val="clear" w:color="auto" w:fill="auto"/>
          <w:vAlign w:val="bottom"/>
        </w:tcPr>
        <w:p w14:paraId="276D3349" w14:textId="3E32E9EC" w:rsidR="00CC6E5B" w:rsidRPr="004B1B5C" w:rsidRDefault="00CC6E5B" w:rsidP="00CC6E5B">
          <w:pPr>
            <w:pStyle w:val="Header"/>
            <w:spacing w:after="80"/>
            <w:rPr>
              <w:b/>
              <w:noProof w:val="0"/>
              <w:lang w:val="es-ES_tradnl"/>
            </w:rPr>
          </w:pPr>
          <w:r w:rsidRPr="004B1B5C">
            <w:rPr>
              <w:b/>
              <w:noProof w:val="0"/>
              <w:lang w:val="es-ES_tradnl"/>
            </w:rPr>
            <w:fldChar w:fldCharType="begin"/>
          </w:r>
          <w:r w:rsidRPr="004B1B5C">
            <w:rPr>
              <w:b/>
              <w:noProof w:val="0"/>
              <w:lang w:val="es-ES_tradnl"/>
            </w:rPr>
            <w:instrText xml:space="preserve"> DOCVARIABLE "Symbol1" \* MERGEFORMAT </w:instrText>
          </w:r>
          <w:r w:rsidRPr="004B1B5C">
            <w:rPr>
              <w:b/>
              <w:noProof w:val="0"/>
              <w:lang w:val="es-ES_tradnl"/>
            </w:rPr>
            <w:fldChar w:fldCharType="separate"/>
          </w:r>
          <w:r w:rsidRPr="004B1B5C">
            <w:rPr>
              <w:b/>
              <w:noProof w:val="0"/>
              <w:lang w:val="es-ES_tradnl"/>
            </w:rPr>
            <w:t>CEDAW/C/FJI/6</w:t>
          </w:r>
          <w:r w:rsidRPr="004B1B5C">
            <w:rPr>
              <w:b/>
              <w:noProof w:val="0"/>
              <w:lang w:val="es-ES_tradnl"/>
            </w:rPr>
            <w:fldChar w:fldCharType="end"/>
          </w:r>
        </w:p>
      </w:tc>
      <w:tc>
        <w:tcPr>
          <w:tcW w:w="4920" w:type="dxa"/>
          <w:shd w:val="clear" w:color="auto" w:fill="auto"/>
          <w:vAlign w:val="bottom"/>
        </w:tcPr>
        <w:p w14:paraId="23554EBD" w14:textId="77777777" w:rsidR="00CC6E5B" w:rsidRPr="004B1B5C" w:rsidRDefault="00CC6E5B" w:rsidP="00CC6E5B">
          <w:pPr>
            <w:pStyle w:val="Header"/>
            <w:rPr>
              <w:noProof w:val="0"/>
              <w:lang w:val="es-ES_tradnl"/>
            </w:rPr>
          </w:pPr>
        </w:p>
      </w:tc>
    </w:tr>
  </w:tbl>
  <w:p w14:paraId="2BC6DF3E" w14:textId="77777777" w:rsidR="00CC6E5B" w:rsidRPr="004B1B5C" w:rsidRDefault="00CC6E5B" w:rsidP="00CC6E5B">
    <w:pPr>
      <w:pStyle w:val="Header"/>
      <w:rPr>
        <w:noProof w:val="0"/>
        <w:lang w:val="es-ES_trad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C6E5B" w:rsidRPr="006C5D80" w14:paraId="393F6D6F" w14:textId="77777777" w:rsidTr="00CC6E5B">
      <w:trPr>
        <w:trHeight w:hRule="exact" w:val="864"/>
      </w:trPr>
      <w:tc>
        <w:tcPr>
          <w:tcW w:w="4920" w:type="dxa"/>
          <w:shd w:val="clear" w:color="auto" w:fill="auto"/>
          <w:vAlign w:val="bottom"/>
        </w:tcPr>
        <w:p w14:paraId="7FE31DFB" w14:textId="77777777" w:rsidR="00CC6E5B" w:rsidRPr="004B1B5C" w:rsidRDefault="00CC6E5B" w:rsidP="00CC6E5B">
          <w:pPr>
            <w:pStyle w:val="Header"/>
            <w:rPr>
              <w:noProof w:val="0"/>
              <w:lang w:val="es-ES_tradnl"/>
            </w:rPr>
          </w:pPr>
        </w:p>
      </w:tc>
      <w:tc>
        <w:tcPr>
          <w:tcW w:w="4920" w:type="dxa"/>
          <w:shd w:val="clear" w:color="auto" w:fill="auto"/>
          <w:vAlign w:val="bottom"/>
        </w:tcPr>
        <w:p w14:paraId="47022B2E" w14:textId="2275DBC3" w:rsidR="00CC6E5B" w:rsidRPr="004B1B5C" w:rsidRDefault="00CC6E5B" w:rsidP="00CC6E5B">
          <w:pPr>
            <w:pStyle w:val="Header"/>
            <w:spacing w:after="80"/>
            <w:jc w:val="right"/>
            <w:rPr>
              <w:b/>
              <w:noProof w:val="0"/>
              <w:lang w:val="es-ES_tradnl"/>
            </w:rPr>
          </w:pPr>
          <w:r w:rsidRPr="004B1B5C">
            <w:rPr>
              <w:b/>
              <w:noProof w:val="0"/>
              <w:lang w:val="es-ES_tradnl"/>
            </w:rPr>
            <w:fldChar w:fldCharType="begin"/>
          </w:r>
          <w:r w:rsidRPr="004B1B5C">
            <w:rPr>
              <w:b/>
              <w:noProof w:val="0"/>
              <w:lang w:val="es-ES_tradnl"/>
            </w:rPr>
            <w:instrText xml:space="preserve"> DOCVARIABLE "Symbol1" \* MERGEFORMAT </w:instrText>
          </w:r>
          <w:r w:rsidRPr="004B1B5C">
            <w:rPr>
              <w:b/>
              <w:noProof w:val="0"/>
              <w:lang w:val="es-ES_tradnl"/>
            </w:rPr>
            <w:fldChar w:fldCharType="separate"/>
          </w:r>
          <w:r w:rsidRPr="004B1B5C">
            <w:rPr>
              <w:b/>
              <w:noProof w:val="0"/>
              <w:lang w:val="es-ES_tradnl"/>
            </w:rPr>
            <w:t>CEDAW/C/FJI/6</w:t>
          </w:r>
          <w:r w:rsidRPr="004B1B5C">
            <w:rPr>
              <w:b/>
              <w:noProof w:val="0"/>
              <w:lang w:val="es-ES_tradnl"/>
            </w:rPr>
            <w:fldChar w:fldCharType="end"/>
          </w:r>
        </w:p>
      </w:tc>
    </w:tr>
  </w:tbl>
  <w:p w14:paraId="7B5FECDF" w14:textId="77777777" w:rsidR="00CC6E5B" w:rsidRPr="004B1B5C" w:rsidRDefault="00CC6E5B" w:rsidP="00CC6E5B">
    <w:pPr>
      <w:pStyle w:val="Header"/>
      <w:rPr>
        <w:noProof w:val="0"/>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C6E5B" w:rsidRPr="006C5D80" w14:paraId="7C5EACD9" w14:textId="77777777" w:rsidTr="00CC6E5B">
      <w:trPr>
        <w:gridAfter w:val="1"/>
        <w:wAfter w:w="15" w:type="dxa"/>
        <w:trHeight w:hRule="exact" w:val="864"/>
      </w:trPr>
      <w:tc>
        <w:tcPr>
          <w:tcW w:w="1267" w:type="dxa"/>
          <w:tcBorders>
            <w:bottom w:val="single" w:sz="4" w:space="0" w:color="auto"/>
          </w:tcBorders>
          <w:shd w:val="clear" w:color="auto" w:fill="auto"/>
          <w:vAlign w:val="bottom"/>
        </w:tcPr>
        <w:p w14:paraId="071AF252" w14:textId="77777777" w:rsidR="00CC6E5B" w:rsidRPr="004B1B5C" w:rsidRDefault="00CC6E5B" w:rsidP="00CC6E5B">
          <w:pPr>
            <w:pStyle w:val="Header"/>
            <w:spacing w:after="120"/>
            <w:rPr>
              <w:noProof w:val="0"/>
              <w:lang w:val="es-ES_tradnl"/>
            </w:rPr>
          </w:pPr>
        </w:p>
      </w:tc>
      <w:tc>
        <w:tcPr>
          <w:tcW w:w="2059" w:type="dxa"/>
          <w:tcBorders>
            <w:bottom w:val="single" w:sz="4" w:space="0" w:color="auto"/>
          </w:tcBorders>
          <w:shd w:val="clear" w:color="auto" w:fill="auto"/>
          <w:vAlign w:val="bottom"/>
        </w:tcPr>
        <w:p w14:paraId="2FCEDA4E" w14:textId="79DF8CE8" w:rsidR="00CC6E5B" w:rsidRPr="006C5D80" w:rsidRDefault="00CC6E5B" w:rsidP="00CC6E5B">
          <w:pPr>
            <w:pStyle w:val="HCh"/>
            <w:spacing w:after="80"/>
            <w:rPr>
              <w:b w:val="0"/>
              <w:spacing w:val="2"/>
              <w:w w:val="96"/>
            </w:rPr>
          </w:pPr>
          <w:r w:rsidRPr="006C5D80">
            <w:rPr>
              <w:b w:val="0"/>
              <w:spacing w:val="2"/>
              <w:w w:val="96"/>
            </w:rPr>
            <w:t>Naciones Unidas</w:t>
          </w:r>
        </w:p>
      </w:tc>
      <w:tc>
        <w:tcPr>
          <w:tcW w:w="58" w:type="dxa"/>
          <w:tcBorders>
            <w:bottom w:val="single" w:sz="4" w:space="0" w:color="auto"/>
          </w:tcBorders>
          <w:shd w:val="clear" w:color="auto" w:fill="auto"/>
          <w:vAlign w:val="bottom"/>
        </w:tcPr>
        <w:p w14:paraId="2D99A3C0" w14:textId="77777777" w:rsidR="00CC6E5B" w:rsidRPr="004B1B5C" w:rsidRDefault="00CC6E5B" w:rsidP="00CC6E5B">
          <w:pPr>
            <w:pStyle w:val="Header"/>
            <w:spacing w:after="120"/>
            <w:rPr>
              <w:noProof w:val="0"/>
              <w:lang w:val="es-ES_tradnl"/>
            </w:rPr>
          </w:pPr>
        </w:p>
      </w:tc>
      <w:tc>
        <w:tcPr>
          <w:tcW w:w="6480" w:type="dxa"/>
          <w:gridSpan w:val="3"/>
          <w:tcBorders>
            <w:bottom w:val="single" w:sz="4" w:space="0" w:color="auto"/>
          </w:tcBorders>
          <w:shd w:val="clear" w:color="auto" w:fill="auto"/>
          <w:vAlign w:val="bottom"/>
        </w:tcPr>
        <w:p w14:paraId="7A2BC62D" w14:textId="3EC94585" w:rsidR="00CC6E5B" w:rsidRPr="006C5D80" w:rsidRDefault="00CC6E5B" w:rsidP="00CC6E5B">
          <w:pPr>
            <w:spacing w:after="80" w:line="240" w:lineRule="auto"/>
            <w:jc w:val="right"/>
            <w:rPr>
              <w:position w:val="-4"/>
            </w:rPr>
          </w:pPr>
          <w:r w:rsidRPr="006C5D80">
            <w:rPr>
              <w:position w:val="-4"/>
              <w:sz w:val="40"/>
            </w:rPr>
            <w:t>CEDAW</w:t>
          </w:r>
          <w:r w:rsidRPr="006C5D80">
            <w:rPr>
              <w:position w:val="-4"/>
            </w:rPr>
            <w:t>/C/FJI/6</w:t>
          </w:r>
        </w:p>
      </w:tc>
    </w:tr>
    <w:tr w:rsidR="00CC6E5B" w:rsidRPr="006C5D80" w14:paraId="481572BD" w14:textId="77777777" w:rsidTr="00CC6E5B">
      <w:trPr>
        <w:trHeight w:hRule="exact" w:val="2880"/>
      </w:trPr>
      <w:tc>
        <w:tcPr>
          <w:tcW w:w="1267" w:type="dxa"/>
          <w:tcBorders>
            <w:top w:val="single" w:sz="4" w:space="0" w:color="auto"/>
            <w:bottom w:val="single" w:sz="12" w:space="0" w:color="auto"/>
          </w:tcBorders>
          <w:shd w:val="clear" w:color="auto" w:fill="auto"/>
        </w:tcPr>
        <w:p w14:paraId="5719EE73" w14:textId="025775E4" w:rsidR="00CC6E5B" w:rsidRPr="004B1B5C" w:rsidRDefault="00CC6E5B" w:rsidP="00CC6E5B">
          <w:pPr>
            <w:pStyle w:val="Header"/>
            <w:spacing w:before="120"/>
            <w:jc w:val="center"/>
            <w:rPr>
              <w:noProof w:val="0"/>
              <w:lang w:val="es-ES_tradnl"/>
            </w:rPr>
          </w:pPr>
          <w:r w:rsidRPr="004B1B5C">
            <w:rPr>
              <w:noProof w:val="0"/>
              <w:lang w:val="es-ES_tradnl"/>
            </w:rPr>
            <w:t xml:space="preserve"> </w:t>
          </w:r>
          <w:r w:rsidRPr="004B1B5C">
            <w:rPr>
              <w:lang w:val="es-ES_tradnl"/>
            </w:rPr>
            <w:drawing>
              <wp:inline distT="0" distB="0" distL="0" distR="0" wp14:anchorId="705255B6" wp14:editId="475DD498">
                <wp:extent cx="713232" cy="597103"/>
                <wp:effectExtent l="0" t="0" r="0" b="0"/>
                <wp:docPr id="731491391" name="Picture 1"/>
                <wp:cNvGraphicFramePr/>
                <a:graphic xmlns:a="http://schemas.openxmlformats.org/drawingml/2006/main">
                  <a:graphicData uri="http://schemas.openxmlformats.org/drawingml/2006/picture">
                    <pic:pic xmlns:pic="http://schemas.openxmlformats.org/drawingml/2006/picture">
                      <pic:nvPicPr>
                        <pic:cNvPr id="73149139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8DDA818" w14:textId="75B1A7AD" w:rsidR="00CC6E5B" w:rsidRPr="006C5D80" w:rsidRDefault="00CC6E5B" w:rsidP="00CC6E5B">
          <w:pPr>
            <w:pStyle w:val="XLarge"/>
            <w:spacing w:before="160"/>
            <w:rPr>
              <w:w w:val="103"/>
            </w:rPr>
          </w:pPr>
          <w:r w:rsidRPr="006C5D80">
            <w:rPr>
              <w:w w:val="103"/>
            </w:rPr>
            <w:t>Convención sobre la</w:t>
          </w:r>
          <w:r w:rsidRPr="006C5D80">
            <w:rPr>
              <w:w w:val="103"/>
            </w:rPr>
            <w:br/>
            <w:t>Eliminación de Todas las</w:t>
          </w:r>
          <w:r w:rsidRPr="006C5D80">
            <w:rPr>
              <w:w w:val="103"/>
            </w:rPr>
            <w:br/>
            <w:t>Formas de Discriminación</w:t>
          </w:r>
          <w:r w:rsidRPr="006C5D80">
            <w:rPr>
              <w:w w:val="103"/>
            </w:rPr>
            <w:br/>
            <w:t>contra la Mujer</w:t>
          </w:r>
        </w:p>
      </w:tc>
      <w:tc>
        <w:tcPr>
          <w:tcW w:w="245" w:type="dxa"/>
          <w:tcBorders>
            <w:top w:val="single" w:sz="4" w:space="0" w:color="auto"/>
            <w:bottom w:val="single" w:sz="12" w:space="0" w:color="auto"/>
          </w:tcBorders>
          <w:shd w:val="clear" w:color="auto" w:fill="auto"/>
        </w:tcPr>
        <w:p w14:paraId="0A864CEE" w14:textId="77777777" w:rsidR="00CC6E5B" w:rsidRPr="004B1B5C" w:rsidRDefault="00CC6E5B" w:rsidP="00CC6E5B">
          <w:pPr>
            <w:pStyle w:val="Header"/>
            <w:spacing w:before="109"/>
            <w:rPr>
              <w:noProof w:val="0"/>
              <w:lang w:val="es-ES_tradnl"/>
            </w:rPr>
          </w:pPr>
        </w:p>
      </w:tc>
      <w:tc>
        <w:tcPr>
          <w:tcW w:w="3140" w:type="dxa"/>
          <w:gridSpan w:val="2"/>
          <w:tcBorders>
            <w:top w:val="single" w:sz="4" w:space="0" w:color="auto"/>
            <w:bottom w:val="single" w:sz="12" w:space="0" w:color="auto"/>
          </w:tcBorders>
          <w:shd w:val="clear" w:color="auto" w:fill="auto"/>
        </w:tcPr>
        <w:p w14:paraId="1768F4C1" w14:textId="77777777" w:rsidR="00CC6E5B" w:rsidRPr="004B1B5C" w:rsidRDefault="00CC6E5B" w:rsidP="00CC6E5B">
          <w:pPr>
            <w:pStyle w:val="Distribution"/>
            <w:spacing w:before="240"/>
            <w:rPr>
              <w:lang w:val="es-ES_tradnl"/>
            </w:rPr>
          </w:pPr>
          <w:r w:rsidRPr="004B1B5C">
            <w:rPr>
              <w:lang w:val="es-ES_tradnl"/>
            </w:rPr>
            <w:t>Distr. general</w:t>
          </w:r>
        </w:p>
        <w:p w14:paraId="4D7D3FDA" w14:textId="77777777" w:rsidR="00CC6E5B" w:rsidRPr="004B1B5C" w:rsidRDefault="00CC6E5B" w:rsidP="00CC6E5B">
          <w:pPr>
            <w:pStyle w:val="Publication"/>
            <w:rPr>
              <w:lang w:val="es-ES_tradnl"/>
            </w:rPr>
          </w:pPr>
          <w:r w:rsidRPr="004B1B5C">
            <w:rPr>
              <w:lang w:val="es-ES_tradnl"/>
            </w:rPr>
            <w:t>17 de enero de 2025</w:t>
          </w:r>
        </w:p>
        <w:p w14:paraId="70774C00" w14:textId="77777777" w:rsidR="00CC6E5B" w:rsidRPr="006C5D80" w:rsidRDefault="00CC6E5B" w:rsidP="00CC6E5B">
          <w:r w:rsidRPr="006C5D80">
            <w:t>Español</w:t>
          </w:r>
        </w:p>
        <w:p w14:paraId="247B7CF4" w14:textId="77777777" w:rsidR="00CC6E5B" w:rsidRPr="004B1B5C" w:rsidRDefault="00CC6E5B" w:rsidP="00CC6E5B">
          <w:pPr>
            <w:pStyle w:val="Original"/>
            <w:rPr>
              <w:lang w:val="es-ES_tradnl"/>
            </w:rPr>
          </w:pPr>
          <w:r w:rsidRPr="004B1B5C">
            <w:rPr>
              <w:lang w:val="es-ES_tradnl"/>
            </w:rPr>
            <w:t>Original: inglés</w:t>
          </w:r>
        </w:p>
        <w:p w14:paraId="5D420061" w14:textId="785FB5AD" w:rsidR="00CC6E5B" w:rsidRPr="004B1B5C" w:rsidRDefault="00330D8A" w:rsidP="00CC6E5B">
          <w:r w:rsidRPr="006C5D80">
            <w:t>Espa</w:t>
          </w:r>
          <w:r w:rsidRPr="004B1B5C">
            <w:t>ñol, francés e inglés únicamente</w:t>
          </w:r>
        </w:p>
      </w:tc>
    </w:tr>
  </w:tbl>
  <w:p w14:paraId="58084D1C" w14:textId="77777777" w:rsidR="00CC6E5B" w:rsidRPr="004B1B5C" w:rsidRDefault="00CC6E5B" w:rsidP="00CC6E5B">
    <w:pPr>
      <w:pStyle w:val="Header"/>
      <w:rPr>
        <w:noProof w:val="0"/>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766A1D"/>
    <w:multiLevelType w:val="hybridMultilevel"/>
    <w:tmpl w:val="C30A0DBA"/>
    <w:lvl w:ilvl="0" w:tplc="0916EE9A">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1"/>
  </w:num>
  <w:num w:numId="8" w16cid:durableId="1679231921">
    <w:abstractNumId w:val="6"/>
  </w:num>
  <w:num w:numId="9" w16cid:durableId="1031536774">
    <w:abstractNumId w:val="10"/>
  </w:num>
  <w:num w:numId="10" w16cid:durableId="1877236076">
    <w:abstractNumId w:val="9"/>
  </w:num>
  <w:num w:numId="11" w16cid:durableId="1461075889">
    <w:abstractNumId w:val="8"/>
  </w:num>
  <w:num w:numId="12" w16cid:durableId="395209252">
    <w:abstractNumId w:val="5"/>
    <w:lvlOverride w:ilvl="0">
      <w:lvl w:ilvl="0" w:tplc="0916EE9A">
        <w:start w:val="1"/>
        <w:numFmt w:val="decimal"/>
        <w:lvlRestart w:val="0"/>
        <w:lvlText w:val="%1."/>
        <w:lvlJc w:val="left"/>
        <w:pPr>
          <w:tabs>
            <w:tab w:val="num" w:pos="475"/>
          </w:tabs>
          <w:ind w:left="0" w:firstLine="0"/>
        </w:pPr>
        <w:rPr>
          <w:b w:val="0"/>
          <w:bCs/>
          <w:spacing w:val="0"/>
          <w:w w:val="100"/>
        </w:rPr>
      </w:lvl>
    </w:lvlOverride>
  </w:num>
  <w:num w:numId="13" w16cid:durableId="842596407">
    <w:abstractNumId w:val="5"/>
    <w:lvlOverride w:ilvl="0">
      <w:lvl w:ilvl="0" w:tplc="0916EE9A">
        <w:start w:val="1"/>
        <w:numFmt w:val="decimal"/>
        <w:lvlRestart w:val="0"/>
        <w:lvlText w:val="%1."/>
        <w:lvlJc w:val="left"/>
        <w:pPr>
          <w:tabs>
            <w:tab w:val="num" w:pos="475"/>
          </w:tabs>
          <w:ind w:left="0" w:firstLine="0"/>
        </w:pPr>
        <w:rPr>
          <w:b w:val="0"/>
          <w:bCs/>
          <w:spacing w:val="0"/>
          <w:w w:val="100"/>
        </w:rPr>
      </w:lvl>
    </w:lvlOverride>
  </w:num>
  <w:num w:numId="14" w16cid:durableId="18783884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15" w16cid:durableId="163108854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16" w16cid:durableId="107632030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17" w16cid:durableId="93436601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18" w16cid:durableId="51203904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19" w16cid:durableId="100690678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0" w16cid:durableId="4503629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1" w16cid:durableId="164515965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2" w16cid:durableId="129382292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3" w16cid:durableId="16221132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4" w16cid:durableId="103115117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5" w16cid:durableId="126997144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6" w16cid:durableId="2079209238">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7" w16cid:durableId="207273290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8" w16cid:durableId="1913352230">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29" w16cid:durableId="1468628340">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0" w16cid:durableId="135334175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1" w16cid:durableId="172721515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2" w16cid:durableId="124525724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3" w16cid:durableId="191184283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4" w16cid:durableId="111728688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5" w16cid:durableId="73158299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6" w16cid:durableId="193023344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7" w16cid:durableId="110785198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8" w16cid:durableId="56263733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39" w16cid:durableId="150963684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0" w16cid:durableId="14971292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1" w16cid:durableId="27040399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2" w16cid:durableId="79826077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3" w16cid:durableId="61690714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4" w16cid:durableId="187238229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5" w16cid:durableId="23390177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6" w16cid:durableId="112219420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7" w16cid:durableId="109709386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8" w16cid:durableId="207238377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49" w16cid:durableId="21674515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0" w16cid:durableId="213085539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1" w16cid:durableId="52101939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2" w16cid:durableId="84548324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3" w16cid:durableId="134474603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4" w16cid:durableId="83056270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5" w16cid:durableId="79194789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6" w16cid:durableId="87642875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7" w16cid:durableId="161752527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8" w16cid:durableId="186228008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59" w16cid:durableId="136421147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0" w16cid:durableId="149753007">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1" w16cid:durableId="25378233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2" w16cid:durableId="101168435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3" w16cid:durableId="37161552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4" w16cid:durableId="43622037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5" w16cid:durableId="88895853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6" w16cid:durableId="81784034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7" w16cid:durableId="95455395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8" w16cid:durableId="110037233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69" w16cid:durableId="868072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0" w16cid:durableId="27448818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1" w16cid:durableId="604774274">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2" w16cid:durableId="1123571027">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3" w16cid:durableId="92229848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4" w16cid:durableId="191601325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5" w16cid:durableId="213250568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6" w16cid:durableId="123254047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7" w16cid:durableId="648824248">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8" w16cid:durableId="22888105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79" w16cid:durableId="8592637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0" w16cid:durableId="207154064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1" w16cid:durableId="1771700380">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2" w16cid:durableId="20240197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3" w16cid:durableId="86490119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4" w16cid:durableId="115980795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5" w16cid:durableId="34637265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6" w16cid:durableId="121507957">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7" w16cid:durableId="92577165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8" w16cid:durableId="1458177790">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89" w16cid:durableId="125451513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0" w16cid:durableId="1106736137">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1" w16cid:durableId="1768186898">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2" w16cid:durableId="2056656965">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3" w16cid:durableId="236865869">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4" w16cid:durableId="683629081">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5" w16cid:durableId="1968393793">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6" w16cid:durableId="1585147566">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7" w16cid:durableId="520123418">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8" w16cid:durableId="1813668528">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 w:numId="99" w16cid:durableId="1898584472">
    <w:abstractNumId w:val="5"/>
    <w:lvlOverride w:ilvl="0">
      <w:lvl w:ilvl="0" w:tplc="0916EE9A">
        <w:start w:val="1"/>
        <w:numFmt w:val="decimal"/>
        <w:lvlRestart w:val="0"/>
        <w:lvlText w:val="%1."/>
        <w:lvlJc w:val="left"/>
        <w:pPr>
          <w:tabs>
            <w:tab w:val="num" w:pos="475"/>
          </w:tabs>
          <w:ind w:left="0" w:firstLine="0"/>
        </w:pPr>
        <w:rPr>
          <w:spacing w:val="0"/>
          <w:w w:val="100"/>
        </w:rPr>
      </w:lvl>
    </w:lvlOverride>
  </w:num>
  <w:numIdMacAtCleanup w:val="9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0699*"/>
    <w:docVar w:name="CreationDt" w:val="3/7/2025 3:40: PM"/>
    <w:docVar w:name="DocCategory" w:val="Doc"/>
    <w:docVar w:name="DocType" w:val="Final"/>
    <w:docVar w:name="DutyStation" w:val="New York"/>
    <w:docVar w:name="FooterJN" w:val="25-00699"/>
    <w:docVar w:name="jobn" w:val="25-00699 (S)"/>
    <w:docVar w:name="jobnDT" w:val="25-00699 (S)   070325"/>
    <w:docVar w:name="jobnDTDT" w:val="25-00699 (S)   070325   070325"/>
    <w:docVar w:name="JobNo" w:val="2500699S"/>
    <w:docVar w:name="JobNo2" w:val="25012023:40: PM"/>
    <w:docVar w:name="LocalDrive" w:val="-1"/>
    <w:docVar w:name="OandT" w:val="NB/J. PEDREYRA"/>
    <w:docVar w:name="sss1" w:val="CEDAW/C/FJI/6"/>
    <w:docVar w:name="sss2" w:val="-"/>
    <w:docVar w:name="Symbol1" w:val="CEDAW/C/FJI/6"/>
    <w:docVar w:name="Symbol2" w:val="-"/>
    <w:docVar w:name="Title1" w:val="_x0009__x0009_Sexto informe periódico que Fiji debía presentar en 2023 en virtud del artículo 18 de la Convención*, **, ***_x000d_"/>
  </w:docVars>
  <w:rsids>
    <w:rsidRoot w:val="000107DF"/>
    <w:rsid w:val="00001169"/>
    <w:rsid w:val="00001967"/>
    <w:rsid w:val="000107DF"/>
    <w:rsid w:val="00042E46"/>
    <w:rsid w:val="0004573C"/>
    <w:rsid w:val="000520B0"/>
    <w:rsid w:val="00076569"/>
    <w:rsid w:val="000A2D7A"/>
    <w:rsid w:val="000C3B65"/>
    <w:rsid w:val="00105618"/>
    <w:rsid w:val="00113CAD"/>
    <w:rsid w:val="00116C5B"/>
    <w:rsid w:val="001325B0"/>
    <w:rsid w:val="00140D02"/>
    <w:rsid w:val="00142BE0"/>
    <w:rsid w:val="00151F81"/>
    <w:rsid w:val="00163CA3"/>
    <w:rsid w:val="0017076D"/>
    <w:rsid w:val="00171CDD"/>
    <w:rsid w:val="00174638"/>
    <w:rsid w:val="001978D5"/>
    <w:rsid w:val="001A0D84"/>
    <w:rsid w:val="001B644A"/>
    <w:rsid w:val="001D5284"/>
    <w:rsid w:val="001E2706"/>
    <w:rsid w:val="001E6191"/>
    <w:rsid w:val="001E68B7"/>
    <w:rsid w:val="0023682E"/>
    <w:rsid w:val="00247400"/>
    <w:rsid w:val="0027492E"/>
    <w:rsid w:val="002934E4"/>
    <w:rsid w:val="002A2EA6"/>
    <w:rsid w:val="002B27BE"/>
    <w:rsid w:val="002E75EA"/>
    <w:rsid w:val="002F457C"/>
    <w:rsid w:val="00322389"/>
    <w:rsid w:val="00330D8A"/>
    <w:rsid w:val="00331D20"/>
    <w:rsid w:val="00336212"/>
    <w:rsid w:val="00336BB6"/>
    <w:rsid w:val="00365FD7"/>
    <w:rsid w:val="0038296E"/>
    <w:rsid w:val="00394200"/>
    <w:rsid w:val="003E5E54"/>
    <w:rsid w:val="003F0C3B"/>
    <w:rsid w:val="003F75F8"/>
    <w:rsid w:val="00402C08"/>
    <w:rsid w:val="00425C41"/>
    <w:rsid w:val="00437288"/>
    <w:rsid w:val="00454441"/>
    <w:rsid w:val="0047638E"/>
    <w:rsid w:val="004839FC"/>
    <w:rsid w:val="00490FFB"/>
    <w:rsid w:val="00495E7B"/>
    <w:rsid w:val="0049669D"/>
    <w:rsid w:val="004A5989"/>
    <w:rsid w:val="004B1B5C"/>
    <w:rsid w:val="004C01B2"/>
    <w:rsid w:val="004F5722"/>
    <w:rsid w:val="004F7F92"/>
    <w:rsid w:val="0054211F"/>
    <w:rsid w:val="00555941"/>
    <w:rsid w:val="005610B1"/>
    <w:rsid w:val="005636D1"/>
    <w:rsid w:val="00564EE1"/>
    <w:rsid w:val="00585D51"/>
    <w:rsid w:val="00593383"/>
    <w:rsid w:val="00597C74"/>
    <w:rsid w:val="005C4D4A"/>
    <w:rsid w:val="005C6E6E"/>
    <w:rsid w:val="005D4F00"/>
    <w:rsid w:val="006052CD"/>
    <w:rsid w:val="00612B67"/>
    <w:rsid w:val="0064045A"/>
    <w:rsid w:val="00685674"/>
    <w:rsid w:val="006879FA"/>
    <w:rsid w:val="0069077F"/>
    <w:rsid w:val="006B3578"/>
    <w:rsid w:val="006C177D"/>
    <w:rsid w:val="006C5D80"/>
    <w:rsid w:val="006C7738"/>
    <w:rsid w:val="006F654D"/>
    <w:rsid w:val="007132D2"/>
    <w:rsid w:val="00727155"/>
    <w:rsid w:val="007301D2"/>
    <w:rsid w:val="007633C9"/>
    <w:rsid w:val="007647AC"/>
    <w:rsid w:val="0077380F"/>
    <w:rsid w:val="00777D58"/>
    <w:rsid w:val="007B4CD6"/>
    <w:rsid w:val="007D73F0"/>
    <w:rsid w:val="00804163"/>
    <w:rsid w:val="008138CB"/>
    <w:rsid w:val="0082117D"/>
    <w:rsid w:val="00831FFC"/>
    <w:rsid w:val="0085161A"/>
    <w:rsid w:val="00855B12"/>
    <w:rsid w:val="00863195"/>
    <w:rsid w:val="00871053"/>
    <w:rsid w:val="00877270"/>
    <w:rsid w:val="0088056D"/>
    <w:rsid w:val="00891DCB"/>
    <w:rsid w:val="008A0875"/>
    <w:rsid w:val="008A2590"/>
    <w:rsid w:val="008B028D"/>
    <w:rsid w:val="008C1E3F"/>
    <w:rsid w:val="008C2383"/>
    <w:rsid w:val="008D347F"/>
    <w:rsid w:val="008E0D24"/>
    <w:rsid w:val="008F11CA"/>
    <w:rsid w:val="00920633"/>
    <w:rsid w:val="0094121B"/>
    <w:rsid w:val="009B00E9"/>
    <w:rsid w:val="009B68C4"/>
    <w:rsid w:val="009B6A98"/>
    <w:rsid w:val="009D349F"/>
    <w:rsid w:val="009D56BA"/>
    <w:rsid w:val="009E5C80"/>
    <w:rsid w:val="00A3673C"/>
    <w:rsid w:val="00A63245"/>
    <w:rsid w:val="00A71D2B"/>
    <w:rsid w:val="00A72797"/>
    <w:rsid w:val="00A746E5"/>
    <w:rsid w:val="00AA29EE"/>
    <w:rsid w:val="00B125A0"/>
    <w:rsid w:val="00B15CA9"/>
    <w:rsid w:val="00B21911"/>
    <w:rsid w:val="00B23849"/>
    <w:rsid w:val="00B272FA"/>
    <w:rsid w:val="00B27698"/>
    <w:rsid w:val="00B43769"/>
    <w:rsid w:val="00B54E27"/>
    <w:rsid w:val="00B62FAE"/>
    <w:rsid w:val="00B6364A"/>
    <w:rsid w:val="00B7299C"/>
    <w:rsid w:val="00B76463"/>
    <w:rsid w:val="00B901FD"/>
    <w:rsid w:val="00BA49F5"/>
    <w:rsid w:val="00BC2C8A"/>
    <w:rsid w:val="00BC34DD"/>
    <w:rsid w:val="00BF3193"/>
    <w:rsid w:val="00C03FD2"/>
    <w:rsid w:val="00C05B47"/>
    <w:rsid w:val="00C15E2B"/>
    <w:rsid w:val="00C16A02"/>
    <w:rsid w:val="00C16D72"/>
    <w:rsid w:val="00C174A0"/>
    <w:rsid w:val="00C358FE"/>
    <w:rsid w:val="00C37370"/>
    <w:rsid w:val="00C60123"/>
    <w:rsid w:val="00C6119A"/>
    <w:rsid w:val="00C7207E"/>
    <w:rsid w:val="00CC2D86"/>
    <w:rsid w:val="00CC6E5B"/>
    <w:rsid w:val="00CD18DD"/>
    <w:rsid w:val="00CD2C2A"/>
    <w:rsid w:val="00CD4B6C"/>
    <w:rsid w:val="00CD64B1"/>
    <w:rsid w:val="00CE35F9"/>
    <w:rsid w:val="00D0049D"/>
    <w:rsid w:val="00D03B8C"/>
    <w:rsid w:val="00D1565F"/>
    <w:rsid w:val="00D21571"/>
    <w:rsid w:val="00D23FFB"/>
    <w:rsid w:val="00D409D0"/>
    <w:rsid w:val="00D431AE"/>
    <w:rsid w:val="00D57D59"/>
    <w:rsid w:val="00D727C4"/>
    <w:rsid w:val="00D73309"/>
    <w:rsid w:val="00D83D01"/>
    <w:rsid w:val="00DA5455"/>
    <w:rsid w:val="00DB0712"/>
    <w:rsid w:val="00DB652C"/>
    <w:rsid w:val="00DC67FB"/>
    <w:rsid w:val="00DC7AA5"/>
    <w:rsid w:val="00DE254A"/>
    <w:rsid w:val="00DE79DB"/>
    <w:rsid w:val="00DF66CF"/>
    <w:rsid w:val="00DF7D76"/>
    <w:rsid w:val="00E43250"/>
    <w:rsid w:val="00E548DF"/>
    <w:rsid w:val="00E54C79"/>
    <w:rsid w:val="00E603F0"/>
    <w:rsid w:val="00E675E4"/>
    <w:rsid w:val="00E8036E"/>
    <w:rsid w:val="00E934E5"/>
    <w:rsid w:val="00EA1709"/>
    <w:rsid w:val="00EE314B"/>
    <w:rsid w:val="00EE46F2"/>
    <w:rsid w:val="00F05AC4"/>
    <w:rsid w:val="00F07BE3"/>
    <w:rsid w:val="00F44849"/>
    <w:rsid w:val="00F45E58"/>
    <w:rsid w:val="00F561AD"/>
    <w:rsid w:val="00F6412A"/>
    <w:rsid w:val="00F65F4F"/>
    <w:rsid w:val="00F722E0"/>
    <w:rsid w:val="00F77447"/>
    <w:rsid w:val="00F81DB3"/>
    <w:rsid w:val="00F854A9"/>
    <w:rsid w:val="00F854EE"/>
    <w:rsid w:val="00F9091B"/>
    <w:rsid w:val="00F94262"/>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5D893"/>
  <w15:chartTrackingRefBased/>
  <w15:docId w15:val="{2974A9EE-59EC-422B-9B01-CE67D6CC9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0107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7D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01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7D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01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07DF"/>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0107DF"/>
    <w:pPr>
      <w:ind w:left="720"/>
      <w:contextualSpacing/>
    </w:pPr>
  </w:style>
  <w:style w:type="character" w:styleId="IntenseEmphasis">
    <w:name w:val="Intense Emphasis"/>
    <w:basedOn w:val="DefaultParagraphFont"/>
    <w:uiPriority w:val="21"/>
    <w:qFormat/>
    <w:rsid w:val="000107DF"/>
    <w:rPr>
      <w:i/>
      <w:iCs/>
      <w:color w:val="2F5496" w:themeColor="accent1" w:themeShade="BF"/>
    </w:rPr>
  </w:style>
  <w:style w:type="paragraph" w:styleId="IntenseQuote">
    <w:name w:val="Intense Quote"/>
    <w:basedOn w:val="Normal"/>
    <w:next w:val="Normal"/>
    <w:link w:val="IntenseQuoteChar"/>
    <w:uiPriority w:val="30"/>
    <w:qFormat/>
    <w:rsid w:val="000107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07DF"/>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0107DF"/>
    <w:rPr>
      <w:b/>
      <w:bCs/>
      <w:smallCaps/>
      <w:color w:val="2F5496" w:themeColor="accent1" w:themeShade="BF"/>
      <w:spacing w:val="5"/>
    </w:rPr>
  </w:style>
  <w:style w:type="paragraph" w:styleId="CommentText">
    <w:name w:val="annotation text"/>
    <w:basedOn w:val="Normal"/>
    <w:link w:val="CommentTextChar"/>
    <w:uiPriority w:val="99"/>
    <w:unhideWhenUsed/>
    <w:rsid w:val="00CC6E5B"/>
    <w:pPr>
      <w:spacing w:line="240" w:lineRule="auto"/>
    </w:pPr>
    <w:rPr>
      <w:szCs w:val="20"/>
    </w:rPr>
  </w:style>
  <w:style w:type="character" w:customStyle="1" w:styleId="CommentTextChar">
    <w:name w:val="Comment Text Char"/>
    <w:basedOn w:val="DefaultParagraphFont"/>
    <w:link w:val="CommentText"/>
    <w:uiPriority w:val="99"/>
    <w:rsid w:val="00CC6E5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C6E5B"/>
    <w:rPr>
      <w:b/>
      <w:bCs/>
    </w:rPr>
  </w:style>
  <w:style w:type="character" w:customStyle="1" w:styleId="CommentSubjectChar">
    <w:name w:val="Comment Subject Char"/>
    <w:basedOn w:val="CommentTextChar"/>
    <w:link w:val="CommentSubject"/>
    <w:uiPriority w:val="99"/>
    <w:semiHidden/>
    <w:rsid w:val="00CC6E5B"/>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6C5D8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es/S/RES/1325(2000)" TargetMode="External"/><Relationship Id="rId3" Type="http://schemas.openxmlformats.org/officeDocument/2006/relationships/customXml" Target="../customXml/item3.xml"/><Relationship Id="rId21" Type="http://schemas.openxmlformats.org/officeDocument/2006/relationships/hyperlink" Target="https://docs.un.org/es/CEDAW/C/FJI/QPR/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www.rbf.gov.fj/wp-content/uploads/2022/03/MSMECGS-Guidelines_Mar2022.pdf"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mwcsp.gov.fj/wp-content/uploads/2023/04/0227_DeepDive_SINGLE_PAGES.pdf"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bit.ly/3KgcmRp" TargetMode="External"/><Relationship Id="rId28"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s/CEDAW/C/FJI/QPR/6"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C23A09-E8D8-49CE-965C-089E887BD938}">
  <ds:schemaRefs>
    <ds:schemaRef ds:uri="http://schemas.openxmlformats.org/officeDocument/2006/bibliography"/>
  </ds:schemaRefs>
</ds:datastoreItem>
</file>

<file path=customXml/itemProps4.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13</TotalTime>
  <Pages>46</Pages>
  <Words>25406</Words>
  <Characters>144817</Characters>
  <Application>Microsoft Office Word</Application>
  <DocSecurity>0</DocSecurity>
  <Lines>1206</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Norma Bevis</cp:lastModifiedBy>
  <cp:revision>7</cp:revision>
  <dcterms:created xsi:type="dcterms:W3CDTF">2025-04-02T14:41:00Z</dcterms:created>
  <dcterms:modified xsi:type="dcterms:W3CDTF">2025-04-02T14:55:00Z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2500699</vt:lpwstr>
  </property>
  <property fmtid="{D5CDD505-2E9C-101B-9397-08002B2CF9AE}" pid="3" name="ODSRefJobNo">
    <vt:lpwstr>2501202S</vt:lpwstr>
  </property>
  <property fmtid="{D5CDD505-2E9C-101B-9397-08002B2CF9AE}" pid="4" name="Symbol1">
    <vt:lpwstr>CEDAW/C/FJI/6</vt:lpwstr>
  </property>
  <property fmtid="{D5CDD505-2E9C-101B-9397-08002B2CF9AE}" pid="5" name="Symbol2">
    <vt:lpwstr/>
  </property>
  <property fmtid="{D5CDD505-2E9C-101B-9397-08002B2CF9AE}" pid="6" name="DocType">
    <vt:lpwstr>F</vt:lpwstr>
  </property>
  <property fmtid="{D5CDD505-2E9C-101B-9397-08002B2CF9AE}" pid="7" name="Category">
    <vt:lpwstr>Document</vt:lpwstr>
  </property>
  <property fmtid="{D5CDD505-2E9C-101B-9397-08002B2CF9AE}" pid="8" name="Language">
    <vt:lpwstr>Spanish</vt:lpwstr>
  </property>
  <property fmtid="{D5CDD505-2E9C-101B-9397-08002B2CF9AE}" pid="9" name="Comment">
    <vt:lpwstr/>
  </property>
  <property fmtid="{D5CDD505-2E9C-101B-9397-08002B2CF9AE}" pid="10" name="DraftPages">
    <vt:lpwstr> </vt:lpwstr>
  </property>
  <property fmtid="{D5CDD505-2E9C-101B-9397-08002B2CF9AE}" pid="11" name="Operator">
    <vt:lpwstr>NB</vt:lpwstr>
  </property>
  <property fmtid="{D5CDD505-2E9C-101B-9397-08002B2CF9AE}" pid="12" name="Translator">
    <vt:lpwstr>J. PEDREYRA</vt:lpwstr>
  </property>
  <property fmtid="{D5CDD505-2E9C-101B-9397-08002B2CF9AE}" pid="13" name="Title1">
    <vt:lpwstr>		Sexto informe periódico que Fiji debía presentar en 2023 en virtud del artículo 18 de la Convención*, **, ***_x000d_</vt:lpwstr>
  </property>
</Properties>
</file>