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Тридцать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648-м заседании,</w:t>
      </w:r>
    </w:p>
    <w:p w:rsidR="00000000" w:rsidRDefault="00000000">
      <w:r>
        <w:t>состоявшемся в Центральных учреждениях, Нью-Йорк, во вторник, 6 июля 2004 года, в 10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г-жа 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Открытие сессии</w:t>
      </w:r>
    </w:p>
    <w:p w:rsidR="00000000" w:rsidRDefault="00000000">
      <w:pPr>
        <w:pStyle w:val="SingleTxt"/>
        <w:suppressAutoHyphens/>
        <w:jc w:val="left"/>
      </w:pPr>
      <w:r>
        <w:t>Выборы должностных лиц</w:t>
      </w:r>
    </w:p>
    <w:p w:rsidR="00000000" w:rsidRDefault="00000000">
      <w:pPr>
        <w:pStyle w:val="SingleTxt"/>
        <w:suppressAutoHyphens/>
        <w:jc w:val="left"/>
      </w:pPr>
      <w:r>
        <w:t>Утверждение повестки дня и организация работы</w:t>
      </w:r>
    </w:p>
    <w:p w:rsidR="00000000" w:rsidRDefault="00000000">
      <w:pPr>
        <w:pStyle w:val="SingleTxt"/>
        <w:suppressAutoHyphens/>
        <w:jc w:val="left"/>
      </w:pPr>
      <w:r>
        <w:t>Доклад Председателя о мероприятиях, проведенных в период между тридцатой и тридцать первой сессиями Комитета</w:t>
      </w: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 18 Конвенции</w:t>
      </w:r>
    </w:p>
    <w:p w:rsidR="00000000" w:rsidRDefault="00000000">
      <w:pPr>
        <w:pStyle w:val="SingleTxt"/>
        <w:suppressAutoHyphens/>
        <w:jc w:val="left"/>
      </w:pPr>
      <w:r>
        <w:t>Осуществление статьи 21 Конвенции</w:t>
      </w:r>
    </w:p>
    <w:p w:rsidR="00000000" w:rsidRDefault="00000000">
      <w:pPr>
        <w:pStyle w:val="SingleTxt"/>
        <w:suppressAutoHyphens/>
        <w:jc w:val="left"/>
      </w:pPr>
      <w:r>
        <w:t>Пути и средства повышения оперативности в работе Комитета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SingleTxt"/>
        <w:spacing w:after="0" w:line="240" w:lineRule="auto"/>
        <w:jc w:val="left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 ч. 15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Открытие сессии</w:t>
      </w:r>
    </w:p>
    <w:p w:rsidR="00000000" w:rsidRDefault="00000000">
      <w:pPr>
        <w:pStyle w:val="DualTxt"/>
        <w:spacing w:after="0" w:line="120" w:lineRule="exact"/>
        <w:rPr>
          <w:b/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b/>
        </w:rPr>
        <w:t>Председатель</w:t>
      </w:r>
      <w:r>
        <w:t xml:space="preserve"> объявляет тридцать первую сессию Комитета по ликвидации дискриминации в отнош</w:t>
      </w:r>
      <w:r>
        <w:t>е</w:t>
      </w:r>
      <w:r>
        <w:t>нии женщин открытой.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Г-жа Ханнан</w:t>
      </w:r>
      <w:r>
        <w:t xml:space="preserve"> (Директор Отдела по улучш</w:t>
      </w:r>
      <w:r>
        <w:t>е</w:t>
      </w:r>
      <w:r>
        <w:t>нию положения женщин) информирует Комитет о мероприятиях, имеющих отношение к его работе, а также о деятельности Отдела по улучшению пол</w:t>
      </w:r>
      <w:r>
        <w:t>о</w:t>
      </w:r>
      <w:r>
        <w:t>жения женщин и Канцелярии Специального сове</w:t>
      </w:r>
      <w:r>
        <w:t>т</w:t>
      </w:r>
      <w:r>
        <w:t>ника по гендерным вопросам и улучшению полож</w:t>
      </w:r>
      <w:r>
        <w:t>е</w:t>
      </w:r>
      <w:r>
        <w:t>ния женщин, осуществленной со времени пред</w:t>
      </w:r>
      <w:r>
        <w:t>ы</w:t>
      </w:r>
      <w:r>
        <w:t>дущей сессии Комитета в январе 2004 года. На св</w:t>
      </w:r>
      <w:r>
        <w:t>о</w:t>
      </w:r>
      <w:r>
        <w:t>ей сорок восьмой сессии в марте 2004 года Коми</w:t>
      </w:r>
      <w:r>
        <w:t>с</w:t>
      </w:r>
      <w:r>
        <w:t>сия по положению женщин утвердила согласова</w:t>
      </w:r>
      <w:r>
        <w:t>н</w:t>
      </w:r>
      <w:r>
        <w:t>ные выводы по двум тематическим вопросам: «Роль мужчин и мальчиков в достижении равенства между мужчинами и женщинами» и «Участие женщин в предупреждении, регулировании и разрешении конфликтов и в постконфликтном миростроител</w:t>
      </w:r>
      <w:r>
        <w:t>ь</w:t>
      </w:r>
      <w:r>
        <w:t>стве», а также приняла семь резолюций, включая резолюцию о положении женщин и девочек в Афг</w:t>
      </w:r>
      <w:r>
        <w:t>а</w:t>
      </w:r>
      <w:r>
        <w:t>нист</w:t>
      </w:r>
      <w:r>
        <w:t>а</w:t>
      </w:r>
      <w:r>
        <w:t>не.</w:t>
      </w:r>
    </w:p>
    <w:p w:rsidR="00000000" w:rsidRDefault="00000000">
      <w:pPr>
        <w:pStyle w:val="DualTxt"/>
      </w:pPr>
      <w:r>
        <w:t>3.</w:t>
      </w:r>
      <w:r>
        <w:tab/>
        <w:t>Комиссия также достигла договоренности о</w:t>
      </w:r>
      <w:r>
        <w:t>т</w:t>
      </w:r>
      <w:r>
        <w:t>носительно подготовки к своей сорок девятой се</w:t>
      </w:r>
      <w:r>
        <w:t>с</w:t>
      </w:r>
      <w:r>
        <w:t>сии в 2005 году, на которой основное внимание б</w:t>
      </w:r>
      <w:r>
        <w:t>у</w:t>
      </w:r>
      <w:r>
        <w:t>дет уделено обзору прогресса, достигнутого в ос</w:t>
      </w:r>
      <w:r>
        <w:t>у</w:t>
      </w:r>
      <w:r>
        <w:t>ществлении Пекинской платформы действий и ит</w:t>
      </w:r>
      <w:r>
        <w:t>о</w:t>
      </w:r>
      <w:r>
        <w:t>гового документа двадцать третьей специальной сессии Генеральной Ассамблеи в 2000 году. В ходе совещания «за круглым столом» высокого уровня по вопросу о пробелах и проблемах в определении прогресса в области осуществления участники по</w:t>
      </w:r>
      <w:r>
        <w:t>д</w:t>
      </w:r>
      <w:r>
        <w:t>черкнули важное значение статистической инфо</w:t>
      </w:r>
      <w:r>
        <w:t>р</w:t>
      </w:r>
      <w:r>
        <w:t>мации при выполнении обязательств по предста</w:t>
      </w:r>
      <w:r>
        <w:t>в</w:t>
      </w:r>
      <w:r>
        <w:t>лению докладов в соответствии с Конвенцией и о</w:t>
      </w:r>
      <w:r>
        <w:t>т</w:t>
      </w:r>
      <w:r>
        <w:t>метили тот факт, что методологические недостатки и отсутствие или нехватка предоставляемых данных приводят к получению неточной информации, что, в свою очередь, может привести к выработке неве</w:t>
      </w:r>
      <w:r>
        <w:t>р</w:t>
      </w:r>
      <w:r>
        <w:t>ной политики. В ряде резолюций, принятых на ше</w:t>
      </w:r>
      <w:r>
        <w:t>с</w:t>
      </w:r>
      <w:r>
        <w:t>тидесятой сессии Комиссии по правам человека, состоявшейся в марте и апреле 2004 года, соде</w:t>
      </w:r>
      <w:r>
        <w:t>р</w:t>
      </w:r>
      <w:r>
        <w:t>жатся конкретные ссылки на Конвенцию и Факул</w:t>
      </w:r>
      <w:r>
        <w:t>ь</w:t>
      </w:r>
      <w:r>
        <w:t>тативный протокол к ней. Кроме того, своим реш</w:t>
      </w:r>
      <w:r>
        <w:t>е</w:t>
      </w:r>
      <w:r>
        <w:t>нием 2004/110 Комиссия постановила назначить Специального докладчика, мандат которого будет главным образом касаться тех аспектов незаконной торговли людьми, особенно женщинами и детьми, которые связаны с правами человека.</w:t>
      </w:r>
    </w:p>
    <w:p w:rsidR="00000000" w:rsidRDefault="00000000">
      <w:pPr>
        <w:pStyle w:val="DualTxt"/>
      </w:pPr>
      <w:r>
        <w:t>4.</w:t>
      </w:r>
      <w:r>
        <w:tab/>
        <w:t>Касаясь изменений в статусе Конвенции для отдельных государств-участников, которые пр</w:t>
      </w:r>
      <w:r>
        <w:t>о</w:t>
      </w:r>
      <w:r>
        <w:t>изошли со времени предыдущей сессии Комитета, она отмечает, что Кирибати и Свазиленд ратифиц</w:t>
      </w:r>
      <w:r>
        <w:t>и</w:t>
      </w:r>
      <w:r>
        <w:t>ровали Конвенцию, в результате чего общее число государств — участников Конвенции достигло 177, и что еще три государства — Беларусь, Бельгия и Ливийская Арабская Джамахирия – ратифициров</w:t>
      </w:r>
      <w:r>
        <w:t>а</w:t>
      </w:r>
      <w:r>
        <w:t>ли Факультативный протокол к Конвенции, в р</w:t>
      </w:r>
      <w:r>
        <w:t>е</w:t>
      </w:r>
      <w:r>
        <w:t>зультате чего общее число государств – участников Факультативного протокола достигло 62. Кроме т</w:t>
      </w:r>
      <w:r>
        <w:t>о</w:t>
      </w:r>
      <w:r>
        <w:t>го, Ирландия приняла поправку к пункту 1 ст</w:t>
      </w:r>
      <w:r>
        <w:t>а</w:t>
      </w:r>
      <w:r>
        <w:t>тьи 20 Конвенции, в результате чего общее число государств, принявших эту поправку, достигло 44, а два государства — Швейцария и Ирландия — сняли свои оговорки в отнош</w:t>
      </w:r>
      <w:r>
        <w:t>е</w:t>
      </w:r>
      <w:r>
        <w:t>нии Конвенции.</w:t>
      </w:r>
    </w:p>
    <w:p w:rsidR="00000000" w:rsidRDefault="00000000">
      <w:pPr>
        <w:pStyle w:val="DualTxt"/>
      </w:pPr>
      <w:r>
        <w:t>5.</w:t>
      </w:r>
      <w:r>
        <w:tab/>
        <w:t>В мае 2004 года был проведен ряд заслуж</w:t>
      </w:r>
      <w:r>
        <w:t>и</w:t>
      </w:r>
      <w:r>
        <w:t>вающих внимания мероприятий. Отдел по улучш</w:t>
      </w:r>
      <w:r>
        <w:t>е</w:t>
      </w:r>
      <w:r>
        <w:t>нию положения женщин в сотрудничестве с Экон</w:t>
      </w:r>
      <w:r>
        <w:t>о</w:t>
      </w:r>
      <w:r>
        <w:t>мической и социальной комиссией для Азии и Т</w:t>
      </w:r>
      <w:r>
        <w:t>и</w:t>
      </w:r>
      <w:r>
        <w:t>хого океана (ЭСКАТО) провел семинар в Алматы, Казахстан, по вопросу о представлении докладов в соответствии с Конвенцией. Этот Отдел также пр</w:t>
      </w:r>
      <w:r>
        <w:t>о</w:t>
      </w:r>
      <w:r>
        <w:t>вел в городе Нассау трехдневный коллоквиум по вопросу о применении международных стандартов в области прав человека на национальном уровне. В работе коллоквиума приняли участие 22 судебных работника из 11 стран региона, а также наблюдат</w:t>
      </w:r>
      <w:r>
        <w:t>е</w:t>
      </w:r>
      <w:r>
        <w:t>ли от Карибского сообщества (КАРИКОМ), Экон</w:t>
      </w:r>
      <w:r>
        <w:t>о</w:t>
      </w:r>
      <w:r>
        <w:t>мической комиссии для Латинской Америки и К</w:t>
      </w:r>
      <w:r>
        <w:t>а</w:t>
      </w:r>
      <w:r>
        <w:t>рибского бассейна (ЭКЛАК) и Управления Верхо</w:t>
      </w:r>
      <w:r>
        <w:t>в</w:t>
      </w:r>
      <w:r>
        <w:t>ного комиссара Организации Объединенных Наций по делам беженцев (УВКБ). В ходе обсуждений на этом коллоквиуме основное внимание было уделено рассмотрению тех возможностей и средств суде</w:t>
      </w:r>
      <w:r>
        <w:t>б</w:t>
      </w:r>
      <w:r>
        <w:t>ной защиты, которые имеются в рамках междун</w:t>
      </w:r>
      <w:r>
        <w:t>а</w:t>
      </w:r>
      <w:r>
        <w:t>родных стандартов в области прав человека, и ос</w:t>
      </w:r>
      <w:r>
        <w:t>о</w:t>
      </w:r>
      <w:r>
        <w:t>бенно в соответствии с Конвенцией, с тем чтобы обеспечить достижение равенства в таких областях, как гражданство, супружество и семейные отнош</w:t>
      </w:r>
      <w:r>
        <w:t>е</w:t>
      </w:r>
      <w:r>
        <w:t>ния и насилие в о</w:t>
      </w:r>
      <w:r>
        <w:t>т</w:t>
      </w:r>
      <w:r>
        <w:t>ношении женщин.</w:t>
      </w:r>
    </w:p>
    <w:p w:rsidR="00000000" w:rsidRDefault="00000000">
      <w:pPr>
        <w:pStyle w:val="DualTxt"/>
      </w:pPr>
      <w:r>
        <w:t>6.</w:t>
      </w:r>
      <w:r>
        <w:tab/>
        <w:t>Также в мае месяце Отдел провел в городе Нассау учебный семинар для сотрудников госуда</w:t>
      </w:r>
      <w:r>
        <w:t>р</w:t>
      </w:r>
      <w:r>
        <w:t>ственных учреждений, отвечающих за представл</w:t>
      </w:r>
      <w:r>
        <w:t>е</w:t>
      </w:r>
      <w:r>
        <w:t>ние докладов в соответствии с Конвенцией. К числу других недавних мероприятий, посвященных улу</w:t>
      </w:r>
      <w:r>
        <w:t>ч</w:t>
      </w:r>
      <w:r>
        <w:t>шению осуществления Конвенции, относились по</w:t>
      </w:r>
      <w:r>
        <w:t>д</w:t>
      </w:r>
      <w:r>
        <w:t>готовка документа зала заседаний о деятельности Комиссии по положению женщин и Комитета, к</w:t>
      </w:r>
      <w:r>
        <w:t>а</w:t>
      </w:r>
      <w:r>
        <w:t>сающейся положения женщин из числа коренных народов, для Постоянного форума по вопросам к</w:t>
      </w:r>
      <w:r>
        <w:t>о</w:t>
      </w:r>
      <w:r>
        <w:t>ренных народов; проведение брифинга для орган</w:t>
      </w:r>
      <w:r>
        <w:t>и</w:t>
      </w:r>
      <w:r>
        <w:t>заций коренных народов по вопросу о Факульт</w:t>
      </w:r>
      <w:r>
        <w:t>а</w:t>
      </w:r>
      <w:r>
        <w:t>тивном протоколе как механизме защиты прав ч</w:t>
      </w:r>
      <w:r>
        <w:t>е</w:t>
      </w:r>
      <w:r>
        <w:t>ловека женщин из числа коренных народов; и по</w:t>
      </w:r>
      <w:r>
        <w:t>д</w:t>
      </w:r>
      <w:r>
        <w:t>готовка документа о Конвенции и сформулирова</w:t>
      </w:r>
      <w:r>
        <w:t>н</w:t>
      </w:r>
      <w:r>
        <w:t>ных в Декларации тысячелетия целях в области развития для Проекта тысячелетия Организации Объединенных Наций.</w:t>
      </w:r>
    </w:p>
    <w:p w:rsidR="00000000" w:rsidRDefault="00000000">
      <w:pPr>
        <w:pStyle w:val="DualTxt"/>
      </w:pPr>
      <w:r>
        <w:t>7.</w:t>
      </w:r>
      <w:r>
        <w:tab/>
        <w:t>Касаясь подготовки к проведению Комиссией в 2005 году обзора хода осуществления Пекинской платформы действий и итогового документа дв</w:t>
      </w:r>
      <w:r>
        <w:t>а</w:t>
      </w:r>
      <w:r>
        <w:t>дцать третьей специальной сессии Генеральной А</w:t>
      </w:r>
      <w:r>
        <w:t>с</w:t>
      </w:r>
      <w:r>
        <w:t>самблеи, она отмечает, что 86 государств-членов ответили на подготовленный Секретариатом соо</w:t>
      </w:r>
      <w:r>
        <w:t>т</w:t>
      </w:r>
      <w:r>
        <w:t>ветствующий вопросник и что Комиссия проанал</w:t>
      </w:r>
      <w:r>
        <w:t>и</w:t>
      </w:r>
      <w:r>
        <w:t>зирует представленные ответы, с тем чтобы в</w:t>
      </w:r>
      <w:r>
        <w:t>ы</w:t>
      </w:r>
      <w:r>
        <w:t>явить тенденции и проблемы в отношении 12 ва</w:t>
      </w:r>
      <w:r>
        <w:t>ж</w:t>
      </w:r>
      <w:r>
        <w:t>нейших проблемных областей, перечисленных в Платформе. В политическом плане Комитет будет главным образом заинтересован в получении и</w:t>
      </w:r>
      <w:r>
        <w:t>н</w:t>
      </w:r>
      <w:r>
        <w:t>формации о тех важнейших проблемных областях, которые касаются прав человека женщин, насилия в отношении женщин и незаконной торговли людьми.</w:t>
      </w: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Выборы должностных лиц</w:t>
      </w:r>
    </w:p>
    <w:p w:rsidR="00000000" w:rsidRDefault="00000000">
      <w:pPr>
        <w:pStyle w:val="DualTxt"/>
        <w:spacing w:after="0" w:line="120" w:lineRule="exact"/>
        <w:rPr>
          <w:b/>
          <w:sz w:val="10"/>
        </w:rPr>
      </w:pP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 xml:space="preserve">Председатель </w:t>
      </w:r>
      <w:r>
        <w:t>предлагает Комитету избрать До</w:t>
      </w:r>
      <w:r>
        <w:t>к</w:t>
      </w:r>
      <w:r>
        <w:t>ладчика.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i/>
        </w:rPr>
        <w:t>Г-жа Кваку избирается Докладчиком путем аккл</w:t>
      </w:r>
      <w:r>
        <w:rPr>
          <w:i/>
        </w:rPr>
        <w:t>а</w:t>
      </w:r>
      <w:r>
        <w:rPr>
          <w:i/>
        </w:rPr>
        <w:t>мации</w:t>
      </w:r>
      <w:r>
        <w:t>.</w:t>
      </w: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Утверждение повестки дня и организация работы </w:t>
      </w:r>
      <w:r>
        <w:rPr>
          <w:b w:val="0"/>
        </w:rPr>
        <w:t>(CEDAW/C/2004/II/1)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10.</w:t>
      </w:r>
      <w:r>
        <w:rPr>
          <w:b/>
        </w:rPr>
        <w:tab/>
      </w:r>
      <w:r>
        <w:rPr>
          <w:i/>
        </w:rPr>
        <w:t>Предварительная повестка дня и организация работы (CEDAW/C/2004/II/1) утве</w:t>
      </w:r>
      <w:r>
        <w:rPr>
          <w:i/>
        </w:rPr>
        <w:t>р</w:t>
      </w:r>
      <w:r>
        <w:rPr>
          <w:i/>
        </w:rPr>
        <w:t>ждаются</w:t>
      </w:r>
      <w:r>
        <w:t>.</w:t>
      </w: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Доклад Председателя о мероприятиях, проведенных в период между тридцатой и тридцать первой се</w:t>
      </w:r>
      <w:r>
        <w:t>с</w:t>
      </w:r>
      <w:r>
        <w:t>сиями Комитета</w:t>
      </w:r>
    </w:p>
    <w:p w:rsidR="00000000" w:rsidRDefault="00000000">
      <w:pPr>
        <w:pStyle w:val="DualTxt"/>
        <w:spacing w:after="0" w:line="120" w:lineRule="exact"/>
        <w:rPr>
          <w:b/>
          <w:sz w:val="10"/>
        </w:rPr>
      </w:pP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 xml:space="preserve">Председатель </w:t>
      </w:r>
      <w:r>
        <w:t>говорит, что в соответствии с установленной практикой, она приняла участие в работе сорок восьмой сессии Комиссии по полож</w:t>
      </w:r>
      <w:r>
        <w:t>е</w:t>
      </w:r>
      <w:r>
        <w:t>нию женщин в марте месяце и выступила с докл</w:t>
      </w:r>
      <w:r>
        <w:t>а</w:t>
      </w:r>
      <w:r>
        <w:t>дом о результатах работы тридцатой сессии Ком</w:t>
      </w:r>
      <w:r>
        <w:t>и</w:t>
      </w:r>
      <w:r>
        <w:t>тета. В частности, она проинформировала Коми</w:t>
      </w:r>
      <w:r>
        <w:t>с</w:t>
      </w:r>
      <w:r>
        <w:t>сию о рассмотрении Комитетом докладов восьми государств-участников, о принятии общей рекоме</w:t>
      </w:r>
      <w:r>
        <w:t>н</w:t>
      </w:r>
      <w:r>
        <w:t>дации 25, касающейся пункта 1 статьи 4 Конве</w:t>
      </w:r>
      <w:r>
        <w:t>н</w:t>
      </w:r>
      <w:r>
        <w:t>ции, о планах проведения неофициального засед</w:t>
      </w:r>
      <w:r>
        <w:t>а</w:t>
      </w:r>
      <w:r>
        <w:t>ния по методам работы, о предложениях Комитета по празднованию двадцать пятой годовщины пр</w:t>
      </w:r>
      <w:r>
        <w:t>и</w:t>
      </w:r>
      <w:r>
        <w:t>нятия Конвенции Генеральной Ассамблеей и о з</w:t>
      </w:r>
      <w:r>
        <w:t>а</w:t>
      </w:r>
      <w:r>
        <w:t>явлении Комитета о положении женщин в Ираке.</w:t>
      </w:r>
    </w:p>
    <w:p w:rsidR="00000000" w:rsidRDefault="00000000">
      <w:pPr>
        <w:pStyle w:val="DualTxt"/>
      </w:pPr>
      <w:r>
        <w:t>12.</w:t>
      </w:r>
      <w:r>
        <w:tab/>
        <w:t>Она также представила информацию о ра</w:t>
      </w:r>
      <w:r>
        <w:t>с</w:t>
      </w:r>
      <w:r>
        <w:t>смотрении Комитетом различных возможных вар</w:t>
      </w:r>
      <w:r>
        <w:t>и</w:t>
      </w:r>
      <w:r>
        <w:t>антов выполнения им своих обязательств в соотве</w:t>
      </w:r>
      <w:r>
        <w:t>т</w:t>
      </w:r>
      <w:r>
        <w:t>ствии с Конвенцией и Факультативным протоколом, включая проведение заседаний в параллельных р</w:t>
      </w:r>
      <w:r>
        <w:t>а</w:t>
      </w:r>
      <w:r>
        <w:t>бочих группах. В ходе сессии Комиссии она также приняла участие в групповом обсуждении, орган</w:t>
      </w:r>
      <w:r>
        <w:t>и</w:t>
      </w:r>
      <w:r>
        <w:t>зованном Отделом по улучшению положения же</w:t>
      </w:r>
      <w:r>
        <w:t>н</w:t>
      </w:r>
      <w:r>
        <w:t>щин и Межпарламентским союзом, по вопросу о роли парламентариев в осуществлении Конвенции. Она также встретилась с рядом участников высок</w:t>
      </w:r>
      <w:r>
        <w:t>о</w:t>
      </w:r>
      <w:r>
        <w:t>го уровня и, действуя в соответствии с ранее прин</w:t>
      </w:r>
      <w:r>
        <w:t>я</w:t>
      </w:r>
      <w:r>
        <w:t>тым Комитетом решением, с сотрудниками Пост</w:t>
      </w:r>
      <w:r>
        <w:t>о</w:t>
      </w:r>
      <w:r>
        <w:t>янного представительства Индии при Организации Объединенных Наций.</w:t>
      </w:r>
    </w:p>
    <w:p w:rsidR="00000000" w:rsidRDefault="00000000">
      <w:pPr>
        <w:pStyle w:val="DualTxt"/>
      </w:pPr>
      <w:r>
        <w:t>13.</w:t>
      </w:r>
      <w:r>
        <w:tab/>
        <w:t>На шестидесятой сессии Комиссии по правам человека она выступила с заявлением по пункту п</w:t>
      </w:r>
      <w:r>
        <w:t>о</w:t>
      </w:r>
      <w:r>
        <w:t>вестки дня, касающемуся объединения вопросов прав человека женщин и гендерной проблематики, однако ей не было предоставлено достаточно вр</w:t>
      </w:r>
      <w:r>
        <w:t>е</w:t>
      </w:r>
      <w:r>
        <w:t>мени для того, чтобы проинформировать Комиссию о работе Комитета за прошедший год. В этой связи председатели всех договорных органов по правам человека подняли вопрос о своем эффективном уч</w:t>
      </w:r>
      <w:r>
        <w:t>а</w:t>
      </w:r>
      <w:r>
        <w:t>стии в работе Комиссии в качестве одного из гла</w:t>
      </w:r>
      <w:r>
        <w:t>в</w:t>
      </w:r>
      <w:r>
        <w:t>ных вопросов на недавнем совещании председат</w:t>
      </w:r>
      <w:r>
        <w:t>е</w:t>
      </w:r>
      <w:r>
        <w:t>лей и вновь затронули этот вопрос в ходе своей встречи с расширенным составом Бюро Комиссии. Было принято решение изыскать более оптимал</w:t>
      </w:r>
      <w:r>
        <w:t>ь</w:t>
      </w:r>
      <w:r>
        <w:t>ный вариант участия в рамках существующих вр</w:t>
      </w:r>
      <w:r>
        <w:t>е</w:t>
      </w:r>
      <w:r>
        <w:t>менных ограничений, с тем чтобы усовершенств</w:t>
      </w:r>
      <w:r>
        <w:t>о</w:t>
      </w:r>
      <w:r>
        <w:t>вать обмен информацией между договорными орг</w:t>
      </w:r>
      <w:r>
        <w:t>а</w:t>
      </w:r>
      <w:r>
        <w:t>нами и Комиссией. Г-жа Шёпп-Шиллинг — ин</w:t>
      </w:r>
      <w:r>
        <w:t>и</w:t>
      </w:r>
      <w:r>
        <w:t>циатор и движущая сила общей рекомендации 25 Комитета — представляла Комитет в группе, орг</w:t>
      </w:r>
      <w:r>
        <w:t>а</w:t>
      </w:r>
      <w:r>
        <w:t>низованной Комиссией с целью обсуждения вопр</w:t>
      </w:r>
      <w:r>
        <w:t>о</w:t>
      </w:r>
      <w:r>
        <w:t>сов, касающихся гарантирования квот для женщин, резолюции 1325 (2000) Совета Безопасности, общей рекомендации 25 Комитета и участия женщин в предупреждении и урегулировании конфликтов.</w:t>
      </w:r>
    </w:p>
    <w:p w:rsidR="00000000" w:rsidRDefault="00000000">
      <w:pPr>
        <w:pStyle w:val="DualTxt"/>
      </w:pPr>
      <w:r>
        <w:t>14.</w:t>
      </w:r>
      <w:r>
        <w:tab/>
        <w:t>Она напоминает членам Комитета о том, что вскоре после этого весь членский состав Комитета собрался в неофициальном порядке по приглаш</w:t>
      </w:r>
      <w:r>
        <w:t>е</w:t>
      </w:r>
      <w:r>
        <w:t>нию Нидерландов в Утрехте, где состоялось чре</w:t>
      </w:r>
      <w:r>
        <w:t>з</w:t>
      </w:r>
      <w:r>
        <w:t>вычайно полезное трехдневное заседание, на кот</w:t>
      </w:r>
      <w:r>
        <w:t>о</w:t>
      </w:r>
      <w:r>
        <w:t>ром были обсуждены методы работы. Договоренн</w:t>
      </w:r>
      <w:r>
        <w:t>о</w:t>
      </w:r>
      <w:r>
        <w:t>сти, достигнутые на заседании в Утрехте, которые содержатся в приложении к документу о путях и средствах повышения оперативности в работе К</w:t>
      </w:r>
      <w:r>
        <w:t>о</w:t>
      </w:r>
      <w:r>
        <w:t>митета (CEDAW/C/2004/II/4) и которые должны быть официально приняты на этой сессии, позволят обеспечить продвижение Комитета вперед в соо</w:t>
      </w:r>
      <w:r>
        <w:t>т</w:t>
      </w:r>
      <w:r>
        <w:t>ветствии с его приверженностью новаторству и гибкости в деле содействия осуществлению Ко</w:t>
      </w:r>
      <w:r>
        <w:t>н</w:t>
      </w:r>
      <w:r>
        <w:t>венции государствами-участниками, а также позв</w:t>
      </w:r>
      <w:r>
        <w:t>о</w:t>
      </w:r>
      <w:r>
        <w:t>лят Комитету получать информацию о деятельности других договорных органов по правам человека. Особый интерес вызывает предложение увеличить продолжительность сессий Комитета, с тем чтобы уравнять его с другими договорными органами, п</w:t>
      </w:r>
      <w:r>
        <w:t>у</w:t>
      </w:r>
      <w:r>
        <w:t>тем продления на одну неделю его тридцать четве</w:t>
      </w:r>
      <w:r>
        <w:t>р</w:t>
      </w:r>
      <w:r>
        <w:t>той, тридцать пятой и тридцать шестой сессий и, начиная с 2007 года, ежегодно проводить три тре</w:t>
      </w:r>
      <w:r>
        <w:t>х</w:t>
      </w:r>
      <w:r>
        <w:t>недельные сессии, каждой из которых будут пре</w:t>
      </w:r>
      <w:r>
        <w:t>д</w:t>
      </w:r>
      <w:r>
        <w:t>шествовать заседания предсессионной рабочей группы.</w:t>
      </w:r>
    </w:p>
    <w:p w:rsidR="00000000" w:rsidRDefault="00000000">
      <w:pPr>
        <w:pStyle w:val="DualTxt"/>
      </w:pPr>
      <w:r>
        <w:t>15.</w:t>
      </w:r>
      <w:r>
        <w:tab/>
        <w:t>Сразу же после проведения заседания в Утре</w:t>
      </w:r>
      <w:r>
        <w:t>х</w:t>
      </w:r>
      <w:r>
        <w:t>те она выступила в качестве основного докладчика на трехдневном семинаре, организованном Отделом в сотрудничестве с Экономической и социальной комиссии для Азии и Тихого океана (ЭСКАТО), в Алматы, Казахстан, с целью обучения представит</w:t>
      </w:r>
      <w:r>
        <w:t>е</w:t>
      </w:r>
      <w:r>
        <w:t>лей государств-участников из региона Содружества Независимых Государств процедурам представл</w:t>
      </w:r>
      <w:r>
        <w:t>е</w:t>
      </w:r>
      <w:r>
        <w:t>ния докладов в соответствии с Конвенцией. В раб</w:t>
      </w:r>
      <w:r>
        <w:t>о</w:t>
      </w:r>
      <w:r>
        <w:t>те этого семинара приняли участие 15 сотрудников государственных учреждений из шести стран, кот</w:t>
      </w:r>
      <w:r>
        <w:t>о</w:t>
      </w:r>
      <w:r>
        <w:t>рые обменялись опытом в этой области.</w:t>
      </w:r>
    </w:p>
    <w:p w:rsidR="00000000" w:rsidRDefault="00000000">
      <w:pPr>
        <w:pStyle w:val="DualTxt"/>
      </w:pPr>
      <w:r>
        <w:t>16.</w:t>
      </w:r>
      <w:r>
        <w:tab/>
        <w:t>Совсем недавно — с 21 по 25 июня в Жен</w:t>
      </w:r>
      <w:r>
        <w:t>е</w:t>
      </w:r>
      <w:r>
        <w:t>ве — она совместно с г-ном Флинтерманом приняла участие в работе Межкомитетского совещания, а также в работе совещания председателей догово</w:t>
      </w:r>
      <w:r>
        <w:t>р</w:t>
      </w:r>
      <w:r>
        <w:t>ных органов по правам человека. Межкомитетское совещание в принципе утвердило базовую структ</w:t>
      </w:r>
      <w:r>
        <w:t>у</w:t>
      </w:r>
      <w:r>
        <w:t>ру общего расширенного основного документа и разработало согласованные руководящие принципы представления докладов для государств-участников всех договоров по правам человека, сделав при этом рекомендацию о том, что необходимо создать мех</w:t>
      </w:r>
      <w:r>
        <w:t>а</w:t>
      </w:r>
      <w:r>
        <w:t>низм для проведения дальнейших консультаций между договорными органами по вопросу о согл</w:t>
      </w:r>
      <w:r>
        <w:t>а</w:t>
      </w:r>
      <w:r>
        <w:t>совании этих руководящих принципов. Теперь эти предложения должны быть в первоочередном п</w:t>
      </w:r>
      <w:r>
        <w:t>о</w:t>
      </w:r>
      <w:r>
        <w:t>рядке подробно обсуждены в каждом договорном органе.</w:t>
      </w:r>
    </w:p>
    <w:p w:rsidR="00000000" w:rsidRDefault="00000000">
      <w:pPr>
        <w:pStyle w:val="DualTxt"/>
      </w:pPr>
      <w:r>
        <w:t>17.</w:t>
      </w:r>
      <w:r>
        <w:tab/>
        <w:t>Что касается работы самого Комитета, то на нынешней сессии необходимо подготовить предв</w:t>
      </w:r>
      <w:r>
        <w:t>а</w:t>
      </w:r>
      <w:r>
        <w:t>рительные замечания для следующей межсессио</w:t>
      </w:r>
      <w:r>
        <w:t>н</w:t>
      </w:r>
      <w:r>
        <w:t>ной рабочей группы, с тем чтобы Комитет мог на своей сессии в январе 2005 года сделать рекоменд</w:t>
      </w:r>
      <w:r>
        <w:t>а</w:t>
      </w:r>
      <w:r>
        <w:t>ции для их обсуждения на Межкомитетском сов</w:t>
      </w:r>
      <w:r>
        <w:t>е</w:t>
      </w:r>
      <w:r>
        <w:t>щании в 2005 году. Межкомитетское совещание 2004 года также призвало подготовить доклад се</w:t>
      </w:r>
      <w:r>
        <w:t>к</w:t>
      </w:r>
      <w:r>
        <w:t>ретариата о том, какие оговорки были сделаны в отношении различных договоров в области прав ч</w:t>
      </w:r>
      <w:r>
        <w:t>е</w:t>
      </w:r>
      <w:r>
        <w:t>ловека, с тем чтобы на сессии 2005 года объедине</w:t>
      </w:r>
      <w:r>
        <w:t>н</w:t>
      </w:r>
      <w:r>
        <w:t>ная рабочая группа могла представить соответс</w:t>
      </w:r>
      <w:r>
        <w:t>т</w:t>
      </w:r>
      <w:r>
        <w:t>вующий доклад по этому вопросу. Участники обоих совещаний также рассмотрели рекомендации, сд</w:t>
      </w:r>
      <w:r>
        <w:t>е</w:t>
      </w:r>
      <w:r>
        <w:t>ланные в прошлом году, и достигли дальнейшего прогресса, особенно в том, что касается перечней вопросов; процедур, которые должны применяться в отношении тех государств-членов, которые не представляют доклады; и обзоров договорными о</w:t>
      </w:r>
      <w:r>
        <w:t>р</w:t>
      </w:r>
      <w:r>
        <w:t>ганами св</w:t>
      </w:r>
      <w:r>
        <w:t>о</w:t>
      </w:r>
      <w:r>
        <w:t>их методов работы.</w:t>
      </w: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Рассмотрение докладов, представленных государствами-участниками в соответствии со статьей 18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Доклад Председателя предсессионной рабочей группы</w:t>
      </w:r>
    </w:p>
    <w:p w:rsidR="00000000" w:rsidRDefault="00000000">
      <w:pPr>
        <w:pStyle w:val="DualTxt"/>
        <w:spacing w:after="0" w:line="120" w:lineRule="exact"/>
        <w:rPr>
          <w:b/>
          <w:sz w:val="10"/>
        </w:rPr>
      </w:pP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Г-жа Манало</w:t>
      </w:r>
      <w:r>
        <w:t>, представляя доклад предсесс</w:t>
      </w:r>
      <w:r>
        <w:t>и</w:t>
      </w:r>
      <w:r>
        <w:t>онной рабочей группы (CEDAW/PSWG/2004/</w:t>
      </w:r>
      <w:r>
        <w:br/>
        <w:t>II/CRP.1), говорит, что предсессионная рабочая группа провела свои заседания в период с 2 по 6 февраля 2004 года для подготовки перечня тем и вопросов, касающихся докладов Бангладеш, Дом</w:t>
      </w:r>
      <w:r>
        <w:t>и</w:t>
      </w:r>
      <w:r>
        <w:t>никанской Республики, Испании и Экваториальной Гвинеи. В соответствии с решением 18/I Комитета рабочая группа провела закрытое заседание с пре</w:t>
      </w:r>
      <w:r>
        <w:t>д</w:t>
      </w:r>
      <w:r>
        <w:t>ставителями учреждений системы Организации Объединенных Наций, а также получила в пис</w:t>
      </w:r>
      <w:r>
        <w:t>ь</w:t>
      </w:r>
      <w:r>
        <w:t>менном виде информацию от неправительственных организаций в отношении одного из государств-участников, доклады которого находятся на ее ра</w:t>
      </w:r>
      <w:r>
        <w:t>с</w:t>
      </w:r>
      <w:r>
        <w:t>смотрении. Перечни тем и вопросов были препр</w:t>
      </w:r>
      <w:r>
        <w:t>о</w:t>
      </w:r>
      <w:r>
        <w:t>вождены этим четырем государствам-участникам.</w:t>
      </w:r>
    </w:p>
    <w:p w:rsidR="00000000" w:rsidRDefault="00000000">
      <w:pPr>
        <w:pStyle w:val="DualTxt"/>
      </w:pPr>
      <w:r>
        <w:t>19.</w:t>
      </w:r>
      <w:r>
        <w:tab/>
        <w:t>Рабочая группа пришла к выводу о том, что в каждом из периодических докладов содержится информация об основных социальных, экономич</w:t>
      </w:r>
      <w:r>
        <w:t>е</w:t>
      </w:r>
      <w:r>
        <w:t>ских, политических и законодательных изменениях, осуществленных в целях ликвидации дискримин</w:t>
      </w:r>
      <w:r>
        <w:t>а</w:t>
      </w:r>
      <w:r>
        <w:t>ции в отношении женщин, и что большинство этих докладов были представлены в соответствии с о</w:t>
      </w:r>
      <w:r>
        <w:t>б</w:t>
      </w:r>
      <w:r>
        <w:t>щими руководящими принципами Комитета в о</w:t>
      </w:r>
      <w:r>
        <w:t>т</w:t>
      </w:r>
      <w:r>
        <w:t>ношении подготовки периодических докладов. И наконец, во исполнение решений 22/IV и 25/II К</w:t>
      </w:r>
      <w:r>
        <w:t>о</w:t>
      </w:r>
      <w:r>
        <w:t>митета рабочая группа также составила краткие п</w:t>
      </w:r>
      <w:r>
        <w:t>е</w:t>
      </w:r>
      <w:r>
        <w:t>речни тем и вопросов, уделив основное внимание темам, рассматриваемым в Ко</w:t>
      </w:r>
      <w:r>
        <w:t>н</w:t>
      </w:r>
      <w:r>
        <w:t>венции.</w:t>
      </w: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Осуществление статьи 21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Пути и средства повышения оперативности в работе Комитета</w:t>
      </w:r>
    </w:p>
    <w:p w:rsidR="00000000" w:rsidRDefault="00000000">
      <w:pPr>
        <w:pStyle w:val="DualTxt"/>
        <w:spacing w:after="0" w:line="120" w:lineRule="exact"/>
        <w:rPr>
          <w:b/>
          <w:sz w:val="10"/>
        </w:rPr>
      </w:pP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 xml:space="preserve">Г-жа Бротигам </w:t>
      </w:r>
      <w:r>
        <w:t>(Руководитель Секции по правам женщин Отдела по улучшению положения женщин), касаясь осуществления статьи 21, гов</w:t>
      </w:r>
      <w:r>
        <w:t>о</w:t>
      </w:r>
      <w:r>
        <w:t>рит, что три специализированных учреждения О</w:t>
      </w:r>
      <w:r>
        <w:t>р</w:t>
      </w:r>
      <w:r>
        <w:t>ганизации Объединенных Наций, которым было предложено представить Комитету доклады об осуществлении Конвенции в областях, входящих в сферу их компетенции, представили такие доклады: Продовольственная и сельскохозяйственная орган</w:t>
      </w:r>
      <w:r>
        <w:t>и</w:t>
      </w:r>
      <w:r>
        <w:t>зация Объединенных Наций (ФАО), Организация Объединенных Наций по вопросам образования, науки и культуры (ЮНЕСКО) и Международная о</w:t>
      </w:r>
      <w:r>
        <w:t>р</w:t>
      </w:r>
      <w:r>
        <w:t>ганизация труда (МОТ); эти доклады содержатся в документах CEDAW/C/2004/II/3/Adds.1, 3 и 4, соо</w:t>
      </w:r>
      <w:r>
        <w:t>т</w:t>
      </w:r>
      <w:r>
        <w:t>ветственно. Позже сегодня утром Комитет проведет встречу с представителями специализированных учреждений и других органов системы Организ</w:t>
      </w:r>
      <w:r>
        <w:t>а</w:t>
      </w:r>
      <w:r>
        <w:t>ции Объединенных Наций, желающих представить информацию о тех государствах-участниках, докл</w:t>
      </w:r>
      <w:r>
        <w:t>а</w:t>
      </w:r>
      <w:r>
        <w:t>ды которых рассматриваются на нынешней сессии, или о том, что сами эти учреждения сделали для содействия выполнению положений Конвенции на международном и региональном уровнях. Во и</w:t>
      </w:r>
      <w:r>
        <w:t>с</w:t>
      </w:r>
      <w:r>
        <w:t>полнение статьи 21 Комитет на своей текущей се</w:t>
      </w:r>
      <w:r>
        <w:t>с</w:t>
      </w:r>
      <w:r>
        <w:t>сии начнет работу над своей следующей общей р</w:t>
      </w:r>
      <w:r>
        <w:t>е</w:t>
      </w:r>
      <w:r>
        <w:t>комендацией, которая будет касаться статьи 2 Ко</w:t>
      </w:r>
      <w:r>
        <w:t>н</w:t>
      </w:r>
      <w:r>
        <w:t>венции, а также приступит к процессу обмена мн</w:t>
      </w:r>
      <w:r>
        <w:t>е</w:t>
      </w:r>
      <w:r>
        <w:t>ниями по данной теме со специализированными у</w:t>
      </w:r>
      <w:r>
        <w:t>ч</w:t>
      </w:r>
      <w:r>
        <w:t>реждениями и неправительственными организ</w:t>
      </w:r>
      <w:r>
        <w:t>а</w:t>
      </w:r>
      <w:r>
        <w:t>циями.</w:t>
      </w:r>
    </w:p>
    <w:p w:rsidR="00000000" w:rsidRDefault="00000000">
      <w:pPr>
        <w:pStyle w:val="DualTxt"/>
      </w:pPr>
      <w:r>
        <w:t>21.</w:t>
      </w:r>
      <w:r>
        <w:tab/>
        <w:t>Касаясь методов работы Комитета, она пр</w:t>
      </w:r>
      <w:r>
        <w:t>и</w:t>
      </w:r>
      <w:r>
        <w:t>влекает внимание к докладу, содержащемуся в д</w:t>
      </w:r>
      <w:r>
        <w:t>о</w:t>
      </w:r>
      <w:r>
        <w:t>кументе CEDAW/C/2004/II/4, в котором в краткой форме описываются последние события, связанные с режимом в области прав человека, включая де</w:t>
      </w:r>
      <w:r>
        <w:t>я</w:t>
      </w:r>
      <w:r>
        <w:t>тельность договорных органов, и решения, прин</w:t>
      </w:r>
      <w:r>
        <w:t>я</w:t>
      </w:r>
      <w:r>
        <w:t>тые межправительственными органами, а также с</w:t>
      </w:r>
      <w:r>
        <w:t>о</w:t>
      </w:r>
      <w:r>
        <w:t>ответствующая секретариатская деятельность в поддержку Конвенции и Факультативного проток</w:t>
      </w:r>
      <w:r>
        <w:t>о</w:t>
      </w:r>
      <w:r>
        <w:t>ла к ней. В докладе также рассматриваются меры, принятые в связи с задержками в представлении докладов. В этой связи она привлекает внимание к докладу Генерального секретаря о положении в о</w:t>
      </w:r>
      <w:r>
        <w:t>б</w:t>
      </w:r>
      <w:r>
        <w:t>ласти представления государствами — участниками Конвенции докладов (CEDAW/C/2004/II/2), в кот</w:t>
      </w:r>
      <w:r>
        <w:t>о</w:t>
      </w:r>
      <w:r>
        <w:t>ром приводятся перечни задержанных докладов, а также представленных, но еще не рассмотренных Комитетом докладов по состоянию на май 2004 г</w:t>
      </w:r>
      <w:r>
        <w:t>о</w:t>
      </w:r>
      <w:r>
        <w:t>да, к которым следует добавить доклады Венес</w:t>
      </w:r>
      <w:r>
        <w:t>у</w:t>
      </w:r>
      <w:r>
        <w:t>элы, Исландии и Малави. В общей сложности после нынешней сессии необходимо будет рассмотреть 40 докладов.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11 ч. 05 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NO&gt;&gt;N0441357R&lt;&lt;ODS JOB NO&gt;&gt;</w:t>
      </w:r>
    </w:p>
    <w:p w:rsidR="00000000" w:rsidRDefault="00000000">
      <w:pPr>
        <w:pStyle w:val="CommentText"/>
      </w:pPr>
      <w:r>
        <w:t>&lt;&lt;ODS DOC SYMBOL1&gt;&gt;CEDAW/C/SR.648&lt;&lt;ODS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04-41357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*0441357*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CEDAW/C/SR.648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CEDAW/C/SR.648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/C/SR.648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29 March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460325A0"/>
    <w:multiLevelType w:val="singleLevel"/>
    <w:tmpl w:val="1A58F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8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9/03/2005 8:59::05"/>
    <w:docVar w:name="DocCategory" w:val="SROthers"/>
    <w:docVar w:name="DocType" w:val="Final"/>
    <w:docVar w:name="JobNo" w:val="0441357R"/>
    <w:docVar w:name="OandT" w:val=" "/>
    <w:docVar w:name="Symbol1" w:val="CEDAW/C/SR.64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2365</Words>
  <Characters>13485</Characters>
  <Application>Microsoft Office Word</Application>
  <DocSecurity>4</DocSecurity>
  <Lines>112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16560</CharactersWithSpaces>
  <SharedDoc>false</SharedDoc>
  <HLinks>
    <vt:vector size="6" baseType="variant">
      <vt:variant>
        <vt:i4>4522087</vt:i4>
      </vt:variant>
      <vt:variant>
        <vt:i4>33968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Russian_text_proc</dc:creator>
  <cp:keywords/>
  <dc:description/>
  <cp:lastModifiedBy>Tatiana.Panichkina</cp:lastModifiedBy>
  <cp:revision>3</cp:revision>
  <cp:lastPrinted>2005-03-29T07:19:00Z</cp:lastPrinted>
  <dcterms:created xsi:type="dcterms:W3CDTF">2005-04-06T12:19:00Z</dcterms:created>
  <dcterms:modified xsi:type="dcterms:W3CDTF">2005-04-06T12:37:00Z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0441357</vt:lpwstr>
  </property>
  <property fmtid="{D5CDD505-2E9C-101B-9397-08002B2CF9AE}" pid="3" name="Symbol1">
    <vt:lpwstr>CEDAW/C/SR.648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