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AE8" w:rsidRDefault="00A91AE8" w:rsidP="00A91AE8">
      <w:pPr>
        <w:spacing w:line="240" w:lineRule="auto"/>
        <w:rPr>
          <w:sz w:val="6"/>
        </w:rPr>
      </w:pPr>
      <w:r>
        <w:rPr>
          <w:rStyle w:val="CommentReference"/>
        </w:rPr>
        <w:commentReference w:id="0"/>
      </w:r>
    </w:p>
    <w:p w:rsidR="00CA3844" w:rsidRPr="00A91AE8" w:rsidRDefault="00CA3844" w:rsidP="00A91AE8">
      <w:pPr>
        <w:spacing w:line="20" w:lineRule="exact"/>
        <w:rPr>
          <w:sz w:val="2"/>
        </w:rPr>
        <w:sectPr w:rsidR="00CA3844" w:rsidRPr="00A91A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CA3844" w:rsidRDefault="00CA3844">
      <w:pPr>
        <w:pStyle w:val="H1"/>
      </w:pPr>
      <w:r>
        <w:t>Comité para la Eliminación de la Discriminación</w:t>
      </w:r>
      <w:r>
        <w:br/>
        <w:t>contra la Mujer</w:t>
      </w:r>
    </w:p>
    <w:p w:rsidR="00CA3844" w:rsidRDefault="00CA3844">
      <w:pPr>
        <w:pStyle w:val="H23"/>
      </w:pPr>
      <w:r>
        <w:t>37° período de sesiones</w:t>
      </w:r>
    </w:p>
    <w:p w:rsidR="00CA3844" w:rsidRDefault="00CA3844">
      <w:pPr>
        <w:spacing w:line="240" w:lineRule="auto"/>
        <w:rPr>
          <w:sz w:val="12"/>
        </w:rPr>
      </w:pPr>
    </w:p>
    <w:p w:rsidR="00CA3844" w:rsidRDefault="00CA3844">
      <w:pPr>
        <w:pStyle w:val="H23"/>
      </w:pPr>
      <w:r>
        <w:t>Acta resumida de la 758ª sesión (Sala B)</w:t>
      </w:r>
    </w:p>
    <w:p w:rsidR="00CA3844" w:rsidRDefault="00CA3844">
      <w:r>
        <w:t xml:space="preserve">Celebrada en la Sede, Nueva York, el </w:t>
      </w:r>
      <w:r>
        <w:rPr>
          <w:kern w:val="0"/>
          <w:lang w:eastAsia="it-IT"/>
        </w:rPr>
        <w:t>martes 16 de enero de 2007, a las 15.00 horas</w:t>
      </w:r>
    </w:p>
    <w:p w:rsidR="00CA3844" w:rsidRDefault="00CA3844">
      <w:pPr>
        <w:spacing w:line="120" w:lineRule="exact"/>
        <w:rPr>
          <w:sz w:val="10"/>
        </w:rPr>
      </w:pPr>
    </w:p>
    <w:p w:rsidR="00CA3844" w:rsidRDefault="00CA3844">
      <w:pPr>
        <w:tabs>
          <w:tab w:val="right" w:pos="950"/>
          <w:tab w:val="left" w:pos="1267"/>
          <w:tab w:val="right" w:leader="dot" w:pos="8568"/>
        </w:tabs>
        <w:ind w:right="1267"/>
      </w:pPr>
      <w:r>
        <w:rPr>
          <w:i/>
        </w:rPr>
        <w:t>Presidenta:</w:t>
      </w:r>
      <w:r>
        <w:tab/>
        <w:t>Sra. Gaspard (Vicepresidenta)</w:t>
      </w:r>
    </w:p>
    <w:p w:rsidR="00CA3844" w:rsidRDefault="00CA3844">
      <w:pPr>
        <w:tabs>
          <w:tab w:val="right" w:pos="950"/>
          <w:tab w:val="left" w:pos="1267"/>
          <w:tab w:val="right" w:leader="dot" w:pos="8568"/>
        </w:tabs>
        <w:spacing w:line="120" w:lineRule="exact"/>
        <w:ind w:right="1267"/>
        <w:rPr>
          <w:sz w:val="10"/>
        </w:rPr>
      </w:pPr>
    </w:p>
    <w:p w:rsidR="00CA3844" w:rsidRDefault="00CA3844">
      <w:pPr>
        <w:tabs>
          <w:tab w:val="right" w:pos="950"/>
          <w:tab w:val="left" w:pos="1267"/>
          <w:tab w:val="right" w:leader="dot" w:pos="8568"/>
        </w:tabs>
        <w:spacing w:line="120" w:lineRule="exact"/>
        <w:ind w:right="1267"/>
        <w:rPr>
          <w:sz w:val="10"/>
        </w:rPr>
      </w:pPr>
    </w:p>
    <w:p w:rsidR="00CA3844" w:rsidRDefault="00CA3844">
      <w:pPr>
        <w:tabs>
          <w:tab w:val="right" w:pos="950"/>
          <w:tab w:val="left" w:pos="1267"/>
          <w:tab w:val="right" w:leader="dot" w:pos="8568"/>
        </w:tabs>
        <w:spacing w:line="120" w:lineRule="exact"/>
        <w:ind w:right="1267"/>
        <w:rPr>
          <w:sz w:val="10"/>
        </w:rPr>
      </w:pPr>
    </w:p>
    <w:p w:rsidR="00CA3844" w:rsidRDefault="00CA3844">
      <w:pPr>
        <w:pStyle w:val="HCh"/>
        <w:rPr>
          <w:b w:val="0"/>
        </w:rPr>
      </w:pPr>
      <w:r>
        <w:rPr>
          <w:b w:val="0"/>
        </w:rPr>
        <w:t>Sumario</w:t>
      </w:r>
    </w:p>
    <w:p w:rsidR="00CA3844" w:rsidRDefault="00CA3844">
      <w:pPr>
        <w:pStyle w:val="HCh"/>
        <w:spacing w:line="240" w:lineRule="auto"/>
        <w:rPr>
          <w:b w:val="0"/>
          <w:sz w:val="12"/>
        </w:rPr>
      </w:pPr>
    </w:p>
    <w:p w:rsidR="00CA3844" w:rsidRDefault="00CA3844">
      <w:pPr>
        <w:pStyle w:val="SingleTxt"/>
        <w:suppressAutoHyphens/>
        <w:jc w:val="left"/>
      </w:pPr>
      <w:r>
        <w:t>Examen de los informes presentados por los Estados partes de conformidad con el artículo 18 de la Convención (</w:t>
      </w:r>
      <w:r>
        <w:rPr>
          <w:i/>
        </w:rPr>
        <w:t>continuación</w:t>
      </w:r>
      <w:r>
        <w:t>)</w:t>
      </w:r>
    </w:p>
    <w:p w:rsidR="00CA3844" w:rsidRDefault="00CA3844">
      <w:pPr>
        <w:pStyle w:val="SingleTxt"/>
        <w:suppressAutoHyphens/>
        <w:ind w:left="1742" w:hanging="475"/>
        <w:jc w:val="left"/>
      </w:pPr>
      <w:r>
        <w:tab/>
      </w:r>
      <w:r>
        <w:rPr>
          <w:i/>
        </w:rPr>
        <w:t xml:space="preserve">Cuarto y quinto informes periódicos combinados y sexto informe periódico de Polonia </w:t>
      </w:r>
      <w:r>
        <w:t>(</w:t>
      </w:r>
      <w:r>
        <w:rPr>
          <w:i/>
        </w:rPr>
        <w:t>continuación</w:t>
      </w:r>
      <w:r>
        <w:t>)</w:t>
      </w:r>
    </w:p>
    <w:p w:rsidR="00CA3844" w:rsidRDefault="00CA3844">
      <w:pPr>
        <w:pStyle w:val="SingleTxt"/>
        <w:suppressAutoHyphens/>
        <w:ind w:left="1742" w:hanging="475"/>
        <w:jc w:val="left"/>
      </w:pPr>
    </w:p>
    <w:p w:rsidR="00CA3844" w:rsidRDefault="00CA3844">
      <w:pPr>
        <w:spacing w:line="240" w:lineRule="auto"/>
        <w:rPr>
          <w:sz w:val="2"/>
        </w:rPr>
        <w:sectPr w:rsidR="00CA3844">
          <w:endnotePr>
            <w:numFmt w:val="decimal"/>
          </w:endnotePr>
          <w:type w:val="continuous"/>
          <w:pgSz w:w="12240" w:h="15840" w:code="1"/>
          <w:pgMar w:top="1742" w:right="1195" w:bottom="1898" w:left="1195" w:header="576" w:footer="1030" w:gutter="0"/>
          <w:pgNumType w:start="1"/>
          <w:cols w:space="720"/>
          <w:noEndnote/>
        </w:sectPr>
      </w:pPr>
      <w:r>
        <w:br w:type="page"/>
      </w:r>
    </w:p>
    <w:p w:rsidR="00CA3844" w:rsidRDefault="00CA3844">
      <w:pPr>
        <w:pStyle w:val="H4"/>
        <w:tabs>
          <w:tab w:val="right" w:pos="360"/>
          <w:tab w:val="left" w:pos="475"/>
          <w:tab w:val="left" w:pos="965"/>
          <w:tab w:val="left" w:pos="1440"/>
          <w:tab w:val="left" w:pos="1915"/>
          <w:tab w:val="left" w:pos="2405"/>
          <w:tab w:val="left" w:pos="2880"/>
          <w:tab w:val="left" w:pos="3355"/>
        </w:tabs>
      </w:pPr>
      <w:r>
        <w:t>En ausencia de la Sra. Šimonović, la Sra. Gaspard (Vicepresidenta) ocupa la Presidencia.</w:t>
      </w:r>
    </w:p>
    <w:p w:rsidR="00CA3844" w:rsidRDefault="00CA3844">
      <w:pPr>
        <w:pStyle w:val="DualTxt"/>
        <w:spacing w:after="0" w:line="120" w:lineRule="exact"/>
        <w:rPr>
          <w:sz w:val="10"/>
        </w:rPr>
      </w:pPr>
    </w:p>
    <w:p w:rsidR="00CA3844" w:rsidRDefault="00CA3844">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CA3844" w:rsidRDefault="00CA3844">
      <w:pPr>
        <w:pStyle w:val="DualTxt"/>
        <w:spacing w:after="0" w:line="120" w:lineRule="exact"/>
        <w:rPr>
          <w:sz w:val="10"/>
        </w:rPr>
      </w:pPr>
    </w:p>
    <w:p w:rsidR="00CA3844" w:rsidRDefault="00CA3844">
      <w:pPr>
        <w:pStyle w:val="DualTxt"/>
        <w:spacing w:after="0" w:line="120" w:lineRule="exact"/>
        <w:rPr>
          <w:sz w:val="10"/>
        </w:rPr>
      </w:pPr>
    </w:p>
    <w:p w:rsidR="00CA3844" w:rsidRDefault="00CA3844">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de conformidad con el artículo 18 de la Convención </w:t>
      </w:r>
      <w:r>
        <w:rPr>
          <w:b w:val="0"/>
        </w:rPr>
        <w:t>(</w:t>
      </w:r>
      <w:r>
        <w:rPr>
          <w:b w:val="0"/>
          <w:i/>
        </w:rPr>
        <w:t>continuación</w:t>
      </w:r>
      <w:r>
        <w:rPr>
          <w:b w:val="0"/>
        </w:rPr>
        <w:t>)</w:t>
      </w:r>
    </w:p>
    <w:p w:rsidR="00CA3844" w:rsidRDefault="00CA3844">
      <w:pPr>
        <w:pStyle w:val="DualTxt"/>
        <w:spacing w:after="0" w:line="120" w:lineRule="exact"/>
        <w:rPr>
          <w:sz w:val="10"/>
        </w:rPr>
      </w:pPr>
    </w:p>
    <w:p w:rsidR="00CA3844" w:rsidRDefault="00CA3844">
      <w:pPr>
        <w:pStyle w:val="H4"/>
        <w:tabs>
          <w:tab w:val="left" w:pos="475"/>
          <w:tab w:val="left" w:pos="965"/>
          <w:tab w:val="left" w:pos="1440"/>
          <w:tab w:val="left" w:pos="1915"/>
          <w:tab w:val="left" w:pos="2405"/>
          <w:tab w:val="left" w:pos="2880"/>
          <w:tab w:val="left" w:pos="3355"/>
        </w:tabs>
        <w:ind w:left="475" w:hanging="475"/>
      </w:pPr>
      <w:r>
        <w:tab/>
      </w:r>
      <w:r>
        <w:tab/>
        <w:t>Cuarto y quinto informes periódicos combinados y sexto informe periódico de Polonia </w:t>
      </w:r>
      <w:r>
        <w:rPr>
          <w:i w:val="0"/>
        </w:rPr>
        <w:t>(</w:t>
      </w:r>
      <w:r>
        <w:t>continuación</w:t>
      </w:r>
      <w:r>
        <w:rPr>
          <w:i w:val="0"/>
        </w:rPr>
        <w:t>) (CEDAW/C/POL/4-5, CEDAW/C/POL/6, CEDAW/C/POL/Q/6 y Add.1)</w:t>
      </w:r>
    </w:p>
    <w:p w:rsidR="00CA3844" w:rsidRDefault="00CA3844">
      <w:pPr>
        <w:pStyle w:val="DualTxt"/>
        <w:spacing w:after="0" w:line="120" w:lineRule="exact"/>
        <w:rPr>
          <w:sz w:val="10"/>
        </w:rPr>
      </w:pPr>
    </w:p>
    <w:p w:rsidR="00CA3844" w:rsidRDefault="00CA3844">
      <w:pPr>
        <w:pStyle w:val="DualTxt"/>
      </w:pPr>
      <w:r>
        <w:t>1.</w:t>
      </w:r>
      <w:r>
        <w:tab/>
      </w:r>
      <w:r>
        <w:rPr>
          <w:i/>
        </w:rPr>
        <w:t>Por invitación de la Presidenta, los miembros de la delegación de Polonia toman asiento a la mesa del Comité.</w:t>
      </w:r>
    </w:p>
    <w:p w:rsidR="00CA3844" w:rsidRDefault="00CA3844">
      <w:pPr>
        <w:pStyle w:val="DualTxt"/>
        <w:spacing w:after="0" w:line="120" w:lineRule="exact"/>
        <w:rPr>
          <w:sz w:val="10"/>
        </w:rPr>
      </w:pPr>
    </w:p>
    <w:p w:rsidR="00CA3844" w:rsidRDefault="00CA3844">
      <w:pPr>
        <w:pStyle w:val="H4"/>
        <w:tabs>
          <w:tab w:val="left" w:pos="475"/>
          <w:tab w:val="left" w:pos="965"/>
          <w:tab w:val="left" w:pos="1440"/>
          <w:tab w:val="left" w:pos="1915"/>
          <w:tab w:val="left" w:pos="2405"/>
          <w:tab w:val="left" w:pos="2880"/>
          <w:tab w:val="left" w:pos="3355"/>
        </w:tabs>
        <w:ind w:left="475" w:hanging="475"/>
      </w:pPr>
      <w:r>
        <w:t>Artículos 10 a 14</w:t>
      </w:r>
    </w:p>
    <w:p w:rsidR="00CA3844" w:rsidRDefault="00CA3844">
      <w:pPr>
        <w:pStyle w:val="DualTxt"/>
        <w:spacing w:after="0" w:line="120" w:lineRule="exact"/>
        <w:rPr>
          <w:sz w:val="10"/>
        </w:rPr>
      </w:pPr>
    </w:p>
    <w:p w:rsidR="00CA3844" w:rsidRDefault="00CA3844">
      <w:pPr>
        <w:pStyle w:val="DualTxt"/>
      </w:pPr>
      <w:r>
        <w:t>2.</w:t>
      </w:r>
      <w:r>
        <w:tab/>
      </w:r>
      <w:r>
        <w:rPr>
          <w:b/>
          <w:spacing w:val="6"/>
        </w:rPr>
        <w:t>La Sra. Patten</w:t>
      </w:r>
      <w:r>
        <w:rPr>
          <w:spacing w:val="6"/>
        </w:rPr>
        <w:t xml:space="preserve"> pregunta, con respecto a los a</w:t>
      </w:r>
      <w:r>
        <w:rPr>
          <w:spacing w:val="6"/>
        </w:rPr>
        <w:t>r</w:t>
      </w:r>
      <w:r>
        <w:rPr>
          <w:spacing w:val="6"/>
        </w:rPr>
        <w:t>tí</w:t>
      </w:r>
      <w:r>
        <w:t>culos 10 y 11 de la Convención, qué tipo de medidas han adoptado los ministerios pertinentes para diversif</w:t>
      </w:r>
      <w:r>
        <w:t>i</w:t>
      </w:r>
      <w:r>
        <w:t>car las opciones ocupacionales de las mujeres y si el Gobierno respalda la investigación sobre estudios rel</w:t>
      </w:r>
      <w:r>
        <w:t>a</w:t>
      </w:r>
      <w:r>
        <w:t>tivos a la mujer y estudios relativos al género en las universidades de Polonia. También desea saber si P</w:t>
      </w:r>
      <w:r>
        <w:t>o</w:t>
      </w:r>
      <w:r>
        <w:t>lonia ha comenzado a aplicar su plan destinado a intr</w:t>
      </w:r>
      <w:r>
        <w:t>o</w:t>
      </w:r>
      <w:r>
        <w:t>ducir la misma edad de jubilación para hombres y m</w:t>
      </w:r>
      <w:r>
        <w:t>u</w:t>
      </w:r>
      <w:r>
        <w:t>jeres, las dificultades que ha encontrado en la elimin</w:t>
      </w:r>
      <w:r>
        <w:t>a</w:t>
      </w:r>
      <w:r>
        <w:t>ción de las diferencias de remuneración entre hombres y mujeres y si hay mecanismos para decidir sobre los actos de discriminación en el mercado laboral. El Est</w:t>
      </w:r>
      <w:r>
        <w:t>a</w:t>
      </w:r>
      <w:r>
        <w:t>do parte debe indicar si ha adoptado alguna medida p</w:t>
      </w:r>
      <w:r>
        <w:t>a</w:t>
      </w:r>
      <w:r>
        <w:t>ra revisar las estructuras salariales en las profesiones con predominio de mujeres y si ha introducido medidas para proteger a los trabajadores de jornada parcial y e</w:t>
      </w:r>
      <w:r>
        <w:t>s</w:t>
      </w:r>
      <w:r>
        <w:t>tacionales. Por último, si bien el Comité se congr</w:t>
      </w:r>
      <w:r>
        <w:t>a</w:t>
      </w:r>
      <w:r>
        <w:t>tula por las modificaciones que ha introducido Polonia en su Código Laboral, desea saber si el nuevo Código se está aplicando de manera efectiva.</w:t>
      </w:r>
    </w:p>
    <w:p w:rsidR="00CA3844" w:rsidRDefault="00CA3844">
      <w:pPr>
        <w:pStyle w:val="DualTxt"/>
      </w:pPr>
      <w:r>
        <w:t>3.</w:t>
      </w:r>
      <w:r>
        <w:tab/>
      </w:r>
      <w:r>
        <w:rPr>
          <w:b/>
        </w:rPr>
        <w:t xml:space="preserve">La Presidenta, </w:t>
      </w:r>
      <w:r>
        <w:t>hablando como miembro del C</w:t>
      </w:r>
      <w:r>
        <w:t>o</w:t>
      </w:r>
      <w:r>
        <w:t>mité, también desea conocer la situación de Polonia con respecto</w:t>
      </w:r>
      <w:r>
        <w:rPr>
          <w:b/>
        </w:rPr>
        <w:t xml:space="preserve"> </w:t>
      </w:r>
      <w:r>
        <w:t>a la investigación sobre estudios relativos a la mujer y estudios relativos al género. Dicha invest</w:t>
      </w:r>
      <w:r>
        <w:t>i</w:t>
      </w:r>
      <w:r>
        <w:t>gación proporciona un instrumento esencial para la formación de expertos, a fin de combatir la discrimin</w:t>
      </w:r>
      <w:r>
        <w:t>a</w:t>
      </w:r>
      <w:r>
        <w:t>ción contra la mujer.</w:t>
      </w:r>
    </w:p>
    <w:p w:rsidR="00CA3844" w:rsidRDefault="00CA3844">
      <w:pPr>
        <w:pStyle w:val="DualTxt"/>
      </w:pPr>
      <w:r>
        <w:t>4.</w:t>
      </w:r>
      <w:r>
        <w:tab/>
      </w:r>
      <w:r>
        <w:rPr>
          <w:b/>
        </w:rPr>
        <w:t>La Sra. Tan</w:t>
      </w:r>
      <w:r>
        <w:t xml:space="preserve"> acoge con agrado las modificaciones introducidas en el Código Laboral de Polonia para prohibir la discriminación basada en el género en el l</w:t>
      </w:r>
      <w:r>
        <w:t>u</w:t>
      </w:r>
      <w:r>
        <w:t>gar de trabajo. Sin embargo, las encuestas han puesto de manifiesto que las mujeres siguen siendo objeto de discriminación. Por consiguiente, se pregunta si, como consecuencia de esos cambios, las mujeres se sienten facultadas para llevar ante los tribunales los casos de discriminación.</w:t>
      </w:r>
    </w:p>
    <w:p w:rsidR="00CA3844" w:rsidRDefault="00CA3844">
      <w:pPr>
        <w:pStyle w:val="DualTxt"/>
      </w:pPr>
      <w:r>
        <w:t>5.</w:t>
      </w:r>
      <w:r>
        <w:tab/>
      </w:r>
      <w:r>
        <w:rPr>
          <w:b/>
        </w:rPr>
        <w:t>La Sra. Zou Xiaoqiao</w:t>
      </w:r>
      <w:r>
        <w:t xml:space="preserve"> pregunta por el número de mujeres y hombres que se han beneficiado del progr</w:t>
      </w:r>
      <w:r>
        <w:t>a</w:t>
      </w:r>
      <w:r>
        <w:t>ma de Polonia para reintegrar a los empleados que h</w:t>
      </w:r>
      <w:r>
        <w:t>a</w:t>
      </w:r>
      <w:r>
        <w:t>bían quedado fuera del mercado de trabajo debido a la transición hacia una economía de mercado. Según los informes del Estado parte, algunas mujeres sin form</w:t>
      </w:r>
      <w:r>
        <w:t>a</w:t>
      </w:r>
      <w:r>
        <w:t>ción se han visto obligadas a buscar trabajo en el me</w:t>
      </w:r>
      <w:r>
        <w:t>r</w:t>
      </w:r>
      <w:r>
        <w:t>cado negro, donde no gozan de la protección del Cód</w:t>
      </w:r>
      <w:r>
        <w:t>i</w:t>
      </w:r>
      <w:r>
        <w:t>go Laboral, con la consiguiente feminización de la p</w:t>
      </w:r>
      <w:r>
        <w:t>o</w:t>
      </w:r>
      <w:r>
        <w:t>breza. También hay indicios de que se está produciendo una discriminación por la edad. Por consiguiente, desea conocer qué medidas ha adoptado el Gobierno para p</w:t>
      </w:r>
      <w:r>
        <w:t>o</w:t>
      </w:r>
      <w:r>
        <w:t>ner remedio a la situación, si se han establecido polít</w:t>
      </w:r>
      <w:r>
        <w:t>i</w:t>
      </w:r>
      <w:r>
        <w:t>cas preferenciales especiales para capacitar a esas m</w:t>
      </w:r>
      <w:r>
        <w:t>u</w:t>
      </w:r>
      <w:r>
        <w:t>jeres y, en caso afirmativo, cuántas mujeres se han b</w:t>
      </w:r>
      <w:r>
        <w:t>e</w:t>
      </w:r>
      <w:r>
        <w:t>neficiado de dichas políticas. Desea conocer asimismo qué mecanismos se han introducido para vigilar la di</w:t>
      </w:r>
      <w:r>
        <w:t>s</w:t>
      </w:r>
      <w:r>
        <w:t>criminación, el acoso y las diferencias salariales bas</w:t>
      </w:r>
      <w:r>
        <w:t>a</w:t>
      </w:r>
      <w:r>
        <w:t>das en el género, así como las medidas que se han adoptado para ayudar a las mujeres afectadas.</w:t>
      </w:r>
    </w:p>
    <w:p w:rsidR="00CA3844" w:rsidRDefault="00CA3844">
      <w:pPr>
        <w:pStyle w:val="DualTxt"/>
      </w:pPr>
      <w:r>
        <w:t>6.</w:t>
      </w:r>
      <w:r>
        <w:tab/>
      </w:r>
      <w:r>
        <w:rPr>
          <w:b/>
        </w:rPr>
        <w:t>La Sra. Kluzik-Rostkowska</w:t>
      </w:r>
      <w:r>
        <w:t xml:space="preserve"> (Polonia) dice que, como en su delegación no hay un experto en educ</w:t>
      </w:r>
      <w:r>
        <w:t>a</w:t>
      </w:r>
      <w:r>
        <w:t>ción, presentará por escrito las respuestas detalladas r</w:t>
      </w:r>
      <w:r>
        <w:t>e</w:t>
      </w:r>
      <w:r>
        <w:t>lativas al sector de la educación en Polonia. En ese se</w:t>
      </w:r>
      <w:r>
        <w:t>c</w:t>
      </w:r>
      <w:r>
        <w:t>tor trabajan más mujeres que hombres y no se puede decir que las mujeres reciban una educación inferior. Sin embargo, se debe prestar más asistencia a las muj</w:t>
      </w:r>
      <w:r>
        <w:t>e</w:t>
      </w:r>
      <w:r>
        <w:t>res en la transición de la educación al puesto de trabajo y hay que realizar más esfuerzos para ayudarlas a co</w:t>
      </w:r>
      <w:r>
        <w:t>n</w:t>
      </w:r>
      <w:r>
        <w:t>ciliar sus funciones laborales con las familiares. Si bien se ha registrado una feminización de ciertos sectores mal pagados, los hombres se ven cada vez más oblig</w:t>
      </w:r>
      <w:r>
        <w:t>a</w:t>
      </w:r>
      <w:r>
        <w:t>dos a trabajar en sectores tradicionalmente dominados por las mujeres, debiéndose ambos fenómenos a las d</w:t>
      </w:r>
      <w:r>
        <w:t>i</w:t>
      </w:r>
      <w:r>
        <w:t>ficultades del mercado laboral.</w:t>
      </w:r>
    </w:p>
    <w:p w:rsidR="00CA3844" w:rsidRDefault="00CA3844">
      <w:pPr>
        <w:pStyle w:val="DualTxt"/>
      </w:pPr>
      <w:r>
        <w:t>7.</w:t>
      </w:r>
      <w:r>
        <w:tab/>
        <w:t xml:space="preserve">Aunque las modificaciones del Código Laboral han eliminado la discriminación </w:t>
      </w:r>
      <w:r>
        <w:rPr>
          <w:i/>
        </w:rPr>
        <w:t>de jure,</w:t>
      </w:r>
      <w:r>
        <w:t xml:space="preserve"> los emplead</w:t>
      </w:r>
      <w:r>
        <w:t>o</w:t>
      </w:r>
      <w:r>
        <w:t>res no aplican la ley de manera efectiva y las mujeres carecen de la confianza necesaria para poner los casos en manos de los tribunales. Por consiguiente, se deben realizar mayores esfuerzos a fin de aumentar la sensib</w:t>
      </w:r>
      <w:r>
        <w:t>i</w:t>
      </w:r>
      <w:r>
        <w:t>lización de las mujeres sobre sus derechos y presta</w:t>
      </w:r>
      <w:r>
        <w:t>r</w:t>
      </w:r>
      <w:r>
        <w:t>les ayuda y asesoramiento jurídico, así como instruir a los empleadores sobre cuestiones como el acoso sexual en el lugar de trabajo. Aunque el cumplimiento de las l</w:t>
      </w:r>
      <w:r>
        <w:t>e</w:t>
      </w:r>
      <w:r>
        <w:t>yes y los procedimientos judiciales son muchas veces lentos, el Ministerio de Justicia ha hecho esfuerzos p</w:t>
      </w:r>
      <w:r>
        <w:t>a</w:t>
      </w:r>
      <w:r>
        <w:t>ra subsanar la situación, por ejemplo mediante la intr</w:t>
      </w:r>
      <w:r>
        <w:t>o</w:t>
      </w:r>
      <w:r>
        <w:t>ducción de legislación antiacoso moral.</w:t>
      </w:r>
    </w:p>
    <w:p w:rsidR="00CA3844" w:rsidRDefault="00CA3844">
      <w:pPr>
        <w:pStyle w:val="DualTxt"/>
      </w:pPr>
      <w:r>
        <w:t>8.</w:t>
      </w:r>
      <w:r>
        <w:tab/>
        <w:t>Aunque la legislación establece el pago de la misma remuneración por idéntico trabajo, su aplicación no es todavía efectiva. Debido a la alta tasa de dese</w:t>
      </w:r>
      <w:r>
        <w:t>m</w:t>
      </w:r>
      <w:r>
        <w:t>pleo que sufre el país, a menudo resulta difícil conve</w:t>
      </w:r>
      <w:r>
        <w:t>n</w:t>
      </w:r>
      <w:r>
        <w:t>cer a los empleadores a fin de que introduzcan acue</w:t>
      </w:r>
      <w:r>
        <w:t>r</w:t>
      </w:r>
      <w:r>
        <w:t>dos de trabajo flexible para las mujeres, por lo que se les deben ofrecer incentivos. Las mujeres de más edad encuentran con frecuencia dificultades para transferir sus calificaciones académicas y sus conocimientos pr</w:t>
      </w:r>
      <w:r>
        <w:t>o</w:t>
      </w:r>
      <w:r>
        <w:t>fesionales a la economía de mercado, y Polonia debe buscar la manera de mejorar el acceso de la mujer al mercado laboral y garantizar la aplicación efectiva de la legislación en vigor.</w:t>
      </w:r>
    </w:p>
    <w:p w:rsidR="00CA3844" w:rsidRDefault="00CA3844">
      <w:pPr>
        <w:pStyle w:val="DualTxt"/>
      </w:pPr>
      <w:r>
        <w:t>9.</w:t>
      </w:r>
      <w:r>
        <w:tab/>
      </w:r>
      <w:r>
        <w:rPr>
          <w:b/>
        </w:rPr>
        <w:t>La Sra. Wencel</w:t>
      </w:r>
      <w:r>
        <w:t xml:space="preserve"> (Polonia) dice que el acoso s</w:t>
      </w:r>
      <w:r>
        <w:t>e</w:t>
      </w:r>
      <w:r>
        <w:t>xual es punible con arreglo al Código Penal —tres años de prisión en el caso de relaciones sexuales forzadas— y que esos delitos se persiguen de manera automática tras la demanda de la víctima. El acoso moral es pun</w:t>
      </w:r>
      <w:r>
        <w:t>i</w:t>
      </w:r>
      <w:r>
        <w:t>ble en el marco del Código Laboral y se suele abordar en los tribunales del trabajo; cuando hay además cue</w:t>
      </w:r>
      <w:r>
        <w:t>s</w:t>
      </w:r>
      <w:r>
        <w:t>tiones relativas al acoso sexual, es también la víctima quien tiene que iniciar el procedimiento. Si el Comité desea más detalles, se pueden proporcionar estadísticas y ejemplos de casos de enjuiciamientos desglosados por géneros.</w:t>
      </w:r>
    </w:p>
    <w:p w:rsidR="00CA3844" w:rsidRDefault="00CA3844">
      <w:pPr>
        <w:pStyle w:val="DualTxt"/>
      </w:pPr>
      <w:r>
        <w:t>10.</w:t>
      </w:r>
      <w:r>
        <w:tab/>
      </w:r>
      <w:r>
        <w:rPr>
          <w:b/>
        </w:rPr>
        <w:t>La Sra. Tavares da Silva</w:t>
      </w:r>
      <w:r>
        <w:t xml:space="preserve"> observa que incluso en una sociedad étnicamente homogénea como la de P</w:t>
      </w:r>
      <w:r>
        <w:t>o</w:t>
      </w:r>
      <w:r>
        <w:t>lonia hay algunas mujeres pertenecientes a minorías que se pueden encontrar en desventaja. Se pregunta en particular si el Gobierno es consciente de la situación que afrontan entre los refugiados los hogares con muj</w:t>
      </w:r>
      <w:r>
        <w:t>e</w:t>
      </w:r>
      <w:r>
        <w:t>res al frente y si atiende sus necesidades. Se ha dado información contradictoria sobre las mujeres romaníes, pertenecientes a otra minoría. Mientras que los propios representantes romaníes —que sin duda son hombres— dicen que se da por descontado que hay peligro de di</w:t>
      </w:r>
      <w:r>
        <w:t>s</w:t>
      </w:r>
      <w:r>
        <w:t>criminación contra ellos, en otras partes se indica que las mujeres romaníes reciben menos educación y tienen una tasa de abandono escolar más elevada, debido s</w:t>
      </w:r>
      <w:r>
        <w:t>o</w:t>
      </w:r>
      <w:r>
        <w:t>bre todo a los matrimonios precoces, que son habitu</w:t>
      </w:r>
      <w:r>
        <w:t>a</w:t>
      </w:r>
      <w:r>
        <w:t>les. Desea recibir más información sobre el contenido y los objetivos del programa nacional multianual de asi</w:t>
      </w:r>
      <w:r>
        <w:t>s</w:t>
      </w:r>
      <w:r>
        <w:t>tencia a la comunidad romaní, que se puso en marcha en 2004 (párrafo 127 del sexto informe) y si se recon</w:t>
      </w:r>
      <w:r>
        <w:t>o</w:t>
      </w:r>
      <w:r>
        <w:t>ce una dimensión de género.</w:t>
      </w:r>
    </w:p>
    <w:p w:rsidR="00CA3844" w:rsidRDefault="00CA3844">
      <w:pPr>
        <w:pStyle w:val="DualTxt"/>
      </w:pPr>
      <w:r>
        <w:t>11.</w:t>
      </w:r>
      <w:r>
        <w:tab/>
      </w:r>
      <w:r>
        <w:rPr>
          <w:b/>
        </w:rPr>
        <w:t>La Sra. Arocha Domínguez</w:t>
      </w:r>
      <w:r>
        <w:t xml:space="preserve"> pregunta cuáles son los efectos de la reestructuración del servicio de salud del Gobierno, que ha llevado a una reducción del n</w:t>
      </w:r>
      <w:r>
        <w:t>ú</w:t>
      </w:r>
      <w:r>
        <w:t>mero de clínicas y farmacias rurales, en la salud de las mujeres del medio rural y en la manera de garantizarles el acceso a la asistencia sanitaria y los anticonceptivos. Sería interesante conocer los resultados del Plan N</w:t>
      </w:r>
      <w:r>
        <w:t>a</w:t>
      </w:r>
      <w:r>
        <w:t>cional de Desarrollo para el período 2004-2006 (re</w:t>
      </w:r>
      <w:r>
        <w:t>s</w:t>
      </w:r>
      <w:r>
        <w:t>puesta a la pregunta 25) en cuanto a la salud de la m</w:t>
      </w:r>
      <w:r>
        <w:t>u</w:t>
      </w:r>
      <w:r>
        <w:t>jer, la atención durante el embarazo y la planificación familiar. La delegación indicó en la reunión anterior que el 75% de las mujeres de edades comprendidas e</w:t>
      </w:r>
      <w:r>
        <w:t>n</w:t>
      </w:r>
      <w:r>
        <w:t>tre 15 y 46 años utilizan anticonceptivos: sería útil di</w:t>
      </w:r>
      <w:r>
        <w:t>s</w:t>
      </w:r>
      <w:r>
        <w:t>poner de un desglose por zonas rurales y urbanas y por tipos de anticonceptivos utilizados. También resulta sorprendente que el índice de abortos espontáneos se haya mantenido constante en los últimos años, aun cuando se han producido mejoras en los servicios de salud. Es evidente que, dados los factores que llevan a los abortos espontáneos (respuesta a la pregunta 24), hay una discrepancia entre las políticas del Gobierno y la situación real. Desea una descripción más completa de la política del Gobierno en materia de planificación familiar y aborto, en cuanto a los servicios de salud r</w:t>
      </w:r>
      <w:r>
        <w:t>u</w:t>
      </w:r>
      <w:r>
        <w:t>rales y urbanos, y se pregunta si se ha suspendido el contrato de algún médico por no cumplir las condici</w:t>
      </w:r>
      <w:r>
        <w:t>o</w:t>
      </w:r>
      <w:r>
        <w:t>nes de la directiva del Ministerio de Salud de 2005 s</w:t>
      </w:r>
      <w:r>
        <w:t>o</w:t>
      </w:r>
      <w:r>
        <w:t>bre la prestación de servicios de aborto.</w:t>
      </w:r>
    </w:p>
    <w:p w:rsidR="00CA3844" w:rsidRDefault="00CA3844">
      <w:pPr>
        <w:pStyle w:val="DualTxt"/>
      </w:pPr>
      <w:r>
        <w:t>12.</w:t>
      </w:r>
      <w:r>
        <w:tab/>
      </w:r>
      <w:r>
        <w:rPr>
          <w:b/>
          <w:spacing w:val="6"/>
        </w:rPr>
        <w:t>La Sra. Patten</w:t>
      </w:r>
      <w:r>
        <w:rPr>
          <w:spacing w:val="6"/>
        </w:rPr>
        <w:t>, señalando, en relación con el ar</w:t>
      </w:r>
      <w:r>
        <w:t>tículo 14, que los bancos exigen bienes como gara</w:t>
      </w:r>
      <w:r>
        <w:t>n</w:t>
      </w:r>
      <w:r>
        <w:t>tía para los préstamos (párrafo 228 del sexto informe), pide estadísticas sobre el número de mujeres en comp</w:t>
      </w:r>
      <w:r>
        <w:t>a</w:t>
      </w:r>
      <w:r>
        <w:t>ración con el de hombres que han recibido realmente créditos, dado el acceso limitado de las mujeres a los bienes, así como información sobre lo que se está h</w:t>
      </w:r>
      <w:r>
        <w:t>a</w:t>
      </w:r>
      <w:r>
        <w:t>ciendo para mejorar las posibilidades generadoras de ingresos de las mujeres y su acceso a los recursos pr</w:t>
      </w:r>
      <w:r>
        <w:t>o</w:t>
      </w:r>
      <w:r>
        <w:t>ductivos, los programas de desarrollo y las estructuras cooperativas. A la vista de la precariedad del acceso de las mujeres rurales al mercado laboral, se pregunta si el Gobierno promueve la incorporación de la mujer a t</w:t>
      </w:r>
      <w:r>
        <w:t>o</w:t>
      </w:r>
      <w:r>
        <w:t>dos sus programas rurales; si su proyecto para las m</w:t>
      </w:r>
      <w:r>
        <w:t>u</w:t>
      </w:r>
      <w:r>
        <w:t>jeres empresarias incluye también a las mujeres rur</w:t>
      </w:r>
      <w:r>
        <w:t>a</w:t>
      </w:r>
      <w:r>
        <w:t>les; cuántos proyectos de la impresionante serie que se describió en la reunión anterior se han destinado a las mujeres rurales; si se ha planificado alguna medida e</w:t>
      </w:r>
      <w:r>
        <w:t>s</w:t>
      </w:r>
      <w:r>
        <w:t>pecífica para facilitar el acceso de las mujeres rurales a los mercados, la actividad empresarial, las instituciones financieras, la tecnología apropiada, etc.; y si partic</w:t>
      </w:r>
      <w:r>
        <w:t>i</w:t>
      </w:r>
      <w:r>
        <w:t>pan mujeres en la formulación de las políticas que las afectan por parte del ministerio encargado de la pobl</w:t>
      </w:r>
      <w:r>
        <w:t>a</w:t>
      </w:r>
      <w:r>
        <w:t>ción rural.</w:t>
      </w:r>
    </w:p>
    <w:p w:rsidR="00CA3844" w:rsidRDefault="00CA3844">
      <w:pPr>
        <w:pStyle w:val="DualTxt"/>
      </w:pPr>
      <w:r>
        <w:t>13.</w:t>
      </w:r>
      <w:r>
        <w:tab/>
      </w:r>
      <w:r>
        <w:rPr>
          <w:b/>
        </w:rPr>
        <w:t xml:space="preserve">La Sra. Tan </w:t>
      </w:r>
      <w:r>
        <w:t>observa que, a pesar de los esfuerzos que ha realizado el Gobierno desde el decenio de 1990 para mejorar las infraestructuras rurales, casi la mitad de los entrevistados en una encuesta sobre los hogares rurales realizada en 2002 expresaron su descontento con su nivel de vida. Se pregunta qué es lo que les pr</w:t>
      </w:r>
      <w:r>
        <w:t>o</w:t>
      </w:r>
      <w:r>
        <w:t>duce específicamente descontento y si el nivel de vida ha mejorado desde 2002. Tampoco está claro si hay a</w:t>
      </w:r>
      <w:r>
        <w:t>l</w:t>
      </w:r>
      <w:r>
        <w:t>gún obstáculo que impida la participación de las muj</w:t>
      </w:r>
      <w:r>
        <w:t>e</w:t>
      </w:r>
      <w:r>
        <w:t>res rurales en los órganos administrativos locales, pue</w:t>
      </w:r>
      <w:r>
        <w:t>s</w:t>
      </w:r>
      <w:r>
        <w:t>to que es muy baja. En el sector de la salud, se han realizado importantes reformas en todo el país, pero al parecer todavía no han producido efectos positivos. Pregunta si el Gobierno tiene suficientes clínicas para atender a las mujeres rurales, en particular a las que no pueden permitirse la asistencia sanitaria, y de qué m</w:t>
      </w:r>
      <w:r>
        <w:t>a</w:t>
      </w:r>
      <w:r>
        <w:t>nera se las está educando sobre la importancia de la atención ginecológica con objeto de reducir la elevada tasa de mortalidad materna y superar la reticencia de carácter religioso a la práctica anticonceptiva.</w:t>
      </w:r>
    </w:p>
    <w:p w:rsidR="00CA3844" w:rsidRDefault="00CA3844">
      <w:pPr>
        <w:pStyle w:val="DualTxt"/>
      </w:pPr>
      <w:r>
        <w:t>14.</w:t>
      </w:r>
      <w:r>
        <w:tab/>
      </w:r>
      <w:r>
        <w:rPr>
          <w:b/>
        </w:rPr>
        <w:t xml:space="preserve">La Sra. Begum </w:t>
      </w:r>
      <w:r>
        <w:t>observa que, aunque más de un tercio de la población de Polonia vive en las zonas rurales,</w:t>
      </w:r>
      <w:r>
        <w:rPr>
          <w:b/>
        </w:rPr>
        <w:t xml:space="preserve"> </w:t>
      </w:r>
      <w:r>
        <w:t>en ninguno de los informes hay mucha info</w:t>
      </w:r>
      <w:r>
        <w:t>r</w:t>
      </w:r>
      <w:r>
        <w:t>mación sobre los indicadores sociales y económicos de la participación de la mujer rural en el desarrollo, ni datos desglosados por sexos acerca de las mujeres que son cabeza de familia o trabajadoras, ni información sobre algún plan normativo para mejorar la condición de las mujeres rurales, eliminar los estereotipos y pr</w:t>
      </w:r>
      <w:r>
        <w:t>o</w:t>
      </w:r>
      <w:r>
        <w:t>porcionarles los instrumentos de capacitación neces</w:t>
      </w:r>
      <w:r>
        <w:t>a</w:t>
      </w:r>
      <w:r>
        <w:t>rios o préstamos sin garantía para compensarlas por su falta de formación y permitirles poner en marcha microe</w:t>
      </w:r>
      <w:r>
        <w:t>m</w:t>
      </w:r>
      <w:r>
        <w:t>presas.</w:t>
      </w:r>
    </w:p>
    <w:p w:rsidR="00CA3844" w:rsidRDefault="00CA3844">
      <w:pPr>
        <w:pStyle w:val="DualTxt"/>
      </w:pPr>
      <w:r>
        <w:t>15.</w:t>
      </w:r>
      <w:r>
        <w:tab/>
        <w:t>Pregunta qué se está haciendo para mejorar el p</w:t>
      </w:r>
      <w:r>
        <w:t>o</w:t>
      </w:r>
      <w:r>
        <w:t>tencial de iniciativa de las mujeres rurales, que están infrarrepresentadas en las administraciones locales, y para eliminar la discriminación a nivel comunitario. Se pregunta también si el Gobierno está tratando de co</w:t>
      </w:r>
      <w:r>
        <w:t>m</w:t>
      </w:r>
      <w:r>
        <w:t>batir los tabúes entre las mujeres rurales en contra de la asistencia médica moderna, debido sobre todo a cons</w:t>
      </w:r>
      <w:r>
        <w:t>i</w:t>
      </w:r>
      <w:r>
        <w:t>deraciones religiosas.</w:t>
      </w:r>
    </w:p>
    <w:p w:rsidR="00CA3844" w:rsidRDefault="00CA3844">
      <w:pPr>
        <w:pStyle w:val="DualTxt"/>
      </w:pPr>
      <w:r>
        <w:t>16.</w:t>
      </w:r>
      <w:r>
        <w:tab/>
      </w:r>
      <w:r>
        <w:rPr>
          <w:b/>
        </w:rPr>
        <w:t>La Sra. Kluzik-Rostkowska</w:t>
      </w:r>
      <w:r>
        <w:t xml:space="preserve"> (Polonia) dice que, si bien Polonia tiene en la actualidad una sociedad é</w:t>
      </w:r>
      <w:r>
        <w:t>t</w:t>
      </w:r>
      <w:r>
        <w:t>nicamente homogénea sin problemas importantes de minorías, esa situación empeorará sin duda tras su i</w:t>
      </w:r>
      <w:r>
        <w:t>n</w:t>
      </w:r>
      <w:r>
        <w:t>corporación a la Unión Europea. Para abordar el pr</w:t>
      </w:r>
      <w:r>
        <w:t>o</w:t>
      </w:r>
      <w:r>
        <w:t>blema de los romaníes hay que llegar hasta ellos a tr</w:t>
      </w:r>
      <w:r>
        <w:t>a</w:t>
      </w:r>
      <w:r>
        <w:t>vés del estrato de una cultura diferente: con arreglo a la legislación de Polonia, ningún adolescente de 13 años puede abandonar la escuela o casarse, pero es a los p</w:t>
      </w:r>
      <w:r>
        <w:t>a</w:t>
      </w:r>
      <w:r>
        <w:t>dres a quienes hay que convencer mediante los esfue</w:t>
      </w:r>
      <w:r>
        <w:t>r</w:t>
      </w:r>
      <w:r>
        <w:t>zos del Gobierno para hacer cumplir la ley.</w:t>
      </w:r>
    </w:p>
    <w:p w:rsidR="00CA3844" w:rsidRDefault="00CA3844">
      <w:pPr>
        <w:pStyle w:val="DualTxt"/>
      </w:pPr>
      <w:r>
        <w:t>17.</w:t>
      </w:r>
      <w:r>
        <w:tab/>
        <w:t>Con respecto a la salud de las mujeres, no hay de un grupo grande muy pobre y sin acceso a un nivel de vida básico. Siempre hay algunos abortos espontáneos, pero su número se mantiene estable y, como en cua</w:t>
      </w:r>
      <w:r>
        <w:t>l</w:t>
      </w:r>
      <w:r>
        <w:t>quier otro país, afecta a quienes son desproporcion</w:t>
      </w:r>
      <w:r>
        <w:t>a</w:t>
      </w:r>
      <w:r>
        <w:t>damente pobres y están mal alimentadas. La mayor parte de las mujeres reciben atención ginecológica d</w:t>
      </w:r>
      <w:r>
        <w:t>u</w:t>
      </w:r>
      <w:r>
        <w:t>rante el embarazo. Es cierto que en las ciudades resulta más fácil acceder a una asistencia sanitaria especial</w:t>
      </w:r>
      <w:r>
        <w:t>i</w:t>
      </w:r>
      <w:r>
        <w:t>zada adecuada. El objetivo del Gobierno es poner al mismo nivel la atención ginecológica en las zonas rur</w:t>
      </w:r>
      <w:r>
        <w:t>a</w:t>
      </w:r>
      <w:r>
        <w:t>les. La mayor parte de las mujeres que no reciben d</w:t>
      </w:r>
      <w:r>
        <w:t>i</w:t>
      </w:r>
      <w:r>
        <w:t>cha atención es por vergüenza o por falta de acceso. La planificación familiar es una cuestión independiente y en el uso de los anticonceptivos intervienen consider</w:t>
      </w:r>
      <w:r>
        <w:t>a</w:t>
      </w:r>
      <w:r>
        <w:t>ciones religiosas.</w:t>
      </w:r>
    </w:p>
    <w:p w:rsidR="00CA3844" w:rsidRDefault="00CA3844">
      <w:pPr>
        <w:pStyle w:val="DualTxt"/>
      </w:pPr>
      <w:r>
        <w:t>18.</w:t>
      </w:r>
      <w:r>
        <w:tab/>
        <w:t>Sobre el tema de las mujeres rurales, las parejas casadas tienen en Polonia comunidad de bienes. Por consiguiente, si la pareja procede de una zona rural los bienes y las tierras pertenecen a ambos. Sin embargo, es importante señalar que no todos los que viven en el campo trabajan en la agricultura. Las mujeres trabajan a menudo con sus maridos en las explotaciones agríc</w:t>
      </w:r>
      <w:r>
        <w:t>o</w:t>
      </w:r>
      <w:r>
        <w:t>las, pero si la familia no vive de la agricultura se pla</w:t>
      </w:r>
      <w:r>
        <w:t>n</w:t>
      </w:r>
      <w:r>
        <w:t>tea la cuestión de si es el marido o la esposa quien c</w:t>
      </w:r>
      <w:r>
        <w:t>u</w:t>
      </w:r>
      <w:r>
        <w:t>bre los gastos de la familia. En algunas regiones, las explotaciones agrícolas son muy pequeñas y están en manos de la generación más anciana, debido a que la mayor parte de los jóvenes abandonan el campo de manera definitiva. Sin embargo, el nivel de vida de las personas que viven en explotaciones más grandes con suelos de buena calidad no es muy diferente del que gozan las personas que viven en la ciudad.</w:t>
      </w:r>
    </w:p>
    <w:p w:rsidR="00CA3844" w:rsidRDefault="00CA3844">
      <w:pPr>
        <w:pStyle w:val="DualTxt"/>
      </w:pPr>
      <w:r>
        <w:t>19.</w:t>
      </w:r>
      <w:r>
        <w:tab/>
        <w:t>Las zonas rurales tienen máxima prioridad para el Gobierno, debido sobre todo a las tendencias demogr</w:t>
      </w:r>
      <w:r>
        <w:t>á</w:t>
      </w:r>
      <w:r>
        <w:t>ficas: como consecuencia del auge de la natalidad en el medio rural en el decenio de 1990, la mayoría de los futuros adultos polacos habrán crecido en el campo. A menos que el Gobierno ponga la educación y la asi</w:t>
      </w:r>
      <w:r>
        <w:t>s</w:t>
      </w:r>
      <w:r>
        <w:t>tencia sanitaria en las zonas rurales al mismo nivel que en las ciudades, en un plazo de unos 15 años la soci</w:t>
      </w:r>
      <w:r>
        <w:t>e</w:t>
      </w:r>
      <w:r>
        <w:t>dad polaca tendrá una educación muy deficiente. Por consiguiente, el Gobierno está elaborando numerosos programas que se concentran en las zonas rurales.</w:t>
      </w:r>
    </w:p>
    <w:p w:rsidR="00CA3844" w:rsidRDefault="00CA3844">
      <w:pPr>
        <w:pStyle w:val="DualTxt"/>
      </w:pPr>
      <w:r>
        <w:t>20.</w:t>
      </w:r>
      <w:r>
        <w:tab/>
        <w:t>En la ciudad, las familias pagan impuestos en función de los ingresos que generan. Sin embargo, no se dispone de esos datos para la mayoría de las familias rurales, puesto que no pagan impuestos de la misma manera. Así pues, es difícil definir el número de fam</w:t>
      </w:r>
      <w:r>
        <w:t>i</w:t>
      </w:r>
      <w:r>
        <w:t>lias rurales que se encuentran en condiciones muy def</w:t>
      </w:r>
      <w:r>
        <w:t>i</w:t>
      </w:r>
      <w:r>
        <w:t>cientes. Dicho esto, sería engañoso afirmar que la s</w:t>
      </w:r>
      <w:r>
        <w:t>i</w:t>
      </w:r>
      <w:r>
        <w:t>tuación en las ciudades y en las zonas rurales es la misma. Por ejemplo, los niños que viven en las zonas rurales no disfrutan de las mismas oportunidades de educación y asistencia sanitaria que los que viven en las ciudades, a pesar del aumento del número de méd</w:t>
      </w:r>
      <w:r>
        <w:t>i</w:t>
      </w:r>
      <w:r>
        <w:t>cos y enfermeras en las escuelas rurales. El Gobierno es consciente del problema y hace todo lo posible para mejorar la situación del medio rural de Polonia.</w:t>
      </w:r>
    </w:p>
    <w:p w:rsidR="00CA3844" w:rsidRDefault="00CA3844">
      <w:pPr>
        <w:pStyle w:val="DualTxt"/>
      </w:pPr>
      <w:r>
        <w:t>21.</w:t>
      </w:r>
      <w:r>
        <w:tab/>
      </w:r>
      <w:r>
        <w:rPr>
          <w:b/>
        </w:rPr>
        <w:t>La Sra. Furgala</w:t>
      </w:r>
      <w:r>
        <w:t xml:space="preserve"> (Polonia) dice que el Gobierno ha llevado a cabo una amplia serie de actividades para ayudar a las muchachas y las mujeres romaníes, en pa</w:t>
      </w:r>
      <w:r>
        <w:t>r</w:t>
      </w:r>
      <w:r>
        <w:t>ticular el programa orientado a prestar asistencia a la población romaní en la provincia de Malopolskie, que se concentra fundamentalmente en la educación. Hasta 2006 se habían asignado casi 23 millones de zlotys (seis millones de euros) para financiar las tareas co</w:t>
      </w:r>
      <w:r>
        <w:t>m</w:t>
      </w:r>
      <w:r>
        <w:t>prendidas en el programa, permitiendo a las autorid</w:t>
      </w:r>
      <w:r>
        <w:t>a</w:t>
      </w:r>
      <w:r>
        <w:t>des locales y las ONG, con inclusión de organiz</w:t>
      </w:r>
      <w:r>
        <w:t>a</w:t>
      </w:r>
      <w:r>
        <w:t>ciones romaníes, realizar numerosos proyectos.</w:t>
      </w:r>
    </w:p>
    <w:p w:rsidR="00CA3844" w:rsidRDefault="00CA3844">
      <w:pPr>
        <w:pStyle w:val="DualTxt"/>
      </w:pPr>
      <w:r>
        <w:t>22.</w:t>
      </w:r>
      <w:r>
        <w:tab/>
      </w:r>
      <w:r>
        <w:rPr>
          <w:b/>
        </w:rPr>
        <w:t>La Sra. Przygucka</w:t>
      </w:r>
      <w:r>
        <w:t xml:space="preserve"> (Polonia) dice que el Gobie</w:t>
      </w:r>
      <w:r>
        <w:t>r</w:t>
      </w:r>
      <w:r>
        <w:t>no de Polonia ha sido uno de los promotores de las r</w:t>
      </w:r>
      <w:r>
        <w:t>e</w:t>
      </w:r>
      <w:r>
        <w:t>comendaciones de la Unión Europea sobre la asistencia sanitaria en una sociedad multicultural. En el caso de Polonia, el programa se concentra principalmente en la población romaní, recomendando, entre otras cosas, la mejora de los conocimientos prácticos y las calific</w:t>
      </w:r>
      <w:r>
        <w:t>a</w:t>
      </w:r>
      <w:r>
        <w:t>ciones de los profesionales de la asistencia sanitaria y un mayor respeto hacia los derechos humanos y la di</w:t>
      </w:r>
      <w:r>
        <w:t>g</w:t>
      </w:r>
      <w:r>
        <w:t>nidad de dicha población. Como parte de una iniciativa del Ministerio de Salud, en las facultades de medicina se enseñan temas como bioética y el respeto de la d</w:t>
      </w:r>
      <w:r>
        <w:t>i</w:t>
      </w:r>
      <w:r>
        <w:t>versidad cultural, a fin de garantizar que los futuros médicos de Polonia respeten la diversidad de actitudes y prácticas de las distintas culturas.</w:t>
      </w:r>
    </w:p>
    <w:p w:rsidR="00CA3844" w:rsidRDefault="00CA3844">
      <w:pPr>
        <w:pStyle w:val="DualTxt"/>
      </w:pPr>
      <w:r>
        <w:t>23.</w:t>
      </w:r>
      <w:r>
        <w:tab/>
      </w:r>
      <w:r>
        <w:rPr>
          <w:b/>
        </w:rPr>
        <w:t>El Sr. Grabowski</w:t>
      </w:r>
      <w:r>
        <w:t xml:space="preserve"> (Polonia) dice que el artículo 12 de la Convención está relacionado con las dispos</w:t>
      </w:r>
      <w:r>
        <w:t>i</w:t>
      </w:r>
      <w:r>
        <w:t>ciones de la Constitución, la Ley sobre los servicios de atención médica y la Ley sobre la planificación de la familia, la protección del feto humano y las condici</w:t>
      </w:r>
      <w:r>
        <w:t>o</w:t>
      </w:r>
      <w:r>
        <w:t>nes para la admisibilidad del aborto.</w:t>
      </w:r>
    </w:p>
    <w:p w:rsidR="00CA3844" w:rsidRDefault="00CA3844">
      <w:pPr>
        <w:pStyle w:val="DualTxt"/>
      </w:pPr>
      <w:r>
        <w:t>24.</w:t>
      </w:r>
      <w:r>
        <w:tab/>
        <w:t>El Ministerio de Salud ha establecido un grupo de trabajo encargado de mejorar el acceso de las mujeres rurales a los servicios de asistencia sanitaria, en part</w:t>
      </w:r>
      <w:r>
        <w:t>i</w:t>
      </w:r>
      <w:r>
        <w:t>cular los servicios ginecológicos, odontológicos y de planificación familiar. Cualquier persona que necesite ese tipo de asistencia disfruta del mismo trato, con i</w:t>
      </w:r>
      <w:r>
        <w:t>n</w:t>
      </w:r>
      <w:r>
        <w:t>dependencia de la situación económica. En 2002, el Gobierno prohibió la discriminación contra la mujer en el acceso al mercado laboral. Las disposiciones mod</w:t>
      </w:r>
      <w:r>
        <w:t>i</w:t>
      </w:r>
      <w:r>
        <w:t>ficadas incluyen una lista de empleos que son perjud</w:t>
      </w:r>
      <w:r>
        <w:t>i</w:t>
      </w:r>
      <w:r>
        <w:t>ciales para la salud de la mujer, en particular las muj</w:t>
      </w:r>
      <w:r>
        <w:t>e</w:t>
      </w:r>
      <w:r>
        <w:t xml:space="preserve">res embarazadas o las madres lactantes. </w:t>
      </w:r>
    </w:p>
    <w:p w:rsidR="00CA3844" w:rsidRDefault="00CA3844">
      <w:pPr>
        <w:pStyle w:val="DualTxt"/>
      </w:pPr>
      <w:r>
        <w:t>25.</w:t>
      </w:r>
      <w:r>
        <w:tab/>
        <w:t>Según una encuesta reciente sobre la utilización de anticonceptivos, más del 60% de las mujeres pol</w:t>
      </w:r>
      <w:r>
        <w:t>a</w:t>
      </w:r>
      <w:r>
        <w:t>cas utilizan preservativos, la píldora anticonceptiva u otros anticonceptivos hormonales. En Polonia hay 34 productos, tres de ellos con un reembolso del 30%. Los anticonceptivos están disponibles en las farmacias de todo el país, tanto en las ciudades como en las zonas rurales. Por consiguiente, las mujeres rurales gozan de igualdad de acceso.</w:t>
      </w:r>
    </w:p>
    <w:p w:rsidR="00CA3844" w:rsidRDefault="00CA3844">
      <w:pPr>
        <w:pStyle w:val="DualTxt"/>
      </w:pPr>
      <w:r>
        <w:t>26.</w:t>
      </w:r>
      <w:r>
        <w:tab/>
        <w:t>La legislación polaca permite el aborto si el e</w:t>
      </w:r>
      <w:r>
        <w:t>m</w:t>
      </w:r>
      <w:r>
        <w:t>barazo es consecuencia de una violación; si hay pr</w:t>
      </w:r>
      <w:r>
        <w:t>o</w:t>
      </w:r>
      <w:r>
        <w:t>blemas con el feto; y si el embarazo es perjudicial para la salud de la madre. En 2006 se registraron 225 abo</w:t>
      </w:r>
      <w:r>
        <w:t>r</w:t>
      </w:r>
      <w:r>
        <w:t>tos, 32 más que en 2004. Al mismo tiempo, el número de abortos espontáneos se ha reducido progresivamente en los 10 últimos años, pasando de 45.000 en 1996 a 40.000 en 2005. Uno de los motivos de esta dismin</w:t>
      </w:r>
      <w:r>
        <w:t>u</w:t>
      </w:r>
      <w:r>
        <w:t>ción es el hecho de que las mujeres visitan con más frecuencia a su ginecólogo.</w:t>
      </w:r>
    </w:p>
    <w:p w:rsidR="00CA3844" w:rsidRDefault="00CA3844">
      <w:pPr>
        <w:pStyle w:val="DualTxt"/>
      </w:pPr>
      <w:r>
        <w:t>27.</w:t>
      </w:r>
      <w:r>
        <w:tab/>
        <w:t>En 2002, el Ministerio de Salud, junto con el M</w:t>
      </w:r>
      <w:r>
        <w:t>i</w:t>
      </w:r>
      <w:r>
        <w:t>nisterio de Educación Nacional y Deportes, introdujo en el programa de estudios de la escuela pública y pr</w:t>
      </w:r>
      <w:r>
        <w:t>i</w:t>
      </w:r>
      <w:r>
        <w:t>vada una asignatura denominada “Educación para la vida en la familia”. La asignatura aborda temas como la prevención del VIH/SIDA. Entre 1985 y 2006 se r</w:t>
      </w:r>
      <w:r>
        <w:t>e</w:t>
      </w:r>
      <w:r>
        <w:t>gistraron en Polonia algo más de 10.000 casos de VIH, el 20% de ellos en mujeres. Todas las personas con VIH/SIDA tienen en Polonia una cobertura completa de terapia antirretrovírica. El costo de dicha terapia es considerable, por lo que representa una carga enorme para el presupuesto nacional.</w:t>
      </w:r>
    </w:p>
    <w:p w:rsidR="00CA3844" w:rsidRDefault="00CA3844">
      <w:pPr>
        <w:pStyle w:val="DualTxt"/>
      </w:pPr>
      <w:r>
        <w:t>28.</w:t>
      </w:r>
      <w:r>
        <w:tab/>
        <w:t xml:space="preserve">En respuesta a la alegación de que el Gobierno no </w:t>
      </w:r>
      <w:r>
        <w:rPr>
          <w:spacing w:val="2"/>
        </w:rPr>
        <w:t>ha respondido a los informes de las ONG sobre el he</w:t>
      </w:r>
      <w:r>
        <w:t>cho de que algunos servicios de asistencia sanitaria se n</w:t>
      </w:r>
      <w:r>
        <w:t>e</w:t>
      </w:r>
      <w:r>
        <w:t>gaban a practicar abortos aun en los casos en que est</w:t>
      </w:r>
      <w:r>
        <w:t>a</w:t>
      </w:r>
      <w:r>
        <w:t>ban permitidos por la ley, dice que en marzo de 2003 el Ministerio de Salud recordó por escrito a todos los j</w:t>
      </w:r>
      <w:r>
        <w:t>e</w:t>
      </w:r>
      <w:r>
        <w:t>fes provinciales que tienen la obligación de realizar los abortos en los casos establecidos por la ley.</w:t>
      </w:r>
    </w:p>
    <w:p w:rsidR="00CA3844" w:rsidRDefault="00CA3844">
      <w:pPr>
        <w:pStyle w:val="DualTxt"/>
      </w:pPr>
      <w:r>
        <w:t>29.</w:t>
      </w:r>
      <w:r>
        <w:tab/>
      </w:r>
      <w:r>
        <w:rPr>
          <w:b/>
        </w:rPr>
        <w:t>La Sra. Przygucka</w:t>
      </w:r>
      <w:r>
        <w:t xml:space="preserve"> (Polonia) dice que el derecho de un médico a negarse a realizar un aborto acogiénd</w:t>
      </w:r>
      <w:r>
        <w:t>o</w:t>
      </w:r>
      <w:r>
        <w:t>se a la cláusula de la objeción de conciencia no debe privar a una paciente de su derecho al aborto. De co</w:t>
      </w:r>
      <w:r>
        <w:t>n</w:t>
      </w:r>
      <w:r>
        <w:t>formidad con la Ley sobre los servicios de atención médica, si todos los médicos de un hospital se niegan a realizar abortos el hospital debe concertar un contrato con otro servicio de asistencia sanitaria para que los lleve a cabo. Además, los médicos tienen la obligación de realizar el aborto si hay una amenaza directa para la vida de la madre; si existe un riesgo de daño grave; o en casos urgentes en los que, por razones médicas, no se pueda esperar. No se puede despedir a un médico por negarse a realizar un aborto basándose en la clá</w:t>
      </w:r>
      <w:r>
        <w:t>u</w:t>
      </w:r>
      <w:r>
        <w:t>sula de la objeción de conciencia, salvo en las circun</w:t>
      </w:r>
      <w:r>
        <w:t>s</w:t>
      </w:r>
      <w:r>
        <w:t>tancias mencionadas.</w:t>
      </w:r>
    </w:p>
    <w:p w:rsidR="00CA3844" w:rsidRDefault="00CA3844">
      <w:pPr>
        <w:pStyle w:val="DualTxt"/>
      </w:pPr>
      <w:r>
        <w:t>30.</w:t>
      </w:r>
      <w:r>
        <w:tab/>
      </w:r>
      <w:r>
        <w:rPr>
          <w:b/>
        </w:rPr>
        <w:t>La Sra. Furgala</w:t>
      </w:r>
      <w:r>
        <w:t xml:space="preserve"> (Polonia) dice que Polonia tiene un número limitado de refugiados en comparación con otros países. Hasta diciembre de 2006, se habían rec</w:t>
      </w:r>
      <w:r>
        <w:t>i</w:t>
      </w:r>
      <w:r>
        <w:t>bido unas 2.000 solicitudes de la condición de refugi</w:t>
      </w:r>
      <w:r>
        <w:t>a</w:t>
      </w:r>
      <w:r>
        <w:t>do, de las que se han aprobado algo más de 400. La r</w:t>
      </w:r>
      <w:r>
        <w:t>e</w:t>
      </w:r>
      <w:r>
        <w:t>ciente adhesión de Polonia a la Unión Europea también ha tenido repercusiones. Se ofrecen a los refugiados y los extranjeros servicios como alojamiento, transporte público gratuito, servicios médicos completos y, en c</w:t>
      </w:r>
      <w:r>
        <w:t>a</w:t>
      </w:r>
      <w:r>
        <w:t>so necesario, asistencia psicológica.</w:t>
      </w:r>
    </w:p>
    <w:p w:rsidR="00CA3844" w:rsidRDefault="00CA3844">
      <w:pPr>
        <w:pStyle w:val="DualTxt"/>
      </w:pPr>
      <w:r>
        <w:t>31.</w:t>
      </w:r>
      <w:r>
        <w:tab/>
      </w:r>
      <w:r>
        <w:rPr>
          <w:b/>
        </w:rPr>
        <w:t>La Sra. Tavares da Silva</w:t>
      </w:r>
      <w:r>
        <w:t xml:space="preserve"> dice que el Comité ha recibido información acerca de un proyecto de ley cuya finalidad es limitar el acceso a los anticonceptivos hormonales, y desea conocer las limitaciones adicion</w:t>
      </w:r>
      <w:r>
        <w:t>a</w:t>
      </w:r>
      <w:r>
        <w:t>les que contiene esa ley.</w:t>
      </w:r>
    </w:p>
    <w:p w:rsidR="00CA3844" w:rsidRDefault="00CA3844">
      <w:pPr>
        <w:pStyle w:val="DualTxt"/>
      </w:pPr>
      <w:r>
        <w:t>32.</w:t>
      </w:r>
      <w:r>
        <w:tab/>
      </w:r>
      <w:r>
        <w:rPr>
          <w:b/>
        </w:rPr>
        <w:t>La Sra. Kluzik-Rostkowska</w:t>
      </w:r>
      <w:r>
        <w:t xml:space="preserve"> (Polonia) dice que no hay pendiente ningún proyecto de ley de ese tipo. Desde hace muchos años hay disponibles en Polonia métodos de planificación familiar naturales y hormon</w:t>
      </w:r>
      <w:r>
        <w:t>a</w:t>
      </w:r>
      <w:r>
        <w:t>les. Es cierto que en un determinado momento la L</w:t>
      </w:r>
      <w:r>
        <w:t>i</w:t>
      </w:r>
      <w:r>
        <w:t>ga de las Familias de Polonia, ultraconservadora, intentó cambiar la orientación hacia los métodos natur</w:t>
      </w:r>
      <w:r>
        <w:t>a</w:t>
      </w:r>
      <w:r>
        <w:t>les. Sin embargo, la idea no recibió el apoyo de la población general y el Ministerio de Salud se distanció muy pro</w:t>
      </w:r>
      <w:r>
        <w:t>n</w:t>
      </w:r>
      <w:r>
        <w:t>to. La ley salvaguarda el acceso al aborto y la antico</w:t>
      </w:r>
      <w:r>
        <w:t>n</w:t>
      </w:r>
      <w:r>
        <w:t>cepción, con independencia del partido que esté en el poder. Por consiguiente, no es cierto que las mujeres tengan actualmente menos acceso que en el pasado a los anticonceptivos.</w:t>
      </w:r>
    </w:p>
    <w:p w:rsidR="00CA3844" w:rsidRDefault="00CA3844">
      <w:pPr>
        <w:pStyle w:val="DualTxt"/>
      </w:pPr>
      <w:r>
        <w:t>33.</w:t>
      </w:r>
      <w:r>
        <w:tab/>
        <w:t>Una cuestión diferente es el hecho de que en P</w:t>
      </w:r>
      <w:r>
        <w:t>o</w:t>
      </w:r>
      <w:r>
        <w:t>lonia se reembolse sólo un pequeño número de ant</w:t>
      </w:r>
      <w:r>
        <w:t>i</w:t>
      </w:r>
      <w:r>
        <w:t>conceptivos. No se trata de que el Gobierno no desee añadir otros a la lista de medicamentos con derecho a reembolso; simplemente no se lo puede permitir. A p</w:t>
      </w:r>
      <w:r>
        <w:t>e</w:t>
      </w:r>
      <w:r>
        <w:t>sar del crecimiento económico de Polonia en los últ</w:t>
      </w:r>
      <w:r>
        <w:t>i</w:t>
      </w:r>
      <w:r>
        <w:t>mos años, el Gobierno tiene que seguir estableciendo prioridades. La prioridad actual se concentra en la m</w:t>
      </w:r>
      <w:r>
        <w:t>e</w:t>
      </w:r>
      <w:r>
        <w:t>dicina que permite salvar vidas, no en la anticonce</w:t>
      </w:r>
      <w:r>
        <w:t>p</w:t>
      </w:r>
      <w:r>
        <w:t>ción.</w:t>
      </w:r>
    </w:p>
    <w:p w:rsidR="00CA3844" w:rsidRDefault="00CA3844">
      <w:pPr>
        <w:pStyle w:val="DualTxt"/>
      </w:pPr>
      <w:r>
        <w:t>34.</w:t>
      </w:r>
      <w:r>
        <w:tab/>
      </w:r>
      <w:r>
        <w:rPr>
          <w:b/>
        </w:rPr>
        <w:t>La Sra. Šimonović</w:t>
      </w:r>
      <w:r>
        <w:t xml:space="preserve"> pregunta cuál es el número de abortos ilegales en Polonia. También tiene curiosidad por saber si el Ministerio de Salud promueve sólo los métodos de planificación familiar naturales o todos los disponibles, incluidos los naturales.</w:t>
      </w:r>
    </w:p>
    <w:p w:rsidR="00CA3844" w:rsidRDefault="00CA3844">
      <w:pPr>
        <w:pStyle w:val="DualTxt"/>
      </w:pPr>
      <w:r>
        <w:t>35.</w:t>
      </w:r>
      <w:r>
        <w:tab/>
      </w:r>
      <w:r>
        <w:rPr>
          <w:b/>
        </w:rPr>
        <w:t>La Sra. Kluzik-Rostkowska</w:t>
      </w:r>
      <w:r>
        <w:t xml:space="preserve"> (Polonia) dice que las estadísticas sobre el número de abortos ilegales v</w:t>
      </w:r>
      <w:r>
        <w:t>a</w:t>
      </w:r>
      <w:r>
        <w:t>rían ampliamente en función de la fuente. Las organ</w:t>
      </w:r>
      <w:r>
        <w:t>i</w:t>
      </w:r>
      <w:r>
        <w:t>zaciones no gubernamentales estiman que hay entre 80.000 y 200.000 abortos ilegales al año, mientras que otras fuentes dan cifras mucho más bajas. En cualquier caso, el problema principal no es el número de abortos que se producen, sino más bien que el Estado no pr</w:t>
      </w:r>
      <w:r>
        <w:t>o</w:t>
      </w:r>
      <w:r>
        <w:t>porciona prestaciones adecuadas a las jóvenes embar</w:t>
      </w:r>
      <w:r>
        <w:t>a</w:t>
      </w:r>
      <w:r>
        <w:t>zadas; muchas veces éstas deciden abortar porque no están seguras de poder criar un hijo sin ningún tipo de asistencia social.</w:t>
      </w:r>
    </w:p>
    <w:p w:rsidR="00CA3844" w:rsidRDefault="00CA3844">
      <w:pPr>
        <w:pStyle w:val="DualTxt"/>
      </w:pPr>
      <w:r>
        <w:t>36.</w:t>
      </w:r>
      <w:r>
        <w:tab/>
        <w:t>Con respecto a la planificación familiar, el Mini</w:t>
      </w:r>
      <w:r>
        <w:t>s</w:t>
      </w:r>
      <w:r>
        <w:t>terio de Salud promueve todos los métodos de antico</w:t>
      </w:r>
      <w:r>
        <w:t>n</w:t>
      </w:r>
      <w:r>
        <w:t>cepción. Es cierto que un grupo de trabajo ha propue</w:t>
      </w:r>
      <w:r>
        <w:t>s</w:t>
      </w:r>
      <w:r>
        <w:t>to que el Estado promueva sólo el control natural de la natalidad; sin embargo, esta iniciativa se ha r</w:t>
      </w:r>
      <w:r>
        <w:t>e</w:t>
      </w:r>
      <w:r>
        <w:t>chazado con decisión.</w:t>
      </w:r>
    </w:p>
    <w:p w:rsidR="00CA3844" w:rsidRDefault="00CA3844">
      <w:pPr>
        <w:pStyle w:val="DualTxt"/>
        <w:spacing w:after="0" w:line="120" w:lineRule="exact"/>
        <w:rPr>
          <w:sz w:val="10"/>
        </w:rPr>
      </w:pPr>
    </w:p>
    <w:p w:rsidR="00CA3844" w:rsidRDefault="00CA3844">
      <w:pPr>
        <w:pStyle w:val="H4"/>
        <w:tabs>
          <w:tab w:val="left" w:pos="475"/>
          <w:tab w:val="left" w:pos="965"/>
          <w:tab w:val="left" w:pos="1440"/>
          <w:tab w:val="left" w:pos="1915"/>
          <w:tab w:val="left" w:pos="2405"/>
          <w:tab w:val="left" w:pos="2880"/>
          <w:tab w:val="left" w:pos="3355"/>
        </w:tabs>
        <w:ind w:left="475" w:hanging="475"/>
      </w:pPr>
      <w:r>
        <w:t>Artículos 15 y 16</w:t>
      </w:r>
    </w:p>
    <w:p w:rsidR="00CA3844" w:rsidRDefault="00CA3844">
      <w:pPr>
        <w:pStyle w:val="DualTxt"/>
        <w:spacing w:after="0" w:line="120" w:lineRule="exact"/>
        <w:rPr>
          <w:sz w:val="10"/>
        </w:rPr>
      </w:pPr>
    </w:p>
    <w:p w:rsidR="00CA3844" w:rsidRDefault="00CA3844">
      <w:pPr>
        <w:pStyle w:val="DualTxt"/>
      </w:pPr>
      <w:r>
        <w:t>37.</w:t>
      </w:r>
      <w:r>
        <w:tab/>
      </w:r>
      <w:r>
        <w:rPr>
          <w:b/>
        </w:rPr>
        <w:t>La Sra. Belmihoub-Zerdani</w:t>
      </w:r>
      <w:r>
        <w:t xml:space="preserve"> (Argelia) desea s</w:t>
      </w:r>
      <w:r>
        <w:t>a</w:t>
      </w:r>
      <w:r>
        <w:t>ber si las disposiciones del Código Civil sobre el m</w:t>
      </w:r>
      <w:r>
        <w:t>a</w:t>
      </w:r>
      <w:r>
        <w:t>trimonio y la vida familiar son aplicables a todas las personas, con independencia de su religión. Observa que, tratando de encontrar una solución para los catól</w:t>
      </w:r>
      <w:r>
        <w:t>i</w:t>
      </w:r>
      <w:r>
        <w:t>cos romanos cuyos matrimonios se han roto, el Código de Familia y Tutela estipula que la separación y el d</w:t>
      </w:r>
      <w:r>
        <w:t>i</w:t>
      </w:r>
      <w:r>
        <w:t>vorcio deben tener las mismas consecuencias. Agrad</w:t>
      </w:r>
      <w:r>
        <w:t>e</w:t>
      </w:r>
      <w:r>
        <w:t>cería recibir información ulterior sobre el asunto, pue</w:t>
      </w:r>
      <w:r>
        <w:t>s</w:t>
      </w:r>
      <w:r>
        <w:t>to que puede ser útil a la hora de estudiar los i</w:t>
      </w:r>
      <w:r>
        <w:t>n</w:t>
      </w:r>
      <w:r>
        <w:t>formes de otros Estados.</w:t>
      </w:r>
    </w:p>
    <w:p w:rsidR="00CA3844" w:rsidRDefault="00CA3844">
      <w:pPr>
        <w:pStyle w:val="DualTxt"/>
      </w:pPr>
      <w:r>
        <w:t>38.</w:t>
      </w:r>
      <w:r>
        <w:tab/>
      </w:r>
      <w:r>
        <w:rPr>
          <w:b/>
        </w:rPr>
        <w:t>La Sra. Tan</w:t>
      </w:r>
      <w:r>
        <w:t xml:space="preserve"> expresa su preocupación porque el bajo número de divorcios podría deberse a que las m</w:t>
      </w:r>
      <w:r>
        <w:t>u</w:t>
      </w:r>
      <w:r>
        <w:t>jeres carecen de la información y los fondos neces</w:t>
      </w:r>
      <w:r>
        <w:t>a</w:t>
      </w:r>
      <w:r>
        <w:t>rios para comenzar a tramitarlo. A ese respecto, desea saber si el Parlamento ha aprobado el proyecto de ley de d</w:t>
      </w:r>
      <w:r>
        <w:t>i</w:t>
      </w:r>
      <w:r>
        <w:t>vorcio que presentó el Grupo de Mujeres Parlament</w:t>
      </w:r>
      <w:r>
        <w:t>a</w:t>
      </w:r>
      <w:r>
        <w:t>rias a la Sejm en 1994, que simplificaba los proced</w:t>
      </w:r>
      <w:r>
        <w:t>i</w:t>
      </w:r>
      <w:r>
        <w:t>mientos de divorcio y los devolvía a los tribunales de familia, y en caso negativo cuándo se espera que lo haga el Parlamento. También se pregunta si las tasas de divorcio han aumentado desde 1993. Por último, desea saber si los tribunales aplican una fórmula para calc</w:t>
      </w:r>
      <w:r>
        <w:t>u</w:t>
      </w:r>
      <w:r>
        <w:t>lar la pensión alimenticia; cuánto tiempo tiene que e</w:t>
      </w:r>
      <w:r>
        <w:t>s</w:t>
      </w:r>
      <w:r>
        <w:t>perar una mujer divorciada para recibir dicha pensión y la de manutención de los hijos; y qué proporción de los bienes del marido o de la pareja suele corresponder a la esposa. Por último, agradecería recibir información a</w:t>
      </w:r>
      <w:r>
        <w:t>c</w:t>
      </w:r>
      <w:r>
        <w:t>tualizada sobre las causas de divorcio y el número de solicitudes presentadas por hombres en comparación con el de mujeres.</w:t>
      </w:r>
    </w:p>
    <w:p w:rsidR="00CA3844" w:rsidRDefault="00CA3844">
      <w:pPr>
        <w:pStyle w:val="DualTxt"/>
      </w:pPr>
      <w:r>
        <w:t>39.</w:t>
      </w:r>
      <w:r>
        <w:tab/>
      </w:r>
      <w:r>
        <w:rPr>
          <w:b/>
        </w:rPr>
        <w:t>La Sra. Kluzik-Rostkowska</w:t>
      </w:r>
      <w:r>
        <w:t xml:space="preserve"> (Polonia) reitera que la Iglesia y el Estado llevan separados algún tie</w:t>
      </w:r>
      <w:r>
        <w:t>m</w:t>
      </w:r>
      <w:r>
        <w:t>po y que no existe discriminación basada en la fe. En efecto, las tasas de divorcio en Polonia han aumentado, debido fundamentalmente a que las leyes son muy f</w:t>
      </w:r>
      <w:r>
        <w:t>a</w:t>
      </w:r>
      <w:r>
        <w:t>vorables. En realidad, muchas parejas sostienen fals</w:t>
      </w:r>
      <w:r>
        <w:t>a</w:t>
      </w:r>
      <w:r>
        <w:t>mente que se han separado, de manera que la mujer pueda recibir la asistencia financiera especial destinada a las madres solas.</w:t>
      </w:r>
    </w:p>
    <w:p w:rsidR="00CA3844" w:rsidRDefault="00CA3844">
      <w:pPr>
        <w:pStyle w:val="DualTxt"/>
      </w:pPr>
      <w:r>
        <w:t>40.</w:t>
      </w:r>
      <w:r>
        <w:tab/>
        <w:t>Aunque los tribunales tradicionalmente han fav</w:t>
      </w:r>
      <w:r>
        <w:t>o</w:t>
      </w:r>
      <w:r>
        <w:t>recido a la madre, los padres han comenzado a recl</w:t>
      </w:r>
      <w:r>
        <w:t>a</w:t>
      </w:r>
      <w:r>
        <w:t>mar la custodia con mayor frecuencia. Con respecto a la pensión alimenticia, el resultado depende de que se considere o no culpable al marido. Si los tribunales e</w:t>
      </w:r>
      <w:r>
        <w:t>s</w:t>
      </w:r>
      <w:r>
        <w:t>tablecen que el marido es “culpable”, está obligado a pasar una pensión alimenticia y de manutención de los hijos suficiente para permitir a su familia mantener el nivel de vida que tenía. Si no se considera culpable con respecto a la otra parte, el marido sólo debe pagar la manutención de los hijos. En el Parlamento de Polonia se están adoptando ahora medidas para volver a est</w:t>
      </w:r>
      <w:r>
        <w:t>a</w:t>
      </w:r>
      <w:r>
        <w:t>blecer el fondo de pensiones alimenticias, que propo</w:t>
      </w:r>
      <w:r>
        <w:t>r</w:t>
      </w:r>
      <w:r>
        <w:t>ciona prestaciones a los padres solos cuando el otro progenitor no puede hacer frente al pago de la pensión alimenticia. La división de bienes se decide caso por caso. Sin embargo, debido a que la primera preocup</w:t>
      </w:r>
      <w:r>
        <w:t>a</w:t>
      </w:r>
      <w:r>
        <w:t xml:space="preserve">ción de los tribunales es el bienestar de los hijos y la custodia se suele conceder a la madre, con frecuencia </w:t>
      </w:r>
      <w:r>
        <w:rPr>
          <w:spacing w:val="0"/>
        </w:rPr>
        <w:t>se le asigna a ella una proporción sustancial de los bi</w:t>
      </w:r>
      <w:r>
        <w:rPr>
          <w:spacing w:val="0"/>
        </w:rPr>
        <w:t>e</w:t>
      </w:r>
      <w:r>
        <w:t>nes.</w:t>
      </w:r>
    </w:p>
    <w:p w:rsidR="00CA3844" w:rsidRDefault="00CA3844">
      <w:pPr>
        <w:pStyle w:val="DualTxt"/>
      </w:pPr>
      <w:r>
        <w:t>41.</w:t>
      </w:r>
      <w:r>
        <w:tab/>
      </w:r>
      <w:r>
        <w:rPr>
          <w:b/>
        </w:rPr>
        <w:t xml:space="preserve">La Presidenta </w:t>
      </w:r>
      <w:r>
        <w:t>dice que el Gobierno de Polonia</w:t>
      </w:r>
      <w:r>
        <w:rPr>
          <w:b/>
        </w:rPr>
        <w:t xml:space="preserve"> </w:t>
      </w:r>
      <w:r>
        <w:t>recibirá a su debido tiempo las observaciones finales del Comité. Insta a que se difundan esas observaciones lo más ampliamente posible, sobre todo en el Parl</w:t>
      </w:r>
      <w:r>
        <w:t>a</w:t>
      </w:r>
      <w:r>
        <w:t>mento, los distintos departamentos gubernamentales y los miembros de la sociedad civil.</w:t>
      </w:r>
    </w:p>
    <w:p w:rsidR="00CA3844" w:rsidRDefault="00CA3844">
      <w:pPr>
        <w:pStyle w:val="DualTxt"/>
      </w:pPr>
      <w:r>
        <w:rPr>
          <w:i/>
        </w:rPr>
        <w:t>Se levanta la sesión a las 17.00 horas.</w:t>
      </w:r>
    </w:p>
    <w:sectPr w:rsidR="00CA3844">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21:49:00Z" w:initials="Start">
    <w:p w:rsidR="00A91AE8" w:rsidRPr="00A91AE8" w:rsidRDefault="00A91AE8">
      <w:pPr>
        <w:pStyle w:val="CommentText"/>
        <w:rPr>
          <w:lang w:val="en-US"/>
        </w:rPr>
      </w:pPr>
      <w:r>
        <w:fldChar w:fldCharType="begin"/>
      </w:r>
      <w:r w:rsidRPr="00A91AE8">
        <w:rPr>
          <w:rStyle w:val="CommentReference"/>
          <w:lang w:val="en-US"/>
        </w:rPr>
        <w:instrText xml:space="preserve"> </w:instrText>
      </w:r>
      <w:r w:rsidRPr="00A91AE8">
        <w:rPr>
          <w:lang w:val="en-US"/>
        </w:rPr>
        <w:instrText>PAGE \# "'Page: '#'</w:instrText>
      </w:r>
      <w:r w:rsidRPr="00A91AE8">
        <w:rPr>
          <w:lang w:val="en-US"/>
        </w:rPr>
        <w:br/>
        <w:instrText>'"</w:instrText>
      </w:r>
      <w:r w:rsidRPr="00A91AE8">
        <w:rPr>
          <w:rStyle w:val="CommentReference"/>
          <w:lang w:val="en-US"/>
        </w:rPr>
        <w:instrText xml:space="preserve"> </w:instrText>
      </w:r>
      <w:r>
        <w:fldChar w:fldCharType="end"/>
      </w:r>
      <w:r>
        <w:rPr>
          <w:rStyle w:val="CommentReference"/>
        </w:rPr>
        <w:annotationRef/>
      </w:r>
      <w:r w:rsidRPr="00A91AE8">
        <w:rPr>
          <w:lang w:val="en-US"/>
        </w:rPr>
        <w:t>&lt;&lt;ODS JOB NO&gt;&gt;N0721119S&lt;&lt;ODS JOB NO&gt;&gt;</w:t>
      </w:r>
    </w:p>
    <w:p w:rsidR="00A91AE8" w:rsidRPr="00A91AE8" w:rsidRDefault="00A91AE8">
      <w:pPr>
        <w:pStyle w:val="CommentText"/>
        <w:rPr>
          <w:lang w:val="en-US"/>
        </w:rPr>
      </w:pPr>
      <w:r w:rsidRPr="00A91AE8">
        <w:rPr>
          <w:lang w:val="en-US"/>
        </w:rPr>
        <w:t>&lt;&lt;ODS DOC SYMBOL1&gt;&gt;CEDAW/C/SR.758 (B)&lt;&lt;ODS DOC SYMBOL1&gt;&gt;</w:t>
      </w:r>
    </w:p>
    <w:p w:rsidR="00A91AE8" w:rsidRPr="00A91AE8" w:rsidRDefault="00A91AE8">
      <w:pPr>
        <w:pStyle w:val="CommentText"/>
        <w:rPr>
          <w:lang w:val="en-US"/>
        </w:rPr>
      </w:pPr>
      <w:r w:rsidRPr="00A91AE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329" w:rsidRPr="00785522" w:rsidRDefault="000F7329" w:rsidP="00CA3844">
      <w:pPr>
        <w:pStyle w:val="LineNumber"/>
        <w:rPr>
          <w:sz w:val="14"/>
        </w:rPr>
      </w:pPr>
      <w:r>
        <w:separator/>
      </w:r>
    </w:p>
  </w:endnote>
  <w:endnote w:type="continuationSeparator" w:id="0">
    <w:p w:rsidR="000F7329" w:rsidRPr="00785522" w:rsidRDefault="000F7329" w:rsidP="00CA3844">
      <w:pPr>
        <w:pStyle w:val="LineNumb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477DB">
      <w:tblPrEx>
        <w:tblCellMar>
          <w:top w:w="0" w:type="dxa"/>
          <w:bottom w:w="0" w:type="dxa"/>
        </w:tblCellMar>
      </w:tblPrEx>
      <w:tc>
        <w:tcPr>
          <w:tcW w:w="5033" w:type="dxa"/>
          <w:vAlign w:val="bottom"/>
        </w:tcPr>
        <w:p w:rsidR="002477DB" w:rsidRDefault="002477DB">
          <w:pPr>
            <w:pStyle w:val="Footer"/>
          </w:pPr>
          <w:r>
            <w:fldChar w:fldCharType="begin"/>
          </w:r>
          <w:r>
            <w:instrText xml:space="preserve"> PAGE  \* MERGEFORMAT </w:instrText>
          </w:r>
          <w:r>
            <w:fldChar w:fldCharType="separate"/>
          </w:r>
          <w:r w:rsidR="00A91AE8">
            <w:t>4</w:t>
          </w:r>
          <w:r>
            <w:fldChar w:fldCharType="end"/>
          </w:r>
        </w:p>
      </w:tc>
      <w:tc>
        <w:tcPr>
          <w:tcW w:w="5033" w:type="dxa"/>
          <w:vAlign w:val="bottom"/>
        </w:tcPr>
        <w:p w:rsidR="002477DB" w:rsidRDefault="002477DB">
          <w:pPr>
            <w:pStyle w:val="Footer"/>
            <w:jc w:val="right"/>
            <w:rPr>
              <w:b w:val="0"/>
              <w:sz w:val="14"/>
            </w:rPr>
          </w:pPr>
        </w:p>
      </w:tc>
    </w:tr>
  </w:tbl>
  <w:p w:rsidR="002477DB" w:rsidRDefault="002477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477DB">
      <w:tblPrEx>
        <w:tblCellMar>
          <w:top w:w="0" w:type="dxa"/>
          <w:bottom w:w="0" w:type="dxa"/>
        </w:tblCellMar>
      </w:tblPrEx>
      <w:tc>
        <w:tcPr>
          <w:tcW w:w="5033" w:type="dxa"/>
          <w:vAlign w:val="bottom"/>
        </w:tcPr>
        <w:p w:rsidR="002477DB" w:rsidRDefault="002477DB">
          <w:pPr>
            <w:pStyle w:val="Footer"/>
            <w:rPr>
              <w:b w:val="0"/>
              <w:sz w:val="14"/>
            </w:rPr>
          </w:pPr>
        </w:p>
      </w:tc>
      <w:tc>
        <w:tcPr>
          <w:tcW w:w="5033" w:type="dxa"/>
          <w:vAlign w:val="bottom"/>
        </w:tcPr>
        <w:p w:rsidR="002477DB" w:rsidRDefault="002477DB">
          <w:pPr>
            <w:pStyle w:val="Footer"/>
            <w:jc w:val="right"/>
          </w:pPr>
          <w:r>
            <w:fldChar w:fldCharType="begin"/>
          </w:r>
          <w:r>
            <w:instrText xml:space="preserve"> PAGE  \* MERGEFORMAT </w:instrText>
          </w:r>
          <w:r>
            <w:fldChar w:fldCharType="separate"/>
          </w:r>
          <w:r w:rsidR="00A91AE8">
            <w:t>3</w:t>
          </w:r>
          <w:r>
            <w:fldChar w:fldCharType="end"/>
          </w:r>
        </w:p>
      </w:tc>
    </w:tr>
  </w:tbl>
  <w:p w:rsidR="002477DB" w:rsidRDefault="002477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7DB" w:rsidRDefault="002477DB">
    <w:pPr>
      <w:pStyle w:val="Footer"/>
      <w:pBdr>
        <w:top w:val="single" w:sz="2" w:space="1" w:color="auto"/>
      </w:pBdr>
      <w:rPr>
        <w:sz w:val="2"/>
      </w:rPr>
    </w:pPr>
  </w:p>
  <w:p w:rsidR="002477DB" w:rsidRDefault="002477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477DB" w:rsidRDefault="002477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477DB" w:rsidRDefault="002477D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477DB" w:rsidRDefault="002477DB">
    <w:pPr>
      <w:pStyle w:val="FootnoteText"/>
      <w:spacing w:line="120" w:lineRule="exact"/>
      <w:ind w:left="1267" w:right="1267" w:firstLine="0"/>
      <w:rPr>
        <w:sz w:val="10"/>
      </w:rPr>
    </w:pPr>
  </w:p>
  <w:p w:rsidR="002477DB" w:rsidRDefault="002477DB">
    <w:pPr>
      <w:pStyle w:val="Footer"/>
      <w:rPr>
        <w:b w:val="0"/>
        <w:sz w:val="20"/>
      </w:rPr>
    </w:pPr>
    <w:r>
      <w:rPr>
        <w:b w:val="0"/>
        <w:sz w:val="20"/>
      </w:rPr>
      <w:t>07-21119 (S)</w:t>
    </w:r>
  </w:p>
  <w:p w:rsidR="002477DB" w:rsidRPr="00CA3844" w:rsidRDefault="002477DB" w:rsidP="00CA3844">
    <w:pPr>
      <w:pStyle w:val="Footer"/>
      <w:spacing w:before="80"/>
      <w:rPr>
        <w:rFonts w:ascii="Barcode 3 of 9 by request" w:hAnsi="Barcode 3 of 9 by request"/>
        <w:b w:val="0"/>
        <w:sz w:val="24"/>
      </w:rPr>
    </w:pPr>
    <w:r>
      <w:rPr>
        <w:rFonts w:ascii="Barcode 3 of 9 by request" w:hAnsi="Barcode 3 of 9 by request"/>
        <w:b w:val="0"/>
        <w:sz w:val="24"/>
      </w:rPr>
      <w:t>*0721119*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329" w:rsidRPr="00785522" w:rsidRDefault="000F7329" w:rsidP="00CA3844">
      <w:pPr>
        <w:pStyle w:val="LineNumber"/>
        <w:rPr>
          <w:sz w:val="14"/>
        </w:rPr>
      </w:pPr>
      <w:r>
        <w:separator/>
      </w:r>
    </w:p>
  </w:footnote>
  <w:footnote w:type="continuationSeparator" w:id="0">
    <w:p w:rsidR="000F7329" w:rsidRPr="00785522" w:rsidRDefault="000F7329" w:rsidP="00CA3844">
      <w:pPr>
        <w:pStyle w:val="LineNumb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7DB" w:rsidRDefault="002477D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477DB">
                  <w:tblPrEx>
                    <w:tblCellMar>
                      <w:top w:w="0" w:type="dxa"/>
                      <w:left w:w="0" w:type="dxa"/>
                      <w:bottom w:w="0" w:type="dxa"/>
                      <w:right w:w="0" w:type="dxa"/>
                    </w:tblCellMar>
                  </w:tblPrEx>
                  <w:trPr>
                    <w:trHeight w:hRule="exact" w:val="864"/>
                  </w:trPr>
                  <w:tc>
                    <w:tcPr>
                      <w:tcW w:w="4838" w:type="dxa"/>
                      <w:vAlign w:val="bottom"/>
                    </w:tcPr>
                    <w:p w:rsidR="002477DB" w:rsidRDefault="002477DB">
                      <w:pPr>
                        <w:pStyle w:val="Header"/>
                        <w:spacing w:after="80"/>
                        <w:rPr>
                          <w:b/>
                        </w:rPr>
                      </w:pPr>
                      <w:r>
                        <w:rPr>
                          <w:b/>
                        </w:rPr>
                        <w:t>CEDAW/C/SR.758 (B)</w:t>
                      </w:r>
                    </w:p>
                  </w:tc>
                  <w:tc>
                    <w:tcPr>
                      <w:tcW w:w="5047" w:type="dxa"/>
                      <w:vAlign w:val="bottom"/>
                    </w:tcPr>
                    <w:p w:rsidR="002477DB" w:rsidRDefault="002477DB">
                      <w:pPr>
                        <w:pStyle w:val="Header"/>
                      </w:pPr>
                    </w:p>
                  </w:tc>
                </w:tr>
              </w:tbl>
              <w:p w:rsidR="002477DB" w:rsidRDefault="002477DB"/>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7DB" w:rsidRDefault="002477D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477DB">
                  <w:tblPrEx>
                    <w:tblCellMar>
                      <w:top w:w="0" w:type="dxa"/>
                      <w:left w:w="0" w:type="dxa"/>
                      <w:bottom w:w="0" w:type="dxa"/>
                      <w:right w:w="0" w:type="dxa"/>
                    </w:tblCellMar>
                  </w:tblPrEx>
                  <w:trPr>
                    <w:trHeight w:hRule="exact" w:val="864"/>
                  </w:trPr>
                  <w:tc>
                    <w:tcPr>
                      <w:tcW w:w="4838" w:type="dxa"/>
                      <w:vAlign w:val="bottom"/>
                    </w:tcPr>
                    <w:p w:rsidR="002477DB" w:rsidRDefault="002477DB">
                      <w:pPr>
                        <w:pStyle w:val="Header"/>
                      </w:pPr>
                    </w:p>
                  </w:tc>
                  <w:tc>
                    <w:tcPr>
                      <w:tcW w:w="5047" w:type="dxa"/>
                      <w:vAlign w:val="bottom"/>
                    </w:tcPr>
                    <w:p w:rsidR="002477DB" w:rsidRDefault="002477DB">
                      <w:pPr>
                        <w:pStyle w:val="Header"/>
                        <w:spacing w:after="80"/>
                        <w:jc w:val="right"/>
                        <w:rPr>
                          <w:b/>
                        </w:rPr>
                      </w:pPr>
                      <w:r>
                        <w:rPr>
                          <w:b/>
                        </w:rPr>
                        <w:t>CEDAW/C/SR.758 (B)</w:t>
                      </w:r>
                    </w:p>
                  </w:tc>
                </w:tr>
              </w:tbl>
              <w:p w:rsidR="002477DB" w:rsidRDefault="002477DB"/>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477DB">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477DB" w:rsidRDefault="002477DB">
          <w:pPr>
            <w:pStyle w:val="Header"/>
            <w:spacing w:after="120"/>
          </w:pPr>
        </w:p>
      </w:tc>
      <w:tc>
        <w:tcPr>
          <w:tcW w:w="2059" w:type="dxa"/>
          <w:tcBorders>
            <w:top w:val="nil"/>
            <w:left w:val="nil"/>
            <w:bottom w:val="nil"/>
            <w:right w:val="nil"/>
          </w:tcBorders>
          <w:vAlign w:val="bottom"/>
        </w:tcPr>
        <w:p w:rsidR="002477DB" w:rsidRDefault="002477DB">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477DB" w:rsidRDefault="002477DB">
          <w:pPr>
            <w:pStyle w:val="Header"/>
            <w:spacing w:after="120"/>
          </w:pPr>
        </w:p>
      </w:tc>
      <w:tc>
        <w:tcPr>
          <w:tcW w:w="6523" w:type="dxa"/>
          <w:gridSpan w:val="3"/>
          <w:tcBorders>
            <w:top w:val="nil"/>
            <w:left w:val="nil"/>
            <w:bottom w:val="nil"/>
            <w:right w:val="nil"/>
          </w:tcBorders>
          <w:vAlign w:val="bottom"/>
        </w:tcPr>
        <w:p w:rsidR="002477DB" w:rsidRDefault="002477DB">
          <w:pPr>
            <w:spacing w:after="80" w:line="240" w:lineRule="auto"/>
            <w:jc w:val="right"/>
            <w:rPr>
              <w:position w:val="-4"/>
            </w:rPr>
          </w:pPr>
          <w:r>
            <w:rPr>
              <w:position w:val="-4"/>
              <w:sz w:val="40"/>
            </w:rPr>
            <w:t>CEDAW</w:t>
          </w:r>
          <w:r>
            <w:rPr>
              <w:position w:val="-4"/>
            </w:rPr>
            <w:t>/C/SR.758 (B)</w:t>
          </w:r>
        </w:p>
      </w:tc>
    </w:tr>
    <w:tr w:rsidR="002477DB">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477DB" w:rsidRDefault="002477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477DB" w:rsidRDefault="002477DB">
          <w:pPr>
            <w:pStyle w:val="Header"/>
            <w:spacing w:before="109"/>
          </w:pPr>
        </w:p>
      </w:tc>
      <w:tc>
        <w:tcPr>
          <w:tcW w:w="5227" w:type="dxa"/>
          <w:gridSpan w:val="3"/>
          <w:tcBorders>
            <w:left w:val="nil"/>
            <w:bottom w:val="single" w:sz="12" w:space="0" w:color="auto"/>
            <w:right w:val="nil"/>
          </w:tcBorders>
        </w:tcPr>
        <w:p w:rsidR="002477DB" w:rsidRDefault="002477D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477DB" w:rsidRPr="00177F40" w:rsidRDefault="002477DB">
          <w:pPr>
            <w:pStyle w:val="Header"/>
            <w:spacing w:before="109"/>
            <w:rPr>
              <w:lang w:val="es-ES"/>
            </w:rPr>
          </w:pPr>
        </w:p>
      </w:tc>
      <w:tc>
        <w:tcPr>
          <w:tcW w:w="3180" w:type="dxa"/>
          <w:gridSpan w:val="2"/>
          <w:tcBorders>
            <w:left w:val="nil"/>
            <w:bottom w:val="single" w:sz="12" w:space="0" w:color="auto"/>
            <w:right w:val="nil"/>
          </w:tcBorders>
        </w:tcPr>
        <w:p w:rsidR="002477DB" w:rsidRDefault="002477DB">
          <w:pPr>
            <w:spacing w:before="240"/>
          </w:pPr>
          <w:r>
            <w:t>Distr. general</w:t>
          </w:r>
        </w:p>
        <w:p w:rsidR="002477DB" w:rsidRDefault="002477DB">
          <w:r>
            <w:t>19 de marzo de 2007</w:t>
          </w:r>
        </w:p>
        <w:p w:rsidR="002477DB" w:rsidRDefault="002477DB">
          <w:r>
            <w:t>Español</w:t>
          </w:r>
        </w:p>
        <w:p w:rsidR="002477DB" w:rsidRDefault="002477DB">
          <w:r>
            <w:t>Original: inglés</w:t>
          </w:r>
        </w:p>
      </w:tc>
    </w:tr>
  </w:tbl>
  <w:p w:rsidR="002477DB" w:rsidRDefault="002477D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9*"/>
    <w:docVar w:name="CreationDt" w:val="3/10/2007 7:21: PM"/>
    <w:docVar w:name="DocCategory" w:val="SROthers"/>
    <w:docVar w:name="DocType" w:val="Final"/>
    <w:docVar w:name="jobn" w:val="07-21119 (S)"/>
    <w:docVar w:name="JobNo" w:val="0721119S"/>
    <w:docVar w:name="OandT" w:val="pl"/>
    <w:docVar w:name="sss1" w:val="CEDAW/C/SR.758 (B)"/>
    <w:docVar w:name="sss2" w:val="-"/>
    <w:docVar w:name="Symbol1" w:val="CEDAW/C/SR.758"/>
    <w:docVar w:name="Symbol2" w:val="-"/>
  </w:docVars>
  <w:rsids>
    <w:rsidRoot w:val="00CA3844"/>
    <w:rsid w:val="000F7329"/>
    <w:rsid w:val="00177F40"/>
    <w:rsid w:val="002477DB"/>
    <w:rsid w:val="002D2391"/>
    <w:rsid w:val="00344D6A"/>
    <w:rsid w:val="003D3635"/>
    <w:rsid w:val="006D14FA"/>
    <w:rsid w:val="009C0AAB"/>
    <w:rsid w:val="00A60BFF"/>
    <w:rsid w:val="00A91AE8"/>
    <w:rsid w:val="00C939F2"/>
    <w:rsid w:val="00CA3844"/>
    <w:rsid w:val="00F678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CA3844"/>
    <w:rPr>
      <w:b/>
      <w:bCs/>
    </w:rPr>
  </w:style>
  <w:style w:type="paragraph" w:styleId="BalloonText">
    <w:name w:val="Balloon Text"/>
    <w:basedOn w:val="Normal"/>
    <w:semiHidden/>
    <w:rsid w:val="00177F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4194</Words>
  <Characters>23911</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Spanish_text_proc</cp:lastModifiedBy>
  <cp:revision>12</cp:revision>
  <cp:lastPrinted>2007-03-16T19:49:00Z</cp:lastPrinted>
  <dcterms:created xsi:type="dcterms:W3CDTF">2007-03-16T18:59:00Z</dcterms:created>
  <dcterms:modified xsi:type="dcterms:W3CDTF">2007-03-16T19:50:00Z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0721119</vt:lpwstr>
  </property>
  <property fmtid="{D5CDD505-2E9C-101B-9397-08002B2CF9AE}" pid="3" name="Symbol1">
    <vt:lpwstr>CEDAW/C/SR.758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pl/bbravo</vt:lpwstr>
  </property>
</Properties>
</file>