
<file path=[Content_Types].xml><?xml version="1.0" encoding="utf-8"?>
<Types xmlns="http://schemas.openxmlformats.org/package/2006/content-types">
  <Default Extension="bin" ContentType="application/vnd.openxmlformats-officedocument.oleObject"/>
  <Default Extension="wmf" ContentType="image/x-wmf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otnotes.xml" ContentType="application/vnd.openxmlformats-officedocument.wordprocessingml.footnotes+xml"/>
  <Override PartName="/word/endnotes.xml" ContentType="application/vnd.openxmlformats-officedocument.wordprocessingml.endnotes+xml"/>
  <Override PartName="/word/header1.xml" ContentType="application/vnd.openxmlformats-officedocument.wordprocessingml.header+xml"/>
  <Override PartName="/word/header2.xml" ContentType="application/vnd.openxmlformats-officedocument.wordprocessingml.header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body>
    <w:p w:rsidR="00000000" w:rsidRDefault="00000000">
      <w:pPr>
        <w:rPr>
          <w:sz w:val="2"/>
        </w:rPr>
      </w:pPr>
      <w:r>
        <w:rPr>
          <w:noProof/>
          <w:sz w:val="2"/>
          <w:lang w:val="en-US"/>
        </w:rPr>
        <w:pict>
          <v:shapetype id="_x0000_t202" coordsize="21600,21600" o:spt="202" path="m,l,21600r21600,l21600,xe">
            <v:stroke joinstyle="miter"/>
            <v:path gradientshapeok="t" o:connecttype="rect"/>
          </v:shapetype>
          <v:shape id="_x0000_s1027" type="#_x0000_t202" style="position:absolute;margin-left:85.05pt;margin-top:738.8pt;width:198pt;height:19.85pt;z-index:1;mso-position-horizontal-relative:page" filled="f" stroked="f">
            <v:textbox inset="0,0,0,0">
              <w:txbxContent>
                <w:p w:rsidR="00000000" w:rsidRDefault="00000000">
                  <w:pPr>
                    <w:rPr>
                      <w:lang w:val="en-US"/>
                    </w:rPr>
                  </w:pPr>
                  <w:r>
                    <w:rPr>
                      <w:lang w:val="en-US"/>
                    </w:rPr>
                    <w:t>GE.04-</w:t>
                  </w:r>
                  <w:r>
                    <w:rPr>
                      <w:lang w:val="en-US"/>
                    </w:rPr>
                    <w:fldChar w:fldCharType="begin"/>
                  </w:r>
                  <w:r>
                    <w:rPr>
                      <w:lang w:val="en-US"/>
                    </w:rPr>
                    <w:instrText xml:space="preserve"> FILLIN  "Введите номер документа" \* MERGEFORMAT </w:instrText>
                  </w:r>
                  <w:r>
                    <w:rPr>
                      <w:lang w:val="en-US"/>
                    </w:rPr>
                    <w:fldChar w:fldCharType="separate"/>
                  </w:r>
                  <w:r>
                    <w:rPr>
                      <w:lang w:val="en-US"/>
                    </w:rPr>
                    <w:t>4</w:t>
                  </w:r>
                  <w:r>
                    <w:t>3024</w:t>
                  </w:r>
                  <w:r>
                    <w:rPr>
                      <w:lang w:val="en-US"/>
                    </w:rPr>
                    <w:fldChar w:fldCharType="end"/>
                  </w:r>
                  <w:r>
                    <w:rPr>
                      <w:lang w:val="en-US"/>
                    </w:rPr>
                    <w:t xml:space="preserve">   (R)    141005    171005</w:t>
                  </w:r>
                </w:p>
              </w:txbxContent>
            </v:textbox>
            <w10:wrap anchorx="page"/>
            <w10:anchorlock/>
          </v:shape>
        </w:pict>
      </w:r>
    </w:p>
    <w:tbl>
      <w:tblPr>
        <w:tblW w:w="9639" w:type="dxa"/>
        <w:tblInd w:w="8" w:type="dxa"/>
        <w:tblBorders>
          <w:bottom w:val="single" w:sz="12" w:space="0" w:color="auto"/>
        </w:tblBorders>
        <w:tblLayout w:type="fixed"/>
        <w:tblCellMar>
          <w:left w:w="0" w:type="dxa"/>
          <w:right w:w="0" w:type="dxa"/>
        </w:tblCellMar>
        <w:tblLook w:val="0000" w:firstRow="0" w:lastRow="0" w:firstColumn="0" w:lastColumn="0" w:noHBand="0" w:noVBand="0"/>
      </w:tblPr>
      <w:tblGrid>
        <w:gridCol w:w="5181"/>
        <w:gridCol w:w="4458"/>
      </w:tblGrid>
      <w:tr w:rsidR="00000000">
        <w:tblPrEx>
          <w:tblCellMar>
            <w:top w:w="0" w:type="dxa"/>
            <w:left w:w="0" w:type="dxa"/>
            <w:bottom w:w="0" w:type="dxa"/>
            <w:right w:w="0" w:type="dxa"/>
          </w:tblCellMar>
        </w:tblPrEx>
        <w:tc>
          <w:tcPr>
            <w:tcW w:w="5181" w:type="dxa"/>
          </w:tcPr>
          <w:p w:rsidR="00000000" w:rsidRDefault="00000000">
            <w:pPr>
              <w:spacing w:line="240" w:lineRule="auto"/>
              <w:rPr>
                <w:b/>
                <w:sz w:val="30"/>
              </w:rPr>
            </w:pPr>
            <w:r>
              <w:rPr>
                <w:b/>
                <w:sz w:val="30"/>
              </w:rPr>
              <w:t xml:space="preserve">ОРГАНИЗАЦИЯ </w:t>
            </w:r>
            <w:r>
              <w:rPr>
                <w:b/>
                <w:sz w:val="30"/>
              </w:rPr>
              <w:br/>
              <w:t>ОБЪЕДИНЕННЫХ НАЦИЙ</w:t>
            </w:r>
          </w:p>
          <w:p w:rsidR="00000000" w:rsidRDefault="00000000">
            <w:pPr>
              <w:tabs>
                <w:tab w:val="left" w:pos="0"/>
                <w:tab w:val="left" w:pos="7086"/>
              </w:tabs>
              <w:suppressAutoHyphens/>
              <w:spacing w:line="216" w:lineRule="auto"/>
              <w:rPr>
                <w:b/>
                <w:sz w:val="20"/>
              </w:rPr>
            </w:pPr>
          </w:p>
        </w:tc>
        <w:tc>
          <w:tcPr>
            <w:tcW w:w="4458" w:type="dxa"/>
          </w:tcPr>
          <w:p w:rsidR="00000000" w:rsidRDefault="00000000">
            <w:pPr>
              <w:pStyle w:val="Heading1"/>
              <w:jc w:val="right"/>
              <w:rPr>
                <w:sz w:val="72"/>
              </w:rPr>
            </w:pPr>
            <w:r>
              <w:rPr>
                <w:sz w:val="72"/>
              </w:rPr>
              <w:t>CCPR</w:t>
            </w:r>
          </w:p>
        </w:tc>
      </w:tr>
    </w:tbl>
    <w:p w:rsidR="00000000" w:rsidRDefault="00000000"/>
    <w:tbl>
      <w:tblPr>
        <w:tblW w:w="9639" w:type="dxa"/>
        <w:tblInd w:w="8" w:type="dxa"/>
        <w:tblBorders>
          <w:bottom w:val="single" w:sz="24" w:space="0" w:color="auto"/>
        </w:tblBorders>
        <w:tblLayout w:type="fixed"/>
        <w:tblCellMar>
          <w:left w:w="0" w:type="dxa"/>
          <w:right w:w="0" w:type="dxa"/>
        </w:tblCellMar>
        <w:tblLook w:val="0000" w:firstRow="0" w:lastRow="0" w:firstColumn="0" w:lastColumn="0" w:noHBand="0" w:noVBand="0"/>
      </w:tblPr>
      <w:tblGrid>
        <w:gridCol w:w="1418"/>
        <w:gridCol w:w="5528"/>
        <w:gridCol w:w="2693"/>
      </w:tblGrid>
      <w:tr w:rsidR="00000000">
        <w:tblPrEx>
          <w:tblCellMar>
            <w:top w:w="0" w:type="dxa"/>
            <w:left w:w="0" w:type="dxa"/>
            <w:bottom w:w="0" w:type="dxa"/>
            <w:right w:w="0" w:type="dxa"/>
          </w:tblCellMar>
        </w:tblPrEx>
        <w:tc>
          <w:tcPr>
            <w:tcW w:w="1418" w:type="dxa"/>
          </w:tcPr>
          <w:bookmarkStart w:id="0" w:name="_MON_1113892296"/>
          <w:bookmarkEnd w:id="0"/>
          <w:p w:rsidR="00000000" w:rsidRDefault="00000000">
            <w:pPr>
              <w:tabs>
                <w:tab w:val="left" w:pos="0"/>
                <w:tab w:val="left" w:pos="7086"/>
              </w:tabs>
              <w:suppressAutoHyphens/>
              <w:ind w:right="270"/>
              <w:rPr>
                <w:sz w:val="2"/>
              </w:rPr>
            </w:pPr>
            <w:r>
              <w:rPr>
                <w:sz w:val="20"/>
              </w:rPr>
              <w:object w:dxaOrig="1207" w:dyaOrig="989">
                <v:shapetype id="_x0000_t75" coordsize="21600,21600" o:spt="75" o:preferrelative="t" path="m@4@5l@4@11@9@11@9@5xe" filled="f" stroked="f">
                  <v:stroke joinstyle="miter"/>
                  <v:formulas>
                    <v:f eqn="if lineDrawn pixelLineWidth 0"/>
                    <v:f eqn="sum @0 1 0"/>
                    <v:f eqn="sum 0 0 @1"/>
                    <v:f eqn="prod @2 1 2"/>
                    <v:f eqn="prod @3 21600 pixelWidth"/>
                    <v:f eqn="prod @3 21600 pixelHeight"/>
                    <v:f eqn="sum @0 0 1"/>
                    <v:f eqn="prod @6 1 2"/>
                    <v:f eqn="prod @7 21600 pixelWidth"/>
                    <v:f eqn="sum @8 21600 0"/>
                    <v:f eqn="prod @7 21600 pixelHeight"/>
                    <v:f eqn="sum @10 21600 0"/>
                  </v:formulas>
                  <v:path o:extrusionok="f" gradientshapeok="t" o:connecttype="rect"/>
                  <o:lock v:ext="edit" aspectratio="t"/>
                </v:shapetype>
                <v:shape id="_x0000_i1025" type="#_x0000_t75" style="width:60pt;height:49.5pt" o:ole="" fillcolor="window">
                  <v:imagedata r:id="rId7" o:title=""/>
                </v:shape>
                <o:OLEObject Type="Embed" ProgID="Word.Picture.8" ShapeID="_x0000_i1025" DrawAspect="Content" ObjectID="_1394276394" r:id="rId8"/>
              </w:object>
            </w:r>
          </w:p>
          <w:p w:rsidR="00000000" w:rsidRDefault="00000000">
            <w:pPr>
              <w:tabs>
                <w:tab w:val="left" w:pos="0"/>
                <w:tab w:val="left" w:pos="7086"/>
              </w:tabs>
              <w:suppressAutoHyphens/>
              <w:spacing w:line="1" w:lineRule="exact"/>
              <w:ind w:left="30" w:right="270"/>
              <w:rPr>
                <w:vanish/>
                <w:sz w:val="20"/>
              </w:rPr>
            </w:pPr>
            <w:r>
              <w:rPr>
                <w:vanish/>
                <w:sz w:val="20"/>
              </w:rPr>
              <w:fldChar w:fldCharType="begin"/>
            </w:r>
            <w:r>
              <w:rPr>
                <w:vanish/>
                <w:sz w:val="20"/>
              </w:rPr>
              <w:instrText>SEQ _endnote  \* ARABIC</w:instrText>
            </w:r>
            <w:r>
              <w:rPr>
                <w:vanish/>
                <w:sz w:val="20"/>
              </w:rPr>
              <w:fldChar w:fldCharType="separate"/>
            </w:r>
            <w:r>
              <w:rPr>
                <w:noProof/>
                <w:vanish/>
                <w:sz w:val="20"/>
              </w:rPr>
              <w:t>1</w:t>
            </w:r>
            <w:r>
              <w:rPr>
                <w:vanish/>
                <w:sz w:val="20"/>
              </w:rPr>
              <w:fldChar w:fldCharType="end"/>
            </w:r>
          </w:p>
          <w:p w:rsidR="00000000" w:rsidRDefault="00000000">
            <w:pPr>
              <w:tabs>
                <w:tab w:val="left" w:pos="0"/>
                <w:tab w:val="left" w:pos="7086"/>
              </w:tabs>
              <w:suppressAutoHyphens/>
              <w:rPr>
                <w:sz w:val="20"/>
              </w:rPr>
            </w:pPr>
          </w:p>
        </w:tc>
        <w:tc>
          <w:tcPr>
            <w:tcW w:w="5528" w:type="dxa"/>
          </w:tcPr>
          <w:p w:rsidR="00000000" w:rsidRDefault="00000000">
            <w:pPr>
              <w:tabs>
                <w:tab w:val="left" w:pos="0"/>
                <w:tab w:val="left" w:pos="7086"/>
              </w:tabs>
              <w:suppressAutoHyphens/>
              <w:ind w:right="284"/>
              <w:rPr>
                <w:sz w:val="32"/>
              </w:rPr>
            </w:pPr>
            <w:r>
              <w:rPr>
                <w:sz w:val="32"/>
              </w:rPr>
              <w:t xml:space="preserve">МЕЖДУНАРОДНЫЙ ПАКТ </w:t>
            </w:r>
            <w:r>
              <w:rPr>
                <w:sz w:val="32"/>
              </w:rPr>
              <w:br/>
              <w:t xml:space="preserve">О ГРАЖДАНСКИХ </w:t>
            </w:r>
            <w:r>
              <w:rPr>
                <w:sz w:val="32"/>
              </w:rPr>
              <w:br/>
              <w:t xml:space="preserve">И ПОЛИТИЧЕСКИХ </w:t>
            </w:r>
            <w:r>
              <w:rPr>
                <w:sz w:val="32"/>
              </w:rPr>
              <w:br/>
              <w:t>ПРАВАХ</w:t>
            </w:r>
          </w:p>
          <w:p w:rsidR="00000000" w:rsidRDefault="00000000">
            <w:pPr>
              <w:tabs>
                <w:tab w:val="left" w:pos="0"/>
                <w:tab w:val="left" w:pos="7086"/>
              </w:tabs>
              <w:suppressAutoHyphens/>
              <w:ind w:right="284"/>
              <w:rPr>
                <w:sz w:val="32"/>
              </w:rPr>
            </w:pPr>
          </w:p>
        </w:tc>
        <w:tc>
          <w:tcPr>
            <w:tcW w:w="2693" w:type="dxa"/>
          </w:tcPr>
          <w:p w:rsidR="00000000" w:rsidRDefault="00000000">
            <w:pPr>
              <w:spacing w:line="240" w:lineRule="auto"/>
              <w:rPr>
                <w:sz w:val="22"/>
              </w:rPr>
            </w:pPr>
            <w:r>
              <w:rPr>
                <w:sz w:val="22"/>
                <w:lang w:val="en-US"/>
              </w:rPr>
              <w:t>Distr</w:t>
            </w:r>
            <w:r>
              <w:rPr>
                <w:sz w:val="22"/>
              </w:rPr>
              <w:t>.</w:t>
            </w:r>
          </w:p>
          <w:p w:rsidR="00000000" w:rsidRDefault="00000000">
            <w:pPr>
              <w:spacing w:line="240" w:lineRule="auto"/>
              <w:rPr>
                <w:sz w:val="22"/>
              </w:rPr>
            </w:pPr>
            <w:r>
              <w:rPr>
                <w:sz w:val="22"/>
                <w:lang w:val="en-US"/>
              </w:rPr>
              <w:fldChar w:fldCharType="begin">
                <w:ffData>
                  <w:name w:val="ПолеСоСписком1"/>
                  <w:enabled/>
                  <w:calcOnExit w:val="0"/>
                  <w:ddList>
                    <w:listEntry w:val="GENERAL"/>
                    <w:listEntry w:val="RESTRICTED"/>
                    <w:listEntry w:val="LIMITED"/>
                  </w:ddList>
                </w:ffData>
              </w:fldChar>
            </w:r>
            <w:bookmarkStart w:id="1" w:name="ПолеСоСписком1"/>
            <w:r>
              <w:rPr>
                <w:sz w:val="22"/>
              </w:rPr>
              <w:instrText xml:space="preserve"> </w:instrText>
            </w:r>
            <w:r>
              <w:rPr>
                <w:sz w:val="22"/>
                <w:lang w:val="en-US"/>
              </w:rPr>
              <w:instrText>FORMDROPDOWN</w:instrText>
            </w:r>
            <w:r>
              <w:rPr>
                <w:sz w:val="22"/>
              </w:rPr>
              <w:instrText xml:space="preserve"> </w:instrText>
            </w:r>
            <w:r>
              <w:rPr>
                <w:sz w:val="22"/>
                <w:lang w:val="en-US"/>
              </w:rPr>
            </w:r>
            <w:r>
              <w:rPr>
                <w:sz w:val="22"/>
                <w:lang w:val="en-US"/>
              </w:rPr>
              <w:fldChar w:fldCharType="end"/>
            </w:r>
            <w:bookmarkEnd w:id="1"/>
          </w:p>
          <w:p w:rsidR="00000000" w:rsidRDefault="00000000">
            <w:pPr>
              <w:spacing w:line="240" w:lineRule="auto"/>
              <w:rPr>
                <w:sz w:val="22"/>
              </w:rPr>
            </w:pPr>
          </w:p>
          <w:p w:rsidR="00000000" w:rsidRDefault="00000000">
            <w:pPr>
              <w:spacing w:line="240" w:lineRule="auto"/>
              <w:rPr>
                <w:sz w:val="22"/>
                <w:lang w:val="en-US"/>
              </w:rPr>
            </w:pPr>
            <w:r>
              <w:rPr>
                <w:sz w:val="22"/>
                <w:lang w:val="en-US"/>
              </w:rPr>
              <w:fldChar w:fldCharType="begin"/>
            </w:r>
            <w:r>
              <w:rPr>
                <w:sz w:val="22"/>
                <w:lang w:val="en-US"/>
              </w:rPr>
              <w:instrText xml:space="preserve"> FILLIN  "</w:instrText>
            </w:r>
            <w:r>
              <w:rPr>
                <w:sz w:val="22"/>
              </w:rPr>
              <w:instrText>Введите</w:instrText>
            </w:r>
            <w:r>
              <w:rPr>
                <w:sz w:val="22"/>
                <w:lang w:val="en-US"/>
              </w:rPr>
              <w:instrText xml:space="preserve"> </w:instrText>
            </w:r>
            <w:r>
              <w:rPr>
                <w:sz w:val="22"/>
              </w:rPr>
              <w:instrText>символ</w:instrText>
            </w:r>
            <w:r>
              <w:rPr>
                <w:sz w:val="22"/>
                <w:lang w:val="en-US"/>
              </w:rPr>
              <w:instrText xml:space="preserve"> </w:instrText>
            </w:r>
            <w:r>
              <w:rPr>
                <w:sz w:val="22"/>
              </w:rPr>
              <w:instrText>документа</w:instrText>
            </w:r>
            <w:r>
              <w:rPr>
                <w:sz w:val="22"/>
                <w:lang w:val="en-US"/>
              </w:rPr>
              <w:instrText xml:space="preserve">" \* MERGEFORMAT </w:instrText>
            </w:r>
            <w:r>
              <w:rPr>
                <w:sz w:val="22"/>
                <w:lang w:val="en-US"/>
              </w:rPr>
              <w:fldChar w:fldCharType="separate"/>
            </w:r>
            <w:r>
              <w:rPr>
                <w:sz w:val="22"/>
                <w:lang w:val="en-US"/>
              </w:rPr>
              <w:t>CCPR/C/SR.2212</w:t>
            </w:r>
            <w:r>
              <w:rPr>
                <w:sz w:val="22"/>
                <w:lang w:val="en-US"/>
              </w:rPr>
              <w:fldChar w:fldCharType="end"/>
            </w:r>
          </w:p>
          <w:p w:rsidR="00000000" w:rsidRDefault="00000000">
            <w:pPr>
              <w:spacing w:line="240" w:lineRule="auto"/>
              <w:rPr>
                <w:sz w:val="22"/>
                <w:lang w:val="en-US"/>
              </w:rPr>
            </w:pPr>
            <w:r>
              <w:rPr>
                <w:sz w:val="22"/>
                <w:lang w:val="en-US"/>
              </w:rPr>
              <w:t>17 October</w:t>
            </w:r>
            <w:r>
              <w:rPr>
                <w:sz w:val="22"/>
                <w:lang w:val="en-US"/>
              </w:rPr>
              <w:fldChar w:fldCharType="begin"/>
            </w:r>
            <w:r>
              <w:rPr>
                <w:sz w:val="22"/>
                <w:lang w:val="en-US"/>
              </w:rPr>
              <w:instrText xml:space="preserve"> FILLIN  "</w:instrText>
            </w:r>
            <w:r>
              <w:rPr>
                <w:sz w:val="22"/>
              </w:rPr>
              <w:instrText>Введите</w:instrText>
            </w:r>
            <w:r>
              <w:rPr>
                <w:sz w:val="22"/>
                <w:lang w:val="en-US"/>
              </w:rPr>
              <w:instrText xml:space="preserve"> </w:instrText>
            </w:r>
            <w:r>
              <w:rPr>
                <w:sz w:val="22"/>
              </w:rPr>
              <w:instrText>дату</w:instrText>
            </w:r>
            <w:r>
              <w:rPr>
                <w:sz w:val="22"/>
                <w:lang w:val="en-US"/>
              </w:rPr>
              <w:instrText xml:space="preserve"> </w:instrText>
            </w:r>
            <w:r>
              <w:rPr>
                <w:sz w:val="22"/>
              </w:rPr>
              <w:instrText>документа</w:instrText>
            </w:r>
            <w:r>
              <w:rPr>
                <w:sz w:val="22"/>
                <w:lang w:val="en-US"/>
              </w:rPr>
              <w:instrText xml:space="preserve">" \* MERGEFORMAT </w:instrText>
            </w:r>
            <w:r>
              <w:rPr>
                <w:sz w:val="22"/>
                <w:lang w:val="en-US"/>
              </w:rPr>
              <w:fldChar w:fldCharType="separate"/>
            </w:r>
            <w:r>
              <w:rPr>
                <w:sz w:val="22"/>
                <w:lang w:val="en-US"/>
              </w:rPr>
              <w:t xml:space="preserve"> 2005</w:t>
            </w:r>
            <w:r>
              <w:rPr>
                <w:sz w:val="22"/>
                <w:lang w:val="en-US"/>
              </w:rPr>
              <w:fldChar w:fldCharType="end"/>
            </w:r>
          </w:p>
          <w:p w:rsidR="00000000" w:rsidRDefault="00000000">
            <w:pPr>
              <w:spacing w:line="240" w:lineRule="auto"/>
              <w:rPr>
                <w:sz w:val="22"/>
                <w:lang w:val="en-US"/>
              </w:rPr>
            </w:pPr>
          </w:p>
          <w:p w:rsidR="00000000" w:rsidRDefault="00000000">
            <w:pPr>
              <w:spacing w:line="240" w:lineRule="auto"/>
              <w:rPr>
                <w:sz w:val="22"/>
                <w:lang w:val="en-US"/>
              </w:rPr>
            </w:pPr>
            <w:r>
              <w:rPr>
                <w:sz w:val="22"/>
                <w:lang w:val="en-US"/>
              </w:rPr>
              <w:t>RUSSIAN</w:t>
            </w:r>
          </w:p>
          <w:p w:rsidR="00000000" w:rsidRDefault="00000000">
            <w:pPr>
              <w:spacing w:line="240" w:lineRule="auto"/>
              <w:rPr>
                <w:sz w:val="22"/>
                <w:lang w:val="en-US"/>
              </w:rPr>
            </w:pPr>
            <w:r>
              <w:rPr>
                <w:sz w:val="22"/>
                <w:lang w:val="en-US"/>
              </w:rPr>
              <w:t xml:space="preserve">Original:  </w:t>
            </w:r>
            <w:r>
              <w:rPr>
                <w:sz w:val="22"/>
                <w:lang w:val="en-US"/>
              </w:rPr>
              <w:fldChar w:fldCharType="begin">
                <w:ffData>
                  <w:name w:val="ПолеСоСписком2"/>
                  <w:enabled/>
                  <w:calcOnExit w:val="0"/>
                  <w:ddList>
                    <w:result w:val="1"/>
                    <w:listEntry w:val="ENGLISH"/>
                    <w:listEntry w:val="FRENCH"/>
                    <w:listEntry w:val="SPANISH"/>
                    <w:listEntry w:val="ARABIC"/>
                    <w:listEntry w:val="CHINESE"/>
                    <w:listEntry w:val="ENGLISH/FRENCH"/>
                  </w:ddList>
                </w:ffData>
              </w:fldChar>
            </w:r>
            <w:bookmarkStart w:id="2" w:name="ПолеСоСписком2"/>
            <w:r>
              <w:rPr>
                <w:sz w:val="22"/>
                <w:lang w:val="en-US"/>
              </w:rPr>
              <w:instrText xml:space="preserve"> FORMDROPDOWN </w:instrText>
            </w:r>
            <w:r>
              <w:rPr>
                <w:sz w:val="22"/>
                <w:lang w:val="en-US"/>
              </w:rPr>
            </w:r>
            <w:r>
              <w:rPr>
                <w:sz w:val="22"/>
                <w:lang w:val="en-US"/>
              </w:rPr>
              <w:fldChar w:fldCharType="end"/>
            </w:r>
            <w:bookmarkEnd w:id="2"/>
          </w:p>
          <w:p w:rsidR="00000000" w:rsidRDefault="00000000">
            <w:pPr>
              <w:tabs>
                <w:tab w:val="left" w:pos="0"/>
                <w:tab w:val="left" w:pos="7086"/>
              </w:tabs>
              <w:suppressAutoHyphens/>
              <w:spacing w:line="240" w:lineRule="auto"/>
              <w:ind w:left="284"/>
              <w:rPr>
                <w:sz w:val="22"/>
                <w:lang w:val="en-US"/>
              </w:rPr>
            </w:pPr>
          </w:p>
        </w:tc>
      </w:tr>
    </w:tbl>
    <w:p w:rsidR="00000000" w:rsidRDefault="00000000">
      <w:pPr>
        <w:rPr>
          <w:lang w:val="en-US"/>
        </w:rPr>
      </w:pPr>
    </w:p>
    <w:p w:rsidR="00000000" w:rsidRDefault="00000000">
      <w:pPr>
        <w:jc w:val="center"/>
      </w:pPr>
      <w:r>
        <w:t>КОМИТЕТ ПО ПРАВАМ ЧЕЛОВЕКА</w:t>
      </w:r>
    </w:p>
    <w:p w:rsidR="00000000" w:rsidRDefault="00000000">
      <w:pPr>
        <w:jc w:val="center"/>
      </w:pPr>
    </w:p>
    <w:p w:rsidR="00000000" w:rsidRDefault="00000000">
      <w:pPr>
        <w:jc w:val="center"/>
      </w:pPr>
      <w:r>
        <w:t>Восемьдесят первая сессия</w:t>
      </w:r>
    </w:p>
    <w:p w:rsidR="00000000" w:rsidRDefault="00000000">
      <w:pPr>
        <w:jc w:val="center"/>
      </w:pPr>
    </w:p>
    <w:p w:rsidR="00000000" w:rsidRDefault="00000000">
      <w:pPr>
        <w:jc w:val="center"/>
      </w:pPr>
      <w:r>
        <w:t xml:space="preserve">КРАТКИЙ ОТЧЕТ О 2212-м </w:t>
      </w:r>
      <w:proofErr w:type="spellStart"/>
      <w:r>
        <w:t>ЗАСЕДАНИИ*</w:t>
      </w:r>
      <w:proofErr w:type="spellEnd"/>
      <w:r>
        <w:t>,</w:t>
      </w:r>
    </w:p>
    <w:p w:rsidR="00000000" w:rsidRDefault="00000000">
      <w:pPr>
        <w:jc w:val="center"/>
      </w:pPr>
    </w:p>
    <w:p w:rsidR="00000000" w:rsidRDefault="00000000">
      <w:pPr>
        <w:jc w:val="center"/>
      </w:pPr>
      <w:r>
        <w:t>состоявшемся во Дворце Вильсона в Женеве, в четверг,</w:t>
      </w:r>
    </w:p>
    <w:p w:rsidR="00000000" w:rsidRDefault="00000000">
      <w:pPr>
        <w:jc w:val="center"/>
      </w:pPr>
      <w:r>
        <w:t>27 июля 2004 года, в 11 час. 00 мин.</w:t>
      </w:r>
    </w:p>
    <w:p w:rsidR="00000000" w:rsidRDefault="00000000">
      <w:pPr>
        <w:jc w:val="center"/>
      </w:pPr>
    </w:p>
    <w:p w:rsidR="00000000" w:rsidRDefault="00000000">
      <w:pPr>
        <w:jc w:val="center"/>
      </w:pPr>
      <w:r>
        <w:rPr>
          <w:u w:val="single"/>
        </w:rPr>
        <w:t>Председатель</w:t>
      </w:r>
      <w:r>
        <w:t>:  г-н АМОР</w:t>
      </w:r>
    </w:p>
    <w:p w:rsidR="00000000" w:rsidRDefault="00000000">
      <w:pPr>
        <w:jc w:val="center"/>
      </w:pPr>
    </w:p>
    <w:p w:rsidR="00000000" w:rsidRDefault="00000000">
      <w:pPr>
        <w:jc w:val="center"/>
      </w:pPr>
      <w:r>
        <w:t>СОДЕРЖАНИЕ</w:t>
      </w:r>
    </w:p>
    <w:p w:rsidR="00000000" w:rsidRDefault="00000000">
      <w:pPr>
        <w:jc w:val="center"/>
      </w:pPr>
    </w:p>
    <w:p w:rsidR="00000000" w:rsidRDefault="00000000">
      <w:r>
        <w:t>РАССМОТРЕНИЕ ДОКЛАДОВ, ПРЕДСТАВЛЕННЫХ ГОСУДАРСТВАМИ-УЧАСТНИКАМИ В СООТВЕТСТВИИ СО СТАТЬЕЙ 40 ПАКТА (</w:t>
      </w:r>
      <w:r>
        <w:rPr>
          <w:i/>
          <w:iCs/>
        </w:rPr>
        <w:t>продолжение</w:t>
      </w:r>
      <w:r>
        <w:t>)</w:t>
      </w:r>
    </w:p>
    <w:p w:rsidR="00000000" w:rsidRDefault="00000000"/>
    <w:p w:rsidR="00000000" w:rsidRDefault="00000000">
      <w:r>
        <w:tab/>
      </w:r>
      <w:r>
        <w:rPr>
          <w:u w:val="single"/>
        </w:rPr>
        <w:t>Центральноафриканская Республика:  Изучение положения в отсутствие доклада</w:t>
      </w:r>
    </w:p>
    <w:p w:rsidR="00000000" w:rsidRDefault="00000000">
      <w:pPr>
        <w:spacing w:line="240" w:lineRule="auto"/>
      </w:pPr>
    </w:p>
    <w:p w:rsidR="00000000" w:rsidRDefault="00000000">
      <w:pPr>
        <w:spacing w:line="240" w:lineRule="auto"/>
      </w:pPr>
    </w:p>
    <w:p w:rsidR="00000000" w:rsidRDefault="00000000">
      <w:pPr>
        <w:spacing w:line="240" w:lineRule="auto"/>
        <w:rPr>
          <w:lang w:val="en-US"/>
        </w:rPr>
      </w:pPr>
      <w:r>
        <w:t>_____________________________________________________________________________</w:t>
      </w:r>
    </w:p>
    <w:p w:rsidR="00000000" w:rsidRDefault="00000000">
      <w:pPr>
        <w:spacing w:line="216" w:lineRule="auto"/>
      </w:pPr>
    </w:p>
    <w:p w:rsidR="00000000" w:rsidRDefault="00000000">
      <w:pPr>
        <w:spacing w:line="216" w:lineRule="auto"/>
      </w:pPr>
      <w:r>
        <w:t>*</w:t>
      </w:r>
      <w:r>
        <w:tab/>
        <w:t>Краткий отчет о 2211-м заседании не составлялся.</w:t>
      </w:r>
    </w:p>
    <w:p w:rsidR="00000000" w:rsidRDefault="00000000">
      <w:pPr>
        <w:spacing w:line="216" w:lineRule="auto"/>
      </w:pPr>
    </w:p>
    <w:p w:rsidR="00000000" w:rsidRDefault="00000000">
      <w:pPr>
        <w:tabs>
          <w:tab w:val="left" w:pos="0"/>
          <w:tab w:val="left" w:pos="567"/>
          <w:tab w:val="left" w:pos="1134"/>
          <w:tab w:val="left" w:pos="1701"/>
          <w:tab w:val="left" w:pos="2268"/>
          <w:tab w:val="left" w:pos="6520"/>
        </w:tabs>
        <w:suppressAutoHyphens/>
        <w:spacing w:line="240" w:lineRule="auto"/>
      </w:pPr>
      <w:r>
        <w:tab/>
        <w:t>В настоящий отчет могут вноситься поправки.</w:t>
      </w:r>
    </w:p>
    <w:p w:rsidR="00000000" w:rsidRDefault="00000000">
      <w:pPr>
        <w:tabs>
          <w:tab w:val="left" w:pos="0"/>
          <w:tab w:val="left" w:pos="567"/>
          <w:tab w:val="left" w:pos="1134"/>
          <w:tab w:val="left" w:pos="1701"/>
          <w:tab w:val="left" w:pos="2268"/>
          <w:tab w:val="left" w:pos="6520"/>
        </w:tabs>
        <w:suppressAutoHyphens/>
        <w:spacing w:line="216" w:lineRule="auto"/>
      </w:pPr>
    </w:p>
    <w:p w:rsidR="00000000" w:rsidRDefault="00000000">
      <w:pPr>
        <w:tabs>
          <w:tab w:val="left" w:pos="0"/>
          <w:tab w:val="left" w:pos="567"/>
          <w:tab w:val="left" w:pos="1134"/>
          <w:tab w:val="left" w:pos="1701"/>
          <w:tab w:val="left" w:pos="2268"/>
          <w:tab w:val="left" w:pos="6520"/>
        </w:tabs>
        <w:suppressAutoHyphens/>
        <w:spacing w:line="240" w:lineRule="auto"/>
      </w:pPr>
      <w:r>
        <w:tab/>
        <w:t xml:space="preserve">Поправки должны представляться на одном из рабочих языков.  Они должны быть изложены в пояснительной записке, а также внесены в один из экземпляров отчета.  Поправки следует направлять </w:t>
      </w:r>
      <w:r>
        <w:rPr>
          <w:u w:val="single"/>
        </w:rPr>
        <w:t>в течение одной недели с момента выпуска настоящего документа</w:t>
      </w:r>
      <w:r>
        <w:t xml:space="preserve"> в Секцию редактирования официальных отчетов, комната Е. 4108, Дворец Наций, Женева.</w:t>
      </w:r>
    </w:p>
    <w:p w:rsidR="00000000" w:rsidRDefault="00000000">
      <w:pPr>
        <w:tabs>
          <w:tab w:val="left" w:pos="0"/>
          <w:tab w:val="left" w:pos="567"/>
          <w:tab w:val="left" w:pos="1134"/>
          <w:tab w:val="left" w:pos="1701"/>
          <w:tab w:val="left" w:pos="2268"/>
          <w:tab w:val="left" w:pos="6520"/>
        </w:tabs>
        <w:suppressAutoHyphens/>
        <w:spacing w:line="240" w:lineRule="auto"/>
      </w:pPr>
    </w:p>
    <w:p w:rsidR="00000000" w:rsidRDefault="00000000">
      <w:pPr>
        <w:tabs>
          <w:tab w:val="left" w:pos="0"/>
          <w:tab w:val="left" w:pos="567"/>
          <w:tab w:val="left" w:pos="1134"/>
          <w:tab w:val="left" w:pos="1701"/>
          <w:tab w:val="left" w:pos="2268"/>
          <w:tab w:val="left" w:pos="6520"/>
        </w:tabs>
        <w:suppressAutoHyphens/>
        <w:spacing w:line="240" w:lineRule="auto"/>
      </w:pPr>
      <w:r>
        <w:tab/>
        <w:t>Любые поправки к отчетам об открытых заседаниях Комитета будут сведены в единое исправление, которое будет издано вскоре после окончания сессии.</w:t>
      </w:r>
    </w:p>
    <w:p w:rsidR="00000000" w:rsidRDefault="00000000">
      <w:pPr>
        <w:jc w:val="center"/>
        <w:rPr>
          <w:i/>
          <w:iCs/>
        </w:rPr>
      </w:pPr>
      <w:r>
        <w:br w:type="page"/>
      </w:r>
      <w:r>
        <w:rPr>
          <w:i/>
          <w:iCs/>
        </w:rPr>
        <w:t>Заседание открывается в 11 час. 05 мин.</w:t>
      </w:r>
    </w:p>
    <w:p w:rsidR="00000000" w:rsidRDefault="00000000">
      <w:pPr>
        <w:jc w:val="center"/>
        <w:rPr>
          <w:i/>
          <w:iCs/>
        </w:rPr>
      </w:pPr>
    </w:p>
    <w:p w:rsidR="00000000" w:rsidRDefault="00000000">
      <w:r>
        <w:t>РАССМОТРЕНИЕ ДОКЛАДОВ, ПРЕДСТАВЛЕННЫХ ГОСУДАРСТВАМИ-УЧАСТНИКАМИ В СООТВЕТСТВИИ СО СТАТЬЕЙ 40 ПАКТА (пункт 6 повестки дня) (</w:t>
      </w:r>
      <w:r>
        <w:rPr>
          <w:i/>
          <w:iCs/>
        </w:rPr>
        <w:t>продолжение</w:t>
      </w:r>
      <w:r>
        <w:t>)</w:t>
      </w:r>
    </w:p>
    <w:p w:rsidR="00000000" w:rsidRDefault="00000000"/>
    <w:p w:rsidR="00000000" w:rsidRDefault="00000000">
      <w:r>
        <w:rPr>
          <w:u w:val="single"/>
        </w:rPr>
        <w:t>Центральноафриканская Республика:  изучение положения в отсутствие доклада</w:t>
      </w:r>
      <w:r>
        <w:t xml:space="preserve"> (</w:t>
      </w:r>
      <w:proofErr w:type="spellStart"/>
      <w:r>
        <w:rPr>
          <w:lang w:val="en-US"/>
        </w:rPr>
        <w:t>CCPR</w:t>
      </w:r>
      <w:proofErr w:type="spellEnd"/>
      <w:r>
        <w:t>/</w:t>
      </w:r>
      <w:r>
        <w:rPr>
          <w:lang w:val="en-US"/>
        </w:rPr>
        <w:t>C</w:t>
      </w:r>
      <w:r>
        <w:t>/79/</w:t>
      </w:r>
      <w:r>
        <w:rPr>
          <w:lang w:val="en-US"/>
        </w:rPr>
        <w:t>L</w:t>
      </w:r>
      <w:r>
        <w:t>/</w:t>
      </w:r>
      <w:proofErr w:type="spellStart"/>
      <w:r>
        <w:rPr>
          <w:lang w:val="en-US"/>
        </w:rPr>
        <w:t>CAF</w:t>
      </w:r>
      <w:proofErr w:type="spellEnd"/>
      <w:r>
        <w:t>)</w:t>
      </w:r>
    </w:p>
    <w:p w:rsidR="00000000" w:rsidRDefault="00000000"/>
    <w:p w:rsidR="00000000" w:rsidRDefault="00000000">
      <w:pPr>
        <w:rPr>
          <w:i/>
          <w:iCs/>
        </w:rPr>
      </w:pPr>
      <w:r>
        <w:t>1.</w:t>
      </w:r>
      <w:r>
        <w:tab/>
      </w:r>
      <w:r>
        <w:rPr>
          <w:i/>
          <w:iCs/>
        </w:rPr>
        <w:t>По приглашению Председателя г-н Малейомбо, г-н Диба и г-н Фендиро (Центральноафриканская Республика) занимают места за столом Комитета.</w:t>
      </w:r>
    </w:p>
    <w:p w:rsidR="00000000" w:rsidRDefault="00000000">
      <w:pPr>
        <w:rPr>
          <w:i/>
          <w:iCs/>
        </w:rPr>
      </w:pPr>
    </w:p>
    <w:p w:rsidR="00000000" w:rsidRDefault="00000000">
      <w:r>
        <w:t>2.</w:t>
      </w:r>
      <w:r>
        <w:tab/>
      </w:r>
      <w:r>
        <w:rPr>
          <w:u w:val="single"/>
        </w:rPr>
        <w:t>Г-н МАЛЕЙОМБО</w:t>
      </w:r>
      <w:r>
        <w:t xml:space="preserve"> (Центральноафриканская Республика) делает вступительное заявление о глубинных причинах событий, которые привели к изменению 15 марта 2003 года политического режима, и о последующих усилиях, направленных на восстановление законного политического и институционального порядка.  До этих изменений народ Центральноафриканской Республики жил в бесчеловечных и нищенских условиях, характеризуемых, в частности, социальной дезорганизацией, произволом, безнаказанностью, несправедливостью, беспрецедентными репрессиями со стороны иностранных сил, политизацией и этнизацией управления и несоблюдением политических обязательств и Конституции.  Улучшения и достижения, которые стали возможны в результате изменений в марте 2003 года, происходят на разных уровнях.  На политическом уровне новое переходное правительство объединяет представителей всех политических течений, а также представителей гражданского общества, а в составе Национального переходного совета, который выполняет роль парламента, входят представители всех социально-политических кругов, в том числе этнических меньшинств.  В сентябре-октябре 2003 года был организован национальный диалог в целях примирения народа и возвращения изгнанников на основании закона-указа об амнистии, принятого президентом Республики.  Был учрежден Комитет по контролю за выполнением рекомендаций, сформулированных в результате этого диалога.  В интересах обеспечения основанного на консенсусе управления был назначен омбудсмен Республики, создан фонд компенсации жертвам различных военно-политических кризисов и учрежден национальный центр предупреждения и контроля кризисов.  Привлечение к ответственности виновных в совершении различных преступлений позволило покончить с безнаказанностью, которая существовала ранее, в том числе в сфере борьбы с коррупцией и мошенничеством.  Политические партии, профсоюзы и другие общественные движения по</w:t>
      </w:r>
      <w:r>
        <w:noBreakHyphen/>
        <w:t xml:space="preserve">прежнему свободно осуществляют свою деятельность.  Это касается и средств массовой информации и прессы, как государственной, так и частной.  В Переходный национальный совет было представлено много законопроектов, направленных на создание новой правовой и институциональной основы в сфере информации.  Принимаются меры для обеспечения соблюдения сроков президентских выборов, выборов в законодательные органы и муниципальных выборов в январе 2005 года, в частности путем пересмотра Избирательного кодекса, подготовки избирательных списков и создания смешанной независимой избирательной комиссии.  На рассмотрении Переходного национального совета находятся также законопроекты об уставе политических партий и статусе оппозиции. </w:t>
      </w:r>
    </w:p>
    <w:p w:rsidR="00000000" w:rsidRDefault="00000000"/>
    <w:p w:rsidR="00000000" w:rsidRDefault="00000000">
      <w:r>
        <w:t>3.</w:t>
      </w:r>
      <w:r>
        <w:tab/>
        <w:t xml:space="preserve">В социальном плане и в области безопасности невыплата зарплаты служащим перестала быть общим правилом, а подкрепление сил Центральноафриканского экономического и валютного сообщества французскими войсками позволило повысить уровень безопасности в стране.  Перестройка вооруженных сил позволила восстановить доверие между национальной армией и народом, а возобновление деятельности постоянного военного трибунала - своевременно проводить судебное рассмотрение любых нарушений прав человека, совершенных силами обороны и безопасности.  Укреплению безопасности способствовала также программа демобилизации, разоружения и реадаптации, осуществляемая правительством при финансовой поддержке Организации Объединенных Наций.  Конечно, следует упомянуть о некоторых имевших место волнениях, чаще всего спровоцированных бывшими "освободителями", которые выбрали гражданскую жизнь, но их удалось погасить благодаря личному вмешательству главы государства и содействию Специального представителя Генерального секретаря ООН в Центральноафриканской Республике и других влиятельных лиц.  Переходное правительство официально опровергло утверждения о произвольных казнях, изнасилованиях или пытках, с которыми выступали эти подстрекатели, скорее всего, сами виновные в совершении этих деяний.  </w:t>
      </w:r>
    </w:p>
    <w:p w:rsidR="00000000" w:rsidRDefault="00000000"/>
    <w:p w:rsidR="00000000" w:rsidRDefault="00000000">
      <w:r>
        <w:t>4.</w:t>
      </w:r>
      <w:r>
        <w:tab/>
        <w:t xml:space="preserve">По решению главы государства Высокий комиссариат по правам человека и благому управлению был вновь </w:t>
      </w:r>
      <w:proofErr w:type="spellStart"/>
      <w:r>
        <w:t>переподчинен</w:t>
      </w:r>
      <w:proofErr w:type="spellEnd"/>
      <w:r>
        <w:t xml:space="preserve"> президенту, который теперь лично курирует проведение политики в области поощрения и защиты прав человека.  Вместе с тем, из-за отсутствия материально-технических средств происходящие в столице улучшения не столь явно затронули другие районы страны.  Даже будучи правительственной структурой, Высокий комиссариат без колебаний изобличает государственные инстанции или сотрудников правоохранительных органов, которые используют свое положение и ущемляют права сограждан, и во многих случаях их ждет суровая кара со стороны главы государства.  </w:t>
      </w:r>
    </w:p>
    <w:p w:rsidR="00000000" w:rsidRDefault="00000000"/>
    <w:p w:rsidR="00000000" w:rsidRDefault="00000000">
      <w:r>
        <w:t>5.</w:t>
      </w:r>
      <w:r>
        <w:tab/>
        <w:t>В 1986 году Центральноафриканская Республика ратифицировала Африканскую хартию прав человека и народов, а также почти все остальные международные договоры по правам человека.  К сожалению, нельзя не признать, что Центральноафриканская Республика не выполняет взятые на себя обязательства, не представив с 1986 года ни одного доклада.  Избрав поощрение и защиту прав человека своим главным козырем, переходное правительство учредило Национальный комитет по составлению докладов во исполнение положений международных договоров по правам человека.  Этот комитет, в состав которого входят представители как государственных органов, так и гражданского общества, сталкивается с проблемой нехватки средств в силу серьезного экономического и финансового кризиса, который охватил страну.  В этой связи Центральноафриканская Республика призывает международное сообщество оказать ей помощь на этапе ее восстановления конституционного и демократического порядка, и в частности для того, чтобы Национальный комитет по составлению докладов мог до окончания первой половины 2005 года представить Комитету по правам человека совокупный доклад, позволяющий ликвидировать отставание в этой области.  Кроме того, Высокий комиссариат по правам человека и благому управлению принимает меры для возобновления деятельности Национальной комиссии по правам человека, которая заморожена с 1996 года.  От имени всего населения и руководства страны делегация Центральноафриканской Республики официально просит Комитет по правам человека оказать содействие в их усилиях, с тем чтобы Центральноафриканская Республика могла вновь занять достойное место в великой семье Организации Объединенных Наций.</w:t>
      </w:r>
    </w:p>
    <w:p w:rsidR="00000000" w:rsidRDefault="00000000"/>
    <w:p w:rsidR="00000000" w:rsidRDefault="00000000">
      <w:r>
        <w:t>6.</w:t>
      </w:r>
      <w:r>
        <w:tab/>
      </w:r>
      <w:r>
        <w:rPr>
          <w:u w:val="single"/>
        </w:rPr>
        <w:t>ПРЕДСЕДАТЕЛЬ</w:t>
      </w:r>
      <w:r>
        <w:t xml:space="preserve"> благодарит делегацию Центральноафриканской Республики и предлагает ей ответить сначала на вопросы 1-17 перечня вопросов, составленного Комитетом (</w:t>
      </w:r>
      <w:r>
        <w:rPr>
          <w:lang w:val="en-US"/>
        </w:rPr>
        <w:t>CCPR</w:t>
      </w:r>
      <w:r>
        <w:t>/</w:t>
      </w:r>
      <w:r>
        <w:rPr>
          <w:lang w:val="en-US"/>
        </w:rPr>
        <w:t>C</w:t>
      </w:r>
      <w:r>
        <w:t>/79/</w:t>
      </w:r>
      <w:r>
        <w:rPr>
          <w:lang w:val="en-US"/>
        </w:rPr>
        <w:t>L</w:t>
      </w:r>
      <w:r>
        <w:t>/</w:t>
      </w:r>
      <w:r>
        <w:rPr>
          <w:lang w:val="en-US"/>
        </w:rPr>
        <w:t>CAF</w:t>
      </w:r>
      <w:r>
        <w:t>).</w:t>
      </w:r>
    </w:p>
    <w:p w:rsidR="00000000" w:rsidRDefault="00000000"/>
    <w:p w:rsidR="00000000" w:rsidRDefault="00000000">
      <w:r>
        <w:t>7.</w:t>
      </w:r>
      <w:r>
        <w:tab/>
      </w:r>
      <w:r>
        <w:rPr>
          <w:u w:val="single"/>
        </w:rPr>
        <w:t>Г-н МАЛЕЙОМБО</w:t>
      </w:r>
      <w:r>
        <w:t xml:space="preserve"> (Центральноафриканская Республика) по вопросу 1 говорит, что смена режима 15 марта 2003 года представляет собой не переворот, а всплеск патриотических настроений, когда весь народ принял решение положить конец диктатуре, которая была установлена режимом, демократически избранным в 1993 году.  Новые власти выбрали основанное на консенсусе переходное управление с участием всех активных сил страны.  Была аннулирована Конституция 14 января 1995 года и распущено национальное собрание, которое штамповало законы под диктовку исполнительной власти.  Было введено чрезвычайное положение на основании конституционного акта №</w:t>
      </w:r>
      <w:r>
        <w:rPr>
          <w:lang w:val="en-US"/>
        </w:rPr>
        <w:t> </w:t>
      </w:r>
      <w:r>
        <w:t>2, который гласит, что "до тех пор, пока народ Центральноафриканской Республики не будет в состоянии выражать национальную волю, будет обеспечиваться временное исполнение государственных функций на условиях, указанных в настоящем конституционном акте".</w:t>
      </w:r>
    </w:p>
    <w:p w:rsidR="00000000" w:rsidRDefault="00000000"/>
    <w:p w:rsidR="00000000" w:rsidRDefault="00000000">
      <w:r>
        <w:t>8.</w:t>
      </w:r>
      <w:r>
        <w:tab/>
        <w:t>Что касается вопроса 2, то партии, профсоюзы, пресса и ассоциации, в частности занимающиеся защитой прав человека, в течение переходного периода продолжают свободно осуществлять свою деятельность в соответствии с конституционными актами № 1 и 2 от 15 марта 2003 года.  Первый из этих актов предусматривает, что договоры, соглашения и конвенции, ратифицированные Центральноафриканской Республикой, имеют преимущественную силу по сравнению с указами, которые глава Республики имеет право издавать.  Во втором акте определяется временная организация государственных полномочий, при этом его статья 12 обязывает соблюдать права человека и основные свободы, а в статье 9 провозглашается независимость судебной системы.</w:t>
      </w:r>
    </w:p>
    <w:p w:rsidR="00000000" w:rsidRDefault="00000000"/>
    <w:p w:rsidR="00000000" w:rsidRDefault="00000000">
      <w:r>
        <w:t>9.</w:t>
      </w:r>
      <w:r>
        <w:tab/>
        <w:t>Что касается полномочий Переходного национального совета (ПНС) (вопрос 3), то он является консультативным органом, который был учрежден декретом президента Республики и которому поручено оказывать президенту содействие в осуществлении его законодательных функций путем рассмотрения всех проектов указов, которые ему в обязательном порядке представляются, предлагать президенту и правительству любые рекомендации, которые он считает необходимыми для улучшения жизни в стране, и оказывать помощь правительству в разработке предварительного проекта конституции и подготовки будущих выборов.  В состав ПНС входят 96 членов, 17 из которых являются национальными советниками, представляющими 16 префектур и город Банги, а остальные 79 избираются представителями всех слоев общества и государства, начиная от политических партий, профсоюзов и религиозных органов и кончая полицией, армией и бывшими президентами Республики.  Что касается переходного правительства, то, помимо всех полномочий исполнительной власти, оно отвечает за восстановление безопасности на всей территории страны и несет ответственность за организацию возвращения к подлинно демократическому конституционному порядку, с тем чтобы гарантировать мир и стабильность в стране.  В настоящее время в состав правительства входят 28 членов, в том числе две женщины, назначение которых отражает различные социально-политические и географические особенности страны.  Правительство учредило органы и приняло документы, необходимые для обеспечения организации будущих выборов (президентских выборов, выборов в законодательные органы, муниципальных выборов и т.д.), которые состоятся в январе 2005 года, в частности в Независимую смешанную избирательную комиссию, Избирательный кодекс и проект новой Конституции, который должен быть утвержден Переходным национальным советом.  Наконец, в феврале-марте 2004 года президент Республики встретился с представителями всех политических и общественных сил страны, с тем чтобы не только закрепить положительные результаты национального диалога, состоявшегося в сентябре-октябре 2003 года, но также - и прежде всего - услышать мнения всех сторон до учреждения органов по подготовке и организации будущих выборов.</w:t>
      </w:r>
    </w:p>
    <w:p w:rsidR="00000000" w:rsidRDefault="00000000"/>
    <w:p w:rsidR="00000000" w:rsidRDefault="00000000">
      <w:r>
        <w:t>10.</w:t>
      </w:r>
      <w:r>
        <w:tab/>
        <w:t xml:space="preserve">Высокий комиссариат по правам человека и благому управлению был выведен из подчинения министерству юстиции и переподчинен напрямую президенту Республики.  На него возложены разработка и реализация национальной политики в области прав человека и благого управления, рекомендация мер, гарантирующих соблюдение, защиту и поощрение прав человека, содействие обеспечению верховенства права на основе заслуживающего доверия, независимого, свободного и эффективного правосудия, создание структуры по борьбе с безнаказанностью и коррупцией, обеспечение соблюдения норм гласности и неукоснительности исполнения в области государственного управления, координация деятельности и проектов в области прав человека и благого управления, поощрение сотрудничества с национальными и международными органами и неправительственными организациями, осуществление стратегий просвещения в области прав человека и благого управления и представление докладов в соответствии с международными договорами по правам человека, ратифицированными Центральноафриканской Республикой.  </w:t>
      </w:r>
    </w:p>
    <w:p w:rsidR="00000000" w:rsidRDefault="00000000"/>
    <w:p w:rsidR="00000000" w:rsidRDefault="00000000">
      <w:r>
        <w:t>11.</w:t>
      </w:r>
      <w:r>
        <w:tab/>
        <w:t>Что касается права на эффективные средства правовой защиты (вопросы 5-8), то попытки государственного переворота в мае 2001 года и в октябре 2002 года и государственный переворот в марте 2003 года следует рассматривать отдельно.  Попытка государственного переворота в мае 2001 года сопровождалась массовыми расправами, казнями, грабежами, несанкционированными арестами и другими нарушениями, вину за которые несут как правительственные силы, так и их иностранные союзники.  Преследования организаторов попытки государственного переворота привели к тому, что десятки лиц были осуждены на основании сомнительной процедуры, а сотни других вообще заочно.  Ответные репрессии правительственных войск и иностранных наемников, о которых сообщалось в докладе Международной федерации по правам человека, не стали предметом судебного преследования в связи с амнистией, объявленной указом от 23 апреля 2003 года.  Однако эта амнистия не ущемляет прав третьих сторон и не может противопоставляться органам государственного управления, действующим как гражданская сторона в случаях правонарушений, связанных с нанесением ущерба государственной казне или государству.  Однако эти органы управления обладают только правом на получение возмещения, которое впрочем, как представляется, так и не было никогда реализовано.  Что касается событий октября 2002 года и марта 2003 года, то созданный в партнерстве с системой Организации Объединенных Наций орган по розыску и расследованию под названием "Гуманитарная помощь женщинам и девочкам, являющимся жертвами изнасилований и насилия во время событий 2002-2003 годов" позволил прокуратуре Банги возбудить судебное преследование в отношении бывшего президента Патассе и других лиц за кровавые преступления - от покушения на внутреннюю безопасность государства до нанесения умышленных побоев и ран - и за экономические преступления (казнокрадство, мошенничество и подлог).  Это расследование позволило выявить несколько сотен жертв, в том числе женщин - жертв изнасилования.  Было задержано лишь несколько виновных в совершении этих деяний, а в отношении некоторых находящихся в бегах виновных, соучастников или пособников были изданы соответствующие судебные поручения.  Эта подготовительная процедура весьма скоро будет завершена.  Меры, принятые вышеуказанным органом, позволили выявить более 500 жертв и оказать им помощь.  Народ Центральноафриканской Республики весьма положительно воспринял жалобу, поданную МФПЧ в Международный уголовный суд.  Необходимо принять внутренние нормы права, что будет сделано при поддержке Отделения Организации Объединенных Наций по укреплению мира в Центральноафриканской Республике (БОНУКА).  Центральноафриканские судебные органы возбудили преследования на основании фактов, помимо военных преступлений или преступлений геноцида, о которых сообщали ЮНИСЕФ, население и МФПЧ, однако обращение в Международный уголовный суд позволит эффективнее привлекать к ответственности виновных, скрывающихся от правосудия.</w:t>
      </w:r>
    </w:p>
    <w:p w:rsidR="00000000" w:rsidRDefault="00000000"/>
    <w:p w:rsidR="00000000" w:rsidRDefault="00000000">
      <w:r>
        <w:t>12.</w:t>
      </w:r>
      <w:r>
        <w:tab/>
      </w:r>
      <w:r>
        <w:rPr>
          <w:u w:val="single"/>
        </w:rPr>
        <w:t xml:space="preserve">Г-н </w:t>
      </w:r>
      <w:proofErr w:type="spellStart"/>
      <w:r>
        <w:rPr>
          <w:u w:val="single"/>
        </w:rPr>
        <w:t>ФЕНДИРО</w:t>
      </w:r>
      <w:proofErr w:type="spellEnd"/>
      <w:r>
        <w:t xml:space="preserve"> (Центральноафриканская Республика), отвечая на вопрос 7, говорит, что уголовный процесс в отношении лиц, причастных к попытке государственного переворота 28 мая 2001 года, уже состоялся.  В ходе этого процесса были соблюдены права на защиту, хотя процедура предварительного расследования, проведенного смешанной судебно-следственной комиссией, сопровождалась вопиющими нарушениями уголовно-процессуальных норм.  В ходе процесса все обвиняемые пользовались помощью адвоката.  Суд состоял из трех профессиональных судей и шести присяжных.  Правительство было представлено государственным обвинителем.  Подсудимые обвинялись в покушении на внутреннюю безопасность государства, убийствах, дезертирстве в мирное и военное время, участии в мятеже и хранении боевого оружия.  Вместе с тем в интересах смягчения обстановки после событий 15 марта 2003 года был издан указ об амнистии, в соответствии с которым были отменены все основные, побочные и дополнительные наказания, и который позволил обеспечить возвращение лиц на государственную службу.  Любое упоминание о приговорах, подпадающих под амнистию, не допускается.  Что касается событий 2002-2003 годов, то в рамках национального диалога было рекомендовало реабилитировать гражданских и военных лиц, причастных к военным и политическим кризисам за период с 1960 года.  Этот вопрос будет окончательно урегулирован создаваемой в настоящее время Комиссией по выявлению истины и примирению.</w:t>
      </w:r>
    </w:p>
    <w:p w:rsidR="00000000" w:rsidRDefault="00000000"/>
    <w:p w:rsidR="00000000" w:rsidRDefault="00000000">
      <w:r>
        <w:t>13.</w:t>
      </w:r>
      <w:r>
        <w:tab/>
      </w:r>
      <w:r>
        <w:rPr>
          <w:u w:val="single"/>
        </w:rPr>
        <w:t>Г</w:t>
      </w:r>
      <w:r>
        <w:rPr>
          <w:u w:val="single"/>
        </w:rPr>
        <w:noBreakHyphen/>
        <w:t xml:space="preserve">н </w:t>
      </w:r>
      <w:proofErr w:type="spellStart"/>
      <w:r>
        <w:rPr>
          <w:u w:val="single"/>
        </w:rPr>
        <w:t>ДИБА</w:t>
      </w:r>
      <w:proofErr w:type="spellEnd"/>
      <w:r>
        <w:t xml:space="preserve"> (Центральноафриканская Республика), отвечая на вопрос 8, говорит, что центральноафриканское правительство в партнерстве с системой Организации Объединенных Наций (</w:t>
      </w:r>
      <w:proofErr w:type="spellStart"/>
      <w:r>
        <w:t>ПРООН</w:t>
      </w:r>
      <w:proofErr w:type="spellEnd"/>
      <w:r>
        <w:t xml:space="preserve">, </w:t>
      </w:r>
      <w:proofErr w:type="spellStart"/>
      <w:r>
        <w:t>ЮНФПА</w:t>
      </w:r>
      <w:proofErr w:type="spellEnd"/>
      <w:r>
        <w:t xml:space="preserve"> и </w:t>
      </w:r>
      <w:proofErr w:type="spellStart"/>
      <w:r>
        <w:t>ЮНИСЕФ</w:t>
      </w:r>
      <w:proofErr w:type="spellEnd"/>
      <w:r>
        <w:t xml:space="preserve">) создало систему оказания психологической, медицинской и правовой помощи женщинам и девушкам, подвергшимся изнасилованию в северных и южных кварталах Банги во время волнений в 2001, 2002 и 2003 годах.  Система охватывала порядка 500 женщин и </w:t>
      </w:r>
      <w:proofErr w:type="spellStart"/>
      <w:r>
        <w:t>63%</w:t>
      </w:r>
      <w:proofErr w:type="spellEnd"/>
      <w:r>
        <w:t xml:space="preserve"> из которых воспользовались этой помощью.  Вместе с тем не все жертвы в других районах были выявлены и получили помощь, поэтому в настоящее время изучается вопрос о распространении действия этого проекта на провинции и освобожденные зоны.  Новые власти, пришедшие к руководству в результате событий 15 марта 2003 года, рассматривают эти случаи изнасилования как военные преступления и обязались возбудить в международных и национальных уголовных судах, преследование против виновных лиц, которые все еще находятся на национальной территории.</w:t>
      </w:r>
    </w:p>
    <w:p w:rsidR="00000000" w:rsidRDefault="00000000"/>
    <w:p w:rsidR="00000000" w:rsidRDefault="00000000">
      <w:r>
        <w:t>14.</w:t>
      </w:r>
      <w:r>
        <w:tab/>
      </w:r>
      <w:r>
        <w:rPr>
          <w:u w:val="single"/>
        </w:rPr>
        <w:t>Г</w:t>
      </w:r>
      <w:r>
        <w:rPr>
          <w:u w:val="single"/>
        </w:rPr>
        <w:noBreakHyphen/>
        <w:t xml:space="preserve">н </w:t>
      </w:r>
      <w:proofErr w:type="spellStart"/>
      <w:r>
        <w:rPr>
          <w:u w:val="single"/>
        </w:rPr>
        <w:t>ФЕНДИРО</w:t>
      </w:r>
      <w:proofErr w:type="spellEnd"/>
      <w:r>
        <w:t xml:space="preserve"> (Центральноафриканская Республика), отвечая на вопрос о смертной казни (вопрос 9), поясняет, что к преступлениям, за совершение которых в центральноафриканском уголовном праве предусмотрена смертная казнь, относятся преступления против государственной безопасности, знахарство, повлекшее за собой смерть людей, а также предумышленное убийство, отравление, отцеубийство и предумышленное убийство.  Несовершеннолетние пользуются особым статусом в уголовной сфере, однако из-за недостатка финансовых средств действующие структуры страдают серьезными недостатками.  После обретения независимости не было казнено ни одного несовершеннолетнего.  Что касается смертных приговоров и казней за последние три года, то согласно статистическим данным к смертной казни были приговорены порядка 20 человек;  последний смертный приговор был приведен в исполнение в 1981 году.  Наконец, вопрос об отмене смертной казни по</w:t>
      </w:r>
      <w:r>
        <w:noBreakHyphen/>
        <w:t xml:space="preserve">прежнему является деликатным, учитывая отсутствие безопасности в стране, распространенность боевого оружия и боеприпасов и атмосферу насилия в </w:t>
      </w:r>
      <w:proofErr w:type="spellStart"/>
      <w:r>
        <w:t>субрегионе</w:t>
      </w:r>
      <w:proofErr w:type="spellEnd"/>
      <w:r>
        <w:t xml:space="preserve">.  Этот вопрос целесообразно рассмотреть в ближайшем будущем.  </w:t>
      </w:r>
    </w:p>
    <w:p w:rsidR="00000000" w:rsidRDefault="00000000"/>
    <w:p w:rsidR="00000000" w:rsidRDefault="00000000">
      <w:r>
        <w:t>15.</w:t>
      </w:r>
      <w:r>
        <w:tab/>
      </w:r>
      <w:r>
        <w:rPr>
          <w:u w:val="single"/>
        </w:rPr>
        <w:t>Г</w:t>
      </w:r>
      <w:r>
        <w:rPr>
          <w:u w:val="single"/>
        </w:rPr>
        <w:noBreakHyphen/>
        <w:t xml:space="preserve">н </w:t>
      </w:r>
      <w:proofErr w:type="spellStart"/>
      <w:r>
        <w:rPr>
          <w:u w:val="single"/>
        </w:rPr>
        <w:t>МАЛЕЙОМБО</w:t>
      </w:r>
      <w:proofErr w:type="spellEnd"/>
      <w:r>
        <w:t xml:space="preserve"> (Центральноафриканская Республика), отвечая на вопрос 10, признает, что действительно имели место отдельные случаи репрессий, против гражданского населения военными, участвовавшими в событиях 15 марта 2003 года, и </w:t>
      </w:r>
      <w:proofErr w:type="spellStart"/>
      <w:r>
        <w:t>чадцами</w:t>
      </w:r>
      <w:proofErr w:type="spellEnd"/>
      <w:r>
        <w:t xml:space="preserve">.  Тем не менее правительство строго наказало виновных в нарушениях прав человека.  С другой стороны, иностранцы, которые помогали генералу </w:t>
      </w:r>
      <w:proofErr w:type="spellStart"/>
      <w:r>
        <w:t>Бозизе</w:t>
      </w:r>
      <w:proofErr w:type="spellEnd"/>
      <w:r>
        <w:t xml:space="preserve"> в его действиях, получили компенсацию и были репатриированы, а </w:t>
      </w:r>
      <w:proofErr w:type="spellStart"/>
      <w:r>
        <w:t>центральноафриканцы</w:t>
      </w:r>
      <w:proofErr w:type="spellEnd"/>
      <w:r>
        <w:t>, участвовавшие в этих действиях, вернулись к нормальной гражданской жизни.  Несмотря на то, что безопасность еще в полной мере не обеспечена, правительство и Центральноафриканское экономическое и валютное сообщество (</w:t>
      </w:r>
      <w:proofErr w:type="spellStart"/>
      <w:r>
        <w:t>СЕМАК</w:t>
      </w:r>
      <w:proofErr w:type="spellEnd"/>
      <w:r>
        <w:t>) пытаются постепенно улучшить ситуацию.</w:t>
      </w:r>
    </w:p>
    <w:p w:rsidR="00000000" w:rsidRDefault="00000000"/>
    <w:p w:rsidR="00000000" w:rsidRDefault="00000000">
      <w:r>
        <w:t>16.</w:t>
      </w:r>
      <w:r>
        <w:tab/>
        <w:t>Что касается вопроса 11 о Центральноафриканском управлении по борьбе с бандитизмом (</w:t>
      </w:r>
      <w:proofErr w:type="spellStart"/>
      <w:r>
        <w:t>ЦУББ</w:t>
      </w:r>
      <w:proofErr w:type="spellEnd"/>
      <w:r>
        <w:t xml:space="preserve">), то необходимо отметить, что благодаря этому органу уровень преступности значительно снизился.  Во время нахождения у власти президента </w:t>
      </w:r>
      <w:proofErr w:type="spellStart"/>
      <w:r>
        <w:t>Патассе</w:t>
      </w:r>
      <w:proofErr w:type="spellEnd"/>
      <w:r>
        <w:t xml:space="preserve"> </w:t>
      </w:r>
      <w:proofErr w:type="spellStart"/>
      <w:r>
        <w:t>ЦУББ</w:t>
      </w:r>
      <w:proofErr w:type="spellEnd"/>
      <w:r>
        <w:t xml:space="preserve"> действительно совершала множество репрессий, однако в настоящее время этого больше не происходит.  Посягательства на права человека сурово наказываются, о чем свидетельствует недавнее осуждение одного из сотрудников </w:t>
      </w:r>
      <w:proofErr w:type="spellStart"/>
      <w:r>
        <w:t>ЦУББ</w:t>
      </w:r>
      <w:proofErr w:type="spellEnd"/>
      <w:r>
        <w:t xml:space="preserve">.  Сообщение о случаях насилия, видимо, имеет отношение к вооруженным столкновениям между бандитами и сотрудниками </w:t>
      </w:r>
      <w:proofErr w:type="spellStart"/>
      <w:r>
        <w:t>ЦУББ</w:t>
      </w:r>
      <w:proofErr w:type="spellEnd"/>
      <w:r>
        <w:t xml:space="preserve">.  </w:t>
      </w:r>
    </w:p>
    <w:p w:rsidR="00000000" w:rsidRDefault="00000000"/>
    <w:p w:rsidR="00000000" w:rsidRDefault="00000000">
      <w:r>
        <w:t>17.</w:t>
      </w:r>
      <w:r>
        <w:tab/>
        <w:t>Что касается национального примирения (вопрос 12), то в рамках национального диалога, в котором участвовали 350 делегатов, представлявших все слои населения, были приняты рекомендации, направленные на создание возможностей для возвращения изгнанников.  Для претворения в жизнь этих рекомендаций был учрежден комитет, благодаря работе которого большинство изгнанников вернулись на родину.  Касаясь вопроса о защите конголезцев, проживающих в Центральноафриканской Республике, г</w:t>
      </w:r>
      <w:r>
        <w:noBreakHyphen/>
        <w:t>н </w:t>
      </w:r>
      <w:proofErr w:type="spellStart"/>
      <w:r>
        <w:t>Малейомбо</w:t>
      </w:r>
      <w:proofErr w:type="spellEnd"/>
      <w:r>
        <w:t xml:space="preserve"> уточняет, что, несмотря на участие в волнениях наемников из Демократической Республики Конго, проблем с самим конголезским народом никогда не возникало, и поэтому нет необходимости принимать какие-либо особые меры.  Что касается представителей этнической группы президента </w:t>
      </w:r>
      <w:proofErr w:type="spellStart"/>
      <w:r>
        <w:t>Патассе</w:t>
      </w:r>
      <w:proofErr w:type="spellEnd"/>
      <w:r>
        <w:t xml:space="preserve">, то никакой охоты на ведьм не проводилось и лица, принадлежащие к этой этнической группе, не подвергались преследованиям.  Лица, бежавшие из страны, как правило, виновны в казнокрадстве.  </w:t>
      </w:r>
    </w:p>
    <w:p w:rsidR="00000000" w:rsidRDefault="00000000"/>
    <w:p w:rsidR="00000000" w:rsidRDefault="00000000">
      <w:r>
        <w:t>18.</w:t>
      </w:r>
      <w:r>
        <w:tab/>
      </w:r>
      <w:r>
        <w:rPr>
          <w:u w:val="single"/>
        </w:rPr>
        <w:t>Г</w:t>
      </w:r>
      <w:r>
        <w:rPr>
          <w:u w:val="single"/>
        </w:rPr>
        <w:noBreakHyphen/>
        <w:t xml:space="preserve">н </w:t>
      </w:r>
      <w:proofErr w:type="spellStart"/>
      <w:r>
        <w:rPr>
          <w:u w:val="single"/>
        </w:rPr>
        <w:t>ДИБА</w:t>
      </w:r>
      <w:proofErr w:type="spellEnd"/>
      <w:r>
        <w:t xml:space="preserve"> (Центральноафриканская Республика), отвечая на вопрос о подготовке военнослужащих и полицейских по вопросам прав человека, разъясняет, что при поддержке Отделения Организации Объединенных Наций они проходят подготовку по вопросам прав человека, международному гуманитарному праву и его соблюдению при вооруженных конфликтах в рамках которой рассматриваются также вопросы международного уголовного процессуального права, механизмы защиты прав человека и процедуры ареста и содержания под стражей.  В 2003 году было проведено три таких курса, а в 2004 году их будет четыре.  Эта подготовка оказала положительное воздействие на поведение сотрудников правоохранительных органов.  Кроме того, с 2003 года во всех военных учебно-подготовительных центрах проводятся занятия по преподаванию прав человека и международного гуманитарного права, организуемые при поддержке Отделения Организации Объединенных Наций, в форме семинаров продолжительностью в 15 дней, цель которых заключается в поощрении соблюдения прав человека, формировании в различных подразделениях надежной группы хорошо подготовленных в этой области военнослужащих и более глубоком ознакомлении с документами и международными конвенциями, ратифицированными Центральноафриканской Республикой.</w:t>
      </w:r>
    </w:p>
    <w:p w:rsidR="00000000" w:rsidRDefault="00000000"/>
    <w:p w:rsidR="00000000" w:rsidRDefault="00000000">
      <w:r>
        <w:t>19.</w:t>
      </w:r>
      <w:r>
        <w:tab/>
      </w:r>
      <w:r>
        <w:rPr>
          <w:u w:val="single"/>
        </w:rPr>
        <w:t>Г</w:t>
      </w:r>
      <w:r>
        <w:rPr>
          <w:u w:val="single"/>
        </w:rPr>
        <w:noBreakHyphen/>
        <w:t xml:space="preserve">н </w:t>
      </w:r>
      <w:proofErr w:type="spellStart"/>
      <w:r>
        <w:rPr>
          <w:u w:val="single"/>
        </w:rPr>
        <w:t>МАЛЕЙОМБО</w:t>
      </w:r>
      <w:proofErr w:type="spellEnd"/>
      <w:r>
        <w:t xml:space="preserve"> (Центральноафриканская Республика), отвечая на вопрос 14, говорит, что пагубная традиционная практика осуждается прогрессивной центральноафриканской общественностью.  Существует центральноафриканский комитет борьбы с пагубной практикой и насилием в отношении женщин и девочек, который ведет весьма активную работу в этой области.  Эта проблема была затронута, в частности, в одной из радиопередач, с тем чтобы привлечь к ней внимание населения.  Даже если такая практика по</w:t>
      </w:r>
      <w:r>
        <w:noBreakHyphen/>
        <w:t xml:space="preserve">прежнему существует в отдаленных районах страны, то в целом можно считать, что она постепенно сходит на нет.  </w:t>
      </w:r>
    </w:p>
    <w:p w:rsidR="00000000" w:rsidRDefault="00000000"/>
    <w:p w:rsidR="00000000" w:rsidRDefault="00000000">
      <w:r>
        <w:t>20.</w:t>
      </w:r>
      <w:r>
        <w:tab/>
      </w:r>
      <w:r>
        <w:rPr>
          <w:u w:val="single"/>
        </w:rPr>
        <w:t>Г</w:t>
      </w:r>
      <w:r>
        <w:rPr>
          <w:u w:val="single"/>
        </w:rPr>
        <w:noBreakHyphen/>
        <w:t xml:space="preserve">н </w:t>
      </w:r>
      <w:proofErr w:type="spellStart"/>
      <w:r>
        <w:rPr>
          <w:u w:val="single"/>
        </w:rPr>
        <w:t>ФЕНДИРО</w:t>
      </w:r>
      <w:proofErr w:type="spellEnd"/>
      <w:r>
        <w:t xml:space="preserve"> (Центральноафриканская Республика), отвечая на вопрос 15, разъясняет, что к преступлениям, которые наказываются принудительными работами, относятся деяния, связанные с каннибализмом, продажа или сбыт человеческой плоти, угроза предумышленного убийства или отравления, нанесение побоев и ран лицам младше 15 лет и сознательное лишение детей пищи или ухода, подрывающее их здоровье.  После свержения императора </w:t>
      </w:r>
      <w:proofErr w:type="spellStart"/>
      <w:r>
        <w:t>Бокассы</w:t>
      </w:r>
      <w:proofErr w:type="spellEnd"/>
      <w:r>
        <w:t xml:space="preserve"> 20 сентября 1979 года принудительные работы больше не применяются из</w:t>
      </w:r>
      <w:r>
        <w:noBreakHyphen/>
        <w:t>за отсутствия строительных объектов.  Тем не менее, осуждения на принудительные работы по</w:t>
      </w:r>
      <w:r>
        <w:noBreakHyphen/>
        <w:t xml:space="preserve">прежнему практикуются.  В настоящее время в тюрьме Банги содержатся только два заключенных, приговоренных к принудительным работам.  </w:t>
      </w:r>
    </w:p>
    <w:p w:rsidR="00000000" w:rsidRDefault="00000000"/>
    <w:p w:rsidR="00000000" w:rsidRDefault="00000000">
      <w:r>
        <w:t>21.</w:t>
      </w:r>
      <w:r>
        <w:tab/>
      </w:r>
      <w:r>
        <w:rPr>
          <w:u w:val="single"/>
        </w:rPr>
        <w:t>Г</w:t>
      </w:r>
      <w:r>
        <w:rPr>
          <w:u w:val="single"/>
        </w:rPr>
        <w:noBreakHyphen/>
        <w:t xml:space="preserve">н </w:t>
      </w:r>
      <w:proofErr w:type="spellStart"/>
      <w:r>
        <w:rPr>
          <w:u w:val="single"/>
        </w:rPr>
        <w:t>МАЛЕЙОМБО</w:t>
      </w:r>
      <w:proofErr w:type="spellEnd"/>
      <w:r>
        <w:t xml:space="preserve"> (Центральноафриканская Республика), отвечая на вопрос 16, отмечает, что в Центральноафриканской Республике торговли детьми практически не существует.  Данные о такой торговле, приведенные в вопросе, не имеют под собой оснований.  Для того чтобы ответить на утверждения, относящиеся к вопросу 17, согласно которым юноши 17</w:t>
      </w:r>
      <w:r>
        <w:noBreakHyphen/>
        <w:t xml:space="preserve">летнего возраста до 15 марта 2003 года вербовались в ряды мятежников, следует провести соответствующее расследование.  Вместе с тем известно, что в этом мятеже участвовали главным образом военнослужащие регулярной армии при поддержке некоторых </w:t>
      </w:r>
      <w:proofErr w:type="spellStart"/>
      <w:r>
        <w:t>чадцев</w:t>
      </w:r>
      <w:proofErr w:type="spellEnd"/>
      <w:r>
        <w:t>, вернувшихся впоследствии в свою страну.</w:t>
      </w:r>
    </w:p>
    <w:p w:rsidR="00000000" w:rsidRDefault="00000000"/>
    <w:p w:rsidR="00000000" w:rsidRDefault="00000000">
      <w:r>
        <w:t>22.</w:t>
      </w:r>
      <w:r>
        <w:tab/>
      </w:r>
      <w:r>
        <w:rPr>
          <w:u w:val="single"/>
        </w:rPr>
        <w:t>ПРЕДСЕДАТЕЛЬ</w:t>
      </w:r>
      <w:r>
        <w:t xml:space="preserve"> предлагает членам Комитета устно задать дополнительные вопросы по пунктам 1-17 перечня.</w:t>
      </w:r>
    </w:p>
    <w:p w:rsidR="00000000" w:rsidRDefault="00000000"/>
    <w:p w:rsidR="00000000" w:rsidRDefault="00000000">
      <w:r>
        <w:t>23.</w:t>
      </w:r>
      <w:r>
        <w:tab/>
      </w:r>
      <w:r>
        <w:rPr>
          <w:u w:val="single"/>
        </w:rPr>
        <w:t xml:space="preserve">Г-жа </w:t>
      </w:r>
      <w:proofErr w:type="spellStart"/>
      <w:r>
        <w:rPr>
          <w:u w:val="single"/>
        </w:rPr>
        <w:t>ШАНЕ</w:t>
      </w:r>
      <w:proofErr w:type="spellEnd"/>
      <w:r>
        <w:t xml:space="preserve"> хотела бы получить уточнение в отношении конституционного порядка переходного периода и конституционного порядка, который должен вступить в силу в период до 2005 года.  Она, в частности, просит делегацию прокомментировать проект конституции, текст которой был распространен среди членов Комитета на французском языке, и особенно положения, касающиеся указов.  Делегация выступила против использования в формулировке вопроса № 1 перечня выражения "государственный переворот", однако, по мнению г-жи </w:t>
      </w:r>
      <w:proofErr w:type="spellStart"/>
      <w:r>
        <w:t>Шане</w:t>
      </w:r>
      <w:proofErr w:type="spellEnd"/>
      <w:r>
        <w:t>, содержание конституционного акта № 1 подтверждает, что речь шла именно о государственном перевороте.  Было сказано, что проект новой конституции будет опираться на результаты национального диалога, и г</w:t>
      </w:r>
      <w:r>
        <w:noBreakHyphen/>
        <w:t>жа </w:t>
      </w:r>
      <w:proofErr w:type="spellStart"/>
      <w:r>
        <w:t>Шане</w:t>
      </w:r>
      <w:proofErr w:type="spellEnd"/>
      <w:r>
        <w:t xml:space="preserve"> хотела бы узнать подробнее об этом институте.  Она хотела бы также знать, являются ли права, которые будут закреплены в новой конституции, такими же, что и права, фигурирующие в Конституции 1995 года, и будут ли в ней во всяком случае защищаться все права, провозглашенные в Пакте.  Статья 3 проекта конституции предусматривает, что должен соблюдаться установленный законом срок задержания.  В Конституции этот установленный законом срок должен быть </w:t>
      </w:r>
      <w:r>
        <w:rPr>
          <w:u w:val="single"/>
        </w:rPr>
        <w:t>зафиксирован</w:t>
      </w:r>
      <w:r>
        <w:t>, простое же подчеркивание, что он должен соблюдаться, не имеет смысла.</w:t>
      </w:r>
    </w:p>
    <w:p w:rsidR="00000000" w:rsidRDefault="00000000"/>
    <w:p w:rsidR="00000000" w:rsidRDefault="00000000">
      <w:r>
        <w:t>24.</w:t>
      </w:r>
      <w:r>
        <w:tab/>
        <w:t xml:space="preserve">Что касается центральноафриканского Высокого комиссара по правам человека, то принятые в 2004 году президентские декреты, очевидно, касались только названия его службы и не изменяли его функций, в отношении которых г-жа </w:t>
      </w:r>
      <w:proofErr w:type="spellStart"/>
      <w:r>
        <w:t>Шане</w:t>
      </w:r>
      <w:proofErr w:type="spellEnd"/>
      <w:r>
        <w:t xml:space="preserve"> хотела бы получить разъяснения.</w:t>
      </w:r>
    </w:p>
    <w:p w:rsidR="00000000" w:rsidRDefault="00000000"/>
    <w:p w:rsidR="00000000" w:rsidRDefault="00000000">
      <w:r>
        <w:t>25.</w:t>
      </w:r>
      <w:r>
        <w:tab/>
        <w:t xml:space="preserve">Касаясь применения статьи 6 Пакта, делегация отметил, что знахарство, повлекшее за собой смерть человека, является преступлением, наказуемым смертной казнью.  Учитывая, что Пакт предусматривает возможность такого наказания только за совершение самых тяжких преступлений, г-жа </w:t>
      </w:r>
      <w:proofErr w:type="spellStart"/>
      <w:r>
        <w:t>Шане</w:t>
      </w:r>
      <w:proofErr w:type="spellEnd"/>
      <w:r>
        <w:t xml:space="preserve"> хотела бы знать, в какой мере знахарство относится к этой категории и каким образом власти определяют, когда то или иное лицо умирает, став жертвой знахарства или колдовства, что именно это действие  является причиной смерти.  Г-жа </w:t>
      </w:r>
      <w:proofErr w:type="spellStart"/>
      <w:r>
        <w:t>Шане</w:t>
      </w:r>
      <w:proofErr w:type="spellEnd"/>
      <w:r>
        <w:t xml:space="preserve"> с удовлетворением отмечает меры по борьбе с практикой </w:t>
      </w:r>
      <w:proofErr w:type="spellStart"/>
      <w:r>
        <w:t>эксцизии</w:t>
      </w:r>
      <w:proofErr w:type="spellEnd"/>
      <w:r>
        <w:t xml:space="preserve">, принимаемые Национальным комитетом по борьбе с пагубной практикой и насилием в отношении женщин и девочек.  Вместе с тем делегация представила довольно краткую информацию об этой практике.  В письменных ответах делается ссылка на бремя традиций и упоминается ряд совсем неприемлемых причин, в частности причины, отнесенные к разряду "этических", за которыми на самом деле скрываются личные причины со стороны мужчин, а также социальные причины, которые на деле представляют собой грубые нарушения прав женщин и абсолютно несовместимы с положениями Пакта.  Тем не менее правительство, как представляется, полно решимости бороться за искоренение практики </w:t>
      </w:r>
      <w:proofErr w:type="spellStart"/>
      <w:r>
        <w:t>эксцизии</w:t>
      </w:r>
      <w:proofErr w:type="spellEnd"/>
      <w:r>
        <w:t xml:space="preserve"> вопреки трудностям, с которыми оно сталкивается в сельских районах, и в этом деле Комитет выражает ему свою полную поддержку.</w:t>
      </w:r>
    </w:p>
    <w:p w:rsidR="00000000" w:rsidRDefault="00000000"/>
    <w:p w:rsidR="00000000" w:rsidRDefault="00000000">
      <w:r>
        <w:t>26.</w:t>
      </w:r>
      <w:r>
        <w:tab/>
      </w:r>
      <w:r>
        <w:rPr>
          <w:u w:val="single"/>
        </w:rPr>
        <w:t xml:space="preserve">Г-н </w:t>
      </w:r>
      <w:proofErr w:type="spellStart"/>
      <w:r>
        <w:rPr>
          <w:u w:val="single"/>
        </w:rPr>
        <w:t>ЯЛДЕН</w:t>
      </w:r>
      <w:proofErr w:type="spellEnd"/>
      <w:r>
        <w:t xml:space="preserve"> также интересуется функциями центральноафриканского Высокого комиссариата по правам человека, и в частности задается вопросом, имеет ли он право рассматривать жалобы частных лиц.  Если имеет, то сколько жалоб было рассмотрено и какой ход им был дан?  В целом, насколько понимает г-н </w:t>
      </w:r>
      <w:proofErr w:type="spellStart"/>
      <w:r>
        <w:t>Ялден</w:t>
      </w:r>
      <w:proofErr w:type="spellEnd"/>
      <w:r>
        <w:t>, в прошлом центральноафриканский Высокий комиссариат по правам человека был объектом споров, и он хотел бы быть уверенным в его сегодняшней независимости и способности эффективно выполнять свою миссию.</w:t>
      </w:r>
    </w:p>
    <w:p w:rsidR="00000000" w:rsidRDefault="00000000">
      <w:r>
        <w:t>27.</w:t>
      </w:r>
      <w:r>
        <w:tab/>
        <w:t xml:space="preserve">В письменных ответах было упомянуто создание фонда компенсации жертвам кризисов, которые пережило государство-участник, и в этой связи было бы желательно получить разъяснения в отношении этого механизма, а также об институте </w:t>
      </w:r>
      <w:proofErr w:type="spellStart"/>
      <w:r>
        <w:t>омбудсмена</w:t>
      </w:r>
      <w:proofErr w:type="spellEnd"/>
      <w:r>
        <w:t xml:space="preserve"> Республики.  Г-н </w:t>
      </w:r>
      <w:proofErr w:type="spellStart"/>
      <w:r>
        <w:t>Ялден</w:t>
      </w:r>
      <w:proofErr w:type="spellEnd"/>
      <w:r>
        <w:t xml:space="preserve"> хотел бы также знать, какая связь будет существовать между </w:t>
      </w:r>
      <w:proofErr w:type="spellStart"/>
      <w:r>
        <w:t>омбудсменом</w:t>
      </w:r>
      <w:proofErr w:type="spellEnd"/>
      <w:r>
        <w:t xml:space="preserve"> и Высоким комиссариатом по правам человека и благому управлению.  Отделение Организации Объединенных Наций по поддержанию мира в Центральноафриканской Республике, очевидно, играет важную роль в подготовке военнослужащих и полицейских по вопросам прав человека, однако, насколько понимает г</w:t>
      </w:r>
      <w:r>
        <w:noBreakHyphen/>
        <w:t>н </w:t>
      </w:r>
      <w:proofErr w:type="spellStart"/>
      <w:r>
        <w:t>Ялден</w:t>
      </w:r>
      <w:proofErr w:type="spellEnd"/>
      <w:r>
        <w:t>, нарушения прав человека силами правопорядка не прекратились и виновные в них лица систематически не наказываются.  Он хотел бы выслушать мнение центральноафриканской делегации по этому вопросу.</w:t>
      </w:r>
    </w:p>
    <w:p w:rsidR="00000000" w:rsidRDefault="00000000"/>
    <w:p w:rsidR="00000000" w:rsidRDefault="00000000">
      <w:r>
        <w:t>28.</w:t>
      </w:r>
      <w:r>
        <w:tab/>
        <w:t xml:space="preserve">Г-н </w:t>
      </w:r>
      <w:proofErr w:type="spellStart"/>
      <w:r>
        <w:t>Ялден</w:t>
      </w:r>
      <w:proofErr w:type="spellEnd"/>
      <w:r>
        <w:t xml:space="preserve"> присоединяется к замечаниям г-жи </w:t>
      </w:r>
      <w:proofErr w:type="spellStart"/>
      <w:r>
        <w:t>Шане</w:t>
      </w:r>
      <w:proofErr w:type="spellEnd"/>
      <w:r>
        <w:t xml:space="preserve"> в отношении практики </w:t>
      </w:r>
      <w:proofErr w:type="spellStart"/>
      <w:r>
        <w:t>эксцизии</w:t>
      </w:r>
      <w:proofErr w:type="spellEnd"/>
      <w:r>
        <w:t xml:space="preserve">.  Делегация отметила, что эта практика исчезает, однако, согласно данным </w:t>
      </w:r>
      <w:proofErr w:type="spellStart"/>
      <w:r>
        <w:t>ЮНИСЕФ</w:t>
      </w:r>
      <w:proofErr w:type="spellEnd"/>
      <w:r>
        <w:t>, она по</w:t>
      </w:r>
      <w:r>
        <w:noBreakHyphen/>
        <w:t xml:space="preserve">прежнему затрагивает </w:t>
      </w:r>
      <w:proofErr w:type="spellStart"/>
      <w:r>
        <w:t>36%</w:t>
      </w:r>
      <w:proofErr w:type="spellEnd"/>
      <w:r>
        <w:t xml:space="preserve"> взрослых женщин, а по другим источникам - </w:t>
      </w:r>
      <w:proofErr w:type="spellStart"/>
      <w:r>
        <w:t>40%</w:t>
      </w:r>
      <w:proofErr w:type="spellEnd"/>
      <w:r>
        <w:t xml:space="preserve">, что противоречит утверждениям делегации.  Г-н </w:t>
      </w:r>
      <w:proofErr w:type="spellStart"/>
      <w:r>
        <w:t>Ялден</w:t>
      </w:r>
      <w:proofErr w:type="spellEnd"/>
      <w:r>
        <w:t xml:space="preserve"> хотел бы получить подтверждение этих цифр и спрашивает, какие меры планируются властями для прекращения практики совершения калечащих операций на половых органах.</w:t>
      </w:r>
    </w:p>
    <w:p w:rsidR="00000000" w:rsidRDefault="00000000"/>
    <w:p w:rsidR="00000000" w:rsidRDefault="00000000">
      <w:r>
        <w:t>29.</w:t>
      </w:r>
      <w:r>
        <w:tab/>
      </w:r>
      <w:r>
        <w:rPr>
          <w:u w:val="single"/>
        </w:rPr>
        <w:t>Г-жа УЭДЖВУД</w:t>
      </w:r>
      <w:r>
        <w:t xml:space="preserve"> принимает к сведению, что репрессии, совершенные военными против гражданского населения до и во время государственного переворота 2003 года, являлись, как утверждается, отдельными случаями.  Тем не менее она хотела бы знать, сколько военнослужащих было привлечено к ответственности по делам подобного рода, сколько состоялось судебных процессов и каковы их результаты.</w:t>
      </w:r>
    </w:p>
    <w:p w:rsidR="00000000" w:rsidRDefault="00000000"/>
    <w:p w:rsidR="00000000" w:rsidRDefault="00000000">
      <w:r>
        <w:t>30.</w:t>
      </w:r>
      <w:r>
        <w:tab/>
        <w:t>Центральноафриканское Управление по борьбе с бандитизмом является, несомненно, уже давно существующим органом, в отношении которого в прошлом высказывались различные мнения, и г-жа Уэджвуд задается вопросом, почему в настоящее время власти по</w:t>
      </w:r>
      <w:r>
        <w:noBreakHyphen/>
        <w:t>прежнему сохраняют его существование.  Она хотела бы знать, сколько дел было возбуждено в необходимых случаях против сотрудников этого органа за нарушения прав человека, сколько судебных процессов состоялось и каковые их результаты.</w:t>
      </w:r>
    </w:p>
    <w:p w:rsidR="00000000" w:rsidRDefault="00000000"/>
    <w:p w:rsidR="00000000" w:rsidRDefault="00000000">
      <w:r>
        <w:t>31.</w:t>
      </w:r>
      <w:r>
        <w:tab/>
        <w:t xml:space="preserve">Г-жа Уэджвуд присоединяется к вопросам, которые были заданы г-ном </w:t>
      </w:r>
      <w:proofErr w:type="spellStart"/>
      <w:r>
        <w:t>Ялденом</w:t>
      </w:r>
      <w:proofErr w:type="spellEnd"/>
      <w:r>
        <w:t xml:space="preserve"> в отношении процесса национального примирения.  Она приняла к сведению, что сторонники президента </w:t>
      </w:r>
      <w:proofErr w:type="spellStart"/>
      <w:r>
        <w:t>Патассе</w:t>
      </w:r>
      <w:proofErr w:type="spellEnd"/>
      <w:r>
        <w:t xml:space="preserve"> не подвергались преследованиям и что власти государства-участника сосредоточили свои усилия на исправлении нарушений прав человека, совершенных при прежнем правительстве.  Вместе с тем она хотела бы получить информацию о количестве и видах судебных процедур, которые были задействованы в этой связи.</w:t>
      </w:r>
    </w:p>
    <w:p w:rsidR="00000000" w:rsidRDefault="00000000"/>
    <w:p w:rsidR="00000000" w:rsidRDefault="00000000">
      <w:r>
        <w:t>32.</w:t>
      </w:r>
      <w:r>
        <w:tab/>
        <w:t>Что касается подготовки военнослужащих и полицейских по вопросам прав человек, то она не должна носить исключительно теоретический характер, иначе она не принесет больших результатов.  Г-жа Уэджвуд хотела бы знать, знакомят ли, например, организаторы такой подготовки сотрудников правоохранительных органов с конкретными ситуациями, для того чтобы проверить их реакцию, и разработали ли они предназначенные для них правила исполнения обязанностей.  Было бы также полезно узнать о доле сотрудников правоохранительных органов, прошедших такую подготовку.  Наконец, какие обстоятельства могут оправдывать применение силы, которое может повлечь за собой смерть человека при аресте?</w:t>
      </w:r>
    </w:p>
    <w:p w:rsidR="00000000" w:rsidRDefault="00000000"/>
    <w:p w:rsidR="00000000" w:rsidRDefault="00000000">
      <w:r>
        <w:t>33.</w:t>
      </w:r>
      <w:r>
        <w:tab/>
        <w:t xml:space="preserve">Г-жа Уэджвуд присоединяется к обеспокоенности, высказанной г-жой </w:t>
      </w:r>
      <w:proofErr w:type="spellStart"/>
      <w:r>
        <w:t>Шане</w:t>
      </w:r>
      <w:proofErr w:type="spellEnd"/>
      <w:r>
        <w:t xml:space="preserve"> и г</w:t>
      </w:r>
      <w:r>
        <w:noBreakHyphen/>
        <w:t>ном </w:t>
      </w:r>
      <w:proofErr w:type="spellStart"/>
      <w:r>
        <w:t>Ялденом</w:t>
      </w:r>
      <w:proofErr w:type="spellEnd"/>
      <w:r>
        <w:t xml:space="preserve"> в отношении </w:t>
      </w:r>
      <w:proofErr w:type="spellStart"/>
      <w:r>
        <w:t>калечения</w:t>
      </w:r>
      <w:proofErr w:type="spellEnd"/>
      <w:r>
        <w:t xml:space="preserve"> половых органов.  По некоторым источникам, эта практика все еще затрагивает </w:t>
      </w:r>
      <w:proofErr w:type="spellStart"/>
      <w:r>
        <w:t>36%</w:t>
      </w:r>
      <w:proofErr w:type="spellEnd"/>
      <w:r>
        <w:t xml:space="preserve"> женщин в масштабе всей страны и </w:t>
      </w:r>
      <w:proofErr w:type="spellStart"/>
      <w:r>
        <w:t>29,6%</w:t>
      </w:r>
      <w:proofErr w:type="spellEnd"/>
      <w:r>
        <w:t xml:space="preserve"> - в городских районах.  Является ли в настоящее время </w:t>
      </w:r>
      <w:proofErr w:type="spellStart"/>
      <w:r>
        <w:t>эксцизия</w:t>
      </w:r>
      <w:proofErr w:type="spellEnd"/>
      <w:r>
        <w:t xml:space="preserve"> уголовным правонарушением и подлежат ли наказанию лица, которые ее практикуют.  В частности, были ли случаи лишения права на работу врачей, которые производили </w:t>
      </w:r>
      <w:proofErr w:type="spellStart"/>
      <w:r>
        <w:t>эксцизию</w:t>
      </w:r>
      <w:proofErr w:type="spellEnd"/>
      <w:r>
        <w:t xml:space="preserve">, или наказаний деревенских старост?  Помимо проведения важной информационно-просветительской работы необходимо, чтобы практика </w:t>
      </w:r>
      <w:proofErr w:type="spellStart"/>
      <w:r>
        <w:t>эксцизии</w:t>
      </w:r>
      <w:proofErr w:type="spellEnd"/>
      <w:r>
        <w:t xml:space="preserve"> пресекалась в уголовном порядке, с тем чтобы добиться ее полного искоренения.</w:t>
      </w:r>
    </w:p>
    <w:p w:rsidR="00000000" w:rsidRDefault="00000000"/>
    <w:p w:rsidR="00000000" w:rsidRDefault="00000000">
      <w:r>
        <w:t>34.</w:t>
      </w:r>
      <w:r>
        <w:tab/>
      </w:r>
      <w:r>
        <w:rPr>
          <w:u w:val="single"/>
        </w:rPr>
        <w:t xml:space="preserve">Г-н </w:t>
      </w:r>
      <w:proofErr w:type="spellStart"/>
      <w:r>
        <w:rPr>
          <w:u w:val="single"/>
        </w:rPr>
        <w:t>ШИРЕР</w:t>
      </w:r>
      <w:proofErr w:type="spellEnd"/>
      <w:r>
        <w:t xml:space="preserve"> говорит, что перечень преступлений, которые согласно внутреннему праву подлежат наказанию в виде принудительных работ, как ему представляется, частично совпадает с перечнем преступлений, за которые предусмотрена смертная казнь, и в этой связи он хотел бы получить соответствующие разъяснения.  Он также хотел бы получить подтверждения того, что принудительные работы остались в прошлом и что законодательство, которое предусматривает это наказание, будет пересмотрено в рамках текущей реформы уголовного законодательства.</w:t>
      </w:r>
    </w:p>
    <w:p w:rsidR="00000000" w:rsidRDefault="00000000"/>
    <w:p w:rsidR="00000000" w:rsidRDefault="00000000">
      <w:r>
        <w:t>35.</w:t>
      </w:r>
      <w:r>
        <w:tab/>
        <w:t xml:space="preserve">Делегация отметила, что в ее стране торговли детьми практически не существует, однако в письменных ответах говорится о существовании национального комитета по борьбе с торговлей детьми.  Если такая проблема не существует, то зачем нужен такой орган, и г-н </w:t>
      </w:r>
      <w:proofErr w:type="spellStart"/>
      <w:r>
        <w:t>Ширер</w:t>
      </w:r>
      <w:proofErr w:type="spellEnd"/>
      <w:r>
        <w:t xml:space="preserve"> был бы рад получить комментарии делегации по этому вопросу.  Во всяком случае, торговля детьми является широко распространенным явлением на африканском континенте, и было бы удивительно, что оно обошло стороной Центральноафриканскую Республику.  </w:t>
      </w:r>
    </w:p>
    <w:p w:rsidR="00000000" w:rsidRDefault="00000000"/>
    <w:p w:rsidR="00000000" w:rsidRDefault="00000000">
      <w:r>
        <w:t>36.</w:t>
      </w:r>
      <w:r>
        <w:tab/>
        <w:t xml:space="preserve">В письменном ответе на вопрос 16 перечня был также упомянут вопрос об усыновлении, и г-н </w:t>
      </w:r>
      <w:proofErr w:type="spellStart"/>
      <w:r>
        <w:t>Ширер</w:t>
      </w:r>
      <w:proofErr w:type="spellEnd"/>
      <w:r>
        <w:t xml:space="preserve"> хотел бы знать, по каким причинам Комитет по вопросам усыновления детей все еще не имеет правового статуса.  Учитывая важность вопроса, этот орган должен быть признан в официальном порядке;  желательно узнать, какие меры в этой связи власти государства-участника приняли или планируют принять.</w:t>
      </w:r>
    </w:p>
    <w:p w:rsidR="00000000" w:rsidRDefault="00000000"/>
    <w:p w:rsidR="00000000" w:rsidRDefault="00000000">
      <w:r>
        <w:t>37.</w:t>
      </w:r>
      <w:r>
        <w:tab/>
        <w:t xml:space="preserve">Делегация отметила, что из-за отсутствия конкретного расследования не было возможности ответить на вопрос, участвовали ли несовершеннолетние в государственном перевороте в марте 2003 года;  однако даже в отсутствие расследования должны иметься данные, служащие отправной точкой для ответа, и, кроме того, власти давно должны понять, что такое расследование необходимо.  Следует также задаться вопросом, в достаточной ли степени регулярная армия соблюдает международные нормы о </w:t>
      </w:r>
      <w:proofErr w:type="spellStart"/>
      <w:r>
        <w:t>непризыве</w:t>
      </w:r>
      <w:proofErr w:type="spellEnd"/>
      <w:r>
        <w:t xml:space="preserve"> на военную службу лиц младше 18 лет.  Государство-участник должно осознать, что дети-солдаты трудно поддаются </w:t>
      </w:r>
      <w:proofErr w:type="spellStart"/>
      <w:r>
        <w:t>реинтеграции</w:t>
      </w:r>
      <w:proofErr w:type="spellEnd"/>
      <w:r>
        <w:t xml:space="preserve"> в общество и являются тяжелым бременем для будущего страны.</w:t>
      </w:r>
    </w:p>
    <w:p w:rsidR="00000000" w:rsidRDefault="00000000"/>
    <w:p w:rsidR="00000000" w:rsidRDefault="00000000">
      <w:r>
        <w:t>38.</w:t>
      </w:r>
      <w:r>
        <w:tab/>
      </w:r>
      <w:r>
        <w:rPr>
          <w:u w:val="single"/>
        </w:rPr>
        <w:t xml:space="preserve">Г-н </w:t>
      </w:r>
      <w:proofErr w:type="spellStart"/>
      <w:r>
        <w:rPr>
          <w:u w:val="single"/>
        </w:rPr>
        <w:t>СОЛАРИ-ИРИГОЙЕН</w:t>
      </w:r>
      <w:proofErr w:type="spellEnd"/>
      <w:r>
        <w:t xml:space="preserve"> говорит, что удовлетворительные результаты налицо, и к их числу относится, в частности, создание механизмов по защите прав человека, даже несмотря на общеизвестный факт, что Высокий комиссариат по правам человека сталкивается в своей работе с многочисленными препятствиями, например, когда его представители хотят посетить заключенных.  Тем не менее, представленная информация является по</w:t>
      </w:r>
      <w:r>
        <w:noBreakHyphen/>
        <w:t xml:space="preserve">прежнему недостаточной, в частности по пунктам 5, 6 и 7, что можно расценить как нежелание ее представлять.  Однако установлено, что случаи насилия имели место и что, в частности, в конце 2002 года и в начале 2003 года боевики из Движения за освобождение Конго (ДОК), а также иностранные наемники и военные из частей, верных </w:t>
      </w:r>
      <w:proofErr w:type="spellStart"/>
      <w:r>
        <w:t>Франсуазу</w:t>
      </w:r>
      <w:proofErr w:type="spellEnd"/>
      <w:r>
        <w:t xml:space="preserve"> </w:t>
      </w:r>
      <w:proofErr w:type="spellStart"/>
      <w:r>
        <w:t>Бозизе</w:t>
      </w:r>
      <w:proofErr w:type="spellEnd"/>
      <w:r>
        <w:t>, систематически насиловали женщин и даже иногда убивали их, если они оказывали сопротивление.  Эти исключительно тяжкие деяния, явившиеся причиной многочисленных случаев беременности, а также распространения ВИЧ и других передаваемых половым путем инфекций в большей своей части остались безнаказанными.  Согласно некоторым источникам к этим деяниям были сами причастны члены президентской гвардии, однако президент не принял никаких мер против них ни до, ни после его прихода к власти;  в конце 2003 года эти лица все еще не предстали перед судом, и хотелось бы знать, произошло ли это вообще впоследствии.</w:t>
      </w:r>
    </w:p>
    <w:p w:rsidR="00000000" w:rsidRDefault="00000000"/>
    <w:p w:rsidR="00000000" w:rsidRDefault="00000000">
      <w:r>
        <w:t>39.</w:t>
      </w:r>
      <w:r>
        <w:tab/>
        <w:t xml:space="preserve">В то же время источники утверждают, что вопреки запрету практика </w:t>
      </w:r>
      <w:proofErr w:type="spellStart"/>
      <w:r>
        <w:t>калечения</w:t>
      </w:r>
      <w:proofErr w:type="spellEnd"/>
      <w:r>
        <w:t xml:space="preserve"> половых органов женщин и девочек  далеко не изжита;  в этой связи было бы полезно, чтобы делегация уточнила, существует ли возможность уголовного преследования тех, кто эту практику применяет или выступает в ее защиту.  Если эта практика имеет религиозную подоплеку, было бы желательно, чтобы делегация разъяснила ситуацию со свободой религии в государстве-участнике.</w:t>
      </w:r>
    </w:p>
    <w:p w:rsidR="00000000" w:rsidRDefault="00000000"/>
    <w:p w:rsidR="00000000" w:rsidRDefault="00000000">
      <w:r>
        <w:t>40.</w:t>
      </w:r>
      <w:r>
        <w:tab/>
        <w:t xml:space="preserve">Желательно также получить дополнительную информацию по поводу десятков внесудебных казней, в которых виновны стороны, противостоявшие друг другу в борьбе за власть, которая завершилась в марте 2003 года.  Были вскрыты факты о ряде внесудебных казней, вину за которые возлагают на войска, верные бывшему президенту </w:t>
      </w:r>
      <w:proofErr w:type="spellStart"/>
      <w:r>
        <w:t>Патассе</w:t>
      </w:r>
      <w:proofErr w:type="spellEnd"/>
      <w:r>
        <w:t xml:space="preserve">, в частности, о казни на севере Банги по меньшей мере 25 мусульман, подозревавшихся в тайной связи с вооруженной оппозицией.  Согласно сообщениям в 2003 году один лейтенант убил двух студентов, которые участвовали в демонстрации, требовавшей улучшить условия труда в </w:t>
      </w:r>
      <w:proofErr w:type="spellStart"/>
      <w:r>
        <w:t>Бангийском</w:t>
      </w:r>
      <w:proofErr w:type="spellEnd"/>
      <w:r>
        <w:t xml:space="preserve"> университете.  Этот лейтенант в порядке наказания был понижен в звании, но ему, как представляется, не было предъявлено обвинения и он не был привлечен к уголовной ответственности.  Более того, сообщается, что в течение всего 2003 года вооруженные люди, которые обычно были одеты в военную форму и которые подозревались в том, что являются сотрудниками сил безопасности, убивали безоружных гражданских лиц.  Среди жертв был человек по имени </w:t>
      </w:r>
      <w:proofErr w:type="spellStart"/>
      <w:r>
        <w:t>Барри</w:t>
      </w:r>
      <w:proofErr w:type="spellEnd"/>
      <w:r>
        <w:t xml:space="preserve"> </w:t>
      </w:r>
      <w:proofErr w:type="spellStart"/>
      <w:r>
        <w:t>Оконкво</w:t>
      </w:r>
      <w:proofErr w:type="spellEnd"/>
      <w:r>
        <w:t xml:space="preserve"> </w:t>
      </w:r>
      <w:proofErr w:type="spellStart"/>
      <w:r>
        <w:t>Норасон</w:t>
      </w:r>
      <w:proofErr w:type="spellEnd"/>
      <w:r>
        <w:t>.  Были ли виновные привлечены к ответственности?</w:t>
      </w:r>
    </w:p>
    <w:p w:rsidR="00000000" w:rsidRDefault="00000000"/>
    <w:p w:rsidR="00000000" w:rsidRDefault="00000000">
      <w:r>
        <w:t>41.</w:t>
      </w:r>
      <w:r>
        <w:tab/>
        <w:t xml:space="preserve">Г-н </w:t>
      </w:r>
      <w:proofErr w:type="spellStart"/>
      <w:r>
        <w:t>Солари-Иригойен</w:t>
      </w:r>
      <w:proofErr w:type="spellEnd"/>
      <w:r>
        <w:t xml:space="preserve"> просит делегацию прокомментировать информацию о весьма частом применении правительственными силами, равно как и вооруженными группами оппозиции, пыток и других форм жестокого обращения.  Военнослужащие чадской армии, как сообщается, применяли, в частности, форму пытки под названием "</w:t>
      </w:r>
      <w:proofErr w:type="spellStart"/>
      <w:r>
        <w:t>арбатачар</w:t>
      </w:r>
      <w:proofErr w:type="spellEnd"/>
      <w:r>
        <w:t>", которой часто подвергаются в Чаде противники правительства и которая причиняет непереносимую боль и даже нередко влечет за собой смерть.</w:t>
      </w:r>
    </w:p>
    <w:p w:rsidR="00000000" w:rsidRDefault="00000000"/>
    <w:p w:rsidR="00000000" w:rsidRDefault="00000000">
      <w:r>
        <w:t>42.</w:t>
      </w:r>
      <w:r>
        <w:tab/>
        <w:t xml:space="preserve">Наконец, г-н </w:t>
      </w:r>
      <w:proofErr w:type="spellStart"/>
      <w:r>
        <w:t>Солари-Иригойен</w:t>
      </w:r>
      <w:proofErr w:type="spellEnd"/>
      <w:r>
        <w:t xml:space="preserve"> просит дать разъяснения в отношении амнистии, о которой упоминается в ответе на вопрос № 7.  Он хотел бы знать, в частности, какие последствия повлечет за собой указ об амнистии, будут ли проведены или нет судебные процессы и, если процессы должны состояться, какие предусмотрены гарантии для обеспечения справедливости?</w:t>
      </w:r>
    </w:p>
    <w:p w:rsidR="00000000" w:rsidRDefault="00000000"/>
    <w:p w:rsidR="00000000" w:rsidRDefault="00000000">
      <w:r>
        <w:t>43.</w:t>
      </w:r>
      <w:r>
        <w:tab/>
      </w:r>
      <w:r>
        <w:rPr>
          <w:u w:val="single"/>
        </w:rPr>
        <w:t xml:space="preserve">Сэр </w:t>
      </w:r>
      <w:proofErr w:type="spellStart"/>
      <w:r>
        <w:rPr>
          <w:u w:val="single"/>
        </w:rPr>
        <w:t>Найджел</w:t>
      </w:r>
      <w:proofErr w:type="spellEnd"/>
      <w:r>
        <w:rPr>
          <w:u w:val="single"/>
        </w:rPr>
        <w:t xml:space="preserve"> </w:t>
      </w:r>
      <w:proofErr w:type="spellStart"/>
      <w:r>
        <w:rPr>
          <w:u w:val="single"/>
        </w:rPr>
        <w:t>РОДЛИ</w:t>
      </w:r>
      <w:proofErr w:type="spellEnd"/>
      <w:r>
        <w:t>, бегло ознакомившись с проектом конституции, с интересом обнаружил, что он начинается с утверждения личных прав.  При этом его удивляет отсутствие какой-либо ссылки на возможные отступления от определенных прав при определенных обстоятельствах.</w:t>
      </w:r>
    </w:p>
    <w:p w:rsidR="00000000" w:rsidRDefault="00000000"/>
    <w:p w:rsidR="00000000" w:rsidRDefault="00000000">
      <w:r>
        <w:t>44.</w:t>
      </w:r>
      <w:r>
        <w:tab/>
      </w:r>
      <w:r>
        <w:rPr>
          <w:u w:val="single"/>
        </w:rPr>
        <w:t xml:space="preserve">Г-н </w:t>
      </w:r>
      <w:proofErr w:type="spellStart"/>
      <w:r>
        <w:rPr>
          <w:u w:val="single"/>
        </w:rPr>
        <w:t>МАЛЕЙОМБО</w:t>
      </w:r>
      <w:proofErr w:type="spellEnd"/>
      <w:r>
        <w:t xml:space="preserve"> (Центральноафриканская Республика) говорит, что, поскольку временные власти искренне стремятся к тому, чтобы граждане вновь прониклись доверием, много усилий в последнее время было направлено на подготовку выборов, запланированных на январь 2005 года.  В частности, необходимо было пересмотреть избирательные списки и создать независимую смешанную избирательную комиссию, председатель которой не назначался бы правительством, а избирался бы своими коллегами из числа членов комиссии.  Органы ООН наблюдают за деятельностью Переходного национального совета, и некоторые из них, в частности </w:t>
      </w:r>
      <w:proofErr w:type="spellStart"/>
      <w:r>
        <w:t>ПРООН</w:t>
      </w:r>
      <w:proofErr w:type="spellEnd"/>
      <w:r>
        <w:t xml:space="preserve">, активно участвуют в работе над разработкой проекта конституции и пересмотром избирательных списков.  Старая Конституция, возможно, была неплохой, но она никогда не соблюдалась теми, кто ее составлял;  решение пересмотреть ее свидетельствует о решимости покончить с прошлым.  Действительно народ желает теперь идти вперед.  Таким был вывод национального диалога, который дал возможность высказаться всем слоям общества и попытаться понять, почему история Центральноафриканской Республики - это сплошная череда государственных переворотов и как избежать их в будущем, а также позволил сформулировать конкретные рекомендации, которые правительство обязалось претворять в жизнь.  Был учрежден Комитет по контролю за реализацией результатов национального диалога, который, будучи абсолютно независимым органом, проводит регулярные встречи с представителями государственных властей для подведения итогов.  К сожалению, этот орган, как и все другие, сталкивается с недостатком средств.  </w:t>
      </w:r>
    </w:p>
    <w:p w:rsidR="00000000" w:rsidRDefault="00000000"/>
    <w:p w:rsidR="00000000" w:rsidRDefault="00000000">
      <w:r>
        <w:t>45.</w:t>
      </w:r>
      <w:r>
        <w:tab/>
        <w:t>Функции Высокого комиссариата по правам человека и благому управлению описаны на странице 4 письменных ответов.  Подчинение этого органа президенту Республики не подрывает его самостоятельность, но имеет то преимущество, что позволяет главе государства, являющемуся гарантом свобод, быть постоянно в курсе дел.  Как указано на странице 3 письменных ответов, это подчинение является следствием решимости отделить правосудие от прав человека;  прежде политика в области прав человека действительно, находилась в ведении министерства юстиции, что создавало противоречия.</w:t>
      </w:r>
    </w:p>
    <w:p w:rsidR="00000000" w:rsidRDefault="00000000"/>
    <w:p w:rsidR="00000000" w:rsidRDefault="00000000">
      <w:r>
        <w:t>46.</w:t>
      </w:r>
      <w:r>
        <w:tab/>
      </w:r>
      <w:r>
        <w:rPr>
          <w:u w:val="single"/>
        </w:rPr>
        <w:t>ПРЕДСЕДАТЕЛЬ</w:t>
      </w:r>
      <w:r>
        <w:t xml:space="preserve"> благодарит делегацию за разъяснения и отмечает, что она сможет ответить на другие вопросы на следующем заседании.</w:t>
      </w:r>
    </w:p>
    <w:p w:rsidR="00000000" w:rsidRDefault="00000000"/>
    <w:p w:rsidR="00000000" w:rsidRDefault="00000000">
      <w:pPr>
        <w:jc w:val="center"/>
        <w:rPr>
          <w:i/>
          <w:iCs/>
        </w:rPr>
      </w:pPr>
      <w:r>
        <w:rPr>
          <w:i/>
          <w:iCs/>
        </w:rPr>
        <w:t>Заседание закрывается в 13 час. 00 мин.</w:t>
      </w:r>
    </w:p>
    <w:sectPr w:rsidR="00000000">
      <w:headerReference w:type="even" r:id="rId9"/>
      <w:headerReference w:type="default" r:id="rId10"/>
      <w:type w:val="continuous"/>
      <w:pgSz w:w="11906" w:h="16838"/>
      <w:pgMar w:top="851" w:right="851" w:bottom="1701" w:left="1701" w:header="851" w:footer="851" w:gutter="0"/>
      <w:cols w:space="720"/>
      <w:formProt w:val="0"/>
      <w:noEndnote/>
      <w:titlePg/>
    </w:sectPr>
  </w:body>
</w:document>
</file>

<file path=word/endnotes.xml><?xml version="1.0" encoding="utf-8"?>
<w:endnot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endnote w:type="separator" w:id="-1">
    <w:p w:rsidR="00000000" w:rsidRDefault="00000000">
      <w:pPr>
        <w:spacing w:line="240" w:lineRule="auto"/>
      </w:pPr>
      <w:r>
        <w:separator/>
      </w:r>
    </w:p>
  </w:endnote>
  <w:endnote w:type="continuationSeparator" w:id="0">
    <w:p w:rsidR="00000000" w:rsidRDefault="00000000">
      <w:pPr>
        <w:spacing w:line="240" w:lineRule="auto"/>
      </w:pPr>
      <w:r>
        <w:continuationSeparator/>
      </w:r>
    </w:p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Cambria">
    <w:panose1 w:val="02040503050406030204"/>
    <w:charset w:val="00"/>
    <w:family w:val="roman"/>
    <w:pitch w:val="variable"/>
    <w:sig w:usb0="E00002FF" w:usb1="400004FF" w:usb2="00000000" w:usb3="00000000" w:csb0="0000019F" w:csb1="00000000"/>
  </w:font>
  <w:font w:name="Calibri">
    <w:panose1 w:val="020F0502020204030204"/>
    <w:charset w:val="00"/>
    <w:family w:val="swiss"/>
    <w:pitch w:val="variable"/>
    <w:sig w:usb0="E10002FF" w:usb1="4000ACFF" w:usb2="00000009" w:usb3="00000000" w:csb0="0000019F" w:csb1="00000000"/>
  </w:font>
</w:fonts>
</file>

<file path=word/footnotes.xml><?xml version="1.0" encoding="utf-8"?>
<w:footnot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footnote w:type="separator" w:id="-1">
    <w:p w:rsidR="00000000" w:rsidRDefault="00000000">
      <w:pPr>
        <w:spacing w:line="240" w:lineRule="auto"/>
      </w:pPr>
      <w:r>
        <w:separator/>
      </w:r>
    </w:p>
  </w:footnote>
  <w:footnote w:type="continuationSeparator" w:id="0">
    <w:p w:rsidR="00000000" w:rsidRDefault="00000000">
      <w:pPr>
        <w:spacing w:line="240" w:lineRule="auto"/>
      </w:pPr>
      <w:r>
        <w:continuationSeparator/>
      </w:r>
    </w:p>
  </w:footnote>
</w:footnotes>
</file>

<file path=word/header1.xml><?xml version="1.0" encoding="utf-8"?>
<w:hdr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p w:rsidR="00000000" w:rsidRDefault="00000000">
    <w:pPr>
      <w:pStyle w:val="Header"/>
    </w:pPr>
    <w:r>
      <w:rPr>
        <w:lang w:val="en-US"/>
      </w:rPr>
      <w:t>CCPR/C/SR.2212</w:t>
    </w:r>
  </w:p>
  <w:p w:rsidR="00000000" w:rsidRDefault="00000000">
    <w:pPr>
      <w:pStyle w:val="Header"/>
      <w:rPr>
        <w:rStyle w:val="PageNumber"/>
        <w:lang w:val="en-US"/>
      </w:rPr>
    </w:pPr>
    <w:r>
      <w:rPr>
        <w:lang w:val="en-US"/>
      </w:rPr>
      <w:t xml:space="preserve">page </w:t>
    </w:r>
    <w:r>
      <w:rPr>
        <w:rStyle w:val="PageNumber"/>
      </w:rPr>
      <w:fldChar w:fldCharType="begin"/>
    </w:r>
    <w:r>
      <w:rPr>
        <w:rStyle w:val="PageNumber"/>
      </w:rPr>
      <w:instrText xml:space="preserve"> PAGE </w:instrText>
    </w:r>
    <w:r>
      <w:rPr>
        <w:rStyle w:val="PageNumber"/>
      </w:rPr>
      <w:fldChar w:fldCharType="separate"/>
    </w:r>
    <w:r>
      <w:rPr>
        <w:rStyle w:val="PageNumber"/>
        <w:noProof/>
      </w:rPr>
      <w:t>16</w:t>
    </w:r>
    <w:r>
      <w:rPr>
        <w:rStyle w:val="PageNumber"/>
      </w:rPr>
      <w:fldChar w:fldCharType="end"/>
    </w:r>
  </w:p>
  <w:p w:rsidR="00000000" w:rsidRDefault="00000000">
    <w:pPr>
      <w:pStyle w:val="Header"/>
      <w:rPr>
        <w:rStyle w:val="PageNumber"/>
        <w:lang w:val="en-US"/>
      </w:rPr>
    </w:pPr>
  </w:p>
  <w:p w:rsidR="00000000" w:rsidRDefault="00000000">
    <w:pPr>
      <w:pStyle w:val="Header"/>
      <w:rPr>
        <w:lang w:val="en-US"/>
      </w:rPr>
    </w:pPr>
  </w:p>
</w:hdr>
</file>

<file path=word/header2.xml><?xml version="1.0" encoding="utf-8"?>
<w:hdr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p w:rsidR="00000000" w:rsidRDefault="00000000">
    <w:pPr>
      <w:pStyle w:val="Header"/>
      <w:tabs>
        <w:tab w:val="left" w:pos="7371"/>
      </w:tabs>
    </w:pPr>
    <w:r>
      <w:rPr>
        <w:lang w:val="en-US"/>
      </w:rPr>
      <w:tab/>
    </w:r>
    <w:r>
      <w:rPr>
        <w:lang w:val="en-US"/>
      </w:rPr>
      <w:tab/>
      <w:t>CCPR/C/SR.2212</w:t>
    </w:r>
  </w:p>
  <w:p w:rsidR="00000000" w:rsidRDefault="00000000">
    <w:pPr>
      <w:pStyle w:val="Header"/>
      <w:tabs>
        <w:tab w:val="left" w:pos="7371"/>
      </w:tabs>
      <w:rPr>
        <w:rStyle w:val="PageNumber"/>
        <w:lang w:val="en-US"/>
      </w:rPr>
    </w:pPr>
    <w:r>
      <w:rPr>
        <w:lang w:val="en-US"/>
      </w:rPr>
      <w:tab/>
    </w:r>
    <w:r>
      <w:rPr>
        <w:lang w:val="en-US"/>
      </w:rPr>
      <w:tab/>
      <w:t xml:space="preserve">page </w:t>
    </w:r>
    <w:r>
      <w:rPr>
        <w:rStyle w:val="PageNumber"/>
      </w:rPr>
      <w:fldChar w:fldCharType="begin"/>
    </w:r>
    <w:r>
      <w:rPr>
        <w:rStyle w:val="PageNumber"/>
      </w:rPr>
      <w:instrText xml:space="preserve"> PAGE </w:instrText>
    </w:r>
    <w:r>
      <w:rPr>
        <w:rStyle w:val="PageNumber"/>
      </w:rPr>
      <w:fldChar w:fldCharType="separate"/>
    </w:r>
    <w:r>
      <w:rPr>
        <w:rStyle w:val="PageNumber"/>
        <w:noProof/>
      </w:rPr>
      <w:t>15</w:t>
    </w:r>
    <w:r>
      <w:rPr>
        <w:rStyle w:val="PageNumber"/>
      </w:rPr>
      <w:fldChar w:fldCharType="end"/>
    </w:r>
  </w:p>
  <w:p w:rsidR="00000000" w:rsidRDefault="00000000">
    <w:pPr>
      <w:pStyle w:val="Header"/>
      <w:tabs>
        <w:tab w:val="left" w:pos="6237"/>
      </w:tabs>
      <w:rPr>
        <w:rStyle w:val="PageNumber"/>
        <w:lang w:val="en-US"/>
      </w:rPr>
    </w:pPr>
  </w:p>
  <w:p w:rsidR="00000000" w:rsidRDefault="00000000">
    <w:pPr>
      <w:pStyle w:val="Header"/>
      <w:tabs>
        <w:tab w:val="left" w:pos="6237"/>
      </w:tabs>
      <w:rPr>
        <w:lang w:val="en-US"/>
      </w:rPr>
    </w:pPr>
  </w:p>
</w:hdr>
</file>

<file path=word/numbering.xml><?xml version="1.0" encoding="utf-8"?>
<w:numbering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abstractNum w:abstractNumId="0">
    <w:nsid w:val="FFFFFF89"/>
    <w:multiLevelType w:val="singleLevel"/>
    <w:tmpl w:val="ABE4BB0A"/>
    <w:lvl w:ilvl="0">
      <w:start w:val="1"/>
      <w:numFmt w:val="bullet"/>
      <w:lvlText w:val=""/>
      <w:lvlJc w:val="left"/>
      <w:pPr>
        <w:tabs>
          <w:tab w:val="num" w:pos="360"/>
        </w:tabs>
        <w:ind w:left="360" w:hanging="360"/>
      </w:pPr>
      <w:rPr>
        <w:rFonts w:ascii="Symbol" w:hAnsi="Symbol" w:hint="default"/>
      </w:rPr>
    </w:lvl>
  </w:abstractNum>
  <w:abstractNum w:abstractNumId="1">
    <w:nsid w:val="13CB000F"/>
    <w:multiLevelType w:val="singleLevel"/>
    <w:tmpl w:val="C5EC9460"/>
    <w:lvl w:ilvl="0">
      <w:start w:val="1"/>
      <w:numFmt w:val="bullet"/>
      <w:pStyle w:val="ListBullet"/>
      <w:lvlText w:val=""/>
      <w:lvlJc w:val="left"/>
      <w:pPr>
        <w:tabs>
          <w:tab w:val="num" w:pos="567"/>
        </w:tabs>
        <w:ind w:left="567" w:hanging="567"/>
      </w:pPr>
      <w:rPr>
        <w:rFonts w:ascii="Symbol" w:hAnsi="Symbol" w:hint="default"/>
      </w:rPr>
    </w:lvl>
  </w:abstractNum>
  <w:num w:numId="1">
    <w:abstractNumId w:val="0"/>
  </w:num>
  <w:num w:numId="2">
    <w:abstractNumId w:val="1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sl="http://schemas.openxmlformats.org/schemaLibrary/2006/main" mc:Ignorable="w14">
  <w:zoom w:percent="110"/>
  <w:activeWritingStyle w:appName="MSWord" w:lang="ru-RU" w:vendorID="1" w:dllVersion="512" w:checkStyle="1"/>
  <w:proofState w:spelling="clean" w:grammar="clean"/>
  <w:attachedTemplate r:id="rId1"/>
  <w:doNotTrackMoves/>
  <w:defaultTabStop w:val="567"/>
  <w:evenAndOddHeaders/>
  <w:displayHorizontalDrawingGridEvery w:val="0"/>
  <w:displayVerticalDrawingGridEvery w:val="0"/>
  <w:doNotUseMarginsForDrawingGridOrigin/>
  <w:noPunctuationKerning/>
  <w:characterSpacingControl w:val="doNotCompress"/>
  <w:hdrShapeDefaults>
    <o:shapedefaults v:ext="edit" spidmax="3074"/>
  </w:hdrShapeDefaults>
  <w:footnotePr>
    <w:footnote w:id="-1"/>
    <w:footnote w:id="0"/>
  </w:footnotePr>
  <w:endnotePr>
    <w:endnote w:id="-1"/>
    <w:endnote w:id="0"/>
  </w:endnotePr>
  <w:compat>
    <w:footnoteLayoutLikeWW8/>
    <w:shapeLayoutLikeWW8/>
    <w:alignTablesRowByRow/>
    <w:forgetLastTabAlignment/>
    <w:doNotUseHTMLParagraphAutoSpacing/>
    <w:layoutRawTableWidth/>
    <w:layoutTableRowsApart/>
    <w:useWord97LineBreakRules/>
    <w:doNotBreakWrappedTables/>
    <w:doNotSnapToGridInCell/>
    <w:selectFldWithFirstOrLastChar/>
    <w:doNotWrapTextWithPunct/>
    <w:doNotUseEastAsianBreakRules/>
    <w:useWord2002TableStyleRules/>
    <w:growAutofit/>
    <w:useNormalStyleForList/>
    <w:doNotUseIndentAsNumberingTabStop/>
    <w:useAltKinsokuLineBreakRules/>
    <w:allowSpaceOfSameStyleInTable/>
    <w:doNotSuppressIndentation/>
    <w:doNotAutofitConstrainedTables/>
    <w:autofitToFirstFixedWidthCell/>
    <w:underlineTabInNumList/>
    <w:displayHangulFixedWidth/>
    <w:splitPgBreakAndParaMark/>
    <w:doNotVertAlignCellWithSp/>
    <w:doNotBreakConstrainedForcedTable/>
    <w:doNotVertAlignInTxbx/>
    <w:useAnsiKerningPairs/>
    <w:cachedColBalance/>
    <w:compatSetting w:name="compatibilityMode" w:uri="http://schemas.microsoft.com/office/word" w:val="11"/>
  </w:compat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fr-CH"/>
  <w:clrSchemeMapping w:bg1="light1" w:t1="dark1" w:bg2="light2" w:t2="dark2" w:accent1="accent1" w:accent2="accent2" w:accent3="accent3" w:accent4="accent4" w:accent5="accent5" w:accent6="accent6" w:hyperlink="hyperlink" w:followedHyperlink="followedHyperlink"/>
  <w:doNotIncludeSubdocsInStats/>
  <w:shapeDefaults>
    <o:shapedefaults v:ext="edit" spidmax="3074"/>
    <o:shapelayout v:ext="edit">
      <o:idmap v:ext="edit" data="1"/>
    </o:shapelayout>
  </w:shapeDefaults>
  <w:decimalSymbol w:val="."/>
  <w:listSeparator w:val=";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docDefaults>
    <w:rPrDefault>
      <w:rPr>
        <w:rFonts w:ascii="Times New Roman" w:eastAsia="Times New Roman" w:hAnsi="Times New Roman" w:cs="Times New Roman"/>
        <w:lang w:val="fr-CH" w:eastAsia="fr-CH" w:bidi="ar-SA"/>
      </w:rPr>
    </w:rPrDefault>
    <w:pPrDefault/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semiHidden="0" w:uiPriority="9" w:unhideWhenUsed="0" w:qFormat="1"/>
    <w:lsdException w:name="heading 3" w:semiHidden="0" w:uiPriority="9" w:unhideWhenUsed="0" w:qFormat="1"/>
    <w:lsdException w:name="heading 4" w:semiHidden="0" w:uiPriority="9" w:unhideWhenUsed="0" w:qFormat="1"/>
    <w:lsdException w:name="heading 5" w:semiHidden="0" w:uiPriority="9" w:unhideWhenUsed="0" w:qFormat="1"/>
    <w:lsdException w:name="heading 6" w:semiHidden="0" w:uiPriority="9" w:unhideWhenUsed="0" w:qFormat="1"/>
    <w:lsdException w:name="heading 7" w:semiHidden="0" w:uiPriority="9" w:unhideWhenUsed="0" w:qFormat="1"/>
    <w:lsdException w:name="heading 8" w:semiHidden="0" w:uiPriority="9" w:unhideWhenUsed="0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Normal">
    <w:name w:val="Normal"/>
    <w:aliases w:val="ООН"/>
    <w:qFormat/>
    <w:pPr>
      <w:tabs>
        <w:tab w:val="left" w:pos="567"/>
        <w:tab w:val="left" w:pos="1134"/>
        <w:tab w:val="left" w:pos="1701"/>
        <w:tab w:val="left" w:pos="2268"/>
        <w:tab w:val="left" w:pos="6237"/>
      </w:tabs>
      <w:spacing w:line="288" w:lineRule="auto"/>
    </w:pPr>
    <w:rPr>
      <w:sz w:val="24"/>
      <w:lang w:val="ru-RU" w:eastAsia="en-US"/>
    </w:rPr>
  </w:style>
  <w:style w:type="paragraph" w:styleId="Heading1">
    <w:name w:val="heading 1"/>
    <w:basedOn w:val="Normal"/>
    <w:next w:val="Normal"/>
    <w:qFormat/>
    <w:pPr>
      <w:keepNext/>
      <w:outlineLvl w:val="0"/>
    </w:pPr>
    <w:rPr>
      <w:b/>
    </w:rPr>
  </w:style>
  <w:style w:type="paragraph" w:styleId="Heading2">
    <w:name w:val="heading 2"/>
    <w:basedOn w:val="Normal"/>
    <w:next w:val="Normal"/>
    <w:qFormat/>
    <w:pPr>
      <w:keepNext/>
      <w:outlineLvl w:val="1"/>
    </w:pPr>
    <w:rPr>
      <w:u w:val="single"/>
    </w:rPr>
  </w:style>
  <w:style w:type="paragraph" w:styleId="Heading3">
    <w:name w:val="heading 3"/>
    <w:basedOn w:val="Normal"/>
    <w:next w:val="Normal"/>
    <w:qFormat/>
    <w:pPr>
      <w:keepNext/>
      <w:outlineLvl w:val="2"/>
    </w:pPr>
    <w:rPr>
      <w:i/>
    </w:rPr>
  </w:style>
  <w:style w:type="paragraph" w:styleId="Heading4">
    <w:name w:val="heading 4"/>
    <w:basedOn w:val="Normal"/>
    <w:next w:val="Normal"/>
    <w:qFormat/>
    <w:pPr>
      <w:keepNext/>
      <w:outlineLvl w:val="3"/>
    </w:pPr>
    <w:rPr>
      <w:b/>
      <w:i/>
    </w:rPr>
  </w:style>
  <w:style w:type="paragraph" w:styleId="Heading5">
    <w:name w:val="heading 5"/>
    <w:basedOn w:val="Normal"/>
    <w:next w:val="Normal"/>
    <w:qFormat/>
    <w:pPr>
      <w:keepNext/>
      <w:outlineLvl w:val="4"/>
    </w:pPr>
    <w:rPr>
      <w:i/>
      <w:u w:val="single"/>
    </w:rPr>
  </w:style>
  <w:style w:type="paragraph" w:styleId="Heading6">
    <w:name w:val="heading 6"/>
    <w:basedOn w:val="Normal"/>
    <w:next w:val="Normal"/>
    <w:qFormat/>
    <w:pPr>
      <w:outlineLvl w:val="5"/>
    </w:pPr>
    <w:rPr>
      <w:b/>
      <w:u w:val="single"/>
    </w:rPr>
  </w:style>
  <w:style w:type="paragraph" w:styleId="Heading7">
    <w:name w:val="heading 7"/>
    <w:basedOn w:val="Normal"/>
    <w:next w:val="Normal"/>
    <w:qFormat/>
    <w:pPr>
      <w:keepNext/>
      <w:tabs>
        <w:tab w:val="left" w:pos="0"/>
        <w:tab w:val="left" w:pos="567"/>
        <w:tab w:val="left" w:pos="1134"/>
        <w:tab w:val="left" w:pos="1701"/>
        <w:tab w:val="left" w:pos="2268"/>
        <w:tab w:val="left" w:pos="6237"/>
        <w:tab w:val="left" w:pos="7086"/>
      </w:tabs>
      <w:suppressAutoHyphens/>
      <w:spacing w:line="312" w:lineRule="auto"/>
      <w:ind w:right="283"/>
      <w:outlineLvl w:val="6"/>
    </w:pPr>
    <w:rPr>
      <w:b/>
      <w:sz w:val="30"/>
    </w:rPr>
  </w:style>
  <w:style w:type="paragraph" w:styleId="Heading8">
    <w:name w:val="heading 8"/>
    <w:basedOn w:val="Normal"/>
    <w:next w:val="Normal"/>
    <w:qFormat/>
    <w:pPr>
      <w:keepNext/>
      <w:tabs>
        <w:tab w:val="left" w:pos="0"/>
        <w:tab w:val="left" w:pos="567"/>
        <w:tab w:val="left" w:pos="1134"/>
        <w:tab w:val="left" w:pos="1701"/>
        <w:tab w:val="left" w:pos="2268"/>
        <w:tab w:val="left" w:pos="6237"/>
        <w:tab w:val="left" w:pos="7086"/>
      </w:tabs>
      <w:suppressAutoHyphens/>
      <w:spacing w:line="240" w:lineRule="auto"/>
      <w:ind w:right="283"/>
      <w:outlineLvl w:val="7"/>
    </w:pPr>
    <w:rPr>
      <w:sz w:val="30"/>
    </w:rPr>
  </w:style>
  <w:style w:type="character" w:default="1" w:styleId="DefaultParagraphFont">
    <w:name w:val="Default Paragraph Font"/>
    <w:semiHidden/>
  </w:style>
  <w:style w:type="table" w:default="1" w:styleId="TableNorma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NoList">
    <w:name w:val="No List"/>
    <w:uiPriority w:val="99"/>
    <w:semiHidden/>
    <w:unhideWhenUsed/>
  </w:style>
  <w:style w:type="paragraph" w:styleId="FootnoteText">
    <w:name w:val="footnote text"/>
    <w:basedOn w:val="Normal"/>
    <w:semiHidden/>
    <w:pPr>
      <w:spacing w:line="240" w:lineRule="auto"/>
    </w:pPr>
  </w:style>
  <w:style w:type="paragraph" w:styleId="EndnoteText">
    <w:name w:val="endnote text"/>
    <w:basedOn w:val="Normal"/>
    <w:semiHidden/>
    <w:pPr>
      <w:spacing w:line="240" w:lineRule="auto"/>
    </w:pPr>
  </w:style>
  <w:style w:type="character" w:styleId="EndnoteReference">
    <w:name w:val="endnote reference"/>
    <w:semiHidden/>
    <w:rPr>
      <w:rFonts w:ascii="Times New Roman" w:hAnsi="Times New Roman"/>
      <w:b/>
      <w:dstrike w:val="0"/>
      <w:color w:val="auto"/>
      <w:sz w:val="24"/>
      <w:vertAlign w:val="superscript"/>
    </w:rPr>
  </w:style>
  <w:style w:type="character" w:styleId="FootnoteReference">
    <w:name w:val="footnote reference"/>
    <w:semiHidden/>
    <w:rPr>
      <w:rFonts w:ascii="Times New Roman" w:hAnsi="Times New Roman"/>
      <w:b/>
      <w:dstrike w:val="0"/>
      <w:color w:val="auto"/>
      <w:sz w:val="24"/>
      <w:vertAlign w:val="superscript"/>
    </w:rPr>
  </w:style>
  <w:style w:type="paragraph" w:customStyle="1" w:styleId="1">
    <w:name w:val="текст 1"/>
    <w:basedOn w:val="Normal"/>
    <w:pPr>
      <w:tabs>
        <w:tab w:val="left" w:pos="567"/>
        <w:tab w:val="left" w:pos="1134"/>
        <w:tab w:val="left" w:pos="1701"/>
        <w:tab w:val="left" w:pos="2268"/>
        <w:tab w:val="left" w:pos="6237"/>
      </w:tabs>
    </w:pPr>
  </w:style>
  <w:style w:type="paragraph" w:customStyle="1" w:styleId="2">
    <w:name w:val="текст 2"/>
    <w:basedOn w:val="Normal"/>
    <w:pPr>
      <w:tabs>
        <w:tab w:val="left" w:pos="567"/>
        <w:tab w:val="left" w:pos="1134"/>
        <w:tab w:val="left" w:pos="1701"/>
        <w:tab w:val="left" w:pos="2268"/>
        <w:tab w:val="left" w:pos="6237"/>
      </w:tabs>
    </w:pPr>
  </w:style>
  <w:style w:type="paragraph" w:styleId="Header">
    <w:name w:val="header"/>
    <w:basedOn w:val="Normal"/>
    <w:semiHidden/>
    <w:pPr>
      <w:tabs>
        <w:tab w:val="clear" w:pos="567"/>
        <w:tab w:val="clear" w:pos="1134"/>
        <w:tab w:val="clear" w:pos="1701"/>
        <w:tab w:val="clear" w:pos="2268"/>
        <w:tab w:val="clear" w:pos="6237"/>
        <w:tab w:val="center" w:pos="4153"/>
        <w:tab w:val="right" w:pos="8306"/>
      </w:tabs>
      <w:spacing w:line="240" w:lineRule="auto"/>
    </w:pPr>
  </w:style>
  <w:style w:type="paragraph" w:styleId="Footer">
    <w:name w:val="footer"/>
    <w:basedOn w:val="Normal"/>
    <w:semiHidden/>
    <w:pPr>
      <w:tabs>
        <w:tab w:val="clear" w:pos="567"/>
        <w:tab w:val="clear" w:pos="1134"/>
        <w:tab w:val="clear" w:pos="1701"/>
        <w:tab w:val="clear" w:pos="2268"/>
        <w:tab w:val="clear" w:pos="6237"/>
        <w:tab w:val="center" w:pos="4153"/>
        <w:tab w:val="right" w:pos="8306"/>
      </w:tabs>
      <w:spacing w:line="240" w:lineRule="auto"/>
    </w:pPr>
  </w:style>
  <w:style w:type="paragraph" w:styleId="Title">
    <w:name w:val="Title"/>
    <w:basedOn w:val="Normal"/>
    <w:qFormat/>
    <w:pPr>
      <w:jc w:val="center"/>
    </w:pPr>
    <w:rPr>
      <w:b/>
    </w:rPr>
  </w:style>
  <w:style w:type="paragraph" w:styleId="ListBullet">
    <w:name w:val="List Bullet"/>
    <w:basedOn w:val="Normal"/>
    <w:autoRedefine/>
    <w:semiHidden/>
    <w:pPr>
      <w:numPr>
        <w:numId w:val="2"/>
      </w:numPr>
    </w:pPr>
  </w:style>
  <w:style w:type="paragraph" w:styleId="Subtitle">
    <w:name w:val="Subtitle"/>
    <w:basedOn w:val="Normal"/>
    <w:qFormat/>
    <w:pPr>
      <w:jc w:val="center"/>
    </w:pPr>
    <w:rPr>
      <w:u w:val="single"/>
    </w:rPr>
  </w:style>
  <w:style w:type="paragraph" w:customStyle="1" w:styleId="a">
    <w:name w:val="Нумерованный абзац"/>
    <w:basedOn w:val="Normal"/>
    <w:pPr>
      <w:tabs>
        <w:tab w:val="left" w:pos="567"/>
        <w:tab w:val="left" w:pos="1134"/>
        <w:tab w:val="left" w:pos="1701"/>
        <w:tab w:val="left" w:pos="2268"/>
        <w:tab w:val="left" w:pos="6237"/>
      </w:tabs>
    </w:pPr>
  </w:style>
  <w:style w:type="paragraph" w:customStyle="1" w:styleId="10">
    <w:name w:val="Заголовок 10"/>
    <w:basedOn w:val="Title"/>
  </w:style>
  <w:style w:type="paragraph" w:customStyle="1" w:styleId="11">
    <w:name w:val="Заголовок 11"/>
    <w:basedOn w:val="Subtitle"/>
  </w:style>
  <w:style w:type="paragraph" w:customStyle="1" w:styleId="12">
    <w:name w:val="Заголовок 12"/>
    <w:basedOn w:val="Normal"/>
    <w:pPr>
      <w:jc w:val="center"/>
    </w:pPr>
    <w:rPr>
      <w:i/>
    </w:rPr>
  </w:style>
  <w:style w:type="paragraph" w:customStyle="1" w:styleId="13">
    <w:name w:val="Заголовок 13"/>
    <w:basedOn w:val="Normal"/>
    <w:pPr>
      <w:jc w:val="center"/>
    </w:pPr>
    <w:rPr>
      <w:b/>
      <w:i/>
    </w:rPr>
  </w:style>
  <w:style w:type="paragraph" w:customStyle="1" w:styleId="14">
    <w:name w:val="Заголовок 14"/>
    <w:basedOn w:val="Normal"/>
    <w:pPr>
      <w:jc w:val="center"/>
    </w:pPr>
    <w:rPr>
      <w:b/>
      <w:u w:val="single"/>
    </w:rPr>
  </w:style>
  <w:style w:type="paragraph" w:customStyle="1" w:styleId="15">
    <w:name w:val="Заголовок 15"/>
    <w:basedOn w:val="Normal"/>
    <w:pPr>
      <w:jc w:val="center"/>
    </w:pPr>
    <w:rPr>
      <w:i/>
      <w:u w:val="single"/>
    </w:rPr>
  </w:style>
  <w:style w:type="paragraph" w:customStyle="1" w:styleId="16">
    <w:name w:val="Заголовок 16"/>
    <w:basedOn w:val="Normal"/>
    <w:pPr>
      <w:jc w:val="center"/>
    </w:pPr>
  </w:style>
  <w:style w:type="character" w:styleId="PageNumber">
    <w:name w:val="page number"/>
    <w:basedOn w:val="DefaultParagraphFont"/>
    <w:semiHidden/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optimizeForBrowser/>
  <w:allowPNG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oleObject" Target="embeddings/oleObject1.bin"/><Relationship Id="rId3" Type="http://schemas.openxmlformats.org/officeDocument/2006/relationships/settings" Target="settings.xml"/><Relationship Id="rId7" Type="http://schemas.openxmlformats.org/officeDocument/2006/relationships/image" Target="media/image1.wmf"/><Relationship Id="rId12" Type="http://schemas.openxmlformats.org/officeDocument/2006/relationships/theme" Target="theme/theme1.xml"/><Relationship Id="rId2" Type="http://schemas.openxmlformats.org/officeDocument/2006/relationships/styles" Target="styles.xml"/><Relationship Id="rId1" Type="http://schemas.openxmlformats.org/officeDocument/2006/relationships/numbering" Target="numbering.xml"/><Relationship Id="rId6" Type="http://schemas.openxmlformats.org/officeDocument/2006/relationships/endnotes" Target="endnotes.xml"/><Relationship Id="rId11" Type="http://schemas.openxmlformats.org/officeDocument/2006/relationships/fontTable" Target="fontTable.xml"/><Relationship Id="rId5" Type="http://schemas.openxmlformats.org/officeDocument/2006/relationships/footnotes" Target="footnotes.xml"/><Relationship Id="rId10" Type="http://schemas.openxmlformats.org/officeDocument/2006/relationships/header" Target="header2.xml"/><Relationship Id="rId4" Type="http://schemas.openxmlformats.org/officeDocument/2006/relationships/webSettings" Target="webSettings.xml"/><Relationship Id="rId9" Type="http://schemas.openxmlformats.org/officeDocument/2006/relationships/header" Target="header1.xml"/></Relationships>
</file>

<file path=word/_rels/settings.xml.rels><?xml version="1.0" encoding="UTF-8" standalone="yes"?>
<Relationships xmlns="http://schemas.openxmlformats.org/package/2006/relationships"><Relationship Id="rId1" Type="http://schemas.openxmlformats.org/officeDocument/2006/relationships/attachedTemplate" Target="file:///G:\WORD\CCPR.dot" TargetMode="Externa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Template>CCPR</Template>
  <TotalTime>0</TotalTime>
  <Pages>1</Pages>
  <Words>5959</Words>
  <Characters>33968</Characters>
  <Application>Microsoft Office Word</Application>
  <DocSecurity>4</DocSecurity>
  <Lines>283</Lines>
  <Paragraphs>67</Paragraphs>
  <ScaleCrop>false</ScaleCrop>
  <HeadingPairs>
    <vt:vector size="2" baseType="variant">
      <vt:variant>
        <vt:lpstr>Название</vt:lpstr>
      </vt:variant>
      <vt:variant>
        <vt:i4>1</vt:i4>
      </vt:variant>
    </vt:vector>
  </HeadingPairs>
  <TitlesOfParts>
    <vt:vector size="1" baseType="lpstr">
      <vt:lpstr>0443024.doc</vt:lpstr>
    </vt:vector>
  </TitlesOfParts>
  <Company> </Company>
  <LinksUpToDate>false</LinksUpToDate>
  <CharactersWithSpaces>41715</CharactersWithSpaces>
  <SharedDoc>false</SharedDoc>
  <HyperlinksChanged>false</HyperlinksChanged>
  <AppVersion>14.0000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>0443024.doc</dc:title>
  <dc:subject/>
  <dc:creator>Smirnova</dc:creator>
  <cp:keywords/>
  <dc:description/>
  <cp:lastModifiedBy>Smirnova</cp:lastModifiedBy>
  <cp:revision>3</cp:revision>
  <cp:lastPrinted>2005-10-17T07:56:00Z</cp:lastPrinted>
  <dcterms:created xsi:type="dcterms:W3CDTF">2005-10-17T07:56:00Z</dcterms:created>
  <dcterms:modified xsi:type="dcterms:W3CDTF">2005-10-17T07:56:00Z</dcterms:modified>
</cp:coreProperties>
</file>