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E7E" w:rsidRDefault="00784E7E" w:rsidP="00784E7E">
      <w:pPr>
        <w:spacing w:line="60" w:lineRule="exact"/>
        <w:rPr>
          <w:sz w:val="6"/>
        </w:rPr>
        <w:sectPr w:rsidR="00784E7E" w:rsidSect="00784E7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784E7E" w:rsidRDefault="00784E7E" w:rsidP="00784E7E">
      <w:pPr>
        <w:spacing w:line="60" w:lineRule="exact"/>
        <w:rPr>
          <w:sz w:val="6"/>
        </w:rPr>
      </w:pPr>
    </w:p>
    <w:p w:rsidR="005257FD" w:rsidRDefault="005257FD" w:rsidP="005257FD">
      <w:pPr>
        <w:pStyle w:val="H1"/>
        <w:tabs>
          <w:tab w:val="right" w:pos="360"/>
          <w:tab w:val="left" w:pos="475"/>
          <w:tab w:val="left" w:pos="965"/>
          <w:tab w:val="left" w:pos="1440"/>
          <w:tab w:val="left" w:pos="1915"/>
          <w:tab w:val="left" w:pos="2405"/>
          <w:tab w:val="left" w:pos="2880"/>
          <w:tab w:val="left" w:pos="3355"/>
        </w:tabs>
        <w:spacing w:after="60"/>
        <w:ind w:left="475" w:hanging="475"/>
        <w:rPr>
          <w:rFonts w:hint="eastAsia"/>
        </w:rPr>
      </w:pPr>
      <w:r>
        <w:rPr>
          <w:rFonts w:hint="eastAsia"/>
        </w:rPr>
        <w:t>消除对妇女歧视委员会</w:t>
      </w:r>
    </w:p>
    <w:p w:rsidR="005257FD" w:rsidRPr="005257FD" w:rsidRDefault="005257FD" w:rsidP="005257FD">
      <w:pPr>
        <w:pStyle w:val="DualTxt"/>
        <w:spacing w:after="60"/>
        <w:rPr>
          <w:rFonts w:ascii="SimHei" w:eastAsia="SimHei" w:hint="eastAsia"/>
          <w:color w:val="FF0000"/>
        </w:rPr>
      </w:pPr>
      <w:r w:rsidRPr="005257FD">
        <w:rPr>
          <w:rFonts w:ascii="SimHei" w:eastAsia="SimHei" w:hint="eastAsia"/>
          <w:color w:val="FF0000"/>
        </w:rPr>
        <w:t>会前工作组</w:t>
      </w:r>
    </w:p>
    <w:p w:rsidR="005257FD" w:rsidRPr="005257FD" w:rsidRDefault="005257FD" w:rsidP="005257FD">
      <w:pPr>
        <w:pStyle w:val="DualTxt"/>
        <w:spacing w:after="60"/>
        <w:rPr>
          <w:rFonts w:ascii="SimHei" w:eastAsia="SimHei" w:hint="eastAsia"/>
          <w:color w:val="FF0000"/>
        </w:rPr>
      </w:pPr>
      <w:r w:rsidRPr="005257FD">
        <w:rPr>
          <w:rFonts w:ascii="SimHei" w:eastAsia="SimHei" w:hint="eastAsia"/>
          <w:color w:val="FF0000"/>
        </w:rPr>
        <w:t>第三十八届会议</w:t>
      </w:r>
    </w:p>
    <w:p w:rsidR="005257FD" w:rsidRDefault="005257FD" w:rsidP="005257FD">
      <w:pPr>
        <w:pStyle w:val="DualTxt"/>
        <w:rPr>
          <w:rFonts w:hint="eastAsia"/>
        </w:rPr>
      </w:pPr>
      <w:r>
        <w:rPr>
          <w:rFonts w:hint="eastAsia"/>
        </w:rPr>
        <w:t>2007年5月14日至6月1日</w:t>
      </w:r>
    </w:p>
    <w:p w:rsidR="005257FD" w:rsidRDefault="005257FD" w:rsidP="005257FD">
      <w:pPr>
        <w:pStyle w:val="DualTxt"/>
        <w:spacing w:after="0"/>
      </w:pPr>
    </w:p>
    <w:p w:rsidR="005257FD" w:rsidRDefault="005257FD" w:rsidP="005257F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与审议初次报告和定期报告有关的议题和问题清单</w:t>
      </w:r>
      <w:r w:rsidRPr="005257FD">
        <w:rPr>
          <w:rStyle w:val="FootnoteReference"/>
          <w:sz w:val="21"/>
        </w:rPr>
        <w:footnoteReference w:customMarkFollows="1" w:id="1"/>
        <w:t>*</w:t>
      </w:r>
    </w:p>
    <w:p w:rsidR="005257FD" w:rsidRDefault="005257FD" w:rsidP="005257FD">
      <w:pPr>
        <w:pStyle w:val="DualTxt"/>
        <w:spacing w:after="0"/>
      </w:pPr>
    </w:p>
    <w:p w:rsidR="005257FD" w:rsidRDefault="005257FD" w:rsidP="005257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尼日尔</w:t>
      </w:r>
    </w:p>
    <w:p w:rsidR="005257FD" w:rsidRDefault="005257FD" w:rsidP="005257FD">
      <w:pPr>
        <w:pStyle w:val="DualTxt"/>
        <w:spacing w:after="0"/>
      </w:pPr>
    </w:p>
    <w:p w:rsidR="005257FD" w:rsidRDefault="005257FD" w:rsidP="005257FD">
      <w:pPr>
        <w:pStyle w:val="SingleTxt"/>
        <w:rPr>
          <w:rFonts w:hint="eastAsia"/>
        </w:rPr>
      </w:pPr>
      <w:r>
        <w:rPr>
          <w:rFonts w:hint="eastAsia"/>
        </w:rPr>
        <w:t>1.</w:t>
      </w:r>
      <w:r>
        <w:tab/>
      </w:r>
      <w:r w:rsidRPr="005257FD">
        <w:rPr>
          <w:rFonts w:hint="eastAsia"/>
          <w:spacing w:val="-4"/>
        </w:rPr>
        <w:t>会前工作组审议了尼日尔合并的第一和第二次定期报告(CEDAW/C/NER/1-2)。</w:t>
      </w:r>
    </w:p>
    <w:p w:rsidR="005257FD" w:rsidRPr="005257FD" w:rsidRDefault="005257FD" w:rsidP="005257FD">
      <w:pPr>
        <w:pStyle w:val="SingleTxt"/>
        <w:rPr>
          <w:rFonts w:ascii="SimHei" w:eastAsia="SimHei" w:hint="eastAsia"/>
          <w:color w:val="FF0000"/>
        </w:rPr>
      </w:pPr>
      <w:r w:rsidRPr="005257FD">
        <w:rPr>
          <w:rFonts w:ascii="SimHei" w:eastAsia="SimHei" w:hint="eastAsia"/>
          <w:color w:val="FF0000"/>
        </w:rPr>
        <w:t>概述</w:t>
      </w:r>
    </w:p>
    <w:p w:rsidR="005257FD" w:rsidRDefault="005257FD" w:rsidP="005257FD">
      <w:pPr>
        <w:pStyle w:val="SingleTxt"/>
        <w:rPr>
          <w:rFonts w:hint="eastAsia"/>
        </w:rPr>
      </w:pPr>
      <w:r>
        <w:rPr>
          <w:rFonts w:hint="eastAsia"/>
        </w:rPr>
        <w:t>2.</w:t>
      </w:r>
      <w:r>
        <w:tab/>
      </w:r>
      <w:r>
        <w:rPr>
          <w:rFonts w:hint="eastAsia"/>
        </w:rPr>
        <w:t>请就尼日尔第一次和第二次报告的编写过程提供更详细的信息。这些信息应当说明哪些政府部门和机关参与了编写以及它们参与的性质和程度、有没有与非政府组织进行协商、报告是否被政府接受及向议会提出。</w:t>
      </w:r>
    </w:p>
    <w:p w:rsidR="005257FD" w:rsidRDefault="005257FD" w:rsidP="005257FD">
      <w:pPr>
        <w:pStyle w:val="SingleTxt"/>
        <w:rPr>
          <w:rFonts w:hint="eastAsia"/>
        </w:rPr>
      </w:pPr>
      <w:r>
        <w:rPr>
          <w:rFonts w:hint="eastAsia"/>
        </w:rPr>
        <w:t>3.</w:t>
      </w:r>
      <w:r>
        <w:tab/>
      </w:r>
      <w:r>
        <w:rPr>
          <w:rFonts w:hint="eastAsia"/>
        </w:rPr>
        <w:t>请说明为了撤除对《消除对妇女一切形式歧视公约》第2(d)、2(f)、5(a)、15(4)、16(1)(c)、16(1)(e)和16(1)(g)条的保留已采取了哪些具体措施及计划以后采取什么步骤。从批准《公约》后到提出合并的第一和第二次定期报告的这段时间里，尼日尔社会的发展在这方面有带来任何进步吗？</w:t>
      </w:r>
    </w:p>
    <w:p w:rsidR="005257FD" w:rsidRPr="005257FD" w:rsidRDefault="005257FD" w:rsidP="005257FD">
      <w:pPr>
        <w:pStyle w:val="SingleTxt"/>
        <w:rPr>
          <w:rFonts w:ascii="SimHei" w:eastAsia="SimHei" w:hint="eastAsia"/>
          <w:color w:val="FF0000"/>
        </w:rPr>
      </w:pPr>
      <w:r w:rsidRPr="005257FD">
        <w:rPr>
          <w:rFonts w:ascii="SimHei" w:eastAsia="SimHei" w:hint="eastAsia"/>
          <w:color w:val="FF0000"/>
        </w:rPr>
        <w:t>第1和第2条</w:t>
      </w:r>
    </w:p>
    <w:p w:rsidR="005257FD" w:rsidRDefault="005257FD" w:rsidP="005257FD">
      <w:pPr>
        <w:pStyle w:val="SingleTxt"/>
        <w:rPr>
          <w:rFonts w:hint="eastAsia"/>
        </w:rPr>
      </w:pPr>
      <w:r>
        <w:rPr>
          <w:rFonts w:hint="eastAsia"/>
        </w:rPr>
        <w:t>4.</w:t>
      </w:r>
      <w:r>
        <w:tab/>
      </w:r>
      <w:r>
        <w:rPr>
          <w:rFonts w:hint="eastAsia"/>
        </w:rPr>
        <w:t>报告说，“实际上，尼日尔的公民权利基本上是建立在习惯法、伊斯兰法及在较小的程度上民法之上。这种状况确认及不断地延续了对妇女的歧视”(第62页，第14.1页)。暴力侵害妇女行为及其因果问题特别报告员指出，在《公约》批准后，司法部成立了一个由法律界学者组成的委员会，开始检讨有关法律(E/CN.4/2003/75/Add.1,第440段)。请提供有关这个检讨过程的信息，包括政府进行这项检讨以及撤消歧视性习俗和法律的计划、时间表和优先次序，还有迄今的任何检讨结果。请用一个时间表来说明政府采取了什么步骤来统一关于个人人权的成文法、习惯法、宗教法与家庭法。请就家庭法的通过过程提供更多的详细信息。家庭法的内容是否与《公约》一致？</w:t>
      </w:r>
    </w:p>
    <w:p w:rsidR="005257FD" w:rsidRDefault="005257FD" w:rsidP="005257FD">
      <w:pPr>
        <w:pStyle w:val="SingleTxt"/>
        <w:rPr>
          <w:rFonts w:hint="eastAsia"/>
        </w:rPr>
      </w:pPr>
      <w:r>
        <w:rPr>
          <w:rFonts w:hint="eastAsia"/>
        </w:rPr>
        <w:t>5.</w:t>
      </w:r>
      <w:r>
        <w:rPr>
          <w:rFonts w:hint="eastAsia"/>
        </w:rPr>
        <w:tab/>
        <w:t>报告说，“经过正当程序批准的《公约》将有与宪法同等的权威，按照法律等级原则，与此种协定和条约不一致的国内法、规约和条例都必须修改”(第16页，第2.1.1段)。请澄清《公约》在国内法律制度中的地位以及《公约》能否及是否曾在法庭上被援引。</w:t>
      </w:r>
    </w:p>
    <w:p w:rsidR="005257FD" w:rsidRDefault="005257FD" w:rsidP="005257FD">
      <w:pPr>
        <w:pStyle w:val="SingleTxt"/>
        <w:rPr>
          <w:rFonts w:hint="eastAsia"/>
        </w:rPr>
      </w:pPr>
      <w:r>
        <w:rPr>
          <w:rFonts w:hint="eastAsia"/>
        </w:rPr>
        <w:t>6.</w:t>
      </w:r>
      <w:r>
        <w:rPr>
          <w:rFonts w:hint="eastAsia"/>
        </w:rPr>
        <w:tab/>
        <w:t>报告说，歧视性的法律仍然有效（第21页，第1.2.1段），特别是在公务员制度总规则中，还有在管制政府官员薪酬福利的第60-S/MFP/T号法令中。请说明尼日尔政府为撤消此种歧视性法律采取了什么措施。</w:t>
      </w:r>
    </w:p>
    <w:p w:rsidR="005257FD" w:rsidRDefault="005257FD" w:rsidP="005257FD">
      <w:pPr>
        <w:pStyle w:val="SingleTxt"/>
        <w:rPr>
          <w:rFonts w:hint="eastAsia"/>
        </w:rPr>
      </w:pPr>
      <w:r>
        <w:rPr>
          <w:rFonts w:hint="eastAsia"/>
        </w:rPr>
        <w:t>7.</w:t>
      </w:r>
      <w:r>
        <w:rPr>
          <w:rFonts w:hint="eastAsia"/>
        </w:rPr>
        <w:tab/>
        <w:t>请说明投诉受性别歧视的妇女有什么机制和办法可以帮助她们，包括独立的机制（例如监察员），并提供使用此种办法机制的统计信息。</w:t>
      </w:r>
    </w:p>
    <w:p w:rsidR="005257FD" w:rsidRPr="005257FD" w:rsidRDefault="005257FD" w:rsidP="005257FD">
      <w:pPr>
        <w:pStyle w:val="SingleTxt"/>
        <w:rPr>
          <w:rFonts w:ascii="SimHei" w:eastAsia="SimHei" w:hint="eastAsia"/>
          <w:color w:val="FF0000"/>
        </w:rPr>
      </w:pPr>
      <w:r w:rsidRPr="005257FD">
        <w:rPr>
          <w:rFonts w:ascii="SimHei" w:eastAsia="SimHei" w:hint="eastAsia"/>
          <w:color w:val="FF0000"/>
        </w:rPr>
        <w:t>第3条</w:t>
      </w:r>
    </w:p>
    <w:p w:rsidR="005257FD" w:rsidRDefault="005257FD" w:rsidP="005257FD">
      <w:pPr>
        <w:pStyle w:val="SingleTxt"/>
        <w:rPr>
          <w:rFonts w:hint="eastAsia"/>
        </w:rPr>
      </w:pPr>
      <w:r>
        <w:rPr>
          <w:rFonts w:hint="eastAsia"/>
        </w:rPr>
        <w:t>8.</w:t>
      </w:r>
      <w:r>
        <w:rPr>
          <w:rFonts w:hint="eastAsia"/>
        </w:rPr>
        <w:tab/>
        <w:t>请说明执行报告(第23页,第1.3.2段)提到的1996年国家提高妇女地位政策的现况和进展。这项说明应当包括详细信息，说明目标、宗旨和战略，以及阻碍有效实现及执行的困难、采取的矫正措施以及为日后提高妇女地位的国家政策订定的计划。</w:t>
      </w:r>
    </w:p>
    <w:p w:rsidR="005257FD" w:rsidRDefault="005257FD" w:rsidP="005257FD">
      <w:pPr>
        <w:pStyle w:val="SingleTxt"/>
        <w:rPr>
          <w:rFonts w:hint="eastAsia"/>
        </w:rPr>
      </w:pPr>
      <w:r>
        <w:rPr>
          <w:rFonts w:hint="eastAsia"/>
        </w:rPr>
        <w:t>9.</w:t>
      </w:r>
      <w:r>
        <w:rPr>
          <w:rFonts w:hint="eastAsia"/>
        </w:rPr>
        <w:tab/>
        <w:t>请说明以下机构采取了什么具体行动及取得什么成果：</w:t>
      </w:r>
    </w:p>
    <w:p w:rsidR="005257FD" w:rsidRDefault="005257FD" w:rsidP="005257FD">
      <w:pPr>
        <w:pStyle w:val="SingleTxt"/>
        <w:rPr>
          <w:rFonts w:hint="eastAsia"/>
        </w:rPr>
      </w:pPr>
      <w:r>
        <w:rPr>
          <w:rFonts w:hint="eastAsia"/>
        </w:rPr>
        <w:tab/>
        <w:t>-</w:t>
      </w:r>
      <w:r>
        <w:rPr>
          <w:rFonts w:hint="eastAsia"/>
        </w:rPr>
        <w:tab/>
        <w:t>国家监测提高妇女地位状况研究所</w:t>
      </w:r>
    </w:p>
    <w:p w:rsidR="005257FD" w:rsidRDefault="005257FD" w:rsidP="005257FD">
      <w:pPr>
        <w:pStyle w:val="SingleTxt"/>
        <w:rPr>
          <w:rFonts w:hint="eastAsia"/>
        </w:rPr>
      </w:pPr>
      <w:r>
        <w:rPr>
          <w:rFonts w:hint="eastAsia"/>
        </w:rPr>
        <w:tab/>
        <w:t>-</w:t>
      </w:r>
      <w:r>
        <w:rPr>
          <w:rFonts w:hint="eastAsia"/>
        </w:rPr>
        <w:tab/>
        <w:t>关注北京建议执行情况委员会</w:t>
      </w:r>
    </w:p>
    <w:p w:rsidR="005257FD" w:rsidRDefault="005257FD" w:rsidP="005257FD">
      <w:pPr>
        <w:pStyle w:val="SingleTxt"/>
        <w:rPr>
          <w:rFonts w:hint="eastAsia"/>
        </w:rPr>
      </w:pPr>
      <w:r>
        <w:rPr>
          <w:rFonts w:hint="eastAsia"/>
        </w:rPr>
        <w:tab/>
        <w:t>-</w:t>
      </w:r>
      <w:r>
        <w:rPr>
          <w:rFonts w:hint="eastAsia"/>
        </w:rPr>
        <w:tab/>
        <w:t>共和国总统和总理的两性平等和发展问题顾问</w:t>
      </w:r>
    </w:p>
    <w:p w:rsidR="005257FD" w:rsidRDefault="005257FD" w:rsidP="005257FD">
      <w:pPr>
        <w:pStyle w:val="SingleTxt"/>
        <w:rPr>
          <w:rFonts w:hint="eastAsia"/>
        </w:rPr>
      </w:pPr>
      <w:r>
        <w:rPr>
          <w:rFonts w:hint="eastAsia"/>
        </w:rPr>
        <w:tab/>
        <w:t>-</w:t>
      </w:r>
      <w:r>
        <w:rPr>
          <w:rFonts w:hint="eastAsia"/>
        </w:rPr>
        <w:tab/>
        <w:t>尼日尔有害传统习俗委员会</w:t>
      </w:r>
    </w:p>
    <w:p w:rsidR="005257FD" w:rsidRPr="005257FD" w:rsidRDefault="005257FD" w:rsidP="005257FD">
      <w:pPr>
        <w:pStyle w:val="SingleTxt"/>
        <w:rPr>
          <w:rFonts w:ascii="SimHei" w:eastAsia="SimHei" w:hint="eastAsia"/>
          <w:color w:val="FF0000"/>
        </w:rPr>
      </w:pPr>
      <w:r w:rsidRPr="005257FD">
        <w:rPr>
          <w:rFonts w:ascii="SimHei" w:eastAsia="SimHei" w:hint="eastAsia"/>
          <w:color w:val="FF0000"/>
        </w:rPr>
        <w:t>第4条</w:t>
      </w:r>
    </w:p>
    <w:p w:rsidR="005257FD" w:rsidRPr="005257FD" w:rsidRDefault="005257FD" w:rsidP="005257FD">
      <w:pPr>
        <w:pStyle w:val="SingleTxt"/>
        <w:rPr>
          <w:rFonts w:hint="eastAsia"/>
        </w:rPr>
      </w:pPr>
      <w:r>
        <w:rPr>
          <w:rFonts w:hint="eastAsia"/>
        </w:rPr>
        <w:t>10.</w:t>
      </w:r>
      <w:r>
        <w:rPr>
          <w:rFonts w:hint="eastAsia"/>
        </w:rPr>
        <w:tab/>
        <w:t>报告述及为了加快实现教育领域及决策机关男女平等而采取的临时特别措施，并指出一旦男女不平等状况不再存在，则特别措施将不再适用（第25-26页，第2.1-2.3段）。请细述这些措施的影响及在减少和消除对妇女的歧视方面所取得的任何具体成果。</w:t>
      </w:r>
    </w:p>
    <w:p w:rsidR="005257FD" w:rsidRPr="005257FD" w:rsidRDefault="005257FD" w:rsidP="005257FD">
      <w:pPr>
        <w:pStyle w:val="SingleTxt"/>
        <w:rPr>
          <w:rFonts w:ascii="SimHei" w:eastAsia="SimHei" w:hint="eastAsia"/>
          <w:color w:val="FF0000"/>
        </w:rPr>
      </w:pPr>
      <w:r w:rsidRPr="005257FD">
        <w:rPr>
          <w:rFonts w:ascii="SimHei" w:eastAsia="SimHei" w:hint="eastAsia"/>
          <w:color w:val="FF0000"/>
        </w:rPr>
        <w:t>第5条</w:t>
      </w:r>
    </w:p>
    <w:p w:rsidR="005257FD" w:rsidRDefault="005257FD" w:rsidP="005257FD">
      <w:pPr>
        <w:pStyle w:val="SingleTxt"/>
        <w:rPr>
          <w:rFonts w:hint="eastAsia"/>
        </w:rPr>
      </w:pPr>
      <w:r>
        <w:rPr>
          <w:rFonts w:hint="eastAsia"/>
        </w:rPr>
        <w:t>11.</w:t>
      </w:r>
      <w:r>
        <w:rPr>
          <w:rFonts w:hint="eastAsia"/>
        </w:rPr>
        <w:tab/>
        <w:t>报告说：“根据习惯法，男人的地位比女人高，不论在什么情况下，男女都不可能平等(……)，因此，尼日尔的妇女是二等公民”（第63页，第14.1.1段）。请细说政府有没有采取任何措施来改变世俗的信念和歧视妇女的作法。</w:t>
      </w:r>
    </w:p>
    <w:p w:rsidR="005257FD" w:rsidRPr="005257FD" w:rsidRDefault="005257FD" w:rsidP="005257FD">
      <w:pPr>
        <w:pStyle w:val="SingleTxt"/>
        <w:rPr>
          <w:rFonts w:ascii="SimHei" w:eastAsia="SimHei" w:hint="eastAsia"/>
          <w:color w:val="FF0000"/>
        </w:rPr>
      </w:pPr>
      <w:r w:rsidRPr="005257FD">
        <w:rPr>
          <w:rFonts w:ascii="SimHei" w:eastAsia="SimHei" w:hint="eastAsia"/>
          <w:color w:val="FF0000"/>
        </w:rPr>
        <w:t>对妇女的暴力行为</w:t>
      </w:r>
    </w:p>
    <w:p w:rsidR="005257FD" w:rsidRPr="005257FD" w:rsidRDefault="005257FD" w:rsidP="005257FD">
      <w:pPr>
        <w:pStyle w:val="SingleTxt"/>
        <w:rPr>
          <w:rFonts w:hint="eastAsia"/>
        </w:rPr>
      </w:pPr>
      <w:r>
        <w:rPr>
          <w:rFonts w:hint="eastAsia"/>
        </w:rPr>
        <w:t>12.</w:t>
      </w:r>
      <w:r>
        <w:rPr>
          <w:rFonts w:hint="eastAsia"/>
        </w:rPr>
        <w:tab/>
        <w:t>请提供有关对妇女的暴力行为包括强奸和家庭暴力发生的次数和趋势的数据，提供过去5年起诉家庭暴力案件及被定罪的案件的数量。</w:t>
      </w:r>
    </w:p>
    <w:p w:rsidR="005257FD" w:rsidRDefault="005257FD" w:rsidP="005257FD">
      <w:pPr>
        <w:pStyle w:val="SingleTxt"/>
        <w:rPr>
          <w:rFonts w:hint="eastAsia"/>
        </w:rPr>
      </w:pPr>
      <w:r>
        <w:rPr>
          <w:rFonts w:hint="eastAsia"/>
        </w:rPr>
        <w:t>13.</w:t>
      </w:r>
      <w:r>
        <w:rPr>
          <w:rFonts w:hint="eastAsia"/>
        </w:rPr>
        <w:tab/>
        <w:t>铭记着委员会关于对妇女的暴力行为的一般性建议19，请说明已采取了什么步骤来拟订打击对妇女的一切形式的暴力行为的全面性战略，包括通过法律和向各群体（例如警察、律师、卫生工作人员和司法人员）和大众推行能力建设方案及提高觉悟的方案。</w:t>
      </w:r>
    </w:p>
    <w:p w:rsidR="005257FD" w:rsidRPr="005257FD" w:rsidRDefault="005257FD" w:rsidP="005257FD">
      <w:pPr>
        <w:pStyle w:val="SingleTxt"/>
        <w:rPr>
          <w:rFonts w:ascii="SimHei" w:eastAsia="SimHei" w:hint="eastAsia"/>
          <w:color w:val="FF0000"/>
        </w:rPr>
      </w:pPr>
      <w:r w:rsidRPr="005257FD">
        <w:rPr>
          <w:rFonts w:ascii="SimHei" w:eastAsia="SimHei" w:hint="eastAsia"/>
          <w:color w:val="FF0000"/>
        </w:rPr>
        <w:t>第6条</w:t>
      </w:r>
    </w:p>
    <w:p w:rsidR="005257FD" w:rsidRDefault="005257FD" w:rsidP="005257FD">
      <w:pPr>
        <w:pStyle w:val="SingleTxt"/>
        <w:rPr>
          <w:rFonts w:hint="eastAsia"/>
        </w:rPr>
      </w:pPr>
      <w:r>
        <w:rPr>
          <w:rFonts w:hint="eastAsia"/>
        </w:rPr>
        <w:t>14.</w:t>
      </w:r>
      <w:r>
        <w:rPr>
          <w:rFonts w:hint="eastAsia"/>
        </w:rPr>
        <w:tab/>
        <w:t>报告说，尼日尔仍然存在奴隶(第29页，第4.1段)；政府似乎予以容忍，因为“没有通过任何法律和条例来限制此种作法”。据暴力侵害妇女行为及其因果问题特别报告员说，虽然国民议会通过了对刑法典的修订，使其增添新的可惩罚犯罪——蓄奴，但总统关于执行新修订的条文的通知到2002年都没有颁布(E/CN.4/2003/75/Add.1,第438段)。这方面如有任何新发展请说明。请提供被迫做奴隶的妇女和女童的统计数据。由于报告只提到非政府组织活动，因此，请说明政府打算怎样有效地遏制这种做法，说明迄今所采取的任何措施的影响。</w:t>
      </w:r>
    </w:p>
    <w:p w:rsidR="005257FD" w:rsidRDefault="005257FD" w:rsidP="005257FD">
      <w:pPr>
        <w:pStyle w:val="SingleTxt"/>
        <w:rPr>
          <w:rFonts w:hint="eastAsia"/>
        </w:rPr>
      </w:pPr>
      <w:r>
        <w:rPr>
          <w:rFonts w:hint="eastAsia"/>
        </w:rPr>
        <w:t>15.</w:t>
      </w:r>
      <w:r>
        <w:tab/>
      </w:r>
      <w:r>
        <w:rPr>
          <w:rFonts w:hint="eastAsia"/>
        </w:rPr>
        <w:t>假如有的话，请提供有关妇女和女童从事卖淫的统计数据。请详述尼日尔为预防和惩罚利用他人卖淫营利行为而通过的法律和措施，以及帮助希望从良的妇女，帮助她们重新融入社会。</w:t>
      </w:r>
    </w:p>
    <w:p w:rsidR="005257FD" w:rsidRDefault="005257FD" w:rsidP="005257FD">
      <w:pPr>
        <w:pStyle w:val="SingleTxt"/>
        <w:rPr>
          <w:rFonts w:hint="eastAsia"/>
        </w:rPr>
      </w:pPr>
      <w:r>
        <w:rPr>
          <w:rFonts w:hint="eastAsia"/>
        </w:rPr>
        <w:t>16.</w:t>
      </w:r>
      <w:r>
        <w:tab/>
      </w:r>
      <w:r>
        <w:rPr>
          <w:rFonts w:hint="eastAsia"/>
        </w:rPr>
        <w:t>报告没有提供足够的信息供委员会了解尼日尔有何法律和措施去预防和惩罚贩卖妇女和女童的行为，包括贩卖妇女和女童的严重程度。</w:t>
      </w:r>
    </w:p>
    <w:p w:rsidR="005257FD" w:rsidRPr="005257FD" w:rsidRDefault="005257FD" w:rsidP="005257FD">
      <w:pPr>
        <w:pStyle w:val="SingleTxt"/>
        <w:rPr>
          <w:rFonts w:ascii="SimHei" w:eastAsia="SimHei" w:hint="eastAsia"/>
          <w:color w:val="FF0000"/>
        </w:rPr>
      </w:pPr>
      <w:r w:rsidRPr="005257FD">
        <w:rPr>
          <w:rFonts w:ascii="SimHei" w:eastAsia="SimHei" w:hint="eastAsia"/>
          <w:color w:val="FF0000"/>
        </w:rPr>
        <w:t>第7和第8条</w:t>
      </w:r>
    </w:p>
    <w:p w:rsidR="005257FD" w:rsidRDefault="005257FD" w:rsidP="005257FD">
      <w:pPr>
        <w:pStyle w:val="SingleTxt"/>
        <w:rPr>
          <w:rFonts w:hint="eastAsia"/>
        </w:rPr>
      </w:pPr>
      <w:r>
        <w:rPr>
          <w:rFonts w:hint="eastAsia"/>
        </w:rPr>
        <w:t>17.</w:t>
      </w:r>
      <w:r>
        <w:tab/>
      </w:r>
      <w:r>
        <w:rPr>
          <w:rFonts w:hint="eastAsia"/>
        </w:rPr>
        <w:t>报告指出，实际上，妇女在行使投票权遭遇困难不是因为缺乏平等权利的规定，而是因为社会的期待（第31页，第5.1段）。请进一步说明政府采取了什么措施来鼓励妇女更积极参政——投票或参选。</w:t>
      </w:r>
    </w:p>
    <w:p w:rsidR="005257FD" w:rsidRDefault="005257FD" w:rsidP="005257FD">
      <w:pPr>
        <w:pStyle w:val="SingleTxt"/>
        <w:rPr>
          <w:rFonts w:hint="eastAsia"/>
        </w:rPr>
      </w:pPr>
      <w:r>
        <w:rPr>
          <w:rFonts w:hint="eastAsia"/>
        </w:rPr>
        <w:t>18.</w:t>
      </w:r>
      <w:r>
        <w:rPr>
          <w:rFonts w:hint="eastAsia"/>
        </w:rPr>
        <w:tab/>
        <w:t>报告说尼日尔政府通过了第2000</w:t>
      </w:r>
      <w:r w:rsidR="00F11876">
        <w:rPr>
          <w:rFonts w:hint="eastAsia"/>
        </w:rPr>
        <w:t>-</w:t>
      </w:r>
      <w:r>
        <w:rPr>
          <w:rFonts w:hint="eastAsia"/>
        </w:rPr>
        <w:t>008号法令，实施配额制度，要求在决策机构预留职位给妇女(第26页，第2.3段)。报告还指出，“很少妇女能走进决策机关，但如能切实适用有关配额的法律，那应当可及时矫正此种状况”(第34页，第5.2.4段)。请说明2001年以来实施有关配额的法律的结果和成效，以及还推行了什么其他措施来增加妇女加入决策机关、并在其中取得成就的人数。</w:t>
      </w:r>
    </w:p>
    <w:p w:rsidR="005257FD" w:rsidRPr="00F11876" w:rsidRDefault="005257FD" w:rsidP="005257FD">
      <w:pPr>
        <w:pStyle w:val="SingleTxt"/>
        <w:rPr>
          <w:rFonts w:ascii="SimHei" w:eastAsia="SimHei" w:hint="eastAsia"/>
          <w:color w:val="FF0000"/>
        </w:rPr>
      </w:pPr>
      <w:r w:rsidRPr="00F11876">
        <w:rPr>
          <w:rFonts w:ascii="SimHei" w:eastAsia="SimHei" w:hint="eastAsia"/>
          <w:color w:val="FF0000"/>
        </w:rPr>
        <w:t>第9条</w:t>
      </w:r>
    </w:p>
    <w:p w:rsidR="005257FD" w:rsidRDefault="005257FD" w:rsidP="005257FD">
      <w:pPr>
        <w:pStyle w:val="SingleTxt"/>
        <w:rPr>
          <w:rFonts w:hint="eastAsia"/>
        </w:rPr>
      </w:pPr>
      <w:r>
        <w:rPr>
          <w:rFonts w:hint="eastAsia"/>
        </w:rPr>
        <w:t>19.</w:t>
      </w:r>
      <w:r w:rsidR="00F11876">
        <w:rPr>
          <w:rFonts w:hint="eastAsia"/>
        </w:rPr>
        <w:tab/>
      </w:r>
      <w:r>
        <w:rPr>
          <w:rFonts w:hint="eastAsia"/>
        </w:rPr>
        <w:t>请明确说明报告（第36页第7.1段）提到的</w:t>
      </w:r>
      <w:r w:rsidR="00F11876">
        <w:rPr>
          <w:rFonts w:hint="eastAsia"/>
        </w:rPr>
        <w:t>“</w:t>
      </w:r>
      <w:r>
        <w:rPr>
          <w:rFonts w:hint="eastAsia"/>
        </w:rPr>
        <w:t>积极的尼日尔国籍法</w:t>
      </w:r>
      <w:r w:rsidR="00F11876">
        <w:rPr>
          <w:rFonts w:hint="eastAsia"/>
        </w:rPr>
        <w:t>”</w:t>
      </w:r>
      <w:r>
        <w:rPr>
          <w:rFonts w:hint="eastAsia"/>
        </w:rPr>
        <w:t>有没有真正执行，特别是原籍尼日尔的妇女、其他少数族裔妇女和土著妇女能不能够切实地确立其公民身份，并将其国籍传给外籍配偶，又她们的权利</w:t>
      </w:r>
      <w:r w:rsidR="00F11876">
        <w:rPr>
          <w:rFonts w:hint="eastAsia"/>
        </w:rPr>
        <w:t>——合法权利和实际权利——</w:t>
      </w:r>
      <w:r>
        <w:rPr>
          <w:rFonts w:hint="eastAsia"/>
        </w:rPr>
        <w:t>有没有受到尊重。</w:t>
      </w:r>
    </w:p>
    <w:p w:rsidR="005257FD" w:rsidRPr="00F11876" w:rsidRDefault="005257FD" w:rsidP="005257FD">
      <w:pPr>
        <w:pStyle w:val="SingleTxt"/>
        <w:rPr>
          <w:rFonts w:ascii="SimHei" w:eastAsia="SimHei" w:hint="eastAsia"/>
          <w:color w:val="FF0000"/>
        </w:rPr>
      </w:pPr>
      <w:r w:rsidRPr="00F11876">
        <w:rPr>
          <w:rFonts w:ascii="SimHei" w:eastAsia="SimHei" w:hint="eastAsia"/>
          <w:color w:val="FF0000"/>
        </w:rPr>
        <w:t>第10条</w:t>
      </w:r>
    </w:p>
    <w:p w:rsidR="005257FD" w:rsidRDefault="005257FD" w:rsidP="005257FD">
      <w:pPr>
        <w:pStyle w:val="SingleTxt"/>
      </w:pPr>
      <w:r>
        <w:rPr>
          <w:rFonts w:hint="eastAsia"/>
        </w:rPr>
        <w:t>20.</w:t>
      </w:r>
      <w:r w:rsidR="00F11876">
        <w:rPr>
          <w:rFonts w:hint="eastAsia"/>
        </w:rPr>
        <w:tab/>
      </w:r>
      <w:r>
        <w:rPr>
          <w:rFonts w:hint="eastAsia"/>
        </w:rPr>
        <w:t>报告只提供关于学前、初中和高中男女学生的比例及辍学率等的资料，但没有区分农村和城市地区的资料。请提供城市和农村两种地区学前、初中和高中男女学生的比例及辍学率等统计数据。父母或监护人不遵守义务教育规定会有什么惩罚？</w:t>
      </w:r>
    </w:p>
    <w:p w:rsidR="005257FD" w:rsidRDefault="005257FD" w:rsidP="005257FD">
      <w:pPr>
        <w:pStyle w:val="SingleTxt"/>
        <w:rPr>
          <w:rFonts w:hint="eastAsia"/>
        </w:rPr>
      </w:pPr>
      <w:r>
        <w:rPr>
          <w:rFonts w:hint="eastAsia"/>
        </w:rPr>
        <w:t>21.</w:t>
      </w:r>
      <w:r w:rsidR="00F11876">
        <w:rPr>
          <w:rFonts w:hint="eastAsia"/>
        </w:rPr>
        <w:tab/>
      </w:r>
      <w:r>
        <w:rPr>
          <w:rFonts w:hint="eastAsia"/>
        </w:rPr>
        <w:t>报告说，</w:t>
      </w:r>
      <w:r w:rsidR="00F11876">
        <w:rPr>
          <w:rFonts w:hint="eastAsia"/>
        </w:rPr>
        <w:t>“</w:t>
      </w:r>
      <w:r>
        <w:rPr>
          <w:rFonts w:hint="eastAsia"/>
        </w:rPr>
        <w:t>由于传统的男女地位和男女分工的观念，妇女和女孩不一定行使她们受教育的权利</w:t>
      </w:r>
      <w:r w:rsidR="00F11876">
        <w:rPr>
          <w:rFonts w:hint="eastAsia"/>
        </w:rPr>
        <w:t>“</w:t>
      </w:r>
      <w:r>
        <w:rPr>
          <w:rFonts w:hint="eastAsia"/>
        </w:rPr>
        <w:t>（第39页，第8段）。请介绍由于报告（第25页第2.1段）提到的提倡入学实务单位所做的工作而在提高妇女和女童入学率方面取得的进步，并说明是否也采取了其他综合性措施来消除教育系统内私立和公立学校中的性别陈规定型观念。请进一步说明政府采取了什么特别措施来让女童不辍学及确保女童有机会接受各级教育。</w:t>
      </w:r>
    </w:p>
    <w:p w:rsidR="005257FD" w:rsidRPr="00F11876" w:rsidRDefault="005257FD" w:rsidP="005257FD">
      <w:pPr>
        <w:pStyle w:val="SingleTxt"/>
        <w:rPr>
          <w:rFonts w:ascii="SimHei" w:eastAsia="SimHei" w:hint="eastAsia"/>
          <w:color w:val="FF0000"/>
        </w:rPr>
      </w:pPr>
      <w:r w:rsidRPr="00F11876">
        <w:rPr>
          <w:rFonts w:ascii="SimHei" w:eastAsia="SimHei" w:hint="eastAsia"/>
          <w:color w:val="FF0000"/>
        </w:rPr>
        <w:t>第11条</w:t>
      </w:r>
    </w:p>
    <w:p w:rsidR="005257FD" w:rsidRDefault="005257FD" w:rsidP="005257FD">
      <w:pPr>
        <w:pStyle w:val="SingleTxt"/>
      </w:pPr>
      <w:r>
        <w:rPr>
          <w:rFonts w:hint="eastAsia"/>
        </w:rPr>
        <w:t>22.</w:t>
      </w:r>
      <w:r w:rsidR="00F11876">
        <w:rPr>
          <w:rFonts w:hint="eastAsia"/>
        </w:rPr>
        <w:tab/>
      </w:r>
      <w:r>
        <w:rPr>
          <w:rFonts w:hint="eastAsia"/>
        </w:rPr>
        <w:t>请提供最近的统计数字，按性别分列，显示总的妇女劳动力在公、私各就业部门、各种职业不同时间的就职情况。</w:t>
      </w:r>
    </w:p>
    <w:p w:rsidR="005257FD" w:rsidRDefault="005257FD" w:rsidP="005257FD">
      <w:pPr>
        <w:pStyle w:val="SingleTxt"/>
        <w:rPr>
          <w:rFonts w:hint="eastAsia"/>
        </w:rPr>
      </w:pPr>
      <w:r>
        <w:rPr>
          <w:rFonts w:hint="eastAsia"/>
        </w:rPr>
        <w:t>23.</w:t>
      </w:r>
      <w:r w:rsidR="00F11876">
        <w:rPr>
          <w:rFonts w:hint="eastAsia"/>
        </w:rPr>
        <w:tab/>
      </w:r>
      <w:r>
        <w:rPr>
          <w:rFonts w:hint="eastAsia"/>
        </w:rPr>
        <w:t>请说明妇女参与非正式部门的情况，包括妇女在非正规经济和正规经济中的就业人数。</w:t>
      </w:r>
    </w:p>
    <w:p w:rsidR="005257FD" w:rsidRDefault="005257FD" w:rsidP="005257FD">
      <w:pPr>
        <w:pStyle w:val="SingleTxt"/>
        <w:rPr>
          <w:rFonts w:hint="eastAsia"/>
        </w:rPr>
      </w:pPr>
      <w:r>
        <w:rPr>
          <w:rFonts w:hint="eastAsia"/>
        </w:rPr>
        <w:t>24.</w:t>
      </w:r>
      <w:r w:rsidR="00F11876">
        <w:rPr>
          <w:rFonts w:hint="eastAsia"/>
        </w:rPr>
        <w:tab/>
      </w:r>
      <w:r>
        <w:rPr>
          <w:rFonts w:hint="eastAsia"/>
        </w:rPr>
        <w:t>请说明尼日尔已有的国家发展计划或减贫战略，包括旨在实现千年发展目标的计划和战略是怎样融入两性平等观点的，怎样帮助执行消除对妇女一切形式歧视公约。</w:t>
      </w:r>
    </w:p>
    <w:p w:rsidR="005257FD" w:rsidRPr="00F11876" w:rsidRDefault="005257FD" w:rsidP="005257FD">
      <w:pPr>
        <w:pStyle w:val="SingleTxt"/>
        <w:rPr>
          <w:rFonts w:ascii="SimHei" w:eastAsia="SimHei" w:hint="eastAsia"/>
          <w:color w:val="FF0000"/>
        </w:rPr>
      </w:pPr>
      <w:r w:rsidRPr="00F11876">
        <w:rPr>
          <w:rFonts w:ascii="SimHei" w:eastAsia="SimHei" w:hint="eastAsia"/>
          <w:color w:val="FF0000"/>
        </w:rPr>
        <w:t>第12条</w:t>
      </w:r>
    </w:p>
    <w:p w:rsidR="005257FD" w:rsidRDefault="005257FD" w:rsidP="005257FD">
      <w:pPr>
        <w:pStyle w:val="SingleTxt"/>
        <w:rPr>
          <w:rFonts w:hint="eastAsia"/>
        </w:rPr>
      </w:pPr>
      <w:r>
        <w:rPr>
          <w:rFonts w:hint="eastAsia"/>
        </w:rPr>
        <w:t>25.</w:t>
      </w:r>
      <w:r w:rsidR="00F11876">
        <w:rPr>
          <w:rFonts w:hint="eastAsia"/>
        </w:rPr>
        <w:tab/>
      </w:r>
      <w:r>
        <w:rPr>
          <w:rFonts w:hint="eastAsia"/>
        </w:rPr>
        <w:t>暴力侵害妇女行为及其因果问题特别报告员对西部铁尔拉波里省和东部帝法省有切割女性生殖器的习俗(E/CN.4/2003/75/Add.1,第446段)</w:t>
      </w:r>
      <w:r w:rsidR="00F11876">
        <w:rPr>
          <w:rFonts w:hint="eastAsia"/>
        </w:rPr>
        <w:t>——</w:t>
      </w:r>
      <w:r>
        <w:rPr>
          <w:rFonts w:hint="eastAsia"/>
        </w:rPr>
        <w:t>尽管自2001年已经宣布为非法，感到关切。请说明已经采取了哪些措施来解决这些问题，包括向从业者和公众进行宣传运动，以打击和消除有害的传统习俗。请进一步说明禁止切割女性生殖器的法律的执行情况，并提供起诉有关切割女性生殖器的案件的数量的资料以及这些案件被判有罪和刑罚的资料。</w:t>
      </w:r>
    </w:p>
    <w:p w:rsidR="005257FD" w:rsidRDefault="005257FD" w:rsidP="005257FD">
      <w:pPr>
        <w:pStyle w:val="SingleTxt"/>
        <w:rPr>
          <w:rFonts w:hint="eastAsia"/>
        </w:rPr>
      </w:pPr>
      <w:r>
        <w:rPr>
          <w:rFonts w:hint="eastAsia"/>
        </w:rPr>
        <w:t>26.</w:t>
      </w:r>
      <w:r w:rsidR="00F11876">
        <w:rPr>
          <w:rFonts w:hint="eastAsia"/>
        </w:rPr>
        <w:tab/>
      </w:r>
      <w:r>
        <w:rPr>
          <w:rFonts w:hint="eastAsia"/>
        </w:rPr>
        <w:t>请提供信息，说明感染艾滋病毒/艾滋病的妇女人数及能否为感染了艾滋病毒/艾滋病的妇女和她们的子女提供抗逆转录病毒药物和心理社会学的治疗。请说明有没有现行的防治艾滋病毒/艾滋病方案融入了两性平等观点。</w:t>
      </w:r>
    </w:p>
    <w:p w:rsidR="005257FD" w:rsidRDefault="005257FD" w:rsidP="005257FD">
      <w:pPr>
        <w:pStyle w:val="SingleTxt"/>
        <w:rPr>
          <w:rFonts w:hint="eastAsia"/>
        </w:rPr>
      </w:pPr>
      <w:r>
        <w:rPr>
          <w:rFonts w:hint="eastAsia"/>
        </w:rPr>
        <w:t>27.</w:t>
      </w:r>
      <w:r w:rsidR="00F11876">
        <w:rPr>
          <w:rFonts w:hint="eastAsia"/>
        </w:rPr>
        <w:tab/>
      </w:r>
      <w:r>
        <w:rPr>
          <w:rFonts w:hint="eastAsia"/>
        </w:rPr>
        <w:t>报告指出妇女的健康不稳定，这是因为若干互相关联的因素，例如连续产子、食物禁忌、不良的传统习俗、家庭及农活重等因素影响她们的工作能力，侵蚀她们的健康（第51页第10.1段）。报告（第50页第50段）提到的1994年卫生发展计划据称是为了提倡妇幼保健和计划生育而推行的，目的是降低孕产妇、婴儿和儿童死亡率，并提倡健康饮食和良好的营养。请说明采取了什么具体活动来执行这项政策以及迄今取得的任何成果。答复还应当提供这样的信息，即婴儿和产妇死亡率和发病率，包括在一段时间内的趋势以及城乡差异。</w:t>
      </w:r>
    </w:p>
    <w:p w:rsidR="005257FD" w:rsidRDefault="005257FD" w:rsidP="005257FD">
      <w:pPr>
        <w:pStyle w:val="SingleTxt"/>
      </w:pPr>
      <w:r>
        <w:rPr>
          <w:rFonts w:hint="eastAsia"/>
        </w:rPr>
        <w:t>28.</w:t>
      </w:r>
      <w:r w:rsidR="00F11876">
        <w:rPr>
          <w:rFonts w:hint="eastAsia"/>
        </w:rPr>
        <w:tab/>
      </w:r>
      <w:r>
        <w:rPr>
          <w:rFonts w:hint="eastAsia"/>
        </w:rPr>
        <w:t>请更详细说明妇女利用和参加可负担的生殖健康和性健康服务及教育方案的机会，也说明它们的实质性内容以及特别的群体如青少年和农村妇女是否也能得到。</w:t>
      </w:r>
    </w:p>
    <w:p w:rsidR="005257FD" w:rsidRPr="00F11876" w:rsidRDefault="005257FD" w:rsidP="005257FD">
      <w:pPr>
        <w:pStyle w:val="SingleTxt"/>
        <w:rPr>
          <w:rFonts w:ascii="SimHei" w:eastAsia="SimHei" w:hint="eastAsia"/>
          <w:color w:val="FF0000"/>
        </w:rPr>
      </w:pPr>
      <w:r w:rsidRPr="00F11876">
        <w:rPr>
          <w:rFonts w:ascii="SimHei" w:eastAsia="SimHei" w:hint="eastAsia"/>
          <w:color w:val="FF0000"/>
        </w:rPr>
        <w:t>第13条</w:t>
      </w:r>
    </w:p>
    <w:p w:rsidR="005257FD" w:rsidRDefault="005257FD" w:rsidP="005257FD">
      <w:pPr>
        <w:pStyle w:val="SingleTxt"/>
        <w:rPr>
          <w:rFonts w:hint="eastAsia"/>
        </w:rPr>
      </w:pPr>
      <w:r>
        <w:rPr>
          <w:rFonts w:hint="eastAsia"/>
        </w:rPr>
        <w:t>29.</w:t>
      </w:r>
      <w:r w:rsidR="00F11876">
        <w:rPr>
          <w:rFonts w:hint="eastAsia"/>
        </w:rPr>
        <w:tab/>
      </w:r>
      <w:r>
        <w:rPr>
          <w:rFonts w:hint="eastAsia"/>
        </w:rPr>
        <w:t>请详述报告（第54页第11.1.2段）提到的、为了帮助妇女创业者而采取的措施的影响。</w:t>
      </w:r>
    </w:p>
    <w:p w:rsidR="005257FD" w:rsidRPr="00F11876" w:rsidRDefault="005257FD" w:rsidP="005257FD">
      <w:pPr>
        <w:pStyle w:val="SingleTxt"/>
        <w:rPr>
          <w:rFonts w:ascii="SimHei" w:eastAsia="SimHei" w:hint="eastAsia"/>
          <w:color w:val="FF0000"/>
        </w:rPr>
      </w:pPr>
      <w:r w:rsidRPr="00F11876">
        <w:rPr>
          <w:rFonts w:ascii="SimHei" w:eastAsia="SimHei" w:hint="eastAsia"/>
          <w:color w:val="FF0000"/>
        </w:rPr>
        <w:t>第14条</w:t>
      </w:r>
    </w:p>
    <w:p w:rsidR="005257FD" w:rsidRDefault="005257FD" w:rsidP="005257FD">
      <w:pPr>
        <w:pStyle w:val="SingleTxt"/>
      </w:pPr>
      <w:r>
        <w:rPr>
          <w:rFonts w:hint="eastAsia"/>
        </w:rPr>
        <w:t>30.</w:t>
      </w:r>
      <w:r w:rsidR="00F11876">
        <w:rPr>
          <w:rFonts w:hint="eastAsia"/>
        </w:rPr>
        <w:tab/>
      </w:r>
      <w:r>
        <w:rPr>
          <w:rFonts w:hint="eastAsia"/>
        </w:rPr>
        <w:t>请说明政府为了改善农村妇女的状况而采取的所有措施的影响，包括对她们获得保健、教育、水和土地、社会保险的机会以及参与所有各级决策过程的影响。并请说明已作了什么努力来提高妇女的觉悟，鼓励她们要求自己的权利如财产权和继承权。</w:t>
      </w:r>
    </w:p>
    <w:p w:rsidR="005257FD" w:rsidRPr="00F11876" w:rsidRDefault="005257FD" w:rsidP="005257FD">
      <w:pPr>
        <w:pStyle w:val="SingleTxt"/>
        <w:rPr>
          <w:rFonts w:ascii="SimHei" w:eastAsia="SimHei" w:hint="eastAsia"/>
          <w:color w:val="FF0000"/>
        </w:rPr>
      </w:pPr>
      <w:r w:rsidRPr="00F11876">
        <w:rPr>
          <w:rFonts w:ascii="SimHei" w:eastAsia="SimHei" w:hint="eastAsia"/>
          <w:color w:val="FF0000"/>
        </w:rPr>
        <w:t>第15条</w:t>
      </w:r>
    </w:p>
    <w:p w:rsidR="005257FD" w:rsidRDefault="005257FD" w:rsidP="005257FD">
      <w:pPr>
        <w:pStyle w:val="SingleTxt"/>
        <w:rPr>
          <w:rFonts w:hint="eastAsia"/>
        </w:rPr>
      </w:pPr>
      <w:r>
        <w:rPr>
          <w:rFonts w:hint="eastAsia"/>
        </w:rPr>
        <w:t>31.</w:t>
      </w:r>
      <w:r w:rsidR="00F11876">
        <w:rPr>
          <w:rFonts w:hint="eastAsia"/>
        </w:rPr>
        <w:tab/>
      </w:r>
      <w:r>
        <w:rPr>
          <w:rFonts w:hint="eastAsia"/>
        </w:rPr>
        <w:t>新的商业法规定已婚妇女</w:t>
      </w:r>
      <w:r w:rsidR="00F11876">
        <w:rPr>
          <w:rFonts w:hint="eastAsia"/>
        </w:rPr>
        <w:t>“</w:t>
      </w:r>
      <w:r>
        <w:rPr>
          <w:rFonts w:hint="eastAsia"/>
        </w:rPr>
        <w:t>可以不经丈夫同意即可从事商业活动</w:t>
      </w:r>
      <w:r w:rsidR="00F11876">
        <w:rPr>
          <w:rFonts w:hint="eastAsia"/>
        </w:rPr>
        <w:t>”</w:t>
      </w:r>
      <w:r>
        <w:rPr>
          <w:rFonts w:hint="eastAsia"/>
        </w:rPr>
        <w:t>(第53页，第11.1.1段)。不过，</w:t>
      </w:r>
      <w:r w:rsidR="00F11876">
        <w:rPr>
          <w:rFonts w:hint="eastAsia"/>
        </w:rPr>
        <w:t>“</w:t>
      </w:r>
      <w:r>
        <w:rPr>
          <w:rFonts w:hint="eastAsia"/>
        </w:rPr>
        <w:t>1962年3月16日第62</w:t>
      </w:r>
      <w:r w:rsidR="00F11876">
        <w:rPr>
          <w:rFonts w:hint="eastAsia"/>
        </w:rPr>
        <w:t>-</w:t>
      </w:r>
      <w:r>
        <w:rPr>
          <w:rFonts w:hint="eastAsia"/>
        </w:rPr>
        <w:t>11号法令规定在大多数事务上，例如签订合同及提出法律诉讼的能力方面，给予习惯法更优先地位</w:t>
      </w:r>
      <w:r w:rsidR="00F11876">
        <w:rPr>
          <w:rFonts w:hint="eastAsia"/>
        </w:rPr>
        <w:t>”</w:t>
      </w:r>
      <w:r>
        <w:rPr>
          <w:rFonts w:hint="eastAsia"/>
        </w:rPr>
        <w:t>（第19页，第1.1.2段）。请说明以上两段文字哪一段适用于要做生意的已婚妇女。报告还提到，根据尼日尔宪法第130条，</w:t>
      </w:r>
      <w:r w:rsidR="00F11876">
        <w:rPr>
          <w:rFonts w:hint="eastAsia"/>
        </w:rPr>
        <w:t>“</w:t>
      </w:r>
      <w:r>
        <w:rPr>
          <w:rFonts w:hint="eastAsia"/>
        </w:rPr>
        <w:t>此一过时的、不适当的法令是违宪和无效的</w:t>
      </w:r>
      <w:r w:rsidR="00F11876">
        <w:rPr>
          <w:rFonts w:hint="eastAsia"/>
        </w:rPr>
        <w:t>”</w:t>
      </w:r>
      <w:r>
        <w:rPr>
          <w:rFonts w:hint="eastAsia"/>
        </w:rPr>
        <w:t>(第63页，第14.1.1段)。政府有没有采取任何措施来撤消这项法律？</w:t>
      </w:r>
    </w:p>
    <w:p w:rsidR="005257FD" w:rsidRPr="00F11876" w:rsidRDefault="005257FD" w:rsidP="005257FD">
      <w:pPr>
        <w:pStyle w:val="SingleTxt"/>
        <w:rPr>
          <w:rFonts w:ascii="SimHei" w:eastAsia="SimHei" w:hint="eastAsia"/>
          <w:color w:val="FF0000"/>
        </w:rPr>
      </w:pPr>
      <w:r w:rsidRPr="00F11876">
        <w:rPr>
          <w:rFonts w:ascii="SimHei" w:eastAsia="SimHei" w:hint="eastAsia"/>
          <w:color w:val="FF0000"/>
        </w:rPr>
        <w:t>第16条</w:t>
      </w:r>
    </w:p>
    <w:p w:rsidR="005257FD" w:rsidRDefault="005257FD" w:rsidP="005257FD">
      <w:pPr>
        <w:pStyle w:val="SingleTxt"/>
        <w:rPr>
          <w:rFonts w:hint="eastAsia"/>
        </w:rPr>
      </w:pPr>
      <w:r>
        <w:rPr>
          <w:rFonts w:hint="eastAsia"/>
        </w:rPr>
        <w:t>32.</w:t>
      </w:r>
      <w:r w:rsidR="00F11876">
        <w:rPr>
          <w:rFonts w:hint="eastAsia"/>
        </w:rPr>
        <w:tab/>
      </w:r>
      <w:r>
        <w:rPr>
          <w:rFonts w:hint="eastAsia"/>
        </w:rPr>
        <w:t>据暴力侵害妇女行为及其因果问题特别报告员说，尼日尔的早婚率在撒哈拉以南非洲是最高的，25</w:t>
      </w:r>
      <w:r w:rsidR="00F11876">
        <w:rPr>
          <w:rFonts w:hint="eastAsia"/>
        </w:rPr>
        <w:t>-</w:t>
      </w:r>
      <w:r>
        <w:rPr>
          <w:rFonts w:hint="eastAsia"/>
        </w:rPr>
        <w:t>49岁年龄组的人77％在18岁以前就结婚了(E/CN.4/2003/75/Add.1,第448段)。在其结论意见中，儿童权利委员会建议</w:t>
      </w:r>
      <w:r w:rsidR="00F11876">
        <w:rPr>
          <w:rFonts w:hint="eastAsia"/>
        </w:rPr>
        <w:t>“</w:t>
      </w:r>
      <w:r>
        <w:rPr>
          <w:rFonts w:hint="eastAsia"/>
        </w:rPr>
        <w:t>缔约国提高女孩的最低婚龄，使其与男孩一样，并制订宣传计划，让传统领袖和宗教领袖、社会大众包括儿童本身参与，遏制早婚习俗</w:t>
      </w:r>
      <w:r w:rsidR="00F11876">
        <w:rPr>
          <w:rFonts w:hint="eastAsia"/>
        </w:rPr>
        <w:t>”</w:t>
      </w:r>
      <w:r>
        <w:rPr>
          <w:rFonts w:hint="eastAsia"/>
        </w:rPr>
        <w:t>(CRC/C/15/Add.179,第24段)。请说明执行了或计划了什么具体措施来遏制早婚习俗。</w:t>
      </w:r>
    </w:p>
    <w:p w:rsidR="00F11876" w:rsidRPr="00F11876" w:rsidRDefault="00F11876" w:rsidP="00F11876">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F11876" w:rsidRPr="00F11876" w:rsidSect="00784E7E">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2T09:30:00Z" w:initials="Start">
    <w:p w:rsidR="00423DAB" w:rsidRDefault="00423DA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NO&gt;&gt;N0655516C&lt;&lt;ODS JOB NO&gt;&gt;</w:t>
      </w:r>
    </w:p>
    <w:p w:rsidR="00423DAB" w:rsidRDefault="00423DAB">
      <w:pPr>
        <w:pStyle w:val="CommentText"/>
      </w:pPr>
      <w:r>
        <w:t>&lt;&lt;ODS DOC SYMBOL1&gt;&gt;CEDAW/C/NER/Q/2&lt;&lt;ODS DOC SYMBOL1&gt;&gt;</w:t>
      </w:r>
    </w:p>
    <w:p w:rsidR="00423DAB" w:rsidRDefault="00423D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705" w:rsidRDefault="00234705">
      <w:r>
        <w:separator/>
      </w:r>
    </w:p>
  </w:endnote>
  <w:endnote w:type="continuationSeparator" w:id="0">
    <w:p w:rsidR="00234705" w:rsidRDefault="00234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23DAB" w:rsidTr="00784E7E">
      <w:tblPrEx>
        <w:tblCellMar>
          <w:top w:w="0" w:type="dxa"/>
          <w:bottom w:w="0" w:type="dxa"/>
        </w:tblCellMar>
      </w:tblPrEx>
      <w:tc>
        <w:tcPr>
          <w:tcW w:w="5033" w:type="dxa"/>
          <w:shd w:val="clear" w:color="auto" w:fill="auto"/>
          <w:vAlign w:val="bottom"/>
        </w:tcPr>
        <w:p w:rsidR="00423DAB" w:rsidRPr="00784E7E" w:rsidRDefault="00423DAB" w:rsidP="00784E7E">
          <w:pPr>
            <w:pStyle w:val="Footer"/>
            <w:jc w:val="left"/>
          </w:pPr>
          <w:r>
            <w:fldChar w:fldCharType="begin"/>
          </w:r>
          <w:r>
            <w:instrText xml:space="preserve"> PAGE  \* MERGEFORMAT </w:instrText>
          </w:r>
          <w:r>
            <w:fldChar w:fldCharType="separate"/>
          </w:r>
          <w:r w:rsidR="00863F2E">
            <w:t>4</w:t>
          </w:r>
          <w:r>
            <w:fldChar w:fldCharType="end"/>
          </w:r>
        </w:p>
      </w:tc>
      <w:tc>
        <w:tcPr>
          <w:tcW w:w="5033" w:type="dxa"/>
          <w:shd w:val="clear" w:color="auto" w:fill="auto"/>
          <w:vAlign w:val="bottom"/>
        </w:tcPr>
        <w:p w:rsidR="00423DAB" w:rsidRPr="00784E7E" w:rsidRDefault="00423DAB" w:rsidP="00784E7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63F2E">
            <w:rPr>
              <w:b w:val="0"/>
              <w:sz w:val="14"/>
            </w:rPr>
            <w:t>06-55516</w:t>
          </w:r>
          <w:r>
            <w:rPr>
              <w:b w:val="0"/>
              <w:sz w:val="14"/>
            </w:rPr>
            <w:fldChar w:fldCharType="end"/>
          </w:r>
        </w:p>
      </w:tc>
    </w:tr>
  </w:tbl>
  <w:p w:rsidR="00423DAB" w:rsidRPr="00784E7E" w:rsidRDefault="00423DAB" w:rsidP="00784E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23DAB" w:rsidTr="00784E7E">
      <w:tblPrEx>
        <w:tblCellMar>
          <w:top w:w="0" w:type="dxa"/>
          <w:bottom w:w="0" w:type="dxa"/>
        </w:tblCellMar>
      </w:tblPrEx>
      <w:tc>
        <w:tcPr>
          <w:tcW w:w="5033" w:type="dxa"/>
          <w:shd w:val="clear" w:color="auto" w:fill="auto"/>
          <w:vAlign w:val="bottom"/>
        </w:tcPr>
        <w:p w:rsidR="00423DAB" w:rsidRPr="00784E7E" w:rsidRDefault="00423DAB" w:rsidP="00784E7E">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63F2E">
            <w:rPr>
              <w:b w:val="0"/>
              <w:sz w:val="14"/>
            </w:rPr>
            <w:t>06-55516</w:t>
          </w:r>
          <w:r>
            <w:rPr>
              <w:b w:val="0"/>
              <w:sz w:val="14"/>
            </w:rPr>
            <w:fldChar w:fldCharType="end"/>
          </w:r>
        </w:p>
      </w:tc>
      <w:tc>
        <w:tcPr>
          <w:tcW w:w="5033" w:type="dxa"/>
          <w:shd w:val="clear" w:color="auto" w:fill="auto"/>
          <w:vAlign w:val="bottom"/>
        </w:tcPr>
        <w:p w:rsidR="00423DAB" w:rsidRPr="00784E7E" w:rsidRDefault="00423DAB" w:rsidP="00784E7E">
          <w:pPr>
            <w:pStyle w:val="Footer"/>
            <w:jc w:val="right"/>
          </w:pPr>
          <w:r>
            <w:fldChar w:fldCharType="begin"/>
          </w:r>
          <w:r>
            <w:instrText xml:space="preserve"> PAGE  \* MERGEFORMAT </w:instrText>
          </w:r>
          <w:r>
            <w:fldChar w:fldCharType="separate"/>
          </w:r>
          <w:r w:rsidR="00863F2E">
            <w:t>5</w:t>
          </w:r>
          <w:r>
            <w:fldChar w:fldCharType="end"/>
          </w:r>
        </w:p>
      </w:tc>
    </w:tr>
  </w:tbl>
  <w:p w:rsidR="00423DAB" w:rsidRPr="00784E7E" w:rsidRDefault="00423DAB" w:rsidP="00784E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DAB" w:rsidRDefault="00423DAB" w:rsidP="00784E7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863F2E">
      <w:rPr>
        <w:b w:val="0"/>
        <w:sz w:val="21"/>
      </w:rPr>
      <w:t>06-55516 (C)</w:t>
    </w:r>
    <w:r>
      <w:rPr>
        <w:b w:val="0"/>
        <w:sz w:val="21"/>
      </w:rPr>
      <w:fldChar w:fldCharType="end"/>
    </w:r>
    <w:r>
      <w:rPr>
        <w:b w:val="0"/>
        <w:sz w:val="21"/>
      </w:rPr>
      <w:t xml:space="preserve">    021106    021106</w:t>
    </w:r>
  </w:p>
  <w:p w:rsidR="00423DAB" w:rsidRPr="00784E7E" w:rsidRDefault="00423DAB" w:rsidP="00784E7E">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863F2E">
      <w:rPr>
        <w:rFonts w:ascii="Barcode 3 of 9 by request" w:hAnsi="Barcode 3 of 9 by request"/>
        <w:sz w:val="24"/>
      </w:rPr>
      <w:t>*0655516*</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705" w:rsidRPr="005257FD" w:rsidRDefault="00234705" w:rsidP="005257FD">
      <w:pPr>
        <w:pStyle w:val="Footer"/>
        <w:spacing w:after="80"/>
        <w:ind w:left="792"/>
        <w:rPr>
          <w:sz w:val="16"/>
        </w:rPr>
      </w:pPr>
      <w:r w:rsidRPr="005257FD">
        <w:rPr>
          <w:sz w:val="16"/>
        </w:rPr>
        <w:t>__________________</w:t>
      </w:r>
    </w:p>
  </w:footnote>
  <w:footnote w:type="continuationSeparator" w:id="0">
    <w:p w:rsidR="00234705" w:rsidRPr="005257FD" w:rsidRDefault="00234705" w:rsidP="005257FD">
      <w:pPr>
        <w:pStyle w:val="Footer"/>
        <w:spacing w:after="80"/>
        <w:ind w:left="792"/>
        <w:rPr>
          <w:sz w:val="16"/>
        </w:rPr>
      </w:pPr>
      <w:r w:rsidRPr="005257FD">
        <w:rPr>
          <w:sz w:val="16"/>
        </w:rPr>
        <w:t>__________________</w:t>
      </w:r>
    </w:p>
  </w:footnote>
  <w:footnote w:id="1">
    <w:p w:rsidR="00423DAB" w:rsidRDefault="00423DAB" w:rsidP="005257F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w:t>
      </w:r>
      <w:r>
        <w:tab/>
      </w:r>
      <w:r>
        <w:rPr>
          <w:rFonts w:hint="eastAsia"/>
        </w:rPr>
        <w:t>这份议题和问题清单中的页码指的是报告英文本中的页码。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23DAB" w:rsidTr="00784E7E">
      <w:tblPrEx>
        <w:tblCellMar>
          <w:top w:w="0" w:type="dxa"/>
          <w:bottom w:w="0" w:type="dxa"/>
        </w:tblCellMar>
      </w:tblPrEx>
      <w:trPr>
        <w:trHeight w:hRule="exact" w:val="864"/>
      </w:trPr>
      <w:tc>
        <w:tcPr>
          <w:tcW w:w="4838" w:type="dxa"/>
          <w:shd w:val="clear" w:color="auto" w:fill="auto"/>
          <w:vAlign w:val="bottom"/>
        </w:tcPr>
        <w:p w:rsidR="00423DAB" w:rsidRPr="00784E7E" w:rsidRDefault="00423DAB" w:rsidP="00784E7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63F2E">
            <w:rPr>
              <w:b/>
              <w:sz w:val="17"/>
            </w:rPr>
            <w:t>CEDAW/C/NER/Q/2</w:t>
          </w:r>
          <w:r>
            <w:rPr>
              <w:b/>
              <w:sz w:val="17"/>
            </w:rPr>
            <w:fldChar w:fldCharType="end"/>
          </w:r>
        </w:p>
      </w:tc>
      <w:tc>
        <w:tcPr>
          <w:tcW w:w="5033" w:type="dxa"/>
          <w:shd w:val="clear" w:color="auto" w:fill="auto"/>
          <w:vAlign w:val="bottom"/>
        </w:tcPr>
        <w:p w:rsidR="00423DAB" w:rsidRDefault="00423DAB" w:rsidP="00784E7E">
          <w:pPr>
            <w:pStyle w:val="Header"/>
          </w:pPr>
        </w:p>
      </w:tc>
    </w:tr>
  </w:tbl>
  <w:p w:rsidR="00423DAB" w:rsidRPr="00784E7E" w:rsidRDefault="00423DAB" w:rsidP="00784E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23DAB" w:rsidTr="00784E7E">
      <w:tblPrEx>
        <w:tblCellMar>
          <w:top w:w="0" w:type="dxa"/>
          <w:bottom w:w="0" w:type="dxa"/>
        </w:tblCellMar>
      </w:tblPrEx>
      <w:trPr>
        <w:trHeight w:hRule="exact" w:val="864"/>
      </w:trPr>
      <w:tc>
        <w:tcPr>
          <w:tcW w:w="4838" w:type="dxa"/>
          <w:shd w:val="clear" w:color="auto" w:fill="auto"/>
          <w:vAlign w:val="bottom"/>
        </w:tcPr>
        <w:p w:rsidR="00423DAB" w:rsidRDefault="00423DAB" w:rsidP="00784E7E">
          <w:pPr>
            <w:pStyle w:val="Header"/>
          </w:pPr>
        </w:p>
      </w:tc>
      <w:tc>
        <w:tcPr>
          <w:tcW w:w="5033" w:type="dxa"/>
          <w:shd w:val="clear" w:color="auto" w:fill="auto"/>
          <w:vAlign w:val="bottom"/>
        </w:tcPr>
        <w:p w:rsidR="00423DAB" w:rsidRPr="00784E7E" w:rsidRDefault="00423DAB" w:rsidP="00784E7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63F2E">
            <w:rPr>
              <w:b/>
              <w:sz w:val="17"/>
            </w:rPr>
            <w:t>CEDAW/C/NER/Q/2</w:t>
          </w:r>
          <w:r>
            <w:rPr>
              <w:b/>
              <w:sz w:val="17"/>
            </w:rPr>
            <w:fldChar w:fldCharType="end"/>
          </w:r>
        </w:p>
      </w:tc>
    </w:tr>
  </w:tbl>
  <w:p w:rsidR="00423DAB" w:rsidRPr="00784E7E" w:rsidRDefault="00423DAB" w:rsidP="00784E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23DAB" w:rsidTr="00784E7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23DAB" w:rsidRDefault="00423DAB" w:rsidP="00784E7E">
          <w:pPr>
            <w:pStyle w:val="Header"/>
            <w:spacing w:after="120"/>
          </w:pPr>
        </w:p>
      </w:tc>
      <w:tc>
        <w:tcPr>
          <w:tcW w:w="1872" w:type="dxa"/>
          <w:tcBorders>
            <w:bottom w:val="single" w:sz="4" w:space="0" w:color="auto"/>
          </w:tcBorders>
          <w:shd w:val="clear" w:color="auto" w:fill="auto"/>
          <w:vAlign w:val="bottom"/>
        </w:tcPr>
        <w:p w:rsidR="00423DAB" w:rsidRPr="00784E7E" w:rsidRDefault="00423DAB" w:rsidP="00784E7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23DAB" w:rsidRDefault="00423DAB" w:rsidP="00784E7E">
          <w:pPr>
            <w:pStyle w:val="Header"/>
            <w:spacing w:after="120"/>
          </w:pPr>
        </w:p>
      </w:tc>
      <w:tc>
        <w:tcPr>
          <w:tcW w:w="6523" w:type="dxa"/>
          <w:gridSpan w:val="3"/>
          <w:tcBorders>
            <w:bottom w:val="single" w:sz="4" w:space="0" w:color="auto"/>
          </w:tcBorders>
          <w:shd w:val="clear" w:color="auto" w:fill="auto"/>
          <w:vAlign w:val="bottom"/>
        </w:tcPr>
        <w:p w:rsidR="00423DAB" w:rsidRPr="00784E7E" w:rsidRDefault="00423DAB" w:rsidP="00784E7E">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/C/NER/Q/2</w:t>
          </w:r>
        </w:p>
      </w:tc>
    </w:tr>
    <w:tr w:rsidR="00423DAB" w:rsidRPr="00784E7E" w:rsidTr="00784E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23DAB" w:rsidRDefault="00423DAB" w:rsidP="00784E7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23DAB" w:rsidRPr="00784E7E" w:rsidRDefault="00423DAB" w:rsidP="00784E7E">
          <w:pPr>
            <w:pStyle w:val="Header"/>
            <w:spacing w:before="109"/>
            <w:ind w:left="-72"/>
          </w:pPr>
        </w:p>
      </w:tc>
      <w:tc>
        <w:tcPr>
          <w:tcW w:w="5227" w:type="dxa"/>
          <w:gridSpan w:val="3"/>
          <w:tcBorders>
            <w:top w:val="single" w:sz="4" w:space="0" w:color="auto"/>
            <w:bottom w:val="single" w:sz="12" w:space="0" w:color="auto"/>
          </w:tcBorders>
          <w:shd w:val="clear" w:color="auto" w:fill="auto"/>
        </w:tcPr>
        <w:p w:rsidR="00423DAB" w:rsidRPr="00784E7E" w:rsidRDefault="00423DAB" w:rsidP="00784E7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23DAB" w:rsidRPr="00784E7E" w:rsidRDefault="00423DAB" w:rsidP="00784E7E">
          <w:pPr>
            <w:pStyle w:val="Header"/>
            <w:spacing w:before="109"/>
          </w:pPr>
        </w:p>
      </w:tc>
      <w:tc>
        <w:tcPr>
          <w:tcW w:w="3180" w:type="dxa"/>
          <w:gridSpan w:val="2"/>
          <w:tcBorders>
            <w:top w:val="single" w:sz="4" w:space="0" w:color="auto"/>
            <w:bottom w:val="single" w:sz="12" w:space="0" w:color="auto"/>
          </w:tcBorders>
          <w:shd w:val="clear" w:color="auto" w:fill="auto"/>
        </w:tcPr>
        <w:p w:rsidR="00423DAB" w:rsidRDefault="00423DAB" w:rsidP="00784E7E">
          <w:pPr>
            <w:spacing w:before="240" w:line="240" w:lineRule="exact"/>
            <w:rPr>
              <w:rFonts w:ascii="Times New Roman"/>
            </w:rPr>
          </w:pPr>
          <w:r>
            <w:rPr>
              <w:rFonts w:ascii="Times New Roman"/>
            </w:rPr>
            <w:t>Distr.: General</w:t>
          </w:r>
        </w:p>
        <w:p w:rsidR="00423DAB" w:rsidRDefault="00423DAB" w:rsidP="00784E7E">
          <w:pPr>
            <w:spacing w:line="240" w:lineRule="exact"/>
            <w:rPr>
              <w:rFonts w:ascii="Times New Roman"/>
            </w:rPr>
          </w:pPr>
          <w:r>
            <w:rPr>
              <w:rFonts w:ascii="Times New Roman"/>
            </w:rPr>
            <w:t>5 October 2006</w:t>
          </w:r>
        </w:p>
        <w:p w:rsidR="00423DAB" w:rsidRDefault="00423DAB" w:rsidP="00784E7E">
          <w:pPr>
            <w:spacing w:line="240" w:lineRule="exact"/>
            <w:rPr>
              <w:rFonts w:ascii="Times New Roman"/>
            </w:rPr>
          </w:pPr>
          <w:r>
            <w:rPr>
              <w:rFonts w:ascii="Times New Roman"/>
            </w:rPr>
            <w:t>Chinese</w:t>
          </w:r>
        </w:p>
        <w:p w:rsidR="00423DAB" w:rsidRPr="00784E7E" w:rsidRDefault="00423DAB" w:rsidP="00784E7E">
          <w:pPr>
            <w:spacing w:line="240" w:lineRule="exact"/>
            <w:rPr>
              <w:rFonts w:ascii="Times New Roman"/>
            </w:rPr>
          </w:pPr>
          <w:r>
            <w:rPr>
              <w:rFonts w:ascii="Times New Roman"/>
            </w:rPr>
            <w:t>Original: English</w:t>
          </w:r>
        </w:p>
      </w:tc>
    </w:tr>
  </w:tbl>
  <w:p w:rsidR="00423DAB" w:rsidRPr="00784E7E" w:rsidRDefault="00423DAB" w:rsidP="00784E7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16*"/>
    <w:docVar w:name="CreationDt" w:val="02/11/2006 09:14:08"/>
    <w:docVar w:name="DocCategory" w:val="Doc"/>
    <w:docVar w:name="DocType" w:val="Final"/>
    <w:docVar w:name="FooterJN" w:val="06-55516"/>
    <w:docVar w:name="jobn" w:val="06-55516 (C)"/>
    <w:docVar w:name="jobnDT" w:val="06-55516 (C)   021106"/>
    <w:docVar w:name="jobnDTDT" w:val="06-55516 (C)   021106   021106"/>
    <w:docVar w:name="JobNo" w:val="0655516C"/>
    <w:docVar w:name="OandT" w:val="XI"/>
    <w:docVar w:name="sss1" w:val="CEDAW/C/NER/Q/2"/>
    <w:docVar w:name="sss2" w:val="-"/>
    <w:docVar w:name="Symbol1" w:val="CEDAW/C/NER/Q/2"/>
    <w:docVar w:name="Symbol2" w:val="-"/>
  </w:docVars>
  <w:rsids>
    <w:rsidRoot w:val="00E2373A"/>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1F23A3"/>
    <w:rsid w:val="00234705"/>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23DAB"/>
    <w:rsid w:val="004424EF"/>
    <w:rsid w:val="00453BB0"/>
    <w:rsid w:val="00456BB6"/>
    <w:rsid w:val="00460162"/>
    <w:rsid w:val="004620A8"/>
    <w:rsid w:val="004A06D1"/>
    <w:rsid w:val="004A11FC"/>
    <w:rsid w:val="004C3255"/>
    <w:rsid w:val="004D1C19"/>
    <w:rsid w:val="004F29B8"/>
    <w:rsid w:val="0050413E"/>
    <w:rsid w:val="00515657"/>
    <w:rsid w:val="00521275"/>
    <w:rsid w:val="0052216F"/>
    <w:rsid w:val="005232CA"/>
    <w:rsid w:val="00523636"/>
    <w:rsid w:val="005257FD"/>
    <w:rsid w:val="005335B9"/>
    <w:rsid w:val="00536CCE"/>
    <w:rsid w:val="005541E4"/>
    <w:rsid w:val="0058302A"/>
    <w:rsid w:val="005B7338"/>
    <w:rsid w:val="005C02AB"/>
    <w:rsid w:val="005D0F04"/>
    <w:rsid w:val="005F3273"/>
    <w:rsid w:val="005F34A3"/>
    <w:rsid w:val="00610CF2"/>
    <w:rsid w:val="00634809"/>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61190"/>
    <w:rsid w:val="00776537"/>
    <w:rsid w:val="00783A25"/>
    <w:rsid w:val="00784E7E"/>
    <w:rsid w:val="007E1B5E"/>
    <w:rsid w:val="007F2278"/>
    <w:rsid w:val="00805783"/>
    <w:rsid w:val="00806F57"/>
    <w:rsid w:val="00806F90"/>
    <w:rsid w:val="00824C19"/>
    <w:rsid w:val="008378D1"/>
    <w:rsid w:val="00846462"/>
    <w:rsid w:val="00862B14"/>
    <w:rsid w:val="00863F2E"/>
    <w:rsid w:val="0086691F"/>
    <w:rsid w:val="00884C8F"/>
    <w:rsid w:val="008C3296"/>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077A"/>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C252A"/>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74E1"/>
    <w:rsid w:val="00D9586D"/>
    <w:rsid w:val="00DA0503"/>
    <w:rsid w:val="00DC2506"/>
    <w:rsid w:val="00DC49FA"/>
    <w:rsid w:val="00DD3D6B"/>
    <w:rsid w:val="00DD4467"/>
    <w:rsid w:val="00DD61C8"/>
    <w:rsid w:val="00DD772B"/>
    <w:rsid w:val="00E2373A"/>
    <w:rsid w:val="00E25442"/>
    <w:rsid w:val="00E37EEB"/>
    <w:rsid w:val="00E710FB"/>
    <w:rsid w:val="00E806D9"/>
    <w:rsid w:val="00E82CA2"/>
    <w:rsid w:val="00E95594"/>
    <w:rsid w:val="00EA31C3"/>
    <w:rsid w:val="00EC6F21"/>
    <w:rsid w:val="00EE0913"/>
    <w:rsid w:val="00F01440"/>
    <w:rsid w:val="00F11876"/>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Pages>
  <Words>2082</Words>
  <Characters>2166</Characters>
  <Application>Microsoft Office Word</Application>
  <DocSecurity>4</DocSecurity>
  <Lines>94</Lines>
  <Paragraphs>88</Paragraphs>
  <ScaleCrop>false</ScaleCrop>
  <Company>United Nations</Company>
  <LinksUpToDate>false</LinksUpToDate>
  <CharactersWithSpaces>4160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Lanjun Xi</dc:creator>
  <cp:keywords/>
  <dc:description/>
  <cp:lastModifiedBy>Lanjun Xi</cp:lastModifiedBy>
  <cp:revision>9</cp:revision>
  <cp:lastPrinted>2006-11-02T14:56:00Z</cp:lastPrinted>
  <dcterms:created xsi:type="dcterms:W3CDTF">2006-11-02T08:13:00Z</dcterms:created>
  <dcterms:modified xsi:type="dcterms:W3CDTF">2006-11-02T14:56:00Z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0655516</vt:lpwstr>
  </property>
  <property fmtid="{D5CDD505-2E9C-101B-9397-08002B2CF9AE}" pid="3" name="Symbol1">
    <vt:lpwstr>CEDAW/C/NER/Q/2</vt:lpwstr>
  </property>
  <property fmtid="{D5CDD505-2E9C-101B-9397-08002B2CF9AE}" pid="4" name="Symbol2">
    <vt:lpwstr/>
  </property>
  <property fmtid="{D5CDD505-2E9C-101B-9397-08002B2CF9AE}" pid="5" name="Translator">
    <vt:lpwstr/>
  </property>
  <property fmtid="{D5CDD505-2E9C-101B-9397-08002B2CF9AE}" pid="6" name="Operator">
    <vt:lpwstr>XI</vt:lpwstr>
  </property>
  <property fmtid="{D5CDD505-2E9C-101B-9397-08002B2CF9AE}" pid="7" name="DraftPages">
    <vt:lpwstr> </vt:lpwstr>
  </property>
  <property fmtid="{D5CDD505-2E9C-101B-9397-08002B2CF9AE}" pid="8" name="Comment">
    <vt:lpwstr/>
  </property>
</Properties>
</file>