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DD9F828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DA49C4D" w14:textId="77777777" w:rsidR="002D5AAC" w:rsidRDefault="002D5AAC" w:rsidP="00BE255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F0CF25D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EBAC30F" w14:textId="3174FBBF" w:rsidR="002D5AAC" w:rsidRDefault="00BE255F" w:rsidP="00BE255F">
            <w:pPr>
              <w:jc w:val="right"/>
            </w:pPr>
            <w:r w:rsidRPr="00BE255F">
              <w:rPr>
                <w:sz w:val="40"/>
              </w:rPr>
              <w:t>CED</w:t>
            </w:r>
            <w:r>
              <w:t>/C/NLD/OAI/1</w:t>
            </w:r>
          </w:p>
        </w:tc>
      </w:tr>
      <w:tr w:rsidR="002D5AAC" w:rsidRPr="0017666E" w14:paraId="052796DC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E11EAFA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34C6FB0" wp14:editId="5665A66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070477F" w14:textId="77777777"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10D9CF2" w14:textId="77777777" w:rsidR="00BE255F" w:rsidRPr="00BE255F" w:rsidRDefault="00BE255F" w:rsidP="00BE255F">
            <w:pPr>
              <w:suppressAutoHyphens w:val="0"/>
              <w:spacing w:before="240" w:line="240" w:lineRule="exact"/>
              <w:rPr>
                <w:lang w:val="en-US"/>
              </w:rPr>
            </w:pPr>
            <w:r w:rsidRPr="00BE255F">
              <w:rPr>
                <w:lang w:val="en-US"/>
              </w:rPr>
              <w:t>Distr.: General</w:t>
            </w:r>
          </w:p>
          <w:p w14:paraId="424ACF4C" w14:textId="77777777" w:rsidR="00BE255F" w:rsidRPr="00BE255F" w:rsidRDefault="00BE255F" w:rsidP="00BE255F">
            <w:pPr>
              <w:suppressAutoHyphens w:val="0"/>
              <w:rPr>
                <w:lang w:val="en-US"/>
              </w:rPr>
            </w:pPr>
            <w:r w:rsidRPr="00BE255F">
              <w:rPr>
                <w:lang w:val="en-US"/>
              </w:rPr>
              <w:t>16 October 2023</w:t>
            </w:r>
          </w:p>
          <w:p w14:paraId="4AFF7937" w14:textId="2ED4FE98" w:rsidR="00BE255F" w:rsidRPr="00BE255F" w:rsidRDefault="00BE255F" w:rsidP="00BE255F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E73A257" w14:textId="45DA0E51" w:rsidR="00BE255F" w:rsidRPr="00BE255F" w:rsidRDefault="00BE255F" w:rsidP="00BE255F">
            <w:pPr>
              <w:spacing w:line="240" w:lineRule="exact"/>
              <w:rPr>
                <w:lang w:val="en-US"/>
              </w:rPr>
            </w:pPr>
            <w:r w:rsidRPr="00BE255F">
              <w:rPr>
                <w:lang w:val="en-US"/>
              </w:rPr>
              <w:t>Original: English</w:t>
            </w:r>
          </w:p>
        </w:tc>
      </w:tr>
    </w:tbl>
    <w:p w14:paraId="6FB13D54" w14:textId="77777777" w:rsidR="009707B3" w:rsidRPr="009707B3" w:rsidRDefault="009707B3" w:rsidP="009707B3">
      <w:pPr>
        <w:spacing w:before="120"/>
        <w:rPr>
          <w:b/>
          <w:bCs/>
          <w:sz w:val="32"/>
          <w:szCs w:val="32"/>
        </w:rPr>
      </w:pPr>
      <w:r w:rsidRPr="009707B3">
        <w:rPr>
          <w:b/>
          <w:bCs/>
          <w:sz w:val="24"/>
          <w:szCs w:val="28"/>
        </w:rPr>
        <w:t>Комитет по насильственным исчезновениям</w:t>
      </w:r>
    </w:p>
    <w:p w14:paraId="7D8AB872" w14:textId="77777777" w:rsidR="009707B3" w:rsidRPr="006D1433" w:rsidRDefault="009707B3" w:rsidP="009707B3">
      <w:pPr>
        <w:pStyle w:val="HChG"/>
        <w:rPr>
          <w:b w:val="0"/>
          <w:sz w:val="20"/>
        </w:rPr>
      </w:pPr>
      <w:r>
        <w:tab/>
      </w:r>
      <w:r>
        <w:tab/>
        <w:t xml:space="preserve">Заключительные замечания по дополнительной </w:t>
      </w:r>
      <w:r w:rsidRPr="009707B3">
        <w:t>информации</w:t>
      </w:r>
      <w:r>
        <w:t>, представленной Королевством Нидерландов в соответствии с пунктом 4 статьи 29 Конвенции</w:t>
      </w:r>
      <w:r w:rsidRPr="009707B3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4DD2F436" w14:textId="3CFD3536" w:rsidR="009707B3" w:rsidRPr="006D1433" w:rsidRDefault="009707B3" w:rsidP="009707B3">
      <w:pPr>
        <w:pStyle w:val="SingleTxtG"/>
      </w:pPr>
      <w:r>
        <w:t>1.</w:t>
      </w:r>
      <w:r>
        <w:tab/>
        <w:t xml:space="preserve">Комитет по насильственным исчезновениям рассмотрел дополнительную информацию, представленную Королевством Нидерландов в соответствии с </w:t>
      </w:r>
      <w:r>
        <w:br/>
        <w:t>пунктом 4 статьи 29 Конвенции</w:t>
      </w:r>
      <w:r w:rsidRPr="00734200">
        <w:rPr>
          <w:rStyle w:val="aa"/>
        </w:rPr>
        <w:footnoteReference w:id="2"/>
      </w:r>
      <w:r w:rsidR="006C1FD7">
        <w:t xml:space="preserve">, </w:t>
      </w:r>
      <w:r>
        <w:t xml:space="preserve">на своем 450-м заседании, состоявшемся 15 сентября </w:t>
      </w:r>
      <w:r>
        <w:br/>
        <w:t>2023 года</w:t>
      </w:r>
      <w:r w:rsidRPr="00734200">
        <w:rPr>
          <w:rStyle w:val="aa"/>
        </w:rPr>
        <w:footnoteReference w:id="3"/>
      </w:r>
      <w:r w:rsidRPr="009707B3">
        <w:t>.</w:t>
      </w:r>
      <w:r>
        <w:t xml:space="preserve"> На своем 460-м заседании, состоявшемся 22 сентября 2023 года, Комитет принял настоящие заключительные замечания.</w:t>
      </w:r>
    </w:p>
    <w:p w14:paraId="30EF8CC4" w14:textId="0DEF222F" w:rsidR="009707B3" w:rsidRPr="006D1433" w:rsidRDefault="009707B3" w:rsidP="009707B3">
      <w:pPr>
        <w:pStyle w:val="HChG"/>
        <w:rPr>
          <w:szCs w:val="28"/>
        </w:rPr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70F80A2D" w14:textId="2EE97C18" w:rsidR="009707B3" w:rsidRPr="006D1433" w:rsidRDefault="009707B3" w:rsidP="009707B3">
      <w:pPr>
        <w:pStyle w:val="SingleTxtG"/>
      </w:pPr>
      <w:r>
        <w:t>2.</w:t>
      </w:r>
      <w:r>
        <w:tab/>
        <w:t>Комитет выражает признательность за дополнительную информацию, представленную Нидерландами в соответствии с просьбой, высказанной Комитетом в его предыдущих заключительных замечаниях</w:t>
      </w:r>
      <w:r w:rsidRPr="00734200">
        <w:rPr>
          <w:rStyle w:val="aa"/>
        </w:rPr>
        <w:footnoteReference w:id="4"/>
      </w:r>
      <w:r>
        <w:t>. Государство-участник было приглашено на 450-е заседание Комитета, на котором предусматривалось рассмотреть его доклад, с целью разъяснения конкретных вопросов и обмена мнениями по следующим аспектам: a)</w:t>
      </w:r>
      <w:r>
        <w:rPr>
          <w:lang w:val="en-US"/>
        </w:rPr>
        <w:t> </w:t>
      </w:r>
      <w:r>
        <w:t xml:space="preserve">приведение внутреннего законодательства в соответствие </w:t>
      </w:r>
      <w:r>
        <w:br/>
        <w:t>с Конвенцией; b)</w:t>
      </w:r>
      <w:r>
        <w:rPr>
          <w:lang w:val="en-US"/>
        </w:rPr>
        <w:t> </w:t>
      </w:r>
      <w:r>
        <w:t>уголовное преследование, проведение расследований и сотрудничество в связи с насильственными исчезновениями; и с)</w:t>
      </w:r>
      <w:r>
        <w:rPr>
          <w:lang w:val="en-US"/>
        </w:rPr>
        <w:t> </w:t>
      </w:r>
      <w:r>
        <w:t>предупреждение насильственных исчезновений</w:t>
      </w:r>
      <w:r w:rsidRPr="00734200">
        <w:rPr>
          <w:rStyle w:val="aa"/>
        </w:rPr>
        <w:footnoteReference w:id="5"/>
      </w:r>
      <w:r>
        <w:t>. После того как государство-участник сообщило, что не будет присутствовать на заседании, Комитет приступил к рассмотрению вышеупомянутой дополнительной информации в соответствии с пунктом 3 а) правила</w:t>
      </w:r>
      <w:r>
        <w:rPr>
          <w:lang w:val="en-US"/>
        </w:rPr>
        <w:t> </w:t>
      </w:r>
      <w:r>
        <w:t>51 своих правил процедуры, выразив при этом сожаление по поводу упущенной возможности провести интерактивный обмен мнениями с государством-участником.</w:t>
      </w:r>
    </w:p>
    <w:p w14:paraId="76AB4B6B" w14:textId="71FBF3C6" w:rsidR="009707B3" w:rsidRPr="006D1433" w:rsidRDefault="009707B3" w:rsidP="009707B3">
      <w:pPr>
        <w:pStyle w:val="HChG"/>
        <w:rPr>
          <w:szCs w:val="28"/>
        </w:rPr>
      </w:pPr>
      <w:r>
        <w:rPr>
          <w:bCs/>
        </w:rPr>
        <w:tab/>
        <w:t>II.</w:t>
      </w:r>
      <w:r>
        <w:tab/>
      </w:r>
      <w:r>
        <w:rPr>
          <w:bCs/>
        </w:rPr>
        <w:t>Положительные аспекты</w:t>
      </w:r>
    </w:p>
    <w:p w14:paraId="24793771" w14:textId="454CA43E" w:rsidR="009707B3" w:rsidRPr="006D1433" w:rsidRDefault="009707B3" w:rsidP="009707B3">
      <w:pPr>
        <w:pStyle w:val="SingleTxtG"/>
      </w:pPr>
      <w:r>
        <w:t>3.</w:t>
      </w:r>
      <w:r>
        <w:tab/>
        <w:t xml:space="preserve">Комитет отмечает меры, принятые государством-участником в областях, имеющих отношение к Конвенции, после принятия предыдущих заключительных замечаний Комитета, включая вступление 21 декабря 2017 года Конвенции в силу </w:t>
      </w:r>
      <w:r>
        <w:br/>
        <w:t xml:space="preserve">во входящем в состав Королевства государственном образовании Аруба </w:t>
      </w:r>
      <w:r>
        <w:br/>
        <w:t xml:space="preserve">и распространение </w:t>
      </w:r>
      <w:proofErr w:type="spellStart"/>
      <w:r>
        <w:t>ретроактивно</w:t>
      </w:r>
      <w:proofErr w:type="spellEnd"/>
      <w:r>
        <w:t xml:space="preserve"> с 1 января 2017 года процедур компенсации, </w:t>
      </w:r>
      <w:r>
        <w:lastRenderedPageBreak/>
        <w:t xml:space="preserve">предусмотренных Фондом компенсаций жертвам уголовных преступлений, </w:t>
      </w:r>
      <w:r>
        <w:br/>
        <w:t xml:space="preserve">на жителей </w:t>
      </w:r>
      <w:proofErr w:type="spellStart"/>
      <w:r>
        <w:t>Бонайре</w:t>
      </w:r>
      <w:proofErr w:type="spellEnd"/>
      <w:r>
        <w:t>, Сабы и Синт-Эстатиуса.</w:t>
      </w:r>
      <w:bookmarkStart w:id="0" w:name="_Hlk145686001"/>
      <w:bookmarkEnd w:id="0"/>
    </w:p>
    <w:p w14:paraId="5950AF5C" w14:textId="2845C9BF" w:rsidR="009707B3" w:rsidRPr="006D1433" w:rsidRDefault="009707B3" w:rsidP="009707B3">
      <w:pPr>
        <w:pStyle w:val="HChG"/>
        <w:rPr>
          <w:szCs w:val="28"/>
        </w:rPr>
      </w:pPr>
      <w:r>
        <w:rPr>
          <w:bCs/>
        </w:rPr>
        <w:tab/>
        <w:t>III.</w:t>
      </w:r>
      <w:r>
        <w:tab/>
      </w:r>
      <w:r>
        <w:rPr>
          <w:bCs/>
        </w:rPr>
        <w:t>Осуществление рекомендаций Комитета и новые события в государстве-участнике</w:t>
      </w:r>
    </w:p>
    <w:p w14:paraId="076436F0" w14:textId="02506B3C" w:rsidR="009707B3" w:rsidRPr="006D1433" w:rsidRDefault="009707B3" w:rsidP="009707B3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Общая информация</w:t>
      </w:r>
    </w:p>
    <w:p w14:paraId="2A9C58D9" w14:textId="77777777" w:rsidR="009707B3" w:rsidRPr="006D1433" w:rsidRDefault="009707B3" w:rsidP="009707B3">
      <w:pPr>
        <w:pStyle w:val="SingleTxtG"/>
      </w:pPr>
      <w:r>
        <w:t>4.</w:t>
      </w:r>
      <w:r>
        <w:tab/>
        <w:t>Комитет считает, что на момент составления настоящего документа действующие в государстве-участнике законодательство и другие соответствующие меры в целях предупреждения насильственных исчезновений и наказания за них не в полной мере соответствовали обязательствам, налагаемым на государства, которые ратифицировали Конвенцию. Комитет рекомендует государству-участнику учесть его рекомендации, которые были вынесены в конструктивном духе и в стремлении оказать помощь, с целью укрепления действующего законодательства и гарантирования того, чтобы это законодательство, а также то, каким образом оно осуществляется властями государства, в полной мере соответствовали правам и обязательствам, закрепленным в Конвенции.</w:t>
      </w:r>
    </w:p>
    <w:p w14:paraId="4B09577F" w14:textId="622E9165" w:rsidR="009707B3" w:rsidRPr="006D1433" w:rsidRDefault="009707B3" w:rsidP="009707B3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Приведение законодательства в соответствие с Конвенцией</w:t>
      </w:r>
    </w:p>
    <w:p w14:paraId="406E74BC" w14:textId="2F8CBD2A" w:rsidR="009707B3" w:rsidRPr="006D1433" w:rsidRDefault="009707B3" w:rsidP="009707B3">
      <w:pPr>
        <w:pStyle w:val="H23G"/>
      </w:pPr>
      <w:r>
        <w:rPr>
          <w:bCs/>
        </w:rPr>
        <w:tab/>
        <w:t>1.</w:t>
      </w:r>
      <w:r>
        <w:tab/>
      </w:r>
      <w:r>
        <w:rPr>
          <w:bCs/>
        </w:rPr>
        <w:t>Единообразное применение Конвенции в различных частях Королевства Нидерландов</w:t>
      </w:r>
    </w:p>
    <w:p w14:paraId="688122B7" w14:textId="77777777" w:rsidR="009707B3" w:rsidRPr="006D1433" w:rsidRDefault="009707B3" w:rsidP="009707B3">
      <w:pPr>
        <w:pStyle w:val="SingleTxtG"/>
      </w:pPr>
      <w:r>
        <w:t>5.</w:t>
      </w:r>
      <w:r>
        <w:tab/>
        <w:t xml:space="preserve">Комитет приветствует расширение 21 декабря 2017 года охвата ратификации Конвенции на Арубу, но сожалеет, что она до сих пор не ратифицирована в случае других входящих в состав Королевства Нидерландов государственных образований, а именно Кюрасао и </w:t>
      </w:r>
      <w:proofErr w:type="spellStart"/>
      <w:r>
        <w:t>Синт</w:t>
      </w:r>
      <w:proofErr w:type="spellEnd"/>
      <w:r>
        <w:t xml:space="preserve">-Мартена. </w:t>
      </w:r>
    </w:p>
    <w:p w14:paraId="3D1DBF31" w14:textId="77777777" w:rsidR="009707B3" w:rsidRPr="006D1433" w:rsidRDefault="009707B3" w:rsidP="009707B3">
      <w:pPr>
        <w:pStyle w:val="SingleTxtG"/>
        <w:rPr>
          <w:b/>
        </w:rPr>
      </w:pPr>
      <w:r>
        <w:t>6.</w:t>
      </w:r>
      <w:r>
        <w:tab/>
      </w:r>
      <w:r>
        <w:rPr>
          <w:b/>
          <w:bCs/>
        </w:rPr>
        <w:t xml:space="preserve">Комитет предлагает государству-участнику продолжить процесс расширения охвата ратификации Конвенции и признания компетенции Комитета в соответствии со статьями 31 и 32 в отношении входящих в его состав государственных образований Кюрасао и </w:t>
      </w:r>
      <w:proofErr w:type="spellStart"/>
      <w:r>
        <w:rPr>
          <w:b/>
          <w:bCs/>
        </w:rPr>
        <w:t>Синт</w:t>
      </w:r>
      <w:proofErr w:type="spellEnd"/>
      <w:r>
        <w:rPr>
          <w:b/>
          <w:bCs/>
        </w:rPr>
        <w:t>-Мартен.</w:t>
      </w:r>
      <w:r>
        <w:t xml:space="preserve"> </w:t>
      </w:r>
      <w:r>
        <w:rPr>
          <w:b/>
          <w:bCs/>
        </w:rPr>
        <w:t>Комитет призывает государство-участник принять все необходимые меры для обеспечения единообразного применения Конвенции во всех частях Королевства Нидерландов.</w:t>
      </w:r>
    </w:p>
    <w:p w14:paraId="393C862E" w14:textId="4541CD33" w:rsidR="009707B3" w:rsidRPr="006D1433" w:rsidRDefault="009707B3" w:rsidP="009707B3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>Прямая применимость Конвенции</w:t>
      </w:r>
      <w:r>
        <w:t xml:space="preserve"> </w:t>
      </w:r>
    </w:p>
    <w:p w14:paraId="61F46235" w14:textId="77777777" w:rsidR="009707B3" w:rsidRPr="006D1433" w:rsidRDefault="009707B3" w:rsidP="009707B3">
      <w:pPr>
        <w:pStyle w:val="SingleTxtG"/>
      </w:pPr>
      <w:r>
        <w:t>7.</w:t>
      </w:r>
      <w:r>
        <w:tab/>
        <w:t xml:space="preserve">Комитет принимает к сведению разъяснение государства-участника о том, что напрямую применимые и обладающие сами по себе исполнительной силой положения договоров имеют преимущественную силу перед национальными законами, что отдельные лица могут ссылаться в суде на такие положения договоров и что их применение может быть обеспечено в судебном порядке. Однако Комитет сожалеет, что ему не была предоставлена конкретная информация о случаях, когда на положения Конвенции делались ссылки, и они непосредственно применялись в национальных судах во всех частях Королевства Нидерландов. </w:t>
      </w:r>
    </w:p>
    <w:p w14:paraId="776880BD" w14:textId="77777777" w:rsidR="009707B3" w:rsidRPr="006D1433" w:rsidRDefault="009707B3" w:rsidP="009707B3">
      <w:pPr>
        <w:pStyle w:val="SingleTxtG"/>
      </w:pPr>
      <w:r>
        <w:t>8.</w:t>
      </w:r>
      <w:r>
        <w:tab/>
      </w:r>
      <w:r>
        <w:rPr>
          <w:b/>
          <w:bCs/>
        </w:rPr>
        <w:t>Комитет призывает государство-участник обеспечить прямую применимость Конвенции как в законодательстве, так и на практике, в том числе путем проведения соответствующей подготовки для повышения осведомленности о Конвенции, а также о сфере ее действия, значении и прямой применимости.</w:t>
      </w:r>
      <w:r>
        <w:tab/>
      </w:r>
      <w:r>
        <w:tab/>
      </w:r>
    </w:p>
    <w:p w14:paraId="7F1FCBAA" w14:textId="0869E84F" w:rsidR="009707B3" w:rsidRPr="006D1433" w:rsidRDefault="009707B3" w:rsidP="009707B3">
      <w:pPr>
        <w:pStyle w:val="H23G"/>
      </w:pPr>
      <w:r>
        <w:rPr>
          <w:bCs/>
        </w:rPr>
        <w:tab/>
        <w:t>3.</w:t>
      </w:r>
      <w:r>
        <w:tab/>
      </w:r>
      <w:r>
        <w:rPr>
          <w:bCs/>
        </w:rPr>
        <w:t>Определение насильственного исчезновения и его квалификация в качестве уголовно наказуемого деяния</w:t>
      </w:r>
      <w:r>
        <w:t xml:space="preserve"> </w:t>
      </w:r>
    </w:p>
    <w:p w14:paraId="01D54674" w14:textId="778E15F1" w:rsidR="009707B3" w:rsidRPr="006D1433" w:rsidRDefault="009707B3" w:rsidP="009707B3">
      <w:pPr>
        <w:pStyle w:val="SingleTxtG"/>
      </w:pPr>
      <w:r>
        <w:t>9.</w:t>
      </w:r>
      <w:r>
        <w:tab/>
        <w:t xml:space="preserve">Комитет по-прежнему обеспокоен тем, что определение насильственного исчезновения в Законе о международных преступлениях (2003 года) предусматривает, </w:t>
      </w:r>
      <w:r>
        <w:lastRenderedPageBreak/>
        <w:t>что это преступление должно быть совершено государством или политической организацией, либо с их разрешения, при их поддержке или с их согласия, ограничивая тем самым понятие «группа», содержащееся в статье 2 Конвенции (ст. 2).</w:t>
      </w:r>
    </w:p>
    <w:p w14:paraId="6DFC6FD5" w14:textId="77777777" w:rsidR="009707B3" w:rsidRPr="006D1433" w:rsidRDefault="009707B3" w:rsidP="009707B3">
      <w:pPr>
        <w:pStyle w:val="SingleTxtG"/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 пересмотреть определение насильственного исчезновения в Законе о международных преступлениях с целью обеспечения его полного соответствия статье 2 Конвенции.</w:t>
      </w:r>
    </w:p>
    <w:p w14:paraId="085B3838" w14:textId="4AC1A4B7" w:rsidR="009707B3" w:rsidRPr="006D1433" w:rsidRDefault="009707B3" w:rsidP="009707B3">
      <w:pPr>
        <w:pStyle w:val="SingleTxtG"/>
      </w:pPr>
      <w:r>
        <w:t>11.</w:t>
      </w:r>
      <w:r>
        <w:tab/>
        <w:t>Комитет принимает к сведению представленное государством-участником разъяснение о том, что отражением тяжести преступления насильственного исчезновения являются максимальные сроки тюремного заключения и размеры применяемых штрафов, которые при наличии отягчающих обстоятельств могут достигать</w:t>
      </w:r>
      <w:r w:rsidR="006C1FD7">
        <w:t xml:space="preserve"> </w:t>
      </w:r>
      <w:r>
        <w:t>соответственно 30 лет и 870 000 евро. В этой связи Комитет по-прежнему обеспокоен тем, что статья 8 а) Закона о международных преступлениях допускает наложение штрафа в качестве самостоятельного наказания за преступление насильственного исчезновения (ст. 7).</w:t>
      </w:r>
    </w:p>
    <w:p w14:paraId="2E886DDF" w14:textId="77777777" w:rsidR="009707B3" w:rsidRPr="006D1433" w:rsidRDefault="009707B3" w:rsidP="009707B3">
      <w:pPr>
        <w:pStyle w:val="SingleTxtG"/>
        <w:rPr>
          <w:b/>
        </w:rPr>
      </w:pPr>
      <w:r>
        <w:t>12.</w:t>
      </w:r>
      <w:r>
        <w:tab/>
      </w:r>
      <w:r>
        <w:rPr>
          <w:b/>
          <w:bCs/>
        </w:rPr>
        <w:t>Государству-участнику следует обеспечить, чтобы при назначении наказаний за преступление насильственного исчезновения надлежащим образом учитывалась, в соответствии со статьей 7 Конвенции, чрезвычайная серьезность этого преступления.</w:t>
      </w:r>
      <w:r>
        <w:t xml:space="preserve"> </w:t>
      </w:r>
      <w:r>
        <w:rPr>
          <w:b/>
          <w:bCs/>
        </w:rPr>
        <w:t>Комитет рекомендует государству-участнику пересмотреть свое законодательство с целью исключения возможности наложения штрафа в качестве самостоятельного наказания за преступление насильственного исчезновения.</w:t>
      </w:r>
    </w:p>
    <w:p w14:paraId="42EBE053" w14:textId="7A6D9B44" w:rsidR="009707B3" w:rsidRPr="006D1433" w:rsidRDefault="009707B3" w:rsidP="009707B3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 xml:space="preserve">Уголовное преследование, проведение расследований </w:t>
      </w:r>
      <w:r>
        <w:rPr>
          <w:bCs/>
        </w:rPr>
        <w:br/>
        <w:t>и сотрудничество в связи с насильственными исчезновениями</w:t>
      </w:r>
    </w:p>
    <w:p w14:paraId="6E09A199" w14:textId="77777777" w:rsidR="009707B3" w:rsidRPr="006D1433" w:rsidRDefault="009707B3" w:rsidP="009707B3">
      <w:pPr>
        <w:pStyle w:val="H23G"/>
      </w:pPr>
      <w:r>
        <w:tab/>
      </w:r>
      <w:r>
        <w:tab/>
      </w:r>
      <w:r>
        <w:rPr>
          <w:bCs/>
        </w:rPr>
        <w:t>Исчезновения мигрантов</w:t>
      </w:r>
    </w:p>
    <w:p w14:paraId="0289556F" w14:textId="1F258CC9" w:rsidR="009707B3" w:rsidRPr="006D1433" w:rsidRDefault="009707B3" w:rsidP="009707B3">
      <w:pPr>
        <w:pStyle w:val="SingleTxtG"/>
      </w:pPr>
      <w:r>
        <w:t>13.</w:t>
      </w:r>
      <w:r>
        <w:tab/>
        <w:t xml:space="preserve">Комитет обеспокоен сообщениями об исчезновении мигрантов в море при попытке добраться до карибских частей Королевства Нидерландов и сожалеет, что не получил официальной статистической информации и разъяснений по этому поводу. Комитет также обеспокоен сообщениями о том, что некоторые жертвы таких исчезновений могут быть жертвами торговли людьми. Комитет сожалеет, что не получил информации о мерах, принятых для решения проблемы исчезновения мигрантов, в том числе о мерах по обеспечению эффективного сотрудничества со странами происхождения и транзита в регионе в части поиска, спасения, проведения расследований, мер по борьбе с торговлей людьми, сбора данных и оказания поддержки родственникам исчезнувших лиц. Комитет обеспокоен большим количеством несопровождаемых несовершеннолетних, исчезнувших из центров приема беженцев в европейской части Королевства Нидерландов, в том числе в контексте предполагаемых случаев торговли людьми (ст. 3, 10, 12, 14, 15 и 24). </w:t>
      </w:r>
      <w:bookmarkStart w:id="1" w:name="_Hlk97719677"/>
    </w:p>
    <w:p w14:paraId="699F37B2" w14:textId="77777777" w:rsidR="009707B3" w:rsidRPr="006D1433" w:rsidRDefault="009707B3" w:rsidP="009707B3">
      <w:pPr>
        <w:pStyle w:val="SingleTxtG"/>
        <w:rPr>
          <w:b/>
        </w:rPr>
      </w:pPr>
      <w:bookmarkStart w:id="2" w:name="_Hlk145852118"/>
      <w:bookmarkEnd w:id="1"/>
      <w:r>
        <w:t>14.</w:t>
      </w:r>
      <w:r>
        <w:tab/>
      </w:r>
      <w:proofErr w:type="gramStart"/>
      <w:r>
        <w:rPr>
          <w:b/>
          <w:bCs/>
        </w:rPr>
        <w:t>В соответствии со своим замечанием общего порядка № 1 (2023) о насильственных исчезновениях в контексте миграции,</w:t>
      </w:r>
      <w:proofErr w:type="gramEnd"/>
      <w:r>
        <w:rPr>
          <w:b/>
          <w:bCs/>
        </w:rPr>
        <w:t xml:space="preserve"> Комитет рекомендует государству-участнику:</w:t>
      </w:r>
      <w:r>
        <w:t xml:space="preserve"> </w:t>
      </w:r>
    </w:p>
    <w:bookmarkEnd w:id="2"/>
    <w:p w14:paraId="1C28A699" w14:textId="59EA775D" w:rsidR="009707B3" w:rsidRPr="009707B3" w:rsidRDefault="009707B3" w:rsidP="009707B3">
      <w:pPr>
        <w:pStyle w:val="SingleTxtG"/>
        <w:rPr>
          <w:b/>
          <w:bCs/>
        </w:rPr>
      </w:pPr>
      <w:r>
        <w:rPr>
          <w:b/>
          <w:bCs/>
        </w:rPr>
        <w:tab/>
      </w:r>
      <w:r w:rsidRPr="009707B3">
        <w:rPr>
          <w:b/>
          <w:bCs/>
        </w:rPr>
        <w:t>a)</w:t>
      </w:r>
      <w:r w:rsidRPr="009707B3">
        <w:rPr>
          <w:b/>
          <w:bCs/>
        </w:rPr>
        <w:tab/>
        <w:t>активизировать усилия по предупреждению и расследованию случаев исчезновения мигрантов, прибывающих по морю в карибские части Королевства Нидерландов, в том числе в контексте торговли людьми, и обеспечить, чтобы виновные привлекались к ответственности и, в случае осуждения, несли соответствующее наказание;</w:t>
      </w:r>
    </w:p>
    <w:p w14:paraId="5E8BFA85" w14:textId="12F207C6" w:rsidR="009707B3" w:rsidRPr="009707B3" w:rsidRDefault="009707B3" w:rsidP="009707B3">
      <w:pPr>
        <w:pStyle w:val="SingleTxtG"/>
        <w:rPr>
          <w:b/>
          <w:bCs/>
        </w:rPr>
      </w:pPr>
      <w:r>
        <w:rPr>
          <w:b/>
          <w:bCs/>
        </w:rPr>
        <w:tab/>
      </w:r>
      <w:r w:rsidRPr="009707B3">
        <w:rPr>
          <w:b/>
          <w:bCs/>
        </w:rPr>
        <w:t>b)</w:t>
      </w:r>
      <w:r w:rsidRPr="009707B3">
        <w:rPr>
          <w:b/>
          <w:bCs/>
        </w:rPr>
        <w:tab/>
        <w:t>содействовать созданию механизмов взаимной правовой помощи со странами происхождения и транзита в Карибском регионе для укрепления процесса поиска исчезнувших мигрантов, расследования их исчезновений и судебного преследования виновных, включая сети торговли людьми;</w:t>
      </w:r>
    </w:p>
    <w:p w14:paraId="3B16B056" w14:textId="6A20FA5D" w:rsidR="009707B3" w:rsidRPr="006D1433" w:rsidRDefault="009707B3" w:rsidP="009707B3">
      <w:pPr>
        <w:pStyle w:val="SingleTxtG"/>
      </w:pPr>
      <w:r>
        <w:rPr>
          <w:b/>
          <w:bCs/>
        </w:rPr>
        <w:tab/>
      </w:r>
      <w:r w:rsidRPr="009707B3">
        <w:rPr>
          <w:b/>
          <w:bCs/>
        </w:rPr>
        <w:t>c)</w:t>
      </w:r>
      <w:r w:rsidRPr="009707B3">
        <w:rPr>
          <w:b/>
          <w:bCs/>
        </w:rPr>
        <w:tab/>
        <w:t>активизировать усилия по предотвращению исчезновения несопровождаемых несовершеннолетних из центров приема беженцев и обес</w:t>
      </w:r>
      <w:r>
        <w:rPr>
          <w:b/>
          <w:bCs/>
        </w:rPr>
        <w:t>печить эффективное расследование таких исчезновений;</w:t>
      </w:r>
    </w:p>
    <w:p w14:paraId="70779BEC" w14:textId="0E31ADE9" w:rsidR="009707B3" w:rsidRPr="009707B3" w:rsidRDefault="009707B3" w:rsidP="009707B3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9707B3">
        <w:rPr>
          <w:b/>
          <w:bCs/>
        </w:rPr>
        <w:t>d)</w:t>
      </w:r>
      <w:r w:rsidRPr="009707B3">
        <w:rPr>
          <w:b/>
          <w:bCs/>
        </w:rPr>
        <w:tab/>
        <w:t xml:space="preserve">нарастить потенциал для поиска и установления личности исчезнувших мигрантов, включая тех, кто исчез в море при попытке добраться до карибских частей Королевства Нидерландов, обеспечивая сотрудничество с соответствующими странами, эффективную координацию и сотрудничество между всеми соответствующими органами и перекрестную проверку данных между существующими базами данных; </w:t>
      </w:r>
    </w:p>
    <w:p w14:paraId="37A58DEB" w14:textId="22E97B3E" w:rsidR="009707B3" w:rsidRPr="009707B3" w:rsidRDefault="009707B3" w:rsidP="009707B3">
      <w:pPr>
        <w:pStyle w:val="SingleTxtG"/>
        <w:rPr>
          <w:b/>
          <w:bCs/>
        </w:rPr>
      </w:pPr>
      <w:r>
        <w:rPr>
          <w:b/>
          <w:bCs/>
        </w:rPr>
        <w:tab/>
      </w:r>
      <w:r w:rsidRPr="009707B3">
        <w:rPr>
          <w:b/>
          <w:bCs/>
        </w:rPr>
        <w:t>e)</w:t>
      </w:r>
      <w:r w:rsidRPr="009707B3">
        <w:rPr>
          <w:b/>
          <w:bCs/>
        </w:rPr>
        <w:tab/>
        <w:t xml:space="preserve">обеспечить родственникам и представителям исчезнувших лиц, независимо от места их проживания, возможность получать информацию и участвовать в проведении соответствующих расследований и в процессе поиска; </w:t>
      </w:r>
    </w:p>
    <w:p w14:paraId="65423A79" w14:textId="7229CAD1" w:rsidR="009707B3" w:rsidRPr="006D1433" w:rsidRDefault="009707B3" w:rsidP="009707B3">
      <w:pPr>
        <w:pStyle w:val="SingleTxtG"/>
      </w:pPr>
      <w:r>
        <w:rPr>
          <w:b/>
          <w:bCs/>
        </w:rPr>
        <w:tab/>
      </w:r>
      <w:r w:rsidRPr="009707B3">
        <w:rPr>
          <w:b/>
          <w:bCs/>
        </w:rPr>
        <w:t>f)</w:t>
      </w:r>
      <w:r w:rsidRPr="009707B3">
        <w:rPr>
          <w:b/>
          <w:bCs/>
        </w:rPr>
        <w:tab/>
        <w:t>рассмотреть</w:t>
      </w:r>
      <w:r>
        <w:rPr>
          <w:b/>
          <w:bCs/>
        </w:rPr>
        <w:t xml:space="preserve"> возможность ратификации Международной конвенции о защите прав всех трудящихся-мигрантов и членов их семей.</w:t>
      </w:r>
      <w:r>
        <w:t xml:space="preserve"> </w:t>
      </w:r>
    </w:p>
    <w:p w14:paraId="38CA2673" w14:textId="4856B733" w:rsidR="009707B3" w:rsidRPr="006D1433" w:rsidRDefault="009707B3" w:rsidP="009707B3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Меры по предупреждению насильственных исчезновений</w:t>
      </w:r>
      <w:r>
        <w:t xml:space="preserve"> </w:t>
      </w:r>
    </w:p>
    <w:p w14:paraId="3E31D23C" w14:textId="41BF025C" w:rsidR="009707B3" w:rsidRPr="006D1433" w:rsidRDefault="009707B3" w:rsidP="009707B3">
      <w:pPr>
        <w:pStyle w:val="H23G"/>
      </w:pPr>
      <w:r>
        <w:rPr>
          <w:bCs/>
        </w:rPr>
        <w:tab/>
        <w:t>1.</w:t>
      </w:r>
      <w:r>
        <w:tab/>
      </w:r>
      <w:r>
        <w:rPr>
          <w:bCs/>
        </w:rPr>
        <w:t>Недопустимость принудительного возвращения</w:t>
      </w:r>
    </w:p>
    <w:p w14:paraId="185B1414" w14:textId="19E7B2E4" w:rsidR="009707B3" w:rsidRPr="006D1433" w:rsidRDefault="009707B3" w:rsidP="009707B3">
      <w:pPr>
        <w:pStyle w:val="SingleTxtG"/>
      </w:pPr>
      <w:r>
        <w:t>15.</w:t>
      </w:r>
      <w:r>
        <w:tab/>
        <w:t>Комитет обеспокоен сообщениями о принудительном возвращении просителей убежища из входящих в состав Королевства государственных образований Аруба и Кюрасао в страны, где им может угрожать опасность насильственного исчезновения, а также тем, что во входящих в состав Королевства Нидерландов государственных образованиях Карибского бассейна не обеспечиваются на систематической основе такие процедурные гарантии, как право на доступ к адвокату и право на получение информации на понятном для просителя языке (ст. 16).</w:t>
      </w:r>
    </w:p>
    <w:p w14:paraId="791DF34B" w14:textId="77777777" w:rsidR="009707B3" w:rsidRPr="006D1433" w:rsidRDefault="009707B3" w:rsidP="009707B3">
      <w:pPr>
        <w:pStyle w:val="SingleTxtG"/>
        <w:rPr>
          <w:b/>
        </w:rPr>
      </w:pPr>
      <w:r>
        <w:t>16.</w:t>
      </w:r>
      <w:r>
        <w:tab/>
      </w:r>
      <w:r>
        <w:rPr>
          <w:b/>
          <w:bCs/>
        </w:rPr>
        <w:t>Комитет настоятельно призывает государство-участник обеспечить строгое и обязательное во всех случаях соблюдение закрепленного в пункте 1 статьи 16 Конвенции принципа недопустимости принудительного возвращения во входящих в состав Королевства Нидерландов государственных образованиях Карибского бассейна и рекомендует государству-участнику:</w:t>
      </w:r>
    </w:p>
    <w:p w14:paraId="0D0B6EA6" w14:textId="68C6A047" w:rsidR="009707B3" w:rsidRPr="009707B3" w:rsidRDefault="009707B3" w:rsidP="009707B3">
      <w:pPr>
        <w:pStyle w:val="SingleTxtG"/>
        <w:rPr>
          <w:b/>
          <w:bCs/>
        </w:rPr>
      </w:pPr>
      <w:r>
        <w:rPr>
          <w:b/>
          <w:bCs/>
        </w:rPr>
        <w:tab/>
      </w:r>
      <w:r w:rsidRPr="009707B3">
        <w:rPr>
          <w:b/>
          <w:bCs/>
        </w:rPr>
        <w:t>a)</w:t>
      </w:r>
      <w:r w:rsidRPr="009707B3">
        <w:rPr>
          <w:b/>
          <w:bCs/>
        </w:rPr>
        <w:tab/>
        <w:t>обеспечить всем без исключения просителям убежища беспрепятственный доступ к эффективным процедурам предоставления убежища, полностью соответствующим обязательствам по статье 16 Конвенции;</w:t>
      </w:r>
      <w:bookmarkStart w:id="3" w:name="_Hlk97722466"/>
    </w:p>
    <w:bookmarkEnd w:id="3"/>
    <w:p w14:paraId="0AA08716" w14:textId="26FFC0A0" w:rsidR="009707B3" w:rsidRPr="009707B3" w:rsidRDefault="009707B3" w:rsidP="009707B3">
      <w:pPr>
        <w:pStyle w:val="SingleTxtG"/>
        <w:rPr>
          <w:b/>
          <w:bCs/>
        </w:rPr>
      </w:pPr>
      <w:r>
        <w:rPr>
          <w:b/>
          <w:bCs/>
        </w:rPr>
        <w:tab/>
      </w:r>
      <w:r w:rsidRPr="009707B3">
        <w:rPr>
          <w:b/>
          <w:bCs/>
        </w:rPr>
        <w:t>b)</w:t>
      </w:r>
      <w:r w:rsidRPr="009707B3">
        <w:rPr>
          <w:b/>
          <w:bCs/>
        </w:rPr>
        <w:tab/>
        <w:t>обеспечить, чтобы в случае каждого лица проводилась тщательная индивидуальная оценка риска подвергнуться насильственному исчезновению до начала процедуры его высылки, возвращения, выдачи или экстрадиции, чтобы любое решение, принятое в контексте таких процедур, могло быть обжаловано в разумные сроки в беспристрастном органе, и чтобы такое обжалование имело приостанавливающее действие;</w:t>
      </w:r>
    </w:p>
    <w:p w14:paraId="4B6B13FC" w14:textId="3C8D8521" w:rsidR="009707B3" w:rsidRPr="006D1433" w:rsidRDefault="009707B3" w:rsidP="009707B3">
      <w:pPr>
        <w:pStyle w:val="SingleTxtG"/>
        <w:rPr>
          <w:b/>
          <w:bCs/>
        </w:rPr>
      </w:pPr>
      <w:r>
        <w:rPr>
          <w:b/>
          <w:bCs/>
        </w:rPr>
        <w:tab/>
      </w:r>
      <w:r w:rsidRPr="009707B3">
        <w:rPr>
          <w:b/>
          <w:bCs/>
        </w:rPr>
        <w:t>c)</w:t>
      </w:r>
      <w:r w:rsidRPr="009707B3">
        <w:rPr>
          <w:b/>
          <w:bCs/>
        </w:rPr>
        <w:tab/>
        <w:t>организовать надлежащую подготовку по концепции «насильственного исчезновения» и оценке соответствующих рисков для всех субъектов, участвующих</w:t>
      </w:r>
      <w:r>
        <w:rPr>
          <w:b/>
          <w:bCs/>
        </w:rPr>
        <w:t xml:space="preserve"> в процедурах предоставления убежища, возвращения, выдачи или экстрадиции, в том числе для сотрудников правоохранительных органов.</w:t>
      </w:r>
    </w:p>
    <w:p w14:paraId="65EA7ED7" w14:textId="1C391603" w:rsidR="009707B3" w:rsidRPr="006D1433" w:rsidRDefault="009707B3" w:rsidP="009707B3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>Посещение мест лишения свободы</w:t>
      </w:r>
    </w:p>
    <w:p w14:paraId="7010E534" w14:textId="36987E8A" w:rsidR="009707B3" w:rsidRPr="006D1433" w:rsidRDefault="009707B3" w:rsidP="009707B3">
      <w:pPr>
        <w:pStyle w:val="SingleTxtG"/>
      </w:pPr>
      <w:r>
        <w:t>17.</w:t>
      </w:r>
      <w:r>
        <w:tab/>
        <w:t xml:space="preserve">Комитет принимает к сведению представленную государством-участником информацию о роли Инспекции по правосудию и безопасности и Совета по обеспечению правопорядка в инспектировании и мониторинге мест содержания под стражей в карибских частях Королевства Нидерландов, но выражает обеспокоенность по поводу отсутствия информации о мерах, принятых для обеспечения координации между этими двумя механизмами, и о структурах, действующих на Арубе, которая не относится к сфере компетенции Совета по обеспечению правопорядка. Комитет сожалеет по поводу отсутствия информации о мерах, принятых для обеспечения применения одинаковых стандартов как в карибских, так и в европейской частях Королевства Нидерландов в контексте национального превентивного механизма, созданного в соответствии с Факультативным протоколом к Конвенции против пыток </w:t>
      </w:r>
      <w:r>
        <w:lastRenderedPageBreak/>
        <w:t xml:space="preserve">и других жестоких, бесчеловечных или унижающих достоинство видов обращения и наказания. Комитет также сожалеет, что Совет по обеспечению правопорядка уполномочен проверять лишь места содержания под стражей в рамках системы уголовного правосудия (ст. 17). </w:t>
      </w:r>
    </w:p>
    <w:p w14:paraId="5335F9B2" w14:textId="443DE230" w:rsidR="009707B3" w:rsidRPr="006D1433" w:rsidRDefault="009707B3" w:rsidP="009707B3">
      <w:pPr>
        <w:pStyle w:val="SingleTxtG"/>
      </w:pPr>
      <w:r>
        <w:t>18.</w:t>
      </w:r>
      <w:r>
        <w:tab/>
        <w:t xml:space="preserve">Комитет рекомендует государству-участнику обеспечить эффективное инспектирование и мониторинг всех типов мест лишения свободы в карибских частях Королевства Нидерландов. </w:t>
      </w:r>
      <w:r>
        <w:rPr>
          <w:b/>
          <w:bCs/>
        </w:rPr>
        <w:t>Ему следует обеспечить четкое распределение обязанностей и координацию между структурами, отвечающими за такую деятельность, а также гарантировать, чтобы применяемые стандарты были эквивалентны тем, которые действуют в европейской части Королевства Нидерландов.</w:t>
      </w:r>
      <w:r>
        <w:t xml:space="preserve"> </w:t>
      </w:r>
      <w:r>
        <w:rPr>
          <w:b/>
          <w:bCs/>
        </w:rPr>
        <w:t>Комитет присоединяется к рекомендации Комитета против пыток в отношении того, что государству-участнику следует «отозвать свое заявление о применении Факультативного протокола исключительно на территории европейской части Нидерландов и обеспечить его применимость на всей территории государства-участника, в том числе в карибской части Нидерландов»</w:t>
      </w:r>
      <w:r w:rsidRPr="00987270">
        <w:rPr>
          <w:rStyle w:val="aa"/>
        </w:rPr>
        <w:footnoteReference w:id="6"/>
      </w:r>
      <w:r>
        <w:rPr>
          <w:b/>
          <w:bCs/>
        </w:rPr>
        <w:t>.</w:t>
      </w:r>
    </w:p>
    <w:p w14:paraId="58B8FA9A" w14:textId="34CD1622" w:rsidR="009707B3" w:rsidRPr="006D1433" w:rsidRDefault="009707B3" w:rsidP="009707B3">
      <w:pPr>
        <w:pStyle w:val="SingleTxtG"/>
      </w:pPr>
      <w:r>
        <w:t>19.</w:t>
      </w:r>
      <w:r>
        <w:tab/>
        <w:t>Комитет принимает к сведению заверение государства-участника в отношении пункта 2 статьи 7 Закона о создании Нидерландского института прав человека, позволяющего ограничивать доступ Нидерландского института прав человека в места, имеющие закрытый статус в соответствии с Законом о защите государственной тайны, которое содержится в его докладе, и, согласно которому, такие места не являются местами содержания под стражей. Тем не менее Комитет по-прежнему обеспокоен тем, что в будущем места содержания под стражей могут быть отнесены к категории закрытых. Комитет сожалеет по поводу отсутствия информации о текущих административных и бюджетных возможностях национального превентивного механизма и параллельной системы, действующей в карибских частях Королевства Нидерландов (ст. 17).</w:t>
      </w:r>
    </w:p>
    <w:p w14:paraId="4B72D716" w14:textId="77777777" w:rsidR="009707B3" w:rsidRPr="006D1433" w:rsidRDefault="009707B3" w:rsidP="009707B3">
      <w:pPr>
        <w:pStyle w:val="SingleTxtG"/>
      </w:pPr>
      <w:r>
        <w:t>20.</w:t>
      </w:r>
      <w:r>
        <w:tab/>
      </w:r>
      <w:r>
        <w:rPr>
          <w:b/>
          <w:bCs/>
        </w:rPr>
        <w:t>Комитет напоминает государству-участнику о своей предыдущей рекомендации снять ограничения, предусмотренные в пункте 2 статьи 7 Закона о создании Нидерландского института прав человека, в целях обеспечения Институту беспрепятственного доступа во все места лишения свободы</w:t>
      </w:r>
      <w:r w:rsidRPr="00A62C5F">
        <w:rPr>
          <w:rStyle w:val="aa"/>
        </w:rPr>
        <w:footnoteReference w:id="7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Комитет рекомендует государству-участнику обеспечить, чтобы национальный превентивный механизм и параллельная система, действующая в карибских частях Королевства Нидерландов, располагали достаточными ресурсами для выполнения их мандатов, а также обеспечить их финансовую независимость.</w:t>
      </w:r>
    </w:p>
    <w:p w14:paraId="0FB24B79" w14:textId="45AA34F4" w:rsidR="009707B3" w:rsidRPr="006D1433" w:rsidRDefault="009707B3" w:rsidP="009707B3">
      <w:pPr>
        <w:pStyle w:val="H23G"/>
      </w:pPr>
      <w:r>
        <w:rPr>
          <w:bCs/>
        </w:rPr>
        <w:tab/>
        <w:t>3.</w:t>
      </w:r>
      <w:r>
        <w:tab/>
      </w:r>
      <w:r>
        <w:rPr>
          <w:bCs/>
        </w:rPr>
        <w:t>Доступ к информации для лиц, имеющих законный интерес</w:t>
      </w:r>
    </w:p>
    <w:p w14:paraId="46062AB0" w14:textId="587D3D2A" w:rsidR="009707B3" w:rsidRPr="006D1433" w:rsidRDefault="009707B3" w:rsidP="009707B3">
      <w:pPr>
        <w:pStyle w:val="SingleTxtG"/>
      </w:pPr>
      <w:r>
        <w:t>21.</w:t>
      </w:r>
      <w:r>
        <w:tab/>
        <w:t>Комитет принимает к сведению заявление государства-участника о том, что родственники исчезнувшего лица или их адвокат могут обратиться к лицу, содержащемуся под стражей, или его адвокату за информацией, указанной в статье 18 Конвенции. Комитет по-прежнему обеспокоен тем, что такая процедура не гарантирует право любого лица, имеющего законный интерес, на доступ к информации, касающейся лица, предположительно исчезнувшего, как это предусмотрено статьей 18 Конвенции (ст. 18 и 20).</w:t>
      </w:r>
    </w:p>
    <w:p w14:paraId="75A07195" w14:textId="77777777" w:rsidR="009707B3" w:rsidRPr="006D1433" w:rsidRDefault="009707B3" w:rsidP="009707B3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>Комитет напоминает государству-участнику о своей рекомендации обеспечить, чтобы любое лицо, имеющее законный интерес, могло получать эффективный доступ, по крайней мере, к информации, упоминаемой в пункте 1 статьи 18 Конвенции.</w:t>
      </w:r>
      <w:r>
        <w:t xml:space="preserve"> </w:t>
      </w:r>
      <w:r>
        <w:rPr>
          <w:b/>
          <w:bCs/>
        </w:rPr>
        <w:t>Комитет также напоминает, что государству-участнику следует гарантировать, чтобы эти лица имели доступ к оперативным и эффективным средствам судебной защиты для незамедлительного получения этой информации, как указано в пункте 2 статьи 20 Конвенции, а также возможность обжаловать решение об отказе раскрыть эту информацию</w:t>
      </w:r>
      <w:r w:rsidRPr="00734200">
        <w:rPr>
          <w:rStyle w:val="aa"/>
          <w:bCs/>
        </w:rPr>
        <w:footnoteReference w:id="8"/>
      </w:r>
      <w:r>
        <w:rPr>
          <w:b/>
          <w:bCs/>
        </w:rPr>
        <w:t>.</w:t>
      </w:r>
    </w:p>
    <w:p w14:paraId="2732648E" w14:textId="2B61B187" w:rsidR="009707B3" w:rsidRPr="006D1433" w:rsidRDefault="009707B3" w:rsidP="009707B3">
      <w:pPr>
        <w:pStyle w:val="H23G"/>
      </w:pPr>
      <w:r>
        <w:rPr>
          <w:bCs/>
        </w:rPr>
        <w:lastRenderedPageBreak/>
        <w:tab/>
        <w:t>4.</w:t>
      </w:r>
      <w:r>
        <w:tab/>
      </w:r>
      <w:r>
        <w:rPr>
          <w:bCs/>
        </w:rPr>
        <w:t>Подготовка по положениям Конвенции</w:t>
      </w:r>
    </w:p>
    <w:p w14:paraId="53486624" w14:textId="450B13C7" w:rsidR="009707B3" w:rsidRPr="006D1433" w:rsidRDefault="009707B3" w:rsidP="009707B3">
      <w:pPr>
        <w:pStyle w:val="SingleTxtG"/>
      </w:pPr>
      <w:r>
        <w:t>23.</w:t>
      </w:r>
      <w:r>
        <w:tab/>
        <w:t>Комитет с озабоченностью отмечает отсутствие в докладе государства-участника информации о конкретной и регулярной подготовке по положениям Конвенции для сотрудников правоохранительных органов, гражданских должностных лиц или военных, медицинского персонала, государственных служащих и других лиц, которые могут иметь отношение к содержанию под стражей или обращению с любым лицом, лишенным свободы (ст. 23).</w:t>
      </w:r>
    </w:p>
    <w:p w14:paraId="1B8342A8" w14:textId="77777777" w:rsidR="009707B3" w:rsidRPr="006D1433" w:rsidRDefault="009707B3" w:rsidP="009707B3">
      <w:pPr>
        <w:pStyle w:val="SingleTxtG"/>
        <w:rPr>
          <w:b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 обеспечить, чтобы все сотрудники правоохранительных органов, будь они военными или гражданскими лицами, медицинские работники, государственные служащие, включая сотрудников миграционных служб, а также другие лица, которые могут иметь отношение к содержанию под стражей или обращению с любым лицом, лишенным свободы, включая судей, прокуроров и других судебных работников всех должностных уровней, на регулярной основе проходили надлежащую подготовку по положениям Конвенции в соответствии с ее статьей 23.</w:t>
      </w:r>
    </w:p>
    <w:p w14:paraId="15A0D6C3" w14:textId="5502A3EA" w:rsidR="009707B3" w:rsidRPr="006D1433" w:rsidRDefault="009707B3" w:rsidP="009707B3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Меры по защите и обеспечению прав жертв насильственных исчезновений</w:t>
      </w:r>
      <w:r>
        <w:t xml:space="preserve"> </w:t>
      </w:r>
    </w:p>
    <w:p w14:paraId="565BC55D" w14:textId="51E1EBAA" w:rsidR="009707B3" w:rsidRPr="006D1433" w:rsidRDefault="00052B28" w:rsidP="009707B3">
      <w:pPr>
        <w:pStyle w:val="H23G"/>
      </w:pPr>
      <w:r>
        <w:rPr>
          <w:bCs/>
        </w:rPr>
        <w:tab/>
      </w:r>
      <w:r w:rsidR="009707B3">
        <w:rPr>
          <w:bCs/>
        </w:rPr>
        <w:t>1.</w:t>
      </w:r>
      <w:r w:rsidR="009707B3">
        <w:tab/>
      </w:r>
      <w:r w:rsidR="009707B3">
        <w:rPr>
          <w:bCs/>
        </w:rPr>
        <w:t>Право на установление истины и возмещение</w:t>
      </w:r>
    </w:p>
    <w:p w14:paraId="19AF686A" w14:textId="43A46BF4" w:rsidR="009707B3" w:rsidRPr="006D1433" w:rsidRDefault="009707B3" w:rsidP="009707B3">
      <w:pPr>
        <w:pStyle w:val="SingleTxtG"/>
      </w:pPr>
      <w:r>
        <w:t>25.</w:t>
      </w:r>
      <w:r>
        <w:tab/>
        <w:t xml:space="preserve">Комитет принимает к сведению позицию государства-участника, согласно которой право жертв знать правду об обстоятельствах насильственного исчезновения и судьбе исчезнувшего лица в достаточной мере обеспечивается положениями пункта a) 1) статьи 51 Уголовно-процессуального кодекса Нидерландов. Тем не менее Комитет по-прежнему обеспокоен отсутствием в законодательстве эксплицитного положения по этому вопросу. Приветствуя распространение процедур компенсации, предусмотренных Фондом компенсаций жертвам уголовных преступлений, на жителей </w:t>
      </w:r>
      <w:proofErr w:type="spellStart"/>
      <w:r>
        <w:t>Бонайре</w:t>
      </w:r>
      <w:proofErr w:type="spellEnd"/>
      <w:r>
        <w:t xml:space="preserve">, Сабы и Синт-Эстатиуса, Комитет в то же время обеспокоен очевидным отсутствием доступа к таким средствам во входящих в состав Королевства государственных </w:t>
      </w:r>
      <w:r w:rsidR="003E5087">
        <w:t>образованиях</w:t>
      </w:r>
      <w:r>
        <w:t xml:space="preserve"> Аруба, Кюрасао и </w:t>
      </w:r>
      <w:proofErr w:type="spellStart"/>
      <w:r>
        <w:t>Синт</w:t>
      </w:r>
      <w:proofErr w:type="spellEnd"/>
      <w:r>
        <w:t xml:space="preserve">-Мартен. Комитет </w:t>
      </w:r>
      <w:r w:rsidR="004A4800">
        <w:br/>
      </w:r>
      <w:r>
        <w:t>по-прежнему обеспокоен тем, что национальная институциональная и правовая база не гарантирует доступ к другим формам возмещения, указанным в пункте 5 статьи 24 Конвенции (ст. 24).</w:t>
      </w:r>
    </w:p>
    <w:p w14:paraId="794565FF" w14:textId="77777777" w:rsidR="009707B3" w:rsidRPr="006D1433" w:rsidRDefault="009707B3" w:rsidP="009707B3">
      <w:pPr>
        <w:pStyle w:val="SingleTxtG"/>
        <w:rPr>
          <w:b/>
        </w:rPr>
      </w:pPr>
      <w:r>
        <w:t>26.</w:t>
      </w:r>
      <w:r>
        <w:tab/>
      </w:r>
      <w:r>
        <w:rPr>
          <w:b/>
          <w:bCs/>
        </w:rPr>
        <w:t>Комитет напоминает о своей рекомендации государству-участнику включить в законодательство эксплицитное положение о праве жертв знать правду об обстоятельствах насильственного исчезновения и судьбе исчезнувшего лица</w:t>
      </w:r>
      <w:r w:rsidRPr="00443E34">
        <w:rPr>
          <w:rStyle w:val="aa"/>
          <w:bCs/>
        </w:rPr>
        <w:footnoteReference w:id="9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Комитет призывает государство-участник эксплицитно признать право лиц, которым причинен непосредственный вред в результате насильственного исчезновения, происшедшего в любой части его территории, на получение быстрой и адекватной компенсации, а также всех других форм возмещения в соответствии с пунктами 4 и 5 статьи 24 Конвенции.</w:t>
      </w:r>
      <w:r>
        <w:t xml:space="preserve"> </w:t>
      </w:r>
    </w:p>
    <w:p w14:paraId="7666F061" w14:textId="24DA6BEC" w:rsidR="009707B3" w:rsidRPr="006D1433" w:rsidRDefault="009707B3" w:rsidP="009707B3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 xml:space="preserve">Правовой статус исчезнувших лиц, судьба которых неизвестна, </w:t>
      </w:r>
      <w:r w:rsidR="003E5087">
        <w:rPr>
          <w:bCs/>
        </w:rPr>
        <w:br/>
      </w:r>
      <w:r>
        <w:rPr>
          <w:bCs/>
        </w:rPr>
        <w:t>и их родственников</w:t>
      </w:r>
    </w:p>
    <w:p w14:paraId="6620A61B" w14:textId="0E8BFAEE" w:rsidR="009707B3" w:rsidRPr="006D1433" w:rsidRDefault="009707B3" w:rsidP="009707B3">
      <w:pPr>
        <w:pStyle w:val="SingleTxtG"/>
      </w:pPr>
      <w:r>
        <w:t>27.</w:t>
      </w:r>
      <w:r>
        <w:tab/>
        <w:t>Комитет приветствует представленную в докладе государства-участника информацию о подготовке поправка к действующему законодательству, согласно которой название «свидетельство о юридической презумпции смерти» будет изменено таким образом, чтобы члены семьи могли запросить свидетельство о безвестном отсутствии, юридически устанавливающее исчезновение человека, без ссылки на смерть. Комитет сожалеет по поводу отсутствия информации о статусе предложенной поправки (ст. 24).</w:t>
      </w:r>
    </w:p>
    <w:p w14:paraId="0D91572B" w14:textId="77777777" w:rsidR="009707B3" w:rsidRPr="006D1433" w:rsidRDefault="009707B3" w:rsidP="009707B3">
      <w:pPr>
        <w:pStyle w:val="SingleTxtG"/>
        <w:rPr>
          <w:b/>
        </w:rPr>
      </w:pPr>
      <w:r>
        <w:t>28.</w:t>
      </w:r>
      <w:r>
        <w:tab/>
      </w:r>
      <w:r>
        <w:rPr>
          <w:b/>
          <w:bCs/>
        </w:rPr>
        <w:t xml:space="preserve">Комитет рекомендует государству-участнику ускорить принятие предложенной к законодательству поправки, позволяющей членам семьи </w:t>
      </w:r>
      <w:r>
        <w:rPr>
          <w:b/>
          <w:bCs/>
        </w:rPr>
        <w:lastRenderedPageBreak/>
        <w:t>запрашивать свидетельство о безвестном отсутствии, юридически устанавливающее исчезновение человека, без ссылки на смерть.</w:t>
      </w:r>
    </w:p>
    <w:p w14:paraId="1BC9BBAE" w14:textId="2B263B07" w:rsidR="009707B3" w:rsidRPr="006D1433" w:rsidRDefault="009707B3" w:rsidP="009707B3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>Меры по защите детей от насильственных исчезновений</w:t>
      </w:r>
      <w:r>
        <w:t xml:space="preserve"> </w:t>
      </w:r>
    </w:p>
    <w:p w14:paraId="2531B863" w14:textId="02CA641F" w:rsidR="009707B3" w:rsidRPr="006D1433" w:rsidRDefault="009707B3" w:rsidP="009707B3">
      <w:pPr>
        <w:pStyle w:val="SingleTxtG"/>
      </w:pPr>
      <w:r>
        <w:t>29.</w:t>
      </w:r>
      <w:r>
        <w:tab/>
        <w:t xml:space="preserve">Комитет с глубокой озабоченностью отмечает недавние сообщения о том, что несопровождаемые дети продолжают исчезать из центров приема просителей убежища. Комитет принимает к сведению представленную в докладе государства-участника информацию о соответствующих гарантиях и опубликованные в 2020 году выводы двух расследований, согласно которым либо не были обнаружены доказательства насильственных исчезновений, либо не удалось подтвердить подозрения в торговле людьми. Комитет сожалеет по поводу отсутствия в этой связи дополнительной информации, в частности, об обстоятельствах, при которых происходят такие исчезновения, а также подробных сведений о рассматриваемых и завершенных делах, мерах по предотвращению таких исчезновений и мерах по предоставлению консультативных услуг и защиты тем, кто был обнаружен (ст. 25). </w:t>
      </w:r>
    </w:p>
    <w:p w14:paraId="7F7B6DF3" w14:textId="77777777" w:rsidR="009707B3" w:rsidRPr="006D1433" w:rsidRDefault="009707B3" w:rsidP="009707B3">
      <w:pPr>
        <w:pStyle w:val="SingleTxtG"/>
        <w:rPr>
          <w:b/>
        </w:rPr>
      </w:pPr>
      <w:r>
        <w:t>30.</w:t>
      </w:r>
      <w:r>
        <w:tab/>
      </w:r>
      <w:r>
        <w:rPr>
          <w:b/>
          <w:bCs/>
        </w:rPr>
        <w:t>Комитет напоминает о своей предыдущей рекомендации, в которой он настоятельно призвал государство-участник провести тщательное расследование случаев исчезновения несопровождаемых детей из центров приема просителей убежища, а также принять меры по поиску и установлению личности тех детей, которые могли стать жертвами насильственного исчезновения, в соответствии с пунктом 2 статьи 25 Конвенции</w:t>
      </w:r>
      <w:r w:rsidRPr="000755C6">
        <w:rPr>
          <w:rStyle w:val="aa"/>
          <w:bCs/>
        </w:rPr>
        <w:footnoteReference w:id="10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Комитет рекомендует государству-участнику усилить существующие гарантии для предотвращения насильственных исчезновений несопровождаемых детей, находящихся на его попечении, и обеспечить принятие мер по предоставлению надлежащей защиты и поддержки несопровождаемым детям, ставшим жертвами этого преступления.</w:t>
      </w:r>
    </w:p>
    <w:p w14:paraId="3D360820" w14:textId="657EFFA4" w:rsidR="009707B3" w:rsidRPr="006D1433" w:rsidRDefault="009707B3" w:rsidP="009707B3">
      <w:pPr>
        <w:pStyle w:val="SingleTxtG"/>
      </w:pPr>
      <w:r>
        <w:t>31.</w:t>
      </w:r>
      <w:r>
        <w:tab/>
        <w:t>Комитет отмечает принятое в 2021 году государством-участником решение о временной приостановке международных усыновлений в связи с выявленными злоупотреблениями. В этой связи Комитет сожалеет, что государство-участник не представило статистические данные и конкретную информацию о мерах, принятых для установления процедур пересмотра и, в случае необходимости, аннулирования усыновлений/удочерений или передачи детей под опеку, ставших результатом насильственного исчезновения, с учетом прежде всего принципа наилучшего обеспечения интересов ребенка (ст. 25).</w:t>
      </w:r>
    </w:p>
    <w:p w14:paraId="5CE28F69" w14:textId="77777777" w:rsidR="009707B3" w:rsidRPr="006D1433" w:rsidRDefault="009707B3" w:rsidP="009707B3">
      <w:pPr>
        <w:pStyle w:val="SingleTxtG"/>
      </w:pPr>
      <w:r>
        <w:t>32.</w:t>
      </w:r>
      <w:r>
        <w:tab/>
      </w:r>
      <w:r>
        <w:rPr>
          <w:b/>
          <w:bCs/>
        </w:rPr>
        <w:t>Комитет повторяет свою рекомендацию государству-участнику установить конкретные процедуры для пересмотра и, при необходимости, аннулирования любого акта усыновления/удочерения, передачи детей на воспитание или под опеку, ставших результатом насильственного исчезновения, а также для восстановления подлинной личности соответствующих детей с учетом принципа наилучшего обеспечения интересов ребенка</w:t>
      </w:r>
      <w:r w:rsidRPr="00654212">
        <w:rPr>
          <w:rStyle w:val="aa"/>
        </w:rPr>
        <w:footnoteReference w:id="11"/>
      </w:r>
      <w:r>
        <w:rPr>
          <w:b/>
          <w:bCs/>
        </w:rPr>
        <w:t>.</w:t>
      </w:r>
    </w:p>
    <w:p w14:paraId="7AA49C89" w14:textId="54222FD0" w:rsidR="009707B3" w:rsidRPr="006D1433" w:rsidRDefault="009707B3" w:rsidP="009707B3">
      <w:pPr>
        <w:pStyle w:val="HChG"/>
        <w:rPr>
          <w:szCs w:val="28"/>
        </w:rPr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прав и обязательств по Конвенции, распространение информации и последующая деятельность</w:t>
      </w:r>
    </w:p>
    <w:p w14:paraId="18163B78" w14:textId="77777777" w:rsidR="009707B3" w:rsidRPr="006D1433" w:rsidRDefault="009707B3" w:rsidP="009707B3">
      <w:pPr>
        <w:pStyle w:val="SingleTxtG"/>
        <w:rPr>
          <w:b/>
        </w:rPr>
      </w:pPr>
      <w:r>
        <w:t>33.</w:t>
      </w:r>
      <w:r>
        <w:tab/>
      </w:r>
      <w:r>
        <w:rPr>
          <w:b/>
          <w:bCs/>
        </w:rPr>
        <w:t>Комитет хотел бы напомнить об обязательствах, взятых на себя государствами при присоединении к Конвенции, и в этой связи настоятельно призывает государство-участник обеспечить, чтобы все принимаемые им меры, независимо от их характера или органа власти, распорядившегося об их принятии, в полной мере соответствовали Конвенции и другим соответствующим международным договорам.</w:t>
      </w:r>
      <w:r>
        <w:t xml:space="preserve"> </w:t>
      </w:r>
      <w:r>
        <w:rPr>
          <w:b/>
          <w:bCs/>
        </w:rPr>
        <w:t xml:space="preserve">В частности, Комитет настоятельно призывает государство-участник принять необходимые меры для </w:t>
      </w:r>
      <w:r>
        <w:rPr>
          <w:b/>
          <w:bCs/>
        </w:rPr>
        <w:lastRenderedPageBreak/>
        <w:t>обеспечения применения в полном объеме положений Конвенции и особенно предусмотренных в ней гарантий на европейской и карибских частях Королевства Нидерландов.</w:t>
      </w:r>
    </w:p>
    <w:p w14:paraId="27F41C46" w14:textId="77777777" w:rsidR="009707B3" w:rsidRPr="006D1433" w:rsidRDefault="009707B3" w:rsidP="009707B3">
      <w:pPr>
        <w:pStyle w:val="SingleTxtG"/>
        <w:rPr>
          <w:b/>
        </w:rPr>
      </w:pPr>
      <w:r>
        <w:t>34.</w:t>
      </w:r>
      <w:r>
        <w:tab/>
      </w:r>
      <w:r>
        <w:rPr>
          <w:b/>
          <w:bCs/>
        </w:rPr>
        <w:t>Комитет хотел бы также подчеркнуть особо пагубные последствия насильственных исчезновений для женщин и детей.</w:t>
      </w:r>
      <w:r>
        <w:t xml:space="preserve"> </w:t>
      </w:r>
      <w:r>
        <w:rPr>
          <w:b/>
          <w:bCs/>
        </w:rPr>
        <w:t>Женщины, ставшие жертвами насильственных исчезновений, в наибольшей степени подвержены сексуальному и другим видам гендерного насилия.</w:t>
      </w:r>
      <w:r>
        <w:t xml:space="preserve"> </w:t>
      </w:r>
      <w:r>
        <w:rPr>
          <w:b/>
          <w:bCs/>
        </w:rPr>
        <w:t>В качестве же членов семьи исчезнувшего лица женщины наиболее подвержены риску столкнуться с неблагоприятными социально-экономическими последствиями, а также с насилием, преследованиями и притеснениями при попытках найти своих близких.</w:t>
      </w:r>
      <w:r>
        <w:t xml:space="preserve"> </w:t>
      </w:r>
      <w:r>
        <w:rPr>
          <w:b/>
          <w:bCs/>
        </w:rPr>
        <w:t>Дети, ставшие жертвами насильственного исчезновения, независимо от того, подверглись ли они ему сами или страдают от последствий исчезновения родственника, особенно уязвимы к многочисленным нарушениям прав человека.</w:t>
      </w:r>
      <w:r>
        <w:t xml:space="preserve"> </w:t>
      </w:r>
      <w:r>
        <w:rPr>
          <w:b/>
          <w:bCs/>
        </w:rPr>
        <w:t>В этой связи Комитет обращает особое внимание на необходимость обеспечения государством-участником систематического учета гендерных вопросов и особых потребностей женщин и детей при выполнении рекомендаций, содержащихся в настоящих заключительных замечаниях, а также всех прав и обязанностей, предусмотренных Конвенцией.</w:t>
      </w:r>
    </w:p>
    <w:p w14:paraId="5AED6D50" w14:textId="77777777" w:rsidR="009707B3" w:rsidRPr="006D1433" w:rsidRDefault="009707B3" w:rsidP="009707B3">
      <w:pPr>
        <w:pStyle w:val="SingleTxtG"/>
        <w:rPr>
          <w:b/>
        </w:rPr>
      </w:pPr>
      <w:r>
        <w:t>35.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текста Конвенции, дополнительной информации, представленной им в соответствии с пунктом 4 статьи 29 Конвенции, и настоящих заключительных замечаний в целях повышения осведомленности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а также населения в целом.</w:t>
      </w:r>
      <w:r>
        <w:t xml:space="preserve"> </w:t>
      </w:r>
      <w:r>
        <w:rPr>
          <w:b/>
          <w:bCs/>
        </w:rPr>
        <w:t>Комитет также призывает государство-участник поощрять участие гражданского общества в процессе выполнения рекомендаций, содержащихся в настоящих заключительных замечаниях.</w:t>
      </w:r>
    </w:p>
    <w:p w14:paraId="618785A1" w14:textId="77777777" w:rsidR="009707B3" w:rsidRPr="006D1433" w:rsidRDefault="009707B3" w:rsidP="009707B3">
      <w:pPr>
        <w:pStyle w:val="SingleTxtG"/>
        <w:rPr>
          <w:b/>
        </w:rPr>
      </w:pPr>
      <w:r>
        <w:t>36.</w:t>
      </w:r>
      <w:r>
        <w:tab/>
      </w:r>
      <w:r>
        <w:rPr>
          <w:b/>
          <w:bCs/>
        </w:rPr>
        <w:t>В соответствии с пунктом 4 статьи 29 Конвенции и в целях укрепления своего сотрудничества с государством-участником Комитет обращается к государству-участнику с просьбой представить к 29 сентября 2026 года конкретную и обновленную информацию о выполнении всех его рекомендаций, содержащихся в настоящих заключительных замечаниях, а также любую новую информацию, касающуюся выполнения обязательств по Конвенции после принятия настоящих заключительных замечаний.</w:t>
      </w:r>
      <w:r>
        <w:t xml:space="preserve"> </w:t>
      </w:r>
      <w:r>
        <w:rPr>
          <w:b/>
          <w:bCs/>
        </w:rPr>
        <w:t>Комитет призывает государство-участник привлечь гражданское общество, в частности организации жертв насильственных исчезновений, к процессу подготовки этой информации, которую Комитет намерен рассмотреть в 2027 году в ходе конструктивного диалога, посвященного максимум четырем вопросам.</w:t>
      </w:r>
    </w:p>
    <w:p w14:paraId="271E5D16" w14:textId="77777777" w:rsidR="009707B3" w:rsidRPr="006D1433" w:rsidRDefault="009707B3" w:rsidP="009707B3">
      <w:pPr>
        <w:jc w:val="center"/>
        <w:rPr>
          <w:u w:val="single"/>
        </w:rPr>
      </w:pPr>
      <w:r w:rsidRPr="006D1433">
        <w:rPr>
          <w:u w:val="single"/>
        </w:rPr>
        <w:tab/>
      </w:r>
      <w:r w:rsidRPr="006D1433">
        <w:rPr>
          <w:u w:val="single"/>
        </w:rPr>
        <w:tab/>
      </w:r>
      <w:r w:rsidRPr="006D1433">
        <w:rPr>
          <w:u w:val="single"/>
        </w:rPr>
        <w:tab/>
      </w:r>
    </w:p>
    <w:p w14:paraId="5AD332B0" w14:textId="290EA612" w:rsidR="00BE255F" w:rsidRPr="009707B3" w:rsidRDefault="00BE255F" w:rsidP="008027E5"/>
    <w:p w14:paraId="526FD4AD" w14:textId="77777777" w:rsidR="00381C24" w:rsidRPr="009707B3" w:rsidRDefault="00381C24" w:rsidP="008027E5"/>
    <w:sectPr w:rsidR="00381C24" w:rsidRPr="009707B3" w:rsidSect="00BE255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1A69B" w14:textId="77777777" w:rsidR="0013274B" w:rsidRPr="00A312BC" w:rsidRDefault="0013274B" w:rsidP="00A312BC"/>
  </w:endnote>
  <w:endnote w:type="continuationSeparator" w:id="0">
    <w:p w14:paraId="4B3BE696" w14:textId="77777777" w:rsidR="0013274B" w:rsidRPr="00A312BC" w:rsidRDefault="0013274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28C43" w14:textId="2C041A00" w:rsidR="00BE255F" w:rsidRPr="00BE255F" w:rsidRDefault="00BE255F">
    <w:pPr>
      <w:pStyle w:val="a8"/>
    </w:pPr>
    <w:r w:rsidRPr="00BE255F">
      <w:rPr>
        <w:b/>
        <w:sz w:val="18"/>
      </w:rPr>
      <w:fldChar w:fldCharType="begin"/>
    </w:r>
    <w:r w:rsidRPr="00BE255F">
      <w:rPr>
        <w:b/>
        <w:sz w:val="18"/>
      </w:rPr>
      <w:instrText xml:space="preserve"> PAGE  \* MERGEFORMAT </w:instrText>
    </w:r>
    <w:r w:rsidRPr="00BE255F">
      <w:rPr>
        <w:b/>
        <w:sz w:val="18"/>
      </w:rPr>
      <w:fldChar w:fldCharType="separate"/>
    </w:r>
    <w:r w:rsidRPr="00BE255F">
      <w:rPr>
        <w:b/>
        <w:noProof/>
        <w:sz w:val="18"/>
      </w:rPr>
      <w:t>2</w:t>
    </w:r>
    <w:r w:rsidRPr="00BE255F">
      <w:rPr>
        <w:b/>
        <w:sz w:val="18"/>
      </w:rPr>
      <w:fldChar w:fldCharType="end"/>
    </w:r>
    <w:r>
      <w:rPr>
        <w:b/>
        <w:sz w:val="18"/>
      </w:rPr>
      <w:tab/>
    </w:r>
    <w:r>
      <w:t>GE.23-19069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64955" w14:textId="12D83B60" w:rsidR="00BE255F" w:rsidRPr="00BE255F" w:rsidRDefault="00BE255F" w:rsidP="00BE255F">
    <w:pPr>
      <w:pStyle w:val="a8"/>
      <w:tabs>
        <w:tab w:val="clear" w:pos="9639"/>
        <w:tab w:val="right" w:pos="9638"/>
      </w:tabs>
      <w:rPr>
        <w:b/>
        <w:sz w:val="18"/>
      </w:rPr>
    </w:pPr>
    <w:r>
      <w:t>GE.23-19069</w:t>
    </w:r>
    <w:r>
      <w:tab/>
    </w:r>
    <w:r w:rsidRPr="00BE255F">
      <w:rPr>
        <w:b/>
        <w:sz w:val="18"/>
      </w:rPr>
      <w:fldChar w:fldCharType="begin"/>
    </w:r>
    <w:r w:rsidRPr="00BE255F">
      <w:rPr>
        <w:b/>
        <w:sz w:val="18"/>
      </w:rPr>
      <w:instrText xml:space="preserve"> PAGE  \* MERGEFORMAT </w:instrText>
    </w:r>
    <w:r w:rsidRPr="00BE255F">
      <w:rPr>
        <w:b/>
        <w:sz w:val="18"/>
      </w:rPr>
      <w:fldChar w:fldCharType="separate"/>
    </w:r>
    <w:r w:rsidRPr="00BE255F">
      <w:rPr>
        <w:b/>
        <w:noProof/>
        <w:sz w:val="18"/>
      </w:rPr>
      <w:t>3</w:t>
    </w:r>
    <w:r w:rsidRPr="00BE255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74A3C" w14:textId="2DA4A45F" w:rsidR="00042B72" w:rsidRPr="00073480" w:rsidRDefault="00BE255F" w:rsidP="00BE255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D6B594B" wp14:editId="0AEC94E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23-19069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775655C" wp14:editId="5B92631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73480">
      <w:rPr>
        <w:lang w:val="en-US"/>
      </w:rPr>
      <w:t xml:space="preserve">  071123  051223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D93D0" w14:textId="77777777" w:rsidR="0013274B" w:rsidRPr="001075E9" w:rsidRDefault="0013274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E6302BA" w14:textId="77777777" w:rsidR="0013274B" w:rsidRDefault="0013274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2E5E889" w14:textId="77777777" w:rsidR="009707B3" w:rsidRPr="006D1433" w:rsidRDefault="009707B3" w:rsidP="009707B3">
      <w:pPr>
        <w:pStyle w:val="ad"/>
      </w:pPr>
      <w:r>
        <w:tab/>
      </w:r>
      <w:r w:rsidRPr="009707B3">
        <w:rPr>
          <w:sz w:val="20"/>
          <w:szCs w:val="22"/>
        </w:rPr>
        <w:t>*</w:t>
      </w:r>
      <w:r>
        <w:tab/>
        <w:t>Приняты Комитетом на его двадцать пятой сессии (11–29 сентября 2023 года).</w:t>
      </w:r>
    </w:p>
  </w:footnote>
  <w:footnote w:id="2">
    <w:p w14:paraId="5916BDEA" w14:textId="00319024" w:rsidR="009707B3" w:rsidRPr="009707B3" w:rsidRDefault="009707B3" w:rsidP="009707B3">
      <w:pPr>
        <w:pStyle w:val="ad"/>
        <w:rPr>
          <w:lang w:val="en-US"/>
        </w:rPr>
      </w:pPr>
      <w:r w:rsidRPr="00573CB5">
        <w:tab/>
      </w:r>
      <w:r w:rsidRPr="00573CB5">
        <w:rPr>
          <w:rStyle w:val="aa"/>
        </w:rPr>
        <w:footnoteRef/>
      </w:r>
      <w:r w:rsidRPr="006D1433">
        <w:rPr>
          <w:lang w:val="en-US"/>
        </w:rPr>
        <w:tab/>
      </w:r>
      <w:hyperlink r:id="rId1" w:history="1">
        <w:r w:rsidRPr="009707B3">
          <w:rPr>
            <w:rStyle w:val="af1"/>
            <w:lang w:val="en-US"/>
          </w:rPr>
          <w:t>CED/C/NLD/AI/1</w:t>
        </w:r>
      </w:hyperlink>
      <w:r w:rsidRPr="006D1433">
        <w:rPr>
          <w:lang w:val="en-US"/>
        </w:rPr>
        <w:t xml:space="preserve"> </w:t>
      </w:r>
      <w:r>
        <w:t>и</w:t>
      </w:r>
      <w:r w:rsidRPr="006D1433">
        <w:rPr>
          <w:lang w:val="en-US"/>
        </w:rPr>
        <w:t xml:space="preserve"> </w:t>
      </w:r>
      <w:hyperlink r:id="rId2" w:history="1">
        <w:r w:rsidRPr="009707B3">
          <w:rPr>
            <w:rStyle w:val="af1"/>
            <w:lang w:val="en-US"/>
          </w:rPr>
          <w:t>CED/C/NLD/AI/1/Add.1</w:t>
        </w:r>
      </w:hyperlink>
      <w:r w:rsidRPr="006D1433">
        <w:rPr>
          <w:lang w:val="en-US"/>
        </w:rPr>
        <w:t>.</w:t>
      </w:r>
    </w:p>
  </w:footnote>
  <w:footnote w:id="3">
    <w:p w14:paraId="5880944C" w14:textId="1110810A" w:rsidR="009707B3" w:rsidRPr="009707B3" w:rsidRDefault="009707B3" w:rsidP="009707B3">
      <w:pPr>
        <w:pStyle w:val="ad"/>
        <w:rPr>
          <w:lang w:val="en-US"/>
        </w:rPr>
      </w:pPr>
      <w:r w:rsidRPr="006D1433">
        <w:rPr>
          <w:lang w:val="en-US"/>
        </w:rPr>
        <w:tab/>
      </w:r>
      <w:r>
        <w:rPr>
          <w:rStyle w:val="aa"/>
        </w:rPr>
        <w:footnoteRef/>
      </w:r>
      <w:r w:rsidRPr="006D1433">
        <w:rPr>
          <w:lang w:val="en-US"/>
        </w:rPr>
        <w:tab/>
      </w:r>
      <w:r>
        <w:t>См</w:t>
      </w:r>
      <w:r w:rsidRPr="006D1433">
        <w:rPr>
          <w:lang w:val="en-US"/>
        </w:rPr>
        <w:t xml:space="preserve">. </w:t>
      </w:r>
      <w:hyperlink r:id="rId3" w:history="1">
        <w:r w:rsidRPr="009707B3">
          <w:rPr>
            <w:rStyle w:val="af1"/>
            <w:lang w:val="en-US"/>
          </w:rPr>
          <w:t>CED/C/SR.450</w:t>
        </w:r>
      </w:hyperlink>
      <w:r w:rsidRPr="006D1433">
        <w:rPr>
          <w:lang w:val="en-US"/>
        </w:rPr>
        <w:t>.</w:t>
      </w:r>
    </w:p>
  </w:footnote>
  <w:footnote w:id="4">
    <w:p w14:paraId="57C5FCBA" w14:textId="7E029CF7" w:rsidR="009707B3" w:rsidRPr="009707B3" w:rsidRDefault="009707B3" w:rsidP="009707B3">
      <w:pPr>
        <w:pStyle w:val="ad"/>
        <w:rPr>
          <w:lang w:val="en-US"/>
        </w:rPr>
      </w:pPr>
      <w:r w:rsidRPr="006D1433">
        <w:rPr>
          <w:lang w:val="en-US"/>
        </w:rPr>
        <w:tab/>
      </w:r>
      <w:r w:rsidRPr="008A7082">
        <w:rPr>
          <w:rStyle w:val="aa"/>
        </w:rPr>
        <w:footnoteRef/>
      </w:r>
      <w:r w:rsidRPr="006D1433">
        <w:rPr>
          <w:lang w:val="en-US"/>
        </w:rPr>
        <w:tab/>
      </w:r>
      <w:hyperlink r:id="rId4" w:history="1">
        <w:r w:rsidRPr="009707B3">
          <w:rPr>
            <w:rStyle w:val="af1"/>
            <w:lang w:val="en-US"/>
          </w:rPr>
          <w:t>CED/C/NLD/CO/1</w:t>
        </w:r>
      </w:hyperlink>
      <w:r w:rsidRPr="006D1433">
        <w:rPr>
          <w:lang w:val="en-US"/>
        </w:rPr>
        <w:t xml:space="preserve">, </w:t>
      </w:r>
      <w:r>
        <w:t>п</w:t>
      </w:r>
      <w:r>
        <w:rPr>
          <w:lang w:val="en-US"/>
        </w:rPr>
        <w:t>.</w:t>
      </w:r>
      <w:r w:rsidRPr="006D1433">
        <w:rPr>
          <w:lang w:val="en-US"/>
        </w:rPr>
        <w:t xml:space="preserve"> 45.</w:t>
      </w:r>
    </w:p>
  </w:footnote>
  <w:footnote w:id="5">
    <w:p w14:paraId="617D5298" w14:textId="32ABD9F0" w:rsidR="009707B3" w:rsidRPr="009707B3" w:rsidRDefault="009707B3" w:rsidP="009707B3">
      <w:pPr>
        <w:pStyle w:val="ad"/>
      </w:pPr>
      <w:r w:rsidRPr="006D1433">
        <w:rPr>
          <w:lang w:val="en-US"/>
        </w:rPr>
        <w:tab/>
      </w:r>
      <w:r w:rsidRPr="008A7082">
        <w:rPr>
          <w:rStyle w:val="aa"/>
        </w:rPr>
        <w:footnoteRef/>
      </w:r>
      <w:r>
        <w:tab/>
        <w:t xml:space="preserve">См. </w:t>
      </w:r>
      <w:hyperlink r:id="rId5" w:history="1">
        <w:r w:rsidRPr="004A493B">
          <w:rPr>
            <w:rStyle w:val="af1"/>
          </w:rPr>
          <w:t>https://tbinternet.ohchr.org/_layouts/15/treatybodyexternal/Download.aspx?symbolno=INT%2FCED%2FTHS%2FNLD%2F55685&amp;Lang=en</w:t>
        </w:r>
      </w:hyperlink>
      <w:r>
        <w:t>.</w:t>
      </w:r>
      <w:r w:rsidRPr="009707B3">
        <w:t xml:space="preserve"> </w:t>
      </w:r>
    </w:p>
  </w:footnote>
  <w:footnote w:id="6">
    <w:p w14:paraId="1FD6880F" w14:textId="1C36D7BC" w:rsidR="009707B3" w:rsidRPr="009707B3" w:rsidRDefault="009707B3" w:rsidP="009707B3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6D1433">
        <w:rPr>
          <w:lang w:val="en-US"/>
        </w:rPr>
        <w:tab/>
      </w:r>
      <w:hyperlink r:id="rId6" w:history="1">
        <w:r w:rsidRPr="009707B3">
          <w:rPr>
            <w:rStyle w:val="af1"/>
            <w:lang w:val="en-US"/>
          </w:rPr>
          <w:t>CAT/C/NLD/CO/7</w:t>
        </w:r>
      </w:hyperlink>
      <w:r w:rsidRPr="006D1433">
        <w:rPr>
          <w:lang w:val="en-US"/>
        </w:rPr>
        <w:t xml:space="preserve">, </w:t>
      </w:r>
      <w:r>
        <w:t>п</w:t>
      </w:r>
      <w:r w:rsidRPr="009707B3">
        <w:rPr>
          <w:lang w:val="en-US"/>
        </w:rPr>
        <w:t>.</w:t>
      </w:r>
      <w:r w:rsidRPr="006D1433">
        <w:rPr>
          <w:lang w:val="en-US"/>
        </w:rPr>
        <w:t xml:space="preserve"> 23.</w:t>
      </w:r>
    </w:p>
  </w:footnote>
  <w:footnote w:id="7">
    <w:p w14:paraId="042E5E13" w14:textId="21B80342" w:rsidR="009707B3" w:rsidRPr="009707B3" w:rsidRDefault="009707B3" w:rsidP="009707B3">
      <w:pPr>
        <w:pStyle w:val="ad"/>
        <w:rPr>
          <w:lang w:val="en-US"/>
        </w:rPr>
      </w:pPr>
      <w:r w:rsidRPr="006D1433">
        <w:rPr>
          <w:lang w:val="en-US"/>
        </w:rPr>
        <w:tab/>
      </w:r>
      <w:r>
        <w:rPr>
          <w:rStyle w:val="aa"/>
        </w:rPr>
        <w:footnoteRef/>
      </w:r>
      <w:r w:rsidRPr="006D1433">
        <w:rPr>
          <w:lang w:val="en-US"/>
        </w:rPr>
        <w:tab/>
      </w:r>
      <w:hyperlink r:id="rId7" w:history="1">
        <w:r w:rsidRPr="009707B3">
          <w:rPr>
            <w:rStyle w:val="af1"/>
            <w:lang w:val="en-US"/>
          </w:rPr>
          <w:t>CED/C/NLD/CO/1</w:t>
        </w:r>
      </w:hyperlink>
      <w:r w:rsidRPr="006D1433">
        <w:rPr>
          <w:lang w:val="en-US"/>
        </w:rPr>
        <w:t xml:space="preserve">, </w:t>
      </w:r>
      <w:r>
        <w:t>п</w:t>
      </w:r>
      <w:r w:rsidRPr="009707B3">
        <w:rPr>
          <w:lang w:val="en-US"/>
        </w:rPr>
        <w:t>.</w:t>
      </w:r>
      <w:r w:rsidRPr="006D1433">
        <w:rPr>
          <w:lang w:val="en-US"/>
        </w:rPr>
        <w:t xml:space="preserve"> 25.</w:t>
      </w:r>
    </w:p>
  </w:footnote>
  <w:footnote w:id="8">
    <w:p w14:paraId="01DBC258" w14:textId="77777777" w:rsidR="009707B3" w:rsidRPr="006D1433" w:rsidRDefault="009707B3" w:rsidP="009707B3">
      <w:pPr>
        <w:pStyle w:val="ad"/>
      </w:pPr>
      <w:r w:rsidRPr="006D1433">
        <w:rPr>
          <w:lang w:val="en-US"/>
        </w:rPr>
        <w:tab/>
      </w:r>
      <w:r>
        <w:rPr>
          <w:rStyle w:val="aa"/>
        </w:rPr>
        <w:footnoteRef/>
      </w:r>
      <w:r>
        <w:tab/>
        <w:t>Там же, п. 29.</w:t>
      </w:r>
    </w:p>
  </w:footnote>
  <w:footnote w:id="9">
    <w:p w14:paraId="66BB495D" w14:textId="77777777" w:rsidR="009707B3" w:rsidRPr="006D1433" w:rsidRDefault="009707B3" w:rsidP="009707B3">
      <w:pPr>
        <w:pStyle w:val="ad"/>
      </w:pPr>
      <w:r>
        <w:tab/>
      </w:r>
      <w:r>
        <w:rPr>
          <w:rStyle w:val="aa"/>
        </w:rPr>
        <w:footnoteRef/>
      </w:r>
      <w:r>
        <w:tab/>
        <w:t>Там же, п. 33.</w:t>
      </w:r>
    </w:p>
  </w:footnote>
  <w:footnote w:id="10">
    <w:p w14:paraId="39FA52C0" w14:textId="71D8B3EB" w:rsidR="009707B3" w:rsidRPr="006D1433" w:rsidRDefault="009707B3" w:rsidP="009707B3">
      <w:pPr>
        <w:pStyle w:val="ad"/>
      </w:pPr>
      <w:r>
        <w:tab/>
      </w:r>
      <w:r>
        <w:rPr>
          <w:rStyle w:val="aa"/>
        </w:rPr>
        <w:footnoteRef/>
      </w:r>
      <w:r>
        <w:tab/>
        <w:t>Там же, п. 37.</w:t>
      </w:r>
    </w:p>
  </w:footnote>
  <w:footnote w:id="11">
    <w:p w14:paraId="534551B0" w14:textId="142BEFF9" w:rsidR="009707B3" w:rsidRPr="006D1433" w:rsidRDefault="009707B3" w:rsidP="009707B3">
      <w:pPr>
        <w:pStyle w:val="ad"/>
      </w:pPr>
      <w:r>
        <w:tab/>
      </w:r>
      <w:r>
        <w:rPr>
          <w:rStyle w:val="aa"/>
        </w:rPr>
        <w:footnoteRef/>
      </w:r>
      <w:r>
        <w:tab/>
        <w:t>Там же, п. 39.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68435" w14:textId="2DAA1BCA" w:rsidR="00BE255F" w:rsidRPr="00BE255F" w:rsidRDefault="0012210C">
    <w:pPr>
      <w:pStyle w:val="a5"/>
    </w:pPr>
    <w:fldSimple w:instr=" TITLE  \* MERGEFORMAT ">
      <w:r w:rsidR="00001E56">
        <w:t>CED/C/NLD/OAI/1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4DC25" w14:textId="76702B86" w:rsidR="00BE255F" w:rsidRPr="00BE255F" w:rsidRDefault="0012210C" w:rsidP="00BE255F">
    <w:pPr>
      <w:pStyle w:val="a5"/>
      <w:jc w:val="right"/>
    </w:pPr>
    <w:fldSimple w:instr=" TITLE  \* MERGEFORMAT ">
      <w:r w:rsidR="00001E56">
        <w:t>CED/C/NLD/OAI/1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30685043">
    <w:abstractNumId w:val="16"/>
  </w:num>
  <w:num w:numId="2" w16cid:durableId="1156648124">
    <w:abstractNumId w:val="11"/>
  </w:num>
  <w:num w:numId="3" w16cid:durableId="1627082632">
    <w:abstractNumId w:val="10"/>
  </w:num>
  <w:num w:numId="4" w16cid:durableId="2013753441">
    <w:abstractNumId w:val="17"/>
  </w:num>
  <w:num w:numId="5" w16cid:durableId="723213684">
    <w:abstractNumId w:val="13"/>
  </w:num>
  <w:num w:numId="6" w16cid:durableId="991132224">
    <w:abstractNumId w:val="8"/>
  </w:num>
  <w:num w:numId="7" w16cid:durableId="749619560">
    <w:abstractNumId w:val="3"/>
  </w:num>
  <w:num w:numId="8" w16cid:durableId="1794057021">
    <w:abstractNumId w:val="2"/>
  </w:num>
  <w:num w:numId="9" w16cid:durableId="1150750754">
    <w:abstractNumId w:val="1"/>
  </w:num>
  <w:num w:numId="10" w16cid:durableId="1144544803">
    <w:abstractNumId w:val="0"/>
  </w:num>
  <w:num w:numId="11" w16cid:durableId="1326470956">
    <w:abstractNumId w:val="9"/>
  </w:num>
  <w:num w:numId="12" w16cid:durableId="1389765394">
    <w:abstractNumId w:val="7"/>
  </w:num>
  <w:num w:numId="13" w16cid:durableId="1539850003">
    <w:abstractNumId w:val="6"/>
  </w:num>
  <w:num w:numId="14" w16cid:durableId="519664316">
    <w:abstractNumId w:val="5"/>
  </w:num>
  <w:num w:numId="15" w16cid:durableId="480074569">
    <w:abstractNumId w:val="4"/>
  </w:num>
  <w:num w:numId="16" w16cid:durableId="931545475">
    <w:abstractNumId w:val="15"/>
  </w:num>
  <w:num w:numId="17" w16cid:durableId="367074840">
    <w:abstractNumId w:val="12"/>
  </w:num>
  <w:num w:numId="18" w16cid:durableId="1030301478">
    <w:abstractNumId w:val="14"/>
  </w:num>
  <w:num w:numId="19" w16cid:durableId="1446777858">
    <w:abstractNumId w:val="15"/>
  </w:num>
  <w:num w:numId="20" w16cid:durableId="539512699">
    <w:abstractNumId w:val="12"/>
  </w:num>
  <w:num w:numId="21" w16cid:durableId="71127133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74B"/>
    <w:rsid w:val="00001E56"/>
    <w:rsid w:val="00033EE1"/>
    <w:rsid w:val="00042B72"/>
    <w:rsid w:val="00046E2F"/>
    <w:rsid w:val="00052360"/>
    <w:rsid w:val="00052B28"/>
    <w:rsid w:val="000558BD"/>
    <w:rsid w:val="00073480"/>
    <w:rsid w:val="000B57E7"/>
    <w:rsid w:val="000B6373"/>
    <w:rsid w:val="000F09DF"/>
    <w:rsid w:val="000F2F61"/>
    <w:rsid w:val="000F61B2"/>
    <w:rsid w:val="001075E9"/>
    <w:rsid w:val="0012210C"/>
    <w:rsid w:val="0013274B"/>
    <w:rsid w:val="0017666E"/>
    <w:rsid w:val="00180183"/>
    <w:rsid w:val="0018024D"/>
    <w:rsid w:val="0018649F"/>
    <w:rsid w:val="00196389"/>
    <w:rsid w:val="001B3EF6"/>
    <w:rsid w:val="001C7A89"/>
    <w:rsid w:val="00206F9C"/>
    <w:rsid w:val="00215F21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D578C"/>
    <w:rsid w:val="003E5087"/>
    <w:rsid w:val="00407B78"/>
    <w:rsid w:val="00424203"/>
    <w:rsid w:val="00452493"/>
    <w:rsid w:val="00454E07"/>
    <w:rsid w:val="00472C5C"/>
    <w:rsid w:val="00475A37"/>
    <w:rsid w:val="004A4800"/>
    <w:rsid w:val="004E4CB3"/>
    <w:rsid w:val="004F21B5"/>
    <w:rsid w:val="004F2C88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F0B42"/>
    <w:rsid w:val="00681A10"/>
    <w:rsid w:val="006A1ED8"/>
    <w:rsid w:val="006C1FD7"/>
    <w:rsid w:val="006C2031"/>
    <w:rsid w:val="006D461A"/>
    <w:rsid w:val="006F35EE"/>
    <w:rsid w:val="007021FF"/>
    <w:rsid w:val="00712895"/>
    <w:rsid w:val="00725545"/>
    <w:rsid w:val="00757357"/>
    <w:rsid w:val="007601E9"/>
    <w:rsid w:val="008027E5"/>
    <w:rsid w:val="008227B1"/>
    <w:rsid w:val="00825F8D"/>
    <w:rsid w:val="00834B71"/>
    <w:rsid w:val="0086445C"/>
    <w:rsid w:val="00877609"/>
    <w:rsid w:val="00894693"/>
    <w:rsid w:val="008A08D7"/>
    <w:rsid w:val="008B6909"/>
    <w:rsid w:val="00906890"/>
    <w:rsid w:val="00911BE4"/>
    <w:rsid w:val="00942A43"/>
    <w:rsid w:val="00951972"/>
    <w:rsid w:val="009608F3"/>
    <w:rsid w:val="009707B3"/>
    <w:rsid w:val="009A24AC"/>
    <w:rsid w:val="009B7A90"/>
    <w:rsid w:val="00A14DA8"/>
    <w:rsid w:val="00A312BC"/>
    <w:rsid w:val="00A72A05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C18B2"/>
    <w:rsid w:val="00BD33EE"/>
    <w:rsid w:val="00BE255F"/>
    <w:rsid w:val="00C106D6"/>
    <w:rsid w:val="00C60F0C"/>
    <w:rsid w:val="00C805C9"/>
    <w:rsid w:val="00C92939"/>
    <w:rsid w:val="00CA1679"/>
    <w:rsid w:val="00CA24E6"/>
    <w:rsid w:val="00CB151C"/>
    <w:rsid w:val="00CE5A1A"/>
    <w:rsid w:val="00CF55F6"/>
    <w:rsid w:val="00D33D63"/>
    <w:rsid w:val="00D36B65"/>
    <w:rsid w:val="00D55C9D"/>
    <w:rsid w:val="00D90028"/>
    <w:rsid w:val="00D90138"/>
    <w:rsid w:val="00DB0902"/>
    <w:rsid w:val="00DD78D1"/>
    <w:rsid w:val="00DE32CD"/>
    <w:rsid w:val="00DF71B9"/>
    <w:rsid w:val="00E61978"/>
    <w:rsid w:val="00E73F76"/>
    <w:rsid w:val="00EA2C9F"/>
    <w:rsid w:val="00EA420E"/>
    <w:rsid w:val="00ED0BDA"/>
    <w:rsid w:val="00EF1360"/>
    <w:rsid w:val="00EF3220"/>
    <w:rsid w:val="00F41C74"/>
    <w:rsid w:val="00F43903"/>
    <w:rsid w:val="00F94155"/>
    <w:rsid w:val="00F9777C"/>
    <w:rsid w:val="00F9783F"/>
    <w:rsid w:val="00FB7B74"/>
    <w:rsid w:val="00FC1F66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C3161"/>
  <w15:docId w15:val="{74CF2D72-0280-46FA-AE63-B9E715B2B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/>
      <w:u w:val="none"/>
    </w:rPr>
  </w:style>
  <w:style w:type="character" w:styleId="af2">
    <w:name w:val="FollowedHyperlink"/>
    <w:basedOn w:val="a0"/>
    <w:rsid w:val="00E61978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9707B3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9707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ED/C/SR.450" TargetMode="External"/><Relationship Id="rId7" Type="http://schemas.openxmlformats.org/officeDocument/2006/relationships/hyperlink" Target="http://undocs.org/ru/CED/C/NLD/CO/1" TargetMode="External"/><Relationship Id="rId2" Type="http://schemas.openxmlformats.org/officeDocument/2006/relationships/hyperlink" Target="http://undocs.org/ru/CED/C/NLD/AI/1/Add.1" TargetMode="External"/><Relationship Id="rId1" Type="http://schemas.openxmlformats.org/officeDocument/2006/relationships/hyperlink" Target="http://undocs.org/ru/CED/C/NLD/AI/1" TargetMode="External"/><Relationship Id="rId6" Type="http://schemas.openxmlformats.org/officeDocument/2006/relationships/hyperlink" Target="http://undocs.org/ru/CAT/C/NLD/CO/7" TargetMode="External"/><Relationship Id="rId5" Type="http://schemas.openxmlformats.org/officeDocument/2006/relationships/hyperlink" Target="https://tbinternet.ohchr.org/_layouts/15/treatybodyexternal/Download.aspx?symbolno=INT%2FCED%2FTHS%2FNLD%2F55685&amp;Lang=en" TargetMode="External"/><Relationship Id="rId4" Type="http://schemas.openxmlformats.org/officeDocument/2006/relationships/hyperlink" Target="http://undocs.org/ru/CED/C/NLD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A29C9-F8EF-463F-8455-4DE973B39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8</Pages>
  <Words>3056</Words>
  <Characters>21456</Characters>
  <Application>Microsoft Office Word</Application>
  <DocSecurity>0</DocSecurity>
  <Lines>383</Lines>
  <Paragraphs>89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24423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CED/C/NLD/OAI/1</dc:title>
  <dc:subject/>
  <dc:creator>Ekaterina SALYNSKAYA</dc:creator>
  <cp:keywords/>
  <cp:lastModifiedBy>Ekaterina Salynskaya</cp:lastModifiedBy>
  <cp:revision>3</cp:revision>
  <cp:lastPrinted>2023-12-05T20:54:00Z</cp:lastPrinted>
  <dcterms:created xsi:type="dcterms:W3CDTF">2023-12-05T20:54:00Z</dcterms:created>
  <dcterms:modified xsi:type="dcterms:W3CDTF">2023-12-05T20:54:00Z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