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ascii="Time New Roman" w:eastAsia="SimHei" w:hAnsi="Time New Roman" w:hint="eastAsia"/>
          <w:snapToGrid/>
        </w:rPr>
      </w:pPr>
      <w:r>
        <w:rPr>
          <w:rFonts w:ascii="Time New Roman" w:eastAsia="SimHei" w:hAnsi="Time New Roman" w:hint="eastAsia"/>
          <w:snapToGrid/>
        </w:rPr>
        <w:t>经济、社会、文化权利委员会</w:t>
      </w:r>
    </w:p>
    <w:p w:rsidR="00000000" w:rsidRDefault="00000000">
      <w:pPr>
        <w:rPr>
          <w:rFonts w:hint="eastAsia"/>
          <w:snapToGrid/>
        </w:rPr>
      </w:pPr>
      <w:r>
        <w:rPr>
          <w:rFonts w:hint="eastAsia"/>
          <w:snapToGrid/>
        </w:rPr>
        <w:t>第三十六届会议</w:t>
      </w:r>
    </w:p>
    <w:p w:rsidR="00000000" w:rsidRDefault="00000000">
      <w:pPr>
        <w:spacing w:after="320"/>
        <w:rPr>
          <w:rFonts w:hint="eastAsia"/>
          <w:snapToGrid/>
        </w:rPr>
      </w:pPr>
      <w:r>
        <w:rPr>
          <w:rFonts w:hint="eastAsia"/>
          <w:snapToGrid/>
        </w:rPr>
        <w:t>2006</w:t>
      </w:r>
      <w:r>
        <w:rPr>
          <w:rFonts w:hint="eastAsia"/>
          <w:snapToGrid/>
        </w:rPr>
        <w:t>年</w:t>
      </w:r>
      <w:r>
        <w:rPr>
          <w:rFonts w:hint="eastAsia"/>
          <w:snapToGrid/>
        </w:rPr>
        <w:t>5</w:t>
      </w:r>
      <w:r>
        <w:rPr>
          <w:rFonts w:hint="eastAsia"/>
          <w:snapToGrid/>
        </w:rPr>
        <w:t>月</w:t>
      </w:r>
      <w:r>
        <w:rPr>
          <w:rFonts w:hint="eastAsia"/>
          <w:snapToGrid/>
        </w:rPr>
        <w:t>1</w:t>
      </w:r>
      <w:r>
        <w:rPr>
          <w:rFonts w:hint="eastAsia"/>
          <w:snapToGrid/>
        </w:rPr>
        <w:t>日至</w:t>
      </w:r>
      <w:r>
        <w:rPr>
          <w:rFonts w:hint="eastAsia"/>
          <w:snapToGrid/>
        </w:rPr>
        <w:t>19</w:t>
      </w:r>
      <w:r>
        <w:rPr>
          <w:rFonts w:hint="eastAsia"/>
          <w:snapToGrid/>
        </w:rPr>
        <w:t>日，日内瓦</w:t>
      </w:r>
    </w:p>
    <w:p w:rsidR="00000000" w:rsidRDefault="00000000">
      <w:pPr>
        <w:pStyle w:val="Heading2"/>
        <w:rPr>
          <w:rFonts w:hint="eastAsia"/>
          <w:kern w:val="0"/>
        </w:rPr>
      </w:pPr>
      <w:r>
        <w:rPr>
          <w:rFonts w:hint="eastAsia"/>
          <w:kern w:val="0"/>
        </w:rPr>
        <w:t>审议缔约国根据《公约》第十六条和十七条提交的报告</w:t>
      </w:r>
    </w:p>
    <w:p w:rsidR="00000000" w:rsidRDefault="00000000">
      <w:pPr>
        <w:pStyle w:val="Heading3"/>
        <w:rPr>
          <w:rFonts w:hint="eastAsia"/>
          <w:kern w:val="0"/>
        </w:rPr>
      </w:pPr>
      <w:r>
        <w:rPr>
          <w:rFonts w:hint="eastAsia"/>
          <w:kern w:val="0"/>
        </w:rPr>
        <w:t>经济、社会及文化权利委员会的结论性意见</w:t>
      </w:r>
    </w:p>
    <w:p w:rsidR="00000000" w:rsidRDefault="00000000">
      <w:pPr>
        <w:pStyle w:val="Heading3"/>
        <w:rPr>
          <w:rFonts w:eastAsia="SimHei" w:hint="eastAsia"/>
          <w:kern w:val="0"/>
          <w:u w:val="none"/>
        </w:rPr>
      </w:pPr>
      <w:r>
        <w:rPr>
          <w:rFonts w:eastAsia="SimHei" w:hint="eastAsia"/>
          <w:kern w:val="0"/>
          <w:u w:val="none"/>
        </w:rPr>
        <w:t>加</w:t>
      </w:r>
      <w:r>
        <w:rPr>
          <w:rFonts w:eastAsia="SimHei" w:hint="eastAsia"/>
          <w:kern w:val="0"/>
          <w:u w:val="none"/>
        </w:rPr>
        <w:t xml:space="preserve"> </w:t>
      </w:r>
      <w:r>
        <w:rPr>
          <w:rFonts w:eastAsia="SimHei" w:hint="eastAsia"/>
          <w:kern w:val="0"/>
          <w:u w:val="none"/>
        </w:rPr>
        <w:t>拿</w:t>
      </w:r>
      <w:r>
        <w:rPr>
          <w:rFonts w:eastAsia="SimHei" w:hint="eastAsia"/>
          <w:kern w:val="0"/>
          <w:u w:val="none"/>
        </w:rPr>
        <w:t xml:space="preserve"> </w:t>
      </w:r>
      <w:r>
        <w:rPr>
          <w:rFonts w:eastAsia="SimHei" w:hint="eastAsia"/>
          <w:kern w:val="0"/>
          <w:u w:val="none"/>
        </w:rPr>
        <w:t>大</w:t>
      </w:r>
    </w:p>
    <w:p w:rsidR="00000000" w:rsidRDefault="00000000">
      <w:pPr>
        <w:spacing w:after="320"/>
        <w:rPr>
          <w:rFonts w:hint="eastAsia"/>
          <w:snapToGrid/>
        </w:rPr>
      </w:pPr>
      <w:r>
        <w:rPr>
          <w:rFonts w:hint="eastAsia"/>
          <w:snapToGrid/>
        </w:rPr>
        <w:tab/>
        <w:t xml:space="preserve">1.  </w:t>
      </w:r>
      <w:r>
        <w:rPr>
          <w:rFonts w:hint="eastAsia"/>
          <w:snapToGrid/>
        </w:rPr>
        <w:t>经济、社会及文化权利委员会在</w:t>
      </w:r>
      <w:r>
        <w:rPr>
          <w:rFonts w:hint="eastAsia"/>
          <w:snapToGrid/>
        </w:rPr>
        <w:t>2006</w:t>
      </w:r>
      <w:r>
        <w:rPr>
          <w:rFonts w:hint="eastAsia"/>
          <w:snapToGrid/>
        </w:rPr>
        <w:t>年</w:t>
      </w:r>
      <w:r>
        <w:rPr>
          <w:rFonts w:hint="eastAsia"/>
          <w:snapToGrid/>
        </w:rPr>
        <w:t>5</w:t>
      </w:r>
      <w:r>
        <w:rPr>
          <w:rFonts w:hint="eastAsia"/>
          <w:snapToGrid/>
        </w:rPr>
        <w:t>月</w:t>
      </w:r>
      <w:r>
        <w:rPr>
          <w:rFonts w:hint="eastAsia"/>
          <w:snapToGrid/>
        </w:rPr>
        <w:t>5</w:t>
      </w:r>
      <w:r>
        <w:rPr>
          <w:rFonts w:hint="eastAsia"/>
          <w:snapToGrid/>
        </w:rPr>
        <w:t>和</w:t>
      </w:r>
      <w:r>
        <w:rPr>
          <w:rFonts w:hint="eastAsia"/>
          <w:snapToGrid/>
        </w:rPr>
        <w:t>8</w:t>
      </w:r>
      <w:r>
        <w:rPr>
          <w:rFonts w:hint="eastAsia"/>
          <w:snapToGrid/>
        </w:rPr>
        <w:t>日举行的第</w:t>
      </w:r>
      <w:r>
        <w:rPr>
          <w:rFonts w:hint="eastAsia"/>
          <w:snapToGrid/>
        </w:rPr>
        <w:t>9</w:t>
      </w:r>
      <w:r>
        <w:rPr>
          <w:rFonts w:hint="eastAsia"/>
          <w:snapToGrid/>
        </w:rPr>
        <w:t>至</w:t>
      </w:r>
      <w:r>
        <w:rPr>
          <w:rFonts w:hint="eastAsia"/>
          <w:snapToGrid/>
        </w:rPr>
        <w:t>12</w:t>
      </w:r>
      <w:r>
        <w:rPr>
          <w:rFonts w:hint="eastAsia"/>
          <w:snapToGrid/>
        </w:rPr>
        <w:t>次会议</w:t>
      </w:r>
      <w:r>
        <w:rPr>
          <w:rFonts w:hint="eastAsia"/>
          <w:snapToGrid/>
        </w:rPr>
        <w:t>(E/C.12/2006/SR.9-12)</w:t>
      </w:r>
      <w:r>
        <w:rPr>
          <w:rFonts w:hint="eastAsia"/>
          <w:snapToGrid/>
          <w:spacing w:val="9"/>
        </w:rPr>
        <w:t>次会议上审议了加拿大关于《经济、社会、文化权利国际公约》执行情况的第四次和第五次定期报告</w:t>
      </w:r>
      <w:r>
        <w:rPr>
          <w:rFonts w:hint="eastAsia"/>
          <w:snapToGrid/>
        </w:rPr>
        <w:t>(E/C.12/4/</w:t>
      </w:r>
      <w:r>
        <w:rPr>
          <w:snapToGrid/>
        </w:rPr>
        <w:t>Add.1</w:t>
      </w:r>
      <w:r>
        <w:rPr>
          <w:rFonts w:hint="eastAsia"/>
          <w:snapToGrid/>
        </w:rPr>
        <w:t>5</w:t>
      </w:r>
      <w:r>
        <w:rPr>
          <w:rFonts w:hint="eastAsia"/>
          <w:snapToGrid/>
        </w:rPr>
        <w:t>和</w:t>
      </w:r>
      <w:r>
        <w:rPr>
          <w:rFonts w:hint="eastAsia"/>
          <w:snapToGrid/>
        </w:rPr>
        <w:t>E/C.12/</w:t>
      </w:r>
      <w:r>
        <w:rPr>
          <w:snapToGrid/>
        </w:rPr>
        <w:t>CAN</w:t>
      </w:r>
      <w:r>
        <w:rPr>
          <w:rFonts w:hint="eastAsia"/>
          <w:snapToGrid/>
        </w:rPr>
        <w:t>/5</w:t>
      </w:r>
      <w:r>
        <w:rPr>
          <w:snapToGrid/>
        </w:rPr>
        <w:t>)</w:t>
      </w:r>
      <w:r>
        <w:rPr>
          <w:snapToGrid/>
        </w:rPr>
        <w:t>，</w:t>
      </w:r>
      <w:r>
        <w:rPr>
          <w:rFonts w:hint="eastAsia"/>
          <w:snapToGrid/>
        </w:rPr>
        <w:t>并在</w:t>
      </w:r>
      <w:r>
        <w:rPr>
          <w:rFonts w:hint="eastAsia"/>
          <w:snapToGrid/>
        </w:rPr>
        <w:t>200</w:t>
      </w:r>
      <w:r>
        <w:rPr>
          <w:snapToGrid/>
        </w:rPr>
        <w:t>6</w:t>
      </w:r>
      <w:r>
        <w:rPr>
          <w:rFonts w:hint="eastAsia"/>
          <w:snapToGrid/>
        </w:rPr>
        <w:t>年</w:t>
      </w:r>
      <w:r>
        <w:rPr>
          <w:rFonts w:hint="eastAsia"/>
          <w:snapToGrid/>
        </w:rPr>
        <w:t>5</w:t>
      </w:r>
      <w:r>
        <w:rPr>
          <w:rFonts w:hint="eastAsia"/>
          <w:snapToGrid/>
        </w:rPr>
        <w:t>月</w:t>
      </w:r>
      <w:r>
        <w:rPr>
          <w:rFonts w:hint="eastAsia"/>
          <w:snapToGrid/>
        </w:rPr>
        <w:t>1</w:t>
      </w:r>
      <w:r>
        <w:rPr>
          <w:snapToGrid/>
        </w:rPr>
        <w:t>9</w:t>
      </w:r>
      <w:r>
        <w:rPr>
          <w:rFonts w:hint="eastAsia"/>
          <w:snapToGrid/>
        </w:rPr>
        <w:t>日举行的第</w:t>
      </w:r>
      <w:r>
        <w:rPr>
          <w:rFonts w:hint="eastAsia"/>
          <w:snapToGrid/>
        </w:rPr>
        <w:t>2</w:t>
      </w:r>
      <w:r>
        <w:rPr>
          <w:snapToGrid/>
        </w:rPr>
        <w:t>9</w:t>
      </w:r>
      <w:r>
        <w:rPr>
          <w:rFonts w:hint="eastAsia"/>
          <w:snapToGrid/>
        </w:rPr>
        <w:t>次会议上通过了以下结论性意见。</w:t>
      </w:r>
    </w:p>
    <w:p w:rsidR="00000000" w:rsidRDefault="00000000">
      <w:pPr>
        <w:pStyle w:val="Heading3"/>
        <w:rPr>
          <w:rFonts w:hint="eastAsia"/>
          <w:kern w:val="0"/>
        </w:rPr>
      </w:pPr>
      <w:r>
        <w:rPr>
          <w:rFonts w:hint="eastAsia"/>
          <w:kern w:val="0"/>
          <w:u w:val="none"/>
        </w:rPr>
        <w:t xml:space="preserve">A.  </w:t>
      </w:r>
      <w:r>
        <w:rPr>
          <w:rFonts w:hint="eastAsia"/>
          <w:kern w:val="0"/>
        </w:rPr>
        <w:t>导</w:t>
      </w:r>
      <w:r>
        <w:rPr>
          <w:rFonts w:hint="eastAsia"/>
          <w:kern w:val="0"/>
        </w:rPr>
        <w:t xml:space="preserve">  </w:t>
      </w:r>
      <w:r>
        <w:rPr>
          <w:rFonts w:hint="eastAsia"/>
          <w:kern w:val="0"/>
        </w:rPr>
        <w:t>言</w:t>
      </w:r>
    </w:p>
    <w:p w:rsidR="00000000" w:rsidRDefault="00000000">
      <w:pPr>
        <w:spacing w:after="320"/>
        <w:rPr>
          <w:rFonts w:hint="eastAsia"/>
          <w:snapToGrid/>
        </w:rPr>
      </w:pPr>
      <w:r>
        <w:rPr>
          <w:rFonts w:hint="eastAsia"/>
          <w:snapToGrid/>
        </w:rPr>
        <w:tab/>
        <w:t xml:space="preserve">2.  </w:t>
      </w:r>
      <w:r>
        <w:rPr>
          <w:rFonts w:hint="eastAsia"/>
          <w:snapToGrid/>
        </w:rPr>
        <w:t>委员会欢迎缔约国提交第四次和第五次定期报告以及提前对委员会的问题清单作出书面答复</w:t>
      </w:r>
      <w:r>
        <w:rPr>
          <w:rFonts w:hint="eastAsia"/>
          <w:snapToGrid/>
        </w:rPr>
        <w:t>(E/C.12/</w:t>
      </w:r>
      <w:r>
        <w:rPr>
          <w:snapToGrid/>
        </w:rPr>
        <w:t>Q</w:t>
      </w:r>
      <w:r>
        <w:rPr>
          <w:rFonts w:hint="eastAsia"/>
          <w:snapToGrid/>
        </w:rPr>
        <w:t>/</w:t>
      </w:r>
      <w:r>
        <w:rPr>
          <w:snapToGrid/>
        </w:rPr>
        <w:t>CAN/2</w:t>
      </w:r>
      <w:r>
        <w:rPr>
          <w:rFonts w:hint="eastAsia"/>
          <w:snapToGrid/>
        </w:rPr>
        <w:t>和</w:t>
      </w:r>
      <w:r>
        <w:rPr>
          <w:rFonts w:hint="eastAsia"/>
          <w:snapToGrid/>
        </w:rPr>
        <w:t>E/C.12/</w:t>
      </w:r>
      <w:r>
        <w:rPr>
          <w:snapToGrid/>
        </w:rPr>
        <w:t>CAN</w:t>
      </w:r>
      <w:r>
        <w:rPr>
          <w:rFonts w:hint="eastAsia"/>
          <w:snapToGrid/>
        </w:rPr>
        <w:t>/</w:t>
      </w:r>
      <w:r>
        <w:rPr>
          <w:snapToGrid/>
        </w:rPr>
        <w:t>Q/</w:t>
      </w:r>
      <w:r>
        <w:rPr>
          <w:rFonts w:hint="eastAsia"/>
          <w:snapToGrid/>
        </w:rPr>
        <w:t>5</w:t>
      </w:r>
      <w:r>
        <w:rPr>
          <w:snapToGrid/>
        </w:rPr>
        <w:t>)</w:t>
      </w:r>
      <w:r>
        <w:rPr>
          <w:rFonts w:hint="eastAsia"/>
          <w:snapToGrid/>
        </w:rPr>
        <w:t>。委员会还欢迎与由《公约》所涉各个领域的专家以及缔约国各省及地区代表组成的缔约国代表团进行对话。然而，委员会指出，在尚未审议第四次定期报告时提交第五次定期报告并不便于审议缔约国的情况。</w:t>
      </w:r>
    </w:p>
    <w:p w:rsidR="00000000" w:rsidRDefault="00000000">
      <w:pPr>
        <w:pStyle w:val="Heading3"/>
        <w:rPr>
          <w:rFonts w:hint="eastAsia"/>
          <w:kern w:val="0"/>
        </w:rPr>
      </w:pPr>
      <w:r>
        <w:rPr>
          <w:rFonts w:hint="eastAsia"/>
          <w:kern w:val="0"/>
          <w:u w:val="none"/>
        </w:rPr>
        <w:t xml:space="preserve">B.  </w:t>
      </w:r>
      <w:r>
        <w:rPr>
          <w:rFonts w:hint="eastAsia"/>
          <w:kern w:val="0"/>
        </w:rPr>
        <w:t>积极方面</w:t>
      </w:r>
    </w:p>
    <w:p w:rsidR="00000000" w:rsidRDefault="00000000">
      <w:pPr>
        <w:rPr>
          <w:rFonts w:hint="eastAsia"/>
          <w:snapToGrid/>
        </w:rPr>
      </w:pPr>
      <w:r>
        <w:rPr>
          <w:rFonts w:hint="eastAsia"/>
          <w:snapToGrid/>
        </w:rPr>
        <w:tab/>
        <w:t xml:space="preserve">3.  </w:t>
      </w:r>
      <w:r>
        <w:rPr>
          <w:rFonts w:hint="eastAsia"/>
          <w:snapToGrid/>
        </w:rPr>
        <w:t>委员会注意到，加拿大仍然接近于联合国开发计划署《人类发展指数》最高值。</w:t>
      </w:r>
      <w:r>
        <w:rPr>
          <w:rFonts w:hint="eastAsia"/>
        </w:rPr>
        <w:t>平均来说，加拿大人享有较高的生活水准，并有能力高度实现</w:t>
      </w:r>
      <w:r>
        <w:rPr>
          <w:rFonts w:hint="eastAsia"/>
          <w:snapToGrid/>
        </w:rPr>
        <w:t>《公约》所有各项权利。</w:t>
      </w:r>
    </w:p>
    <w:p w:rsidR="00000000" w:rsidRDefault="00000000">
      <w:pPr>
        <w:rPr>
          <w:rFonts w:hint="eastAsia"/>
          <w:snapToGrid/>
        </w:rPr>
      </w:pPr>
      <w:r>
        <w:rPr>
          <w:rFonts w:hint="eastAsia"/>
          <w:snapToGrid/>
        </w:rPr>
        <w:tab/>
        <w:t xml:space="preserve">4.  </w:t>
      </w:r>
      <w:r>
        <w:rPr>
          <w:rFonts w:hint="eastAsia"/>
          <w:snapToGrid/>
        </w:rPr>
        <w:t>委员会欢迎缔约国国内失业率相对较低，低收入截止线生活水准以下人口比例从</w:t>
      </w:r>
      <w:r>
        <w:rPr>
          <w:rFonts w:hint="eastAsia"/>
          <w:snapToGrid/>
        </w:rPr>
        <w:t>1998</w:t>
      </w:r>
      <w:r>
        <w:rPr>
          <w:rFonts w:hint="eastAsia"/>
          <w:snapToGrid/>
        </w:rPr>
        <w:t>年的</w:t>
      </w:r>
      <w:r>
        <w:rPr>
          <w:rFonts w:hint="eastAsia"/>
          <w:snapToGrid/>
        </w:rPr>
        <w:t>13.7%</w:t>
      </w:r>
      <w:r>
        <w:rPr>
          <w:rFonts w:hint="eastAsia"/>
          <w:snapToGrid/>
        </w:rPr>
        <w:t>减少到</w:t>
      </w:r>
      <w:r>
        <w:rPr>
          <w:rFonts w:hint="eastAsia"/>
          <w:snapToGrid/>
        </w:rPr>
        <w:t>2004</w:t>
      </w:r>
      <w:r>
        <w:rPr>
          <w:rFonts w:hint="eastAsia"/>
          <w:snapToGrid/>
        </w:rPr>
        <w:t>年的</w:t>
      </w:r>
      <w:r>
        <w:rPr>
          <w:rFonts w:hint="eastAsia"/>
          <w:snapToGrid/>
        </w:rPr>
        <w:t>11.2%(</w:t>
      </w:r>
      <w:r>
        <w:rPr>
          <w:rFonts w:hint="eastAsia"/>
          <w:snapToGrid/>
        </w:rPr>
        <w:t>根据加拿大统计局的定义</w:t>
      </w:r>
      <w:r>
        <w:rPr>
          <w:rFonts w:hint="eastAsia"/>
          <w:snapToGrid/>
        </w:rPr>
        <w:t>)</w:t>
      </w:r>
      <w:r>
        <w:rPr>
          <w:rFonts w:hint="eastAsia"/>
          <w:snapToGrid/>
        </w:rPr>
        <w:t>。</w:t>
      </w:r>
    </w:p>
    <w:p w:rsidR="00000000" w:rsidRDefault="00000000">
      <w:pPr>
        <w:rPr>
          <w:rFonts w:hint="eastAsia"/>
          <w:snapToGrid/>
        </w:rPr>
      </w:pPr>
      <w:r>
        <w:rPr>
          <w:rFonts w:hint="eastAsia"/>
          <w:snapToGrid/>
        </w:rPr>
        <w:tab/>
        <w:t xml:space="preserve">5.  </w:t>
      </w:r>
      <w:r>
        <w:rPr>
          <w:rFonts w:hint="eastAsia"/>
          <w:snapToGrid/>
        </w:rPr>
        <w:t>委员会赞赏地注意到，缔约国原住民和其他人口在婴儿死亡率和中等教育方面的差异缩小。</w:t>
      </w:r>
    </w:p>
    <w:p w:rsidR="00000000" w:rsidRDefault="00000000">
      <w:pPr>
        <w:rPr>
          <w:rFonts w:hint="eastAsia"/>
        </w:rPr>
      </w:pPr>
      <w:r>
        <w:rPr>
          <w:rFonts w:hint="eastAsia"/>
          <w:snapToGrid/>
        </w:rPr>
        <w:tab/>
        <w:t xml:space="preserve">6.  </w:t>
      </w:r>
      <w:r>
        <w:rPr>
          <w:rFonts w:hint="eastAsia"/>
          <w:snapToGrid/>
        </w:rPr>
        <w:t>委员会欢迎缔约国在同工同酬方面采取各项措施，特别是针对遭受歧视的妇女追</w:t>
      </w:r>
      <w:r>
        <w:rPr>
          <w:rFonts w:hint="eastAsia"/>
        </w:rPr>
        <w:t>溯支付调整报酬。</w:t>
      </w:r>
    </w:p>
    <w:p w:rsidR="00000000" w:rsidRDefault="00000000">
      <w:pPr>
        <w:rPr>
          <w:rFonts w:hint="eastAsia"/>
        </w:rPr>
      </w:pPr>
      <w:r>
        <w:rPr>
          <w:rFonts w:hint="eastAsia"/>
          <w:snapToGrid/>
        </w:rPr>
        <w:tab/>
        <w:t xml:space="preserve">7.  </w:t>
      </w:r>
      <w:r>
        <w:rPr>
          <w:rFonts w:hint="eastAsia"/>
          <w:snapToGrid/>
        </w:rPr>
        <w:t>委员会欢迎生育和</w:t>
      </w:r>
      <w:r>
        <w:rPr>
          <w:rFonts w:hint="eastAsia"/>
        </w:rPr>
        <w:t>育儿福利自六个月延长至一年。</w:t>
      </w:r>
    </w:p>
    <w:p w:rsidR="00000000" w:rsidRDefault="00000000">
      <w:pPr>
        <w:rPr>
          <w:rFonts w:hint="eastAsia"/>
          <w:snapToGrid/>
        </w:rPr>
      </w:pPr>
      <w:r>
        <w:rPr>
          <w:rFonts w:hint="eastAsia"/>
          <w:snapToGrid/>
        </w:rPr>
        <w:tab/>
        <w:t xml:space="preserve">8.  </w:t>
      </w:r>
      <w:r>
        <w:rPr>
          <w:rFonts w:hint="eastAsia"/>
          <w:snapToGrid/>
        </w:rPr>
        <w:t>委员会满意地注意到《加强保健十年计划》以及创立公共卫生机构等缔约国主办的各种保健方案。</w:t>
      </w:r>
    </w:p>
    <w:p w:rsidR="00000000" w:rsidRDefault="00000000">
      <w:pPr>
        <w:spacing w:after="320"/>
        <w:rPr>
          <w:rFonts w:hint="eastAsia"/>
          <w:snapToGrid/>
        </w:rPr>
      </w:pPr>
      <w:r>
        <w:rPr>
          <w:rFonts w:hint="eastAsia"/>
          <w:snapToGrid/>
        </w:rPr>
        <w:tab/>
        <w:t xml:space="preserve">9.  </w:t>
      </w:r>
      <w:r>
        <w:rPr>
          <w:rFonts w:hint="eastAsia"/>
          <w:snapToGrid/>
        </w:rPr>
        <w:t>委员会注意到，加拿大官方发展援助水平从</w:t>
      </w:r>
      <w:r>
        <w:rPr>
          <w:rFonts w:hint="eastAsia"/>
          <w:snapToGrid/>
        </w:rPr>
        <w:t>2004</w:t>
      </w:r>
      <w:r>
        <w:rPr>
          <w:rFonts w:hint="eastAsia"/>
          <w:snapToGrid/>
        </w:rPr>
        <w:t>年占国内生产总值的</w:t>
      </w:r>
      <w:r>
        <w:rPr>
          <w:rFonts w:hint="eastAsia"/>
          <w:snapToGrid/>
        </w:rPr>
        <w:t>0.27%</w:t>
      </w:r>
      <w:r>
        <w:rPr>
          <w:rFonts w:hint="eastAsia"/>
          <w:snapToGrid/>
        </w:rPr>
        <w:t>提高到目前占国内生产总值大约</w:t>
      </w:r>
      <w:r>
        <w:rPr>
          <w:rFonts w:hint="eastAsia"/>
          <w:snapToGrid/>
        </w:rPr>
        <w:t>0.33%</w:t>
      </w:r>
      <w:r>
        <w:rPr>
          <w:rFonts w:hint="eastAsia"/>
          <w:snapToGrid/>
        </w:rPr>
        <w:t>的水平。</w:t>
      </w:r>
    </w:p>
    <w:p w:rsidR="00000000" w:rsidRDefault="00000000">
      <w:pPr>
        <w:pStyle w:val="Heading3"/>
        <w:rPr>
          <w:rFonts w:hint="eastAsia"/>
          <w:kern w:val="0"/>
        </w:rPr>
      </w:pPr>
      <w:r>
        <w:rPr>
          <w:rFonts w:hint="eastAsia"/>
          <w:kern w:val="0"/>
          <w:u w:val="none"/>
        </w:rPr>
        <w:t xml:space="preserve">C.  </w:t>
      </w:r>
      <w:r>
        <w:rPr>
          <w:rFonts w:hint="eastAsia"/>
          <w:kern w:val="0"/>
        </w:rPr>
        <w:t>妨碍《公约》执行的因素和困难</w:t>
      </w:r>
    </w:p>
    <w:p w:rsidR="00000000" w:rsidRDefault="00000000">
      <w:pPr>
        <w:rPr>
          <w:rFonts w:hint="eastAsia"/>
          <w:snapToGrid/>
        </w:rPr>
      </w:pPr>
      <w:r>
        <w:rPr>
          <w:rFonts w:hint="eastAsia"/>
          <w:snapToGrid/>
        </w:rPr>
        <w:tab/>
        <w:t xml:space="preserve">10.  </w:t>
      </w:r>
      <w:r>
        <w:rPr>
          <w:rFonts w:hint="eastAsia"/>
          <w:snapToGrid/>
        </w:rPr>
        <w:t>委员会注意到</w:t>
      </w:r>
      <w:r>
        <w:rPr>
          <w:rFonts w:hint="eastAsia"/>
        </w:rPr>
        <w:t>缔约国不存在妨碍有效执行《公约》的因素和困难</w:t>
      </w:r>
      <w:r>
        <w:rPr>
          <w:rFonts w:hint="eastAsia"/>
          <w:snapToGrid/>
        </w:rPr>
        <w:t>。</w:t>
      </w:r>
    </w:p>
    <w:p w:rsidR="00000000" w:rsidRDefault="00000000">
      <w:pPr>
        <w:spacing w:after="320"/>
        <w:jc w:val="center"/>
        <w:rPr>
          <w:rFonts w:hint="eastAsia"/>
        </w:rPr>
      </w:pPr>
    </w:p>
    <w:p w:rsidR="00000000" w:rsidRDefault="00000000">
      <w:pPr>
        <w:spacing w:after="320"/>
        <w:jc w:val="center"/>
        <w:rPr>
          <w:rFonts w:hint="eastAsia"/>
        </w:rPr>
      </w:pPr>
      <w:r>
        <w:rPr>
          <w:rFonts w:hint="eastAsia"/>
        </w:rPr>
        <w:t xml:space="preserve">D.  </w:t>
      </w:r>
      <w:r>
        <w:rPr>
          <w:rFonts w:hint="eastAsia"/>
        </w:rPr>
        <w:t>主要关注问题</w:t>
      </w:r>
    </w:p>
    <w:p w:rsidR="00000000" w:rsidRDefault="00000000">
      <w:pPr>
        <w:rPr>
          <w:rFonts w:hint="eastAsia"/>
          <w:snapToGrid/>
        </w:rPr>
      </w:pPr>
      <w:r>
        <w:rPr>
          <w:rFonts w:hint="eastAsia"/>
          <w:snapToGrid/>
        </w:rPr>
        <w:tab/>
        <w:t xml:space="preserve">11.  </w:t>
      </w:r>
      <w:r>
        <w:rPr>
          <w:rFonts w:hint="eastAsia"/>
          <w:snapToGrid/>
        </w:rPr>
        <w:t>委员会感到遗憾的是，委员会</w:t>
      </w:r>
      <w:r>
        <w:rPr>
          <w:rFonts w:hint="eastAsia"/>
          <w:snapToGrid/>
        </w:rPr>
        <w:t>1993</w:t>
      </w:r>
      <w:r>
        <w:rPr>
          <w:rFonts w:hint="eastAsia"/>
          <w:snapToGrid/>
        </w:rPr>
        <w:t>年和</w:t>
      </w:r>
      <w:r>
        <w:rPr>
          <w:rFonts w:hint="eastAsia"/>
          <w:snapToGrid/>
        </w:rPr>
        <w:t>1998</w:t>
      </w:r>
      <w:r>
        <w:rPr>
          <w:rFonts w:hint="eastAsia"/>
          <w:snapToGrid/>
        </w:rPr>
        <w:t>年关于第二次和第三次定期报告的大部分建议没有得到落实，缔约国没有以有效的方式处理仍然相关的下列主要关</w:t>
      </w:r>
      <w:r>
        <w:rPr>
          <w:rFonts w:hint="eastAsia"/>
        </w:rPr>
        <w:t>注问题：</w:t>
      </w:r>
    </w:p>
    <w:p w:rsidR="00000000" w:rsidRDefault="00000000">
      <w:pPr>
        <w:numPr>
          <w:ilvl w:val="0"/>
          <w:numId w:val="108"/>
        </w:numPr>
        <w:tabs>
          <w:tab w:val="clear" w:pos="1531"/>
        </w:tabs>
        <w:rPr>
          <w:rFonts w:hint="eastAsia"/>
          <w:snapToGrid/>
        </w:rPr>
      </w:pPr>
      <w:r>
        <w:rPr>
          <w:rFonts w:hint="eastAsia"/>
          <w:snapToGrid/>
        </w:rPr>
        <w:t>缔约国有限地解释其《公约》义务，特别是通过采取具体措施和政策，而非颁布具体确认经济、社会、文化权利的立法，来履行《公约》义务的立场，各省和地区不了解缔约国所承担的《公约》法律义务；</w:t>
      </w:r>
    </w:p>
    <w:p w:rsidR="00000000" w:rsidRDefault="00000000">
      <w:pPr>
        <w:numPr>
          <w:ilvl w:val="0"/>
          <w:numId w:val="108"/>
        </w:numPr>
        <w:tabs>
          <w:tab w:val="clear" w:pos="1531"/>
        </w:tabs>
        <w:rPr>
          <w:rFonts w:hint="eastAsia"/>
          <w:snapToGrid/>
        </w:rPr>
      </w:pPr>
      <w:r>
        <w:rPr>
          <w:rFonts w:hint="eastAsia"/>
          <w:snapToGrid/>
        </w:rPr>
        <w:t>由于《公约》所规定的国内经济、社会、文化权利立法涵盖不足，政府不执行《公约》时个人没有可以利用的法律补救办法；没有有效实施这些权利的机制；政府敦促法院解释《加拿大权利和自由宪章》以拒绝保护《公约》权利；经济、社会、文化权利方面的民间法律援助不足；</w:t>
      </w:r>
    </w:p>
    <w:p w:rsidR="00000000" w:rsidRDefault="00000000">
      <w:pPr>
        <w:numPr>
          <w:ilvl w:val="0"/>
          <w:numId w:val="108"/>
        </w:numPr>
        <w:tabs>
          <w:tab w:val="clear" w:pos="1531"/>
        </w:tabs>
        <w:rPr>
          <w:rFonts w:hint="eastAsia"/>
          <w:snapToGrid/>
        </w:rPr>
      </w:pPr>
      <w:r>
        <w:rPr>
          <w:rFonts w:hint="eastAsia"/>
          <w:snapToGrid/>
        </w:rPr>
        <w:t>对在不歧视的基础上所有需要享受充分社会援助福利的人没有可在法律上强制实施的权利，某些工作方案对社会援助受益者产生消极影响；</w:t>
      </w:r>
    </w:p>
    <w:p w:rsidR="00000000" w:rsidRDefault="00000000">
      <w:pPr>
        <w:numPr>
          <w:ilvl w:val="0"/>
          <w:numId w:val="108"/>
        </w:numPr>
        <w:tabs>
          <w:tab w:val="clear" w:pos="1531"/>
        </w:tabs>
        <w:rPr>
          <w:rFonts w:hint="eastAsia"/>
          <w:snapToGrid/>
        </w:rPr>
      </w:pPr>
      <w:r>
        <w:rPr>
          <w:rFonts w:hint="eastAsia"/>
        </w:rPr>
        <w:t>加拿大土著和其余人口之间在享有</w:t>
      </w:r>
      <w:r>
        <w:rPr>
          <w:rFonts w:hint="eastAsia"/>
          <w:snapToGrid/>
        </w:rPr>
        <w:t>《公约》权利方面</w:t>
      </w:r>
      <w:r>
        <w:rPr>
          <w:rFonts w:hint="eastAsia"/>
        </w:rPr>
        <w:t>仍然存在差异，土著妇女在夫妻财产事项上仍然受歧视；</w:t>
      </w:r>
    </w:p>
    <w:p w:rsidR="00000000" w:rsidRDefault="00000000">
      <w:pPr>
        <w:numPr>
          <w:ilvl w:val="0"/>
          <w:numId w:val="108"/>
        </w:numPr>
        <w:tabs>
          <w:tab w:val="clear" w:pos="1531"/>
        </w:tabs>
        <w:rPr>
          <w:rFonts w:hint="eastAsia"/>
          <w:snapToGrid/>
        </w:rPr>
      </w:pPr>
      <w:r>
        <w:rPr>
          <w:rFonts w:hint="eastAsia"/>
        </w:rPr>
        <w:t>没有制订官方贫困线；</w:t>
      </w:r>
    </w:p>
    <w:p w:rsidR="00000000" w:rsidRDefault="00000000">
      <w:pPr>
        <w:numPr>
          <w:ilvl w:val="0"/>
          <w:numId w:val="108"/>
        </w:numPr>
        <w:tabs>
          <w:tab w:val="clear" w:pos="1531"/>
        </w:tabs>
        <w:rPr>
          <w:rFonts w:hint="eastAsia"/>
          <w:snapToGrid/>
        </w:rPr>
      </w:pPr>
      <w:r>
        <w:rPr>
          <w:rFonts w:hint="eastAsia"/>
          <w:snapToGrid/>
        </w:rPr>
        <w:t>确保所有人都能享有最低工资和实现适足生活水准权利的社会援助不足；</w:t>
      </w:r>
    </w:p>
    <w:p w:rsidR="00000000" w:rsidRDefault="00000000">
      <w:pPr>
        <w:numPr>
          <w:ilvl w:val="0"/>
          <w:numId w:val="108"/>
        </w:numPr>
        <w:tabs>
          <w:tab w:val="clear" w:pos="1531"/>
        </w:tabs>
        <w:rPr>
          <w:rFonts w:hint="eastAsia"/>
          <w:snapToGrid/>
        </w:rPr>
      </w:pPr>
      <w:r>
        <w:rPr>
          <w:rFonts w:hint="eastAsia"/>
          <w:snapToGrid/>
        </w:rPr>
        <w:t>允许各省和地区根据《全国儿童福利制度》，从领取福利救济的父母所领取的社会救济数额中扣除掉儿童福利金。</w:t>
      </w:r>
    </w:p>
    <w:p w:rsidR="00000000" w:rsidRDefault="00000000">
      <w:pPr>
        <w:rPr>
          <w:rFonts w:hint="eastAsia"/>
          <w:snapToGrid/>
        </w:rPr>
      </w:pPr>
      <w:r>
        <w:rPr>
          <w:rFonts w:hint="eastAsia"/>
          <w:snapToGrid/>
        </w:rPr>
        <w:tab/>
        <w:t xml:space="preserve">12.  </w:t>
      </w:r>
      <w:r>
        <w:rPr>
          <w:rFonts w:hint="eastAsia"/>
          <w:snapToGrid/>
        </w:rPr>
        <w:t>委员会感到关注的是，尽管联邦、各省和地区政府通过联邦、省和地区</w:t>
      </w:r>
      <w:r>
        <w:rPr>
          <w:rFonts w:hint="eastAsia"/>
        </w:rPr>
        <w:t>人权官员常设委员会进行磋商和分享信息，但未拟订有效程序对委员会的结论性意见采取后续行动</w:t>
      </w:r>
      <w:r>
        <w:rPr>
          <w:rFonts w:hint="eastAsia"/>
          <w:snapToGrid/>
        </w:rPr>
        <w:t>。</w:t>
      </w:r>
    </w:p>
    <w:p w:rsidR="00000000" w:rsidRDefault="00000000">
      <w:pPr>
        <w:rPr>
          <w:rFonts w:hint="eastAsia"/>
          <w:snapToGrid/>
        </w:rPr>
      </w:pPr>
      <w:r>
        <w:rPr>
          <w:rFonts w:hint="eastAsia"/>
          <w:snapToGrid/>
        </w:rPr>
        <w:tab/>
        <w:t xml:space="preserve">13.  </w:t>
      </w:r>
      <w:r>
        <w:rPr>
          <w:rFonts w:hint="eastAsia"/>
          <w:snapToGrid/>
        </w:rPr>
        <w:t>委员会注意到缔约国的“</w:t>
      </w:r>
      <w:r>
        <w:rPr>
          <w:rFonts w:hint="eastAsia"/>
        </w:rPr>
        <w:t>法庭质疑方案”，但感到遗憾的是</w:t>
      </w:r>
      <w:r>
        <w:rPr>
          <w:rFonts w:hint="eastAsia"/>
          <w:snapToGrid/>
        </w:rPr>
        <w:t>，没有扩展该项方案，能够按照委员会以前的建议对质疑省和地区立法和政策给予资助。</w:t>
      </w:r>
    </w:p>
    <w:p w:rsidR="00000000" w:rsidRDefault="00000000">
      <w:pPr>
        <w:rPr>
          <w:rFonts w:hint="eastAsia"/>
          <w:snapToGrid/>
        </w:rPr>
      </w:pPr>
      <w:r>
        <w:rPr>
          <w:rFonts w:hint="eastAsia"/>
          <w:snapToGrid/>
        </w:rPr>
        <w:tab/>
        <w:t xml:space="preserve">14.  </w:t>
      </w:r>
      <w:r>
        <w:rPr>
          <w:rFonts w:hint="eastAsia"/>
          <w:snapToGrid/>
        </w:rPr>
        <w:t>委员会关切地注意到，缔约国若干法庭对经济、社会、文化权利方面的民间法律援助服务财政支助被削减，致使贫困单身妇女等穷苦民众被剥夺根据国内法律本应享受的福利和服务，使他们无法获得国内补救。</w:t>
      </w:r>
      <w:r>
        <w:rPr>
          <w:rFonts w:hint="eastAsia"/>
        </w:rPr>
        <w:t>不列颠哥伦比亚省大量的削减在这方面引起了特别令人关切的问题。</w:t>
      </w:r>
    </w:p>
    <w:p w:rsidR="00000000" w:rsidRDefault="00000000">
      <w:pPr>
        <w:rPr>
          <w:rFonts w:hint="eastAsia"/>
          <w:snapToGrid/>
        </w:rPr>
      </w:pPr>
      <w:r>
        <w:rPr>
          <w:rFonts w:hint="eastAsia"/>
          <w:snapToGrid/>
        </w:rPr>
        <w:tab/>
        <w:t xml:space="preserve">15.  </w:t>
      </w:r>
      <w:r>
        <w:rPr>
          <w:rFonts w:hint="eastAsia"/>
          <w:snapToGrid/>
        </w:rPr>
        <w:t>委员会感到关切的是，尽管加拿大经济繁荣，生活在低收入线以下的人数减少，在</w:t>
      </w:r>
      <w:r>
        <w:rPr>
          <w:rFonts w:hint="eastAsia"/>
          <w:snapToGrid/>
        </w:rPr>
        <w:t xml:space="preserve">2004 </w:t>
      </w:r>
      <w:r>
        <w:rPr>
          <w:rFonts w:hint="eastAsia"/>
          <w:snapToGrid/>
        </w:rPr>
        <w:t>年仍有</w:t>
      </w:r>
      <w:r>
        <w:rPr>
          <w:rFonts w:hint="eastAsia"/>
          <w:snapToGrid/>
        </w:rPr>
        <w:t>11.2%</w:t>
      </w:r>
      <w:r>
        <w:rPr>
          <w:rFonts w:hint="eastAsia"/>
          <w:snapToGrid/>
        </w:rPr>
        <w:t>的人口生活在贫困之中，各省和地区之间持续存在重大贫困差距。委员会尤其关切地注意到，土著居民、非裔加拿大人、移民、残疾人、青年、低收入妇女和单身母亲等处于不利地位和边际化的个人和群体，其贫困比例仍然很高。在包括</w:t>
      </w:r>
      <w:r>
        <w:rPr>
          <w:rFonts w:hint="eastAsia"/>
        </w:rPr>
        <w:t>不列颠哥伦比亚省在内的</w:t>
      </w:r>
      <w:r>
        <w:rPr>
          <w:rFonts w:hint="eastAsia"/>
          <w:snapToGrid/>
        </w:rPr>
        <w:t>若干管辖区域，</w:t>
      </w:r>
      <w:r>
        <w:rPr>
          <w:rFonts w:hint="eastAsia"/>
          <w:snapToGrid/>
        </w:rPr>
        <w:t>1998</w:t>
      </w:r>
      <w:r>
        <w:rPr>
          <w:rFonts w:hint="eastAsia"/>
          <w:snapToGrid/>
        </w:rPr>
        <w:t>年至</w:t>
      </w:r>
      <w:r>
        <w:rPr>
          <w:rFonts w:hint="eastAsia"/>
          <w:snapToGrid/>
        </w:rPr>
        <w:t>2003</w:t>
      </w:r>
      <w:r>
        <w:rPr>
          <w:rFonts w:hint="eastAsia"/>
          <w:snapToGrid/>
        </w:rPr>
        <w:t>年期间，单身母亲和儿童的贫困比例增加。委员会还十分关注，土著居民和其余人口在就业、获得水、保健、住房和教育方面仍然存在巨大差距，缔约国未能充分认识非裔加拿大人在享有《公约》各项权利时面临各种障碍。</w:t>
      </w:r>
    </w:p>
    <w:p w:rsidR="00000000" w:rsidRDefault="00000000">
      <w:pPr>
        <w:rPr>
          <w:rFonts w:hint="eastAsia"/>
          <w:snapToGrid/>
        </w:rPr>
      </w:pPr>
      <w:r>
        <w:rPr>
          <w:rFonts w:hint="eastAsia"/>
          <w:snapToGrid/>
        </w:rPr>
        <w:tab/>
        <w:t xml:space="preserve">16.  </w:t>
      </w:r>
      <w:r>
        <w:rPr>
          <w:rFonts w:hint="eastAsia"/>
          <w:snapToGrid/>
        </w:rPr>
        <w:t>委员会注意到，缔约国于</w:t>
      </w:r>
      <w:r>
        <w:rPr>
          <w:rFonts w:hint="eastAsia"/>
          <w:snapToGrid/>
        </w:rPr>
        <w:t>1998</w:t>
      </w:r>
      <w:r>
        <w:rPr>
          <w:rFonts w:hint="eastAsia"/>
          <w:snapToGrid/>
        </w:rPr>
        <w:t>年开始</w:t>
      </w:r>
      <w:r>
        <w:rPr>
          <w:rFonts w:hint="eastAsia"/>
        </w:rPr>
        <w:t>在全面申诉协定或核准该协定的解决立法中，撤消明确提及取消土著权利和所有权的要求，但仍然感到关切的是，新办法，即“修正的权利模式”和“不主张模式”与取消和放弃办法没有重大差异。委员会还对尚未收到目前正在研究的基于承认权利和另项权利共存的其他办法的详细资料表示遗憾。</w:t>
      </w:r>
    </w:p>
    <w:p w:rsidR="00000000" w:rsidRDefault="00000000">
      <w:pPr>
        <w:rPr>
          <w:rFonts w:hint="eastAsia"/>
          <w:snapToGrid/>
        </w:rPr>
      </w:pPr>
      <w:r>
        <w:rPr>
          <w:rFonts w:hint="eastAsia"/>
          <w:snapToGrid/>
        </w:rPr>
        <w:tab/>
        <w:t xml:space="preserve">17.  </w:t>
      </w:r>
      <w:r>
        <w:rPr>
          <w:rFonts w:hint="eastAsia"/>
          <w:snapToGrid/>
        </w:rPr>
        <w:t>委员会关切地注意到，在有关印第安人地位、部落成员资格和保留地夫妻不动产事项上歧视第一部落妇女和儿童问题是一项长期性问题。委员会指出，这类歧视对许多第一部落妇女和儿童享有《公约》所赋予的经济、社会和文化权利具有消极影响。</w:t>
      </w:r>
    </w:p>
    <w:p w:rsidR="00000000" w:rsidRDefault="00000000">
      <w:pPr>
        <w:rPr>
          <w:rFonts w:hint="eastAsia"/>
        </w:rPr>
      </w:pPr>
      <w:r>
        <w:rPr>
          <w:rFonts w:hint="eastAsia"/>
        </w:rPr>
        <w:tab/>
        <w:t xml:space="preserve">18.  </w:t>
      </w:r>
      <w:r>
        <w:rPr>
          <w:rFonts w:hint="eastAsia"/>
        </w:rPr>
        <w:t>委员会关切地注意到，缔约国所有省份和地区的最低工资都低于低收入截止点，不足以使工人及其家属享有体面的生活水准。</w:t>
      </w:r>
    </w:p>
    <w:p w:rsidR="00000000" w:rsidRDefault="00000000">
      <w:pPr>
        <w:rPr>
          <w:rFonts w:hint="eastAsia"/>
        </w:rPr>
      </w:pPr>
      <w:r>
        <w:rPr>
          <w:rFonts w:hint="eastAsia"/>
        </w:rPr>
        <w:tab/>
        <w:t xml:space="preserve">19.  </w:t>
      </w:r>
      <w:r>
        <w:rPr>
          <w:rFonts w:hint="eastAsia"/>
        </w:rPr>
        <w:t>委员会感到关切的是，在加拿大，公务员和国营企业雇员、公立学校教师和学院及大学教授等类人员不享有罢工权。委员会认为，根据《公约》第四和第八条，缔约国的解释说这些工作人员提供的是基本服务并不令人满意。</w:t>
      </w:r>
    </w:p>
    <w:p w:rsidR="00000000" w:rsidRDefault="00000000">
      <w:pPr>
        <w:rPr>
          <w:rFonts w:hint="eastAsia"/>
        </w:rPr>
      </w:pPr>
      <w:r>
        <w:rPr>
          <w:rFonts w:hint="eastAsia"/>
        </w:rPr>
        <w:tab/>
        <w:t xml:space="preserve">20.  </w:t>
      </w:r>
      <w:r>
        <w:rPr>
          <w:rFonts w:hint="eastAsia"/>
        </w:rPr>
        <w:t>委员会再次表示关切的是，联邦对省和地区的社会援助和社会服务转移支付未把《公约》载列的包括社会保障权利在内的某些权利标准包括进来。委员会还感到关切的是，尽管联邦政府通过加拿大医疗转移支付增加了其对保健费用承担的份额，其对大专教育的支助、社会援助和通过加拿大社会转移支付提供的社会服务尚未恢复到</w:t>
      </w:r>
      <w:r>
        <w:rPr>
          <w:rFonts w:hint="eastAsia"/>
        </w:rPr>
        <w:t>1994-1995</w:t>
      </w:r>
      <w:r>
        <w:rPr>
          <w:rFonts w:hint="eastAsia"/>
        </w:rPr>
        <w:t>年的水平，而缔约国在这些年里却取得可持续经济增长。</w:t>
      </w:r>
    </w:p>
    <w:p w:rsidR="00000000" w:rsidRDefault="00000000">
      <w:pPr>
        <w:rPr>
          <w:rFonts w:hint="eastAsia"/>
        </w:rPr>
      </w:pPr>
      <w:r>
        <w:rPr>
          <w:rFonts w:hint="eastAsia"/>
        </w:rPr>
        <w:tab/>
        <w:t xml:space="preserve">21.  </w:t>
      </w:r>
      <w:r>
        <w:rPr>
          <w:rFonts w:hint="eastAsia"/>
        </w:rPr>
        <w:t>委员会感到关切的是，缔约国没有详细说明目前各省和地区的社会援助比例是否允许领取者享受适足生活水准。委员会关切地注意到，在大部分省份和地区，社会援助福利比十年前要低，难以提供足够的收入来满足基本的食物、穿衣和住房需要，福利标准常常定在低收入截止点的一半以下。</w:t>
      </w:r>
    </w:p>
    <w:p w:rsidR="00000000" w:rsidRDefault="00000000">
      <w:pPr>
        <w:rPr>
          <w:rFonts w:hint="eastAsia"/>
        </w:rPr>
      </w:pPr>
      <w:r>
        <w:rPr>
          <w:rFonts w:hint="eastAsia"/>
        </w:rPr>
        <w:tab/>
        <w:t xml:space="preserve">22.  </w:t>
      </w:r>
      <w:r>
        <w:rPr>
          <w:rFonts w:hint="eastAsia"/>
        </w:rPr>
        <w:t>委员会对仅有一小部分失业工人有资格领取保险津贴表示关注，指出缔约国尚未对委员会以前关于此一问题的关注提供详细答复。委员会关切地注意到，</w:t>
      </w:r>
      <w:r>
        <w:rPr>
          <w:rFonts w:hint="eastAsia"/>
        </w:rPr>
        <w:t>2000</w:t>
      </w:r>
      <w:r>
        <w:rPr>
          <w:rFonts w:hint="eastAsia"/>
        </w:rPr>
        <w:t>年仅有</w:t>
      </w:r>
      <w:r>
        <w:rPr>
          <w:rFonts w:hint="eastAsia"/>
        </w:rPr>
        <w:t>39%</w:t>
      </w:r>
      <w:r>
        <w:rPr>
          <w:rFonts w:hint="eastAsia"/>
        </w:rPr>
        <w:t>的失业加拿大人符合领取津贴资格；在诸如安大略等一些省份，符合资格的比例甚至更低；领取就业保险津贴的青年数量下降；移徙工人和许多非日制工人大多为妇女向这项计划交纳费用，但难以拿到福利；收入更新比率在</w:t>
      </w:r>
      <w:r>
        <w:rPr>
          <w:rFonts w:hint="eastAsia"/>
        </w:rPr>
        <w:t>1997</w:t>
      </w:r>
      <w:r>
        <w:rPr>
          <w:rFonts w:hint="eastAsia"/>
        </w:rPr>
        <w:t>年降至</w:t>
      </w:r>
      <w:r>
        <w:rPr>
          <w:rFonts w:hint="eastAsia"/>
        </w:rPr>
        <w:t>55%</w:t>
      </w:r>
      <w:r>
        <w:rPr>
          <w:rFonts w:hint="eastAsia"/>
        </w:rPr>
        <w:t>，是以往最低数字。</w:t>
      </w:r>
    </w:p>
    <w:p w:rsidR="00000000" w:rsidRDefault="00000000">
      <w:pPr>
        <w:rPr>
          <w:rFonts w:hint="eastAsia"/>
        </w:rPr>
      </w:pPr>
      <w:r>
        <w:rPr>
          <w:rFonts w:hint="eastAsia"/>
        </w:rPr>
        <w:tab/>
        <w:t xml:space="preserve">23.  </w:t>
      </w:r>
      <w:r>
        <w:rPr>
          <w:rFonts w:hint="eastAsia"/>
        </w:rPr>
        <w:t>委员会深为关注国家儿童福利“回拨制度”对加拿大贫困家庭特别是单亲家庭等所产生的歧视性影响。</w:t>
      </w:r>
    </w:p>
    <w:p w:rsidR="00000000" w:rsidRDefault="00000000">
      <w:pPr>
        <w:rPr>
          <w:rFonts w:hint="eastAsia"/>
        </w:rPr>
      </w:pPr>
      <w:r>
        <w:rPr>
          <w:rFonts w:hint="eastAsia"/>
        </w:rPr>
        <w:tab/>
        <w:t xml:space="preserve">24.  </w:t>
      </w:r>
      <w:r>
        <w:rPr>
          <w:rFonts w:hint="eastAsia"/>
        </w:rPr>
        <w:t>委员会关切地注意到，低收入家庭、单亲家庭和土著及非裔加拿大家庭占子女交由寄养照料家庭的大部分。委员会还感到关注的是，妇女常常因住房不足而被迫将子女交由寄养照料。</w:t>
      </w:r>
    </w:p>
    <w:p w:rsidR="00000000" w:rsidRDefault="00000000">
      <w:pPr>
        <w:rPr>
          <w:rFonts w:hint="eastAsia"/>
        </w:rPr>
      </w:pPr>
      <w:r>
        <w:rPr>
          <w:rFonts w:hint="eastAsia"/>
        </w:rPr>
        <w:tab/>
        <w:t xml:space="preserve">25.  </w:t>
      </w:r>
      <w:r>
        <w:rPr>
          <w:rFonts w:hint="eastAsia"/>
        </w:rPr>
        <w:t>委员会感到遗憾的是，家庭暴力没有作为特定犯罪行为列入《刑法典》。</w:t>
      </w:r>
    </w:p>
    <w:p w:rsidR="00000000" w:rsidRDefault="00000000">
      <w:pPr>
        <w:rPr>
          <w:rFonts w:hint="eastAsia"/>
        </w:rPr>
      </w:pPr>
      <w:r>
        <w:rPr>
          <w:rFonts w:hint="eastAsia"/>
        </w:rPr>
        <w:tab/>
        <w:t xml:space="preserve">26.  </w:t>
      </w:r>
      <w:r>
        <w:rPr>
          <w:rFonts w:hint="eastAsia"/>
        </w:rPr>
        <w:t>委员会关切地注意到，因为没有可负担得起的住房以及援助不足，妇女被迫维持受虐家庭关系。</w:t>
      </w:r>
    </w:p>
    <w:p w:rsidR="00000000" w:rsidRDefault="00000000">
      <w:pPr>
        <w:rPr>
          <w:rFonts w:hint="eastAsia"/>
        </w:rPr>
      </w:pPr>
      <w:r>
        <w:rPr>
          <w:rFonts w:hint="eastAsia"/>
        </w:rPr>
        <w:tab/>
        <w:t xml:space="preserve">27.  </w:t>
      </w:r>
      <w:r>
        <w:rPr>
          <w:rFonts w:hint="eastAsia"/>
        </w:rPr>
        <w:t>委员会关切地注意到，缔约国大约</w:t>
      </w:r>
      <w:r>
        <w:rPr>
          <w:rFonts w:hint="eastAsia"/>
        </w:rPr>
        <w:t>7.4%</w:t>
      </w:r>
      <w:r>
        <w:rPr>
          <w:rFonts w:hint="eastAsia"/>
        </w:rPr>
        <w:t>的人口即</w:t>
      </w:r>
      <w:r>
        <w:rPr>
          <w:rFonts w:hint="eastAsia"/>
        </w:rPr>
        <w:t>230</w:t>
      </w:r>
      <w:r>
        <w:rPr>
          <w:rFonts w:hint="eastAsia"/>
        </w:rPr>
        <w:t>万人存在粮食安全问题，大约</w:t>
      </w:r>
      <w:r>
        <w:rPr>
          <w:rFonts w:hint="eastAsia"/>
        </w:rPr>
        <w:t>40%</w:t>
      </w:r>
      <w:r>
        <w:rPr>
          <w:rFonts w:hint="eastAsia"/>
        </w:rPr>
        <w:t>的食物救济站使用者为儿童和青少年；大约有</w:t>
      </w:r>
      <w:r>
        <w:rPr>
          <w:rFonts w:hint="eastAsia"/>
        </w:rPr>
        <w:t>51%</w:t>
      </w:r>
      <w:r>
        <w:rPr>
          <w:rFonts w:hint="eastAsia"/>
        </w:rPr>
        <w:t>的食物救济站使用者在</w:t>
      </w:r>
      <w:r>
        <w:rPr>
          <w:rFonts w:hint="eastAsia"/>
        </w:rPr>
        <w:t>2005</w:t>
      </w:r>
      <w:r>
        <w:rPr>
          <w:rFonts w:hint="eastAsia"/>
        </w:rPr>
        <w:t>年领取社会援助福利的同时，仍然因福利不足而不得不依赖于食物救济站。</w:t>
      </w:r>
    </w:p>
    <w:p w:rsidR="00000000" w:rsidRDefault="00000000">
      <w:pPr>
        <w:rPr>
          <w:rFonts w:hint="eastAsia"/>
        </w:rPr>
      </w:pPr>
      <w:r>
        <w:rPr>
          <w:rFonts w:hint="eastAsia"/>
        </w:rPr>
        <w:tab/>
        <w:t xml:space="preserve">28.  </w:t>
      </w:r>
      <w:r>
        <w:rPr>
          <w:rFonts w:hint="eastAsia"/>
        </w:rPr>
        <w:t>委员会欢迎“全国无家可归问题倡议”和采取有关住房问题的大量措施，但对没有提供用以评估这类措施成果的充分资料感到遗憾。委员会特别感到关切的是，加拿大无家可归者估计在</w:t>
      </w:r>
      <w:r>
        <w:rPr>
          <w:rFonts w:hint="eastAsia"/>
        </w:rPr>
        <w:t>10</w:t>
      </w:r>
      <w:r>
        <w:rPr>
          <w:rFonts w:hint="eastAsia"/>
        </w:rPr>
        <w:t>至</w:t>
      </w:r>
      <w:r>
        <w:rPr>
          <w:rFonts w:hint="eastAsia"/>
        </w:rPr>
        <w:t>25</w:t>
      </w:r>
      <w:r>
        <w:rPr>
          <w:rFonts w:hint="eastAsia"/>
        </w:rPr>
        <w:t>万人之间。委员会欢迎拥有核心</w:t>
      </w:r>
      <w:r>
        <w:rPr>
          <w:rFonts w:hint="eastAsia"/>
        </w:rPr>
        <w:t xml:space="preserve">      </w:t>
      </w:r>
      <w:r>
        <w:rPr>
          <w:rFonts w:hint="eastAsia"/>
        </w:rPr>
        <w:t>住房需要的家庭比例降低，但关切地注意到，在</w:t>
      </w:r>
      <w:r>
        <w:rPr>
          <w:rFonts w:hint="eastAsia"/>
        </w:rPr>
        <w:t>2001</w:t>
      </w:r>
      <w:r>
        <w:rPr>
          <w:rFonts w:hint="eastAsia"/>
        </w:rPr>
        <w:t>年，这类家庭仍占所有家庭的</w:t>
      </w:r>
      <w:r>
        <w:rPr>
          <w:rFonts w:hint="eastAsia"/>
        </w:rPr>
        <w:t>13.7%</w:t>
      </w:r>
      <w:r>
        <w:rPr>
          <w:rFonts w:hint="eastAsia"/>
        </w:rPr>
        <w:t>至</w:t>
      </w:r>
      <w:r>
        <w:rPr>
          <w:rFonts w:hint="eastAsia"/>
        </w:rPr>
        <w:t>16%</w:t>
      </w:r>
      <w:r>
        <w:rPr>
          <w:rFonts w:hint="eastAsia"/>
        </w:rPr>
        <w:t>。委员会还感到关切的是，住房津贴和社会援助比例仍然远远低于平均住房费用，例如汉密尔顿和蒙特利尔，等候补贴住房的名单仍然很长。</w:t>
      </w:r>
    </w:p>
    <w:p w:rsidR="00000000" w:rsidRDefault="00000000">
      <w:pPr>
        <w:rPr>
          <w:rFonts w:hint="eastAsia"/>
        </w:rPr>
      </w:pPr>
      <w:r>
        <w:rPr>
          <w:rFonts w:hint="eastAsia"/>
        </w:rPr>
        <w:tab/>
        <w:t xml:space="preserve">29.  </w:t>
      </w:r>
      <w:r>
        <w:rPr>
          <w:rFonts w:hint="eastAsia"/>
        </w:rPr>
        <w:t>委员会尤其关切地注意到，许多驱逐是拖欠少量租金所致，没有适当考虑到缔约国的《公约》义务。</w:t>
      </w:r>
    </w:p>
    <w:p w:rsidR="00000000" w:rsidRDefault="00000000">
      <w:pPr>
        <w:rPr>
          <w:rFonts w:hint="eastAsia"/>
        </w:rPr>
      </w:pPr>
      <w:r>
        <w:rPr>
          <w:rFonts w:hint="eastAsia"/>
        </w:rPr>
        <w:tab/>
        <w:t xml:space="preserve">30.  </w:t>
      </w:r>
      <w:r>
        <w:rPr>
          <w:rFonts w:hint="eastAsia"/>
        </w:rPr>
        <w:t>委员会感到遗憾的是，缔约国没有把水权当作一项应该享有的法律权利。《公约》第十一和第十二条对此作出明确规定，委员会关于饮用水权利的第</w:t>
      </w:r>
      <w:r>
        <w:rPr>
          <w:rFonts w:hint="eastAsia"/>
        </w:rPr>
        <w:t>15</w:t>
      </w:r>
      <w:r>
        <w:rPr>
          <w:rFonts w:hint="eastAsia"/>
        </w:rPr>
        <w:t>号</w:t>
      </w:r>
      <w:r>
        <w:rPr>
          <w:rFonts w:hint="eastAsia"/>
        </w:rPr>
        <w:t>(2002</w:t>
      </w:r>
      <w:r>
        <w:rPr>
          <w:rFonts w:hint="eastAsia"/>
        </w:rPr>
        <w:t>年</w:t>
      </w:r>
      <w:r>
        <w:rPr>
          <w:rFonts w:hint="eastAsia"/>
        </w:rPr>
        <w:t>)</w:t>
      </w:r>
      <w:r>
        <w:rPr>
          <w:rFonts w:hint="eastAsia"/>
        </w:rPr>
        <w:t>一般性意见就阐述了这一点。</w:t>
      </w:r>
    </w:p>
    <w:p w:rsidR="00000000" w:rsidRDefault="00000000">
      <w:pPr>
        <w:rPr>
          <w:rFonts w:hint="eastAsia"/>
        </w:rPr>
      </w:pPr>
      <w:r>
        <w:rPr>
          <w:rFonts w:hint="eastAsia"/>
        </w:rPr>
        <w:tab/>
        <w:t xml:space="preserve">31.  </w:t>
      </w:r>
      <w:r>
        <w:rPr>
          <w:rFonts w:hint="eastAsia"/>
        </w:rPr>
        <w:t>尽管委员会注意到向处于不利地位和边缘化的个人和群体提供了奖学金、助学金、贷款和其他种类的支助，但对自</w:t>
      </w:r>
      <w:r>
        <w:rPr>
          <w:rFonts w:hint="eastAsia"/>
        </w:rPr>
        <w:t>1998</w:t>
      </w:r>
      <w:r>
        <w:rPr>
          <w:rFonts w:hint="eastAsia"/>
        </w:rPr>
        <w:t>年以来许多省份和地区低收入家庭学生学费增加产生歧视性影响表示关注。</w:t>
      </w:r>
    </w:p>
    <w:p w:rsidR="00000000" w:rsidRDefault="00000000">
      <w:pPr>
        <w:rPr>
          <w:rFonts w:hint="eastAsia"/>
        </w:rPr>
      </w:pPr>
      <w:r>
        <w:rPr>
          <w:rFonts w:hint="eastAsia"/>
        </w:rPr>
        <w:tab/>
        <w:t xml:space="preserve">32.  </w:t>
      </w:r>
      <w:r>
        <w:rPr>
          <w:rFonts w:hint="eastAsia"/>
        </w:rPr>
        <w:t>委员会还对非裔加拿大学生在获得教育方面面临困难和中学辍学率过高表示关切。</w:t>
      </w:r>
    </w:p>
    <w:p w:rsidR="00000000" w:rsidRDefault="00000000">
      <w:pPr>
        <w:spacing w:after="320"/>
        <w:rPr>
          <w:rFonts w:hint="eastAsia"/>
        </w:rPr>
      </w:pPr>
      <w:r>
        <w:rPr>
          <w:rFonts w:hint="eastAsia"/>
        </w:rPr>
        <w:tab/>
        <w:t xml:space="preserve">33.  </w:t>
      </w:r>
      <w:r>
        <w:rPr>
          <w:rFonts w:hint="eastAsia"/>
        </w:rPr>
        <w:t>委员会注意到，缔约国采取大量措施保留土著语言，并在保护传统知识方面开展研究，但感到遗憾的是，没有为审议和执行土著语言和文化工作队的建议规定时间期限，没有在保护和促进土著人民祖先权利和传统知识产权领域采取具体措施。</w:t>
      </w:r>
    </w:p>
    <w:p w:rsidR="00000000" w:rsidRDefault="00000000">
      <w:pPr>
        <w:pStyle w:val="Heading3"/>
        <w:rPr>
          <w:rFonts w:hint="eastAsia"/>
        </w:rPr>
      </w:pPr>
      <w:r>
        <w:rPr>
          <w:rFonts w:hint="eastAsia"/>
          <w:u w:val="none"/>
        </w:rPr>
        <w:t xml:space="preserve">E.  </w:t>
      </w:r>
      <w:r>
        <w:rPr>
          <w:rFonts w:hint="eastAsia"/>
        </w:rPr>
        <w:t>提议和建议</w:t>
      </w:r>
    </w:p>
    <w:p w:rsidR="00000000" w:rsidRDefault="00000000">
      <w:pPr>
        <w:rPr>
          <w:rFonts w:hint="eastAsia"/>
        </w:rPr>
      </w:pPr>
      <w:r>
        <w:rPr>
          <w:rFonts w:hint="eastAsia"/>
        </w:rPr>
        <w:tab/>
        <w:t xml:space="preserve">34.  </w:t>
      </w:r>
      <w:r>
        <w:rPr>
          <w:rFonts w:hint="eastAsia"/>
        </w:rPr>
        <w:t>委员会呼吁缔约国解决其第二次和第三次定期报告中提出的具体关切问题，并强烈重申缔约国考虑委员会这方面的提议和建议。</w:t>
      </w:r>
    </w:p>
    <w:p w:rsidR="00000000" w:rsidRDefault="00000000">
      <w:pPr>
        <w:rPr>
          <w:rFonts w:hint="eastAsia"/>
        </w:rPr>
      </w:pPr>
      <w:r>
        <w:rPr>
          <w:rFonts w:hint="eastAsia"/>
        </w:rPr>
        <w:tab/>
        <w:t xml:space="preserve">35.  </w:t>
      </w:r>
      <w:r>
        <w:rPr>
          <w:rFonts w:hint="eastAsia"/>
        </w:rPr>
        <w:t>委员会重申其关于联邦政府应该采取具体步骤确保各省和地区了解缔约国的《公约》法律义务的建议，应该通过立法和政策措施在各省和地区内落实《公约》权利，并在这方面建立独立和适当的监测和裁决机制。缔约国特别应该建立透明和有效机制，使所有各级政府和包括土著人民在内的民间社会得以参与，并履行对委员会结论性意见采取后续行动的具体任务规定。</w:t>
      </w:r>
    </w:p>
    <w:p w:rsidR="00000000" w:rsidRDefault="00000000">
      <w:pPr>
        <w:rPr>
          <w:rFonts w:hint="eastAsia"/>
        </w:rPr>
      </w:pPr>
      <w:r>
        <w:rPr>
          <w:rFonts w:hint="eastAsia"/>
        </w:rPr>
        <w:tab/>
        <w:t xml:space="preserve">36.  </w:t>
      </w:r>
      <w:r>
        <w:rPr>
          <w:rFonts w:hint="eastAsia"/>
        </w:rPr>
        <w:t>委员会回顾，在适当行使司法审查职能的限度内，法院应该在必要的情况下考虑到《公约》权利，按照委员会第</w:t>
      </w:r>
      <w:r>
        <w:rPr>
          <w:rFonts w:hint="eastAsia"/>
        </w:rPr>
        <w:t>9</w:t>
      </w:r>
      <w:r>
        <w:rPr>
          <w:rFonts w:hint="eastAsia"/>
        </w:rPr>
        <w:t>号</w:t>
      </w:r>
      <w:r>
        <w:rPr>
          <w:rFonts w:hint="eastAsia"/>
        </w:rPr>
        <w:t>(1998</w:t>
      </w:r>
      <w:r>
        <w:rPr>
          <w:rFonts w:hint="eastAsia"/>
        </w:rPr>
        <w:t>年</w:t>
      </w:r>
      <w:r>
        <w:rPr>
          <w:rFonts w:hint="eastAsia"/>
        </w:rPr>
        <w:t>)</w:t>
      </w:r>
      <w:r>
        <w:rPr>
          <w:rFonts w:hint="eastAsia"/>
        </w:rPr>
        <w:t>的一般性意见</w:t>
      </w:r>
      <w:r>
        <w:rPr>
          <w:rFonts w:hint="eastAsia"/>
        </w:rPr>
        <w:t>(</w:t>
      </w:r>
      <w:r>
        <w:rPr>
          <w:rFonts w:hint="eastAsia"/>
        </w:rPr>
        <w:t>例如见</w:t>
      </w:r>
      <w:r>
        <w:rPr>
          <w:rFonts w:hint="eastAsia"/>
          <w:u w:val="single"/>
        </w:rPr>
        <w:t>C</w:t>
      </w:r>
      <w:r>
        <w:rPr>
          <w:u w:val="single"/>
        </w:rPr>
        <w:t>haoulli</w:t>
      </w:r>
      <w:r>
        <w:rPr>
          <w:rFonts w:hint="eastAsia"/>
          <w:u w:val="single"/>
        </w:rPr>
        <w:t>诉魁北克</w:t>
      </w:r>
      <w:r>
        <w:rPr>
          <w:rFonts w:hint="eastAsia"/>
          <w:spacing w:val="-50"/>
          <w:u w:val="single"/>
        </w:rPr>
        <w:t>―</w:t>
      </w:r>
      <w:r>
        <w:rPr>
          <w:rFonts w:hint="eastAsia"/>
          <w:u w:val="single"/>
        </w:rPr>
        <w:t>―总检察长</w:t>
      </w:r>
      <w:r>
        <w:rPr>
          <w:rFonts w:hint="eastAsia"/>
          <w:u w:val="single"/>
        </w:rPr>
        <w:t>)</w:t>
      </w:r>
      <w:r>
        <w:rPr>
          <w:rFonts w:hint="eastAsia"/>
        </w:rPr>
        <w:t>，确保缔约国的行为与《公约》义务相符合。</w:t>
      </w:r>
    </w:p>
    <w:p w:rsidR="00000000" w:rsidRDefault="00000000">
      <w:pPr>
        <w:rPr>
          <w:rFonts w:hint="eastAsia"/>
        </w:rPr>
      </w:pPr>
      <w:r>
        <w:rPr>
          <w:rFonts w:hint="eastAsia"/>
        </w:rPr>
        <w:tab/>
        <w:t xml:space="preserve">37.  </w:t>
      </w:r>
      <w:r>
        <w:rPr>
          <w:rFonts w:hint="eastAsia"/>
        </w:rPr>
        <w:t>委员会敦促缔约国重新审查有关土著民族固有权利和资格的政策与做法，确保这些政策和做法不会造成这些权利和资格的丧失。</w:t>
      </w:r>
    </w:p>
    <w:p w:rsidR="00000000" w:rsidRDefault="00000000">
      <w:pPr>
        <w:rPr>
          <w:rFonts w:hint="eastAsia"/>
        </w:rPr>
      </w:pPr>
      <w:r>
        <w:rPr>
          <w:rFonts w:hint="eastAsia"/>
        </w:rPr>
        <w:tab/>
        <w:t xml:space="preserve">38.  </w:t>
      </w:r>
      <w:r>
        <w:rPr>
          <w:rFonts w:hint="eastAsia"/>
        </w:rPr>
        <w:t>委员会强烈建议缔约国恢复与卢比康湖部落的谈判，找到解决该部落诉求的办法，确保它们能够享受《公约》的权利。委员会还强烈建议缔约国在发放有争议土地经济开发许可证前与该部落进行有效协商，确保这类活动不危害《公约》确认的权利。</w:t>
      </w:r>
    </w:p>
    <w:p w:rsidR="00000000" w:rsidRDefault="00000000">
      <w:pPr>
        <w:rPr>
          <w:rFonts w:hint="eastAsia"/>
        </w:rPr>
      </w:pPr>
      <w:r>
        <w:rPr>
          <w:rFonts w:hint="eastAsia"/>
        </w:rPr>
        <w:tab/>
        <w:t xml:space="preserve">39.  </w:t>
      </w:r>
      <w:r>
        <w:rPr>
          <w:rFonts w:hint="eastAsia"/>
        </w:rPr>
        <w:t>委员会建议使联邦、省级和地区立法与缔约国《公约》义务相符，这类立法应该保护所有地区的穷人不因社会或经济地位而受到歧视。</w:t>
      </w:r>
    </w:p>
    <w:p w:rsidR="00000000" w:rsidRDefault="00000000">
      <w:pPr>
        <w:rPr>
          <w:rFonts w:hint="eastAsia"/>
        </w:rPr>
      </w:pPr>
      <w:r>
        <w:rPr>
          <w:rFonts w:hint="eastAsia"/>
        </w:rPr>
        <w:tab/>
        <w:t xml:space="preserve">40.  </w:t>
      </w:r>
      <w:r>
        <w:rPr>
          <w:rFonts w:hint="eastAsia"/>
        </w:rPr>
        <w:t>缔约国应该立即采取包括立法在内的措施，为在所有管辖区内的《公约》权利提供有效的国内补救办法。</w:t>
      </w:r>
    </w:p>
    <w:p w:rsidR="00000000" w:rsidRDefault="00000000">
      <w:pPr>
        <w:rPr>
          <w:rFonts w:hint="eastAsia"/>
        </w:rPr>
      </w:pPr>
      <w:r>
        <w:rPr>
          <w:rFonts w:hint="eastAsia"/>
        </w:rPr>
        <w:tab/>
        <w:t xml:space="preserve">41.  </w:t>
      </w:r>
      <w:r>
        <w:rPr>
          <w:rFonts w:hint="eastAsia"/>
        </w:rPr>
        <w:t>委员会提请缔约国注意其第</w:t>
      </w:r>
      <w:r>
        <w:rPr>
          <w:rFonts w:hint="eastAsia"/>
        </w:rPr>
        <w:t>9</w:t>
      </w:r>
      <w:r>
        <w:rPr>
          <w:rFonts w:hint="eastAsia"/>
        </w:rPr>
        <w:t>号</w:t>
      </w:r>
      <w:r>
        <w:rPr>
          <w:rFonts w:hint="eastAsia"/>
        </w:rPr>
        <w:t>(1998</w:t>
      </w:r>
      <w:r>
        <w:rPr>
          <w:rFonts w:hint="eastAsia"/>
        </w:rPr>
        <w:t>年</w:t>
      </w:r>
      <w:r>
        <w:rPr>
          <w:rFonts w:hint="eastAsia"/>
        </w:rPr>
        <w:t>)</w:t>
      </w:r>
      <w:r>
        <w:rPr>
          <w:rFonts w:hint="eastAsia"/>
        </w:rPr>
        <w:t>一般性意见，重申关于联邦、省级和地区政府应以与《公约》相符的方式推动对《加拿大权利宪章》和其他国内法律的解释。</w:t>
      </w:r>
    </w:p>
    <w:p w:rsidR="00000000" w:rsidRDefault="00000000">
      <w:pPr>
        <w:rPr>
          <w:rFonts w:hint="eastAsia"/>
        </w:rPr>
      </w:pPr>
      <w:r>
        <w:rPr>
          <w:rFonts w:hint="eastAsia"/>
        </w:rPr>
        <w:tab/>
        <w:t xml:space="preserve">42.  </w:t>
      </w:r>
      <w:r>
        <w:rPr>
          <w:rFonts w:hint="eastAsia"/>
        </w:rPr>
        <w:t>委员会重申关于缔约国扩展“法庭质疑方案”的建议，使资金可以资助对省级和地区立法和政策的质疑。</w:t>
      </w:r>
    </w:p>
    <w:p w:rsidR="00000000" w:rsidRDefault="00000000">
      <w:pPr>
        <w:rPr>
          <w:rFonts w:hint="eastAsia"/>
        </w:rPr>
      </w:pPr>
      <w:r>
        <w:rPr>
          <w:rFonts w:hint="eastAsia"/>
        </w:rPr>
        <w:tab/>
        <w:t xml:space="preserve">43.  </w:t>
      </w:r>
      <w:r>
        <w:rPr>
          <w:rFonts w:hint="eastAsia"/>
        </w:rPr>
        <w:t>委员会建议缔约国确保对各省和地区的穷人提供经济、社会和文化权利方面的民事法律援助，并在覆盖范围、获得服务的资格和提供的服务方面提供适足援助。</w:t>
      </w:r>
    </w:p>
    <w:p w:rsidR="00000000" w:rsidRDefault="00000000">
      <w:pPr>
        <w:rPr>
          <w:rFonts w:hint="eastAsia"/>
        </w:rPr>
      </w:pPr>
      <w:r>
        <w:rPr>
          <w:rFonts w:hint="eastAsia"/>
        </w:rPr>
        <w:tab/>
        <w:t xml:space="preserve">44.  </w:t>
      </w:r>
      <w:r>
        <w:rPr>
          <w:rFonts w:hint="eastAsia"/>
        </w:rPr>
        <w:t>委员会建议缔约国充分遵守《公约》第二条第</w:t>
      </w:r>
      <w:r>
        <w:rPr>
          <w:rFonts w:hint="eastAsia"/>
        </w:rPr>
        <w:t>1</w:t>
      </w:r>
      <w:r>
        <w:rPr>
          <w:rFonts w:hint="eastAsia"/>
        </w:rPr>
        <w:t>款的义务，尽可能最佳利用现有资源，努力保证所有人民都能享有经济、社会和文化权利，并提醒缔约国按照其第</w:t>
      </w:r>
      <w:r>
        <w:rPr>
          <w:rFonts w:hint="eastAsia"/>
        </w:rPr>
        <w:t>3</w:t>
      </w:r>
      <w:r>
        <w:rPr>
          <w:rFonts w:hint="eastAsia"/>
        </w:rPr>
        <w:t>号</w:t>
      </w:r>
      <w:r>
        <w:rPr>
          <w:rFonts w:hint="eastAsia"/>
        </w:rPr>
        <w:t>(1990</w:t>
      </w:r>
      <w:r>
        <w:rPr>
          <w:rFonts w:hint="eastAsia"/>
        </w:rPr>
        <w:t>年</w:t>
      </w:r>
      <w:r>
        <w:rPr>
          <w:rFonts w:hint="eastAsia"/>
        </w:rPr>
        <w:t>)</w:t>
      </w:r>
      <w:r>
        <w:rPr>
          <w:rFonts w:hint="eastAsia"/>
        </w:rPr>
        <w:t>一般性建议，采取步骤时，“应深思熟虑、具体和有针对性，尽可能明确充分实现《公约》所确认的义务”。委员会还建议缔约国把消除贫穷领域的差距作为优先事项，铭记《公约》第二和第三条各项义务的迫切性质。委员会还建议缔约国评估贫穷成为歧视问题的程度，确保各项措施和方案对特别是处于不利地位和边缘化的个人和群体享有经济、社会和文化权利不会产生消极影响。</w:t>
      </w:r>
    </w:p>
    <w:p w:rsidR="00000000" w:rsidRDefault="00000000">
      <w:pPr>
        <w:rPr>
          <w:rFonts w:hint="eastAsia"/>
        </w:rPr>
      </w:pPr>
      <w:r>
        <w:rPr>
          <w:rFonts w:hint="eastAsia"/>
        </w:rPr>
        <w:tab/>
        <w:t xml:space="preserve">45.  </w:t>
      </w:r>
      <w:r>
        <w:rPr>
          <w:rFonts w:hint="eastAsia"/>
        </w:rPr>
        <w:t>委员会建议缔约国与第一民族议会磋商，把土著妇女团体包括在内，采取各项措施，在有关印第安人的地位、成员资格和夫妻财产事项上防止对第一民族妇女和儿童进行歧视。委员会特别敦促缔约国废止《加拿大人权法案》第</w:t>
      </w:r>
      <w:r>
        <w:rPr>
          <w:rFonts w:hint="eastAsia"/>
        </w:rPr>
        <w:t>67</w:t>
      </w:r>
      <w:r>
        <w:rPr>
          <w:rFonts w:hint="eastAsia"/>
        </w:rPr>
        <w:t>节，该节阻止第一民族议会人民向人权委员会或法庭提出有关歧视的申诉。委员会还敦促缔约国修正《印第安人法》，消除对第一民族议会妇女和儿童的歧视。</w:t>
      </w:r>
    </w:p>
    <w:p w:rsidR="00000000" w:rsidRDefault="00000000">
      <w:pPr>
        <w:rPr>
          <w:rFonts w:hint="eastAsia"/>
        </w:rPr>
      </w:pPr>
      <w:r>
        <w:rPr>
          <w:rFonts w:hint="eastAsia"/>
        </w:rPr>
        <w:tab/>
        <w:t xml:space="preserve">46.  </w:t>
      </w:r>
      <w:r>
        <w:rPr>
          <w:rFonts w:hint="eastAsia"/>
        </w:rPr>
        <w:t>委员会建议缔约国考虑到妇女的工作权利以及父母平衡工作和家庭生活的需要，通过适足儿童保育服务对保育予以支助。</w:t>
      </w:r>
    </w:p>
    <w:p w:rsidR="00000000" w:rsidRDefault="00000000">
      <w:pPr>
        <w:rPr>
          <w:rFonts w:hint="eastAsia"/>
        </w:rPr>
      </w:pPr>
      <w:r>
        <w:rPr>
          <w:rFonts w:hint="eastAsia"/>
        </w:rPr>
        <w:tab/>
        <w:t xml:space="preserve">47.  </w:t>
      </w:r>
      <w:r>
        <w:rPr>
          <w:rFonts w:hint="eastAsia"/>
        </w:rPr>
        <w:t>委员会敦促缔约国采取一切必要措施，确保在整个加拿大提高最低工资，使工人及其家属得以享受体面的生活水准。</w:t>
      </w:r>
    </w:p>
    <w:p w:rsidR="00000000" w:rsidRDefault="00000000">
      <w:pPr>
        <w:rPr>
          <w:rFonts w:hint="eastAsia"/>
        </w:rPr>
      </w:pPr>
      <w:r>
        <w:rPr>
          <w:rFonts w:hint="eastAsia"/>
        </w:rPr>
        <w:tab/>
        <w:t xml:space="preserve">48.  </w:t>
      </w:r>
      <w:r>
        <w:rPr>
          <w:rFonts w:hint="eastAsia"/>
        </w:rPr>
        <w:t>委员会建议缔约国采取步骤，确保缔约国特别是妇女等不稳定、非全日制和临时性低工资工人能够获得就业保险津贴，享受工会权利和受到劳工标准的有效保护。</w:t>
      </w:r>
    </w:p>
    <w:p w:rsidR="00000000" w:rsidRDefault="00000000">
      <w:pPr>
        <w:rPr>
          <w:rFonts w:hint="eastAsia"/>
        </w:rPr>
      </w:pPr>
      <w:r>
        <w:rPr>
          <w:rFonts w:hint="eastAsia"/>
        </w:rPr>
        <w:tab/>
        <w:t xml:space="preserve">49.  </w:t>
      </w:r>
      <w:r>
        <w:rPr>
          <w:rFonts w:hint="eastAsia"/>
        </w:rPr>
        <w:t>委员会敦促缔约国采取有效措施、立法或其他办法，消除对联邦住宿佣工方案内移徙家政工人的剥削和虐待。</w:t>
      </w:r>
    </w:p>
    <w:p w:rsidR="00000000" w:rsidRDefault="00000000">
      <w:pPr>
        <w:rPr>
          <w:rFonts w:hint="eastAsia"/>
        </w:rPr>
      </w:pPr>
      <w:r>
        <w:rPr>
          <w:rFonts w:hint="eastAsia"/>
        </w:rPr>
        <w:tab/>
        <w:t xml:space="preserve">50.  </w:t>
      </w:r>
      <w:r>
        <w:rPr>
          <w:rFonts w:hint="eastAsia"/>
        </w:rPr>
        <w:t>委员会建议在必要情况下在省级和地区一级采取立法，确保公共和私营部门同工同酬。在这方面，委员会提请缔约国注意，第二条第</w:t>
      </w:r>
      <w:r>
        <w:rPr>
          <w:rFonts w:hint="eastAsia"/>
        </w:rPr>
        <w:t>2</w:t>
      </w:r>
      <w:r>
        <w:rPr>
          <w:rFonts w:hint="eastAsia"/>
        </w:rPr>
        <w:t>款的不歧视原则是迫切义务。</w:t>
      </w:r>
    </w:p>
    <w:p w:rsidR="00000000" w:rsidRDefault="00000000">
      <w:pPr>
        <w:rPr>
          <w:rFonts w:hint="eastAsia"/>
        </w:rPr>
      </w:pPr>
      <w:r>
        <w:rPr>
          <w:rFonts w:hint="eastAsia"/>
        </w:rPr>
        <w:tab/>
        <w:t xml:space="preserve">51.  </w:t>
      </w:r>
      <w:r>
        <w:rPr>
          <w:rFonts w:hint="eastAsia"/>
        </w:rPr>
        <w:t>委员会强烈建议重新审查在联邦、省和地区各级强制实行对罢工权利的限制是否符合《公约》第四条和第八条。应该消除这类限制，因为这对增进民主社会的普遍福祉、保护国家安全或公共安全利益、公共秩序、公共健康或保护其他人的权利和自由完全没有必要，无法找到其他替代办法。</w:t>
      </w:r>
    </w:p>
    <w:p w:rsidR="00000000" w:rsidRDefault="00000000">
      <w:pPr>
        <w:rPr>
          <w:rFonts w:hint="eastAsia"/>
        </w:rPr>
      </w:pPr>
      <w:r>
        <w:rPr>
          <w:rFonts w:hint="eastAsia"/>
        </w:rPr>
        <w:tab/>
        <w:t xml:space="preserve">52.  </w:t>
      </w:r>
      <w:r>
        <w:rPr>
          <w:rFonts w:hint="eastAsia"/>
        </w:rPr>
        <w:t>委员会建议缔约国详细评估削减联邦政府对各省和地区的社会援助和社会服务转移支付对依赖社会福利的人士，特别是妇女、儿童、老年人、残疾人、土著人、非裔加拿大人和其他少数族裔成员的生活标准所产生的影响。委员会强烈建议缔约国重新审议</w:t>
      </w:r>
      <w:r>
        <w:rPr>
          <w:rFonts w:hint="eastAsia"/>
        </w:rPr>
        <w:t>1995</w:t>
      </w:r>
      <w:r>
        <w:rPr>
          <w:rFonts w:hint="eastAsia"/>
        </w:rPr>
        <w:t>年所采取的各种倒退性措施。</w:t>
      </w:r>
    </w:p>
    <w:p w:rsidR="00000000" w:rsidRDefault="00000000">
      <w:pPr>
        <w:rPr>
          <w:rFonts w:hint="eastAsia"/>
        </w:rPr>
      </w:pPr>
      <w:r>
        <w:rPr>
          <w:rFonts w:hint="eastAsia"/>
        </w:rPr>
        <w:tab/>
        <w:t xml:space="preserve">53.  </w:t>
      </w:r>
      <w:r>
        <w:rPr>
          <w:rFonts w:hint="eastAsia"/>
        </w:rPr>
        <w:t>委员会敦促缔约国在所有各级设立社会援助，确保所有人都能享受适足生活标准。</w:t>
      </w:r>
    </w:p>
    <w:p w:rsidR="00000000" w:rsidRDefault="00000000">
      <w:pPr>
        <w:rPr>
          <w:rFonts w:hint="eastAsia"/>
        </w:rPr>
      </w:pPr>
      <w:r>
        <w:rPr>
          <w:rFonts w:hint="eastAsia"/>
        </w:rPr>
        <w:tab/>
        <w:t xml:space="preserve">54.  </w:t>
      </w:r>
      <w:r>
        <w:rPr>
          <w:rFonts w:hint="eastAsia"/>
        </w:rPr>
        <w:t>委员会建议缔约国重新评估就业保险制度，使更多的人能够获得保险，改善所有失业工人的福利水平。</w:t>
      </w:r>
    </w:p>
    <w:p w:rsidR="00000000" w:rsidRDefault="00000000">
      <w:pPr>
        <w:rPr>
          <w:rFonts w:hint="eastAsia"/>
        </w:rPr>
      </w:pPr>
      <w:r>
        <w:rPr>
          <w:rFonts w:hint="eastAsia"/>
        </w:rPr>
        <w:tab/>
        <w:t xml:space="preserve">55.  </w:t>
      </w:r>
      <w:r>
        <w:rPr>
          <w:rFonts w:hint="eastAsia"/>
        </w:rPr>
        <w:t>委员会重申关于修正全国儿童福利制度的建议，禁止各省和地区削减儿童享有的社会援助津贴。</w:t>
      </w:r>
    </w:p>
    <w:p w:rsidR="00000000" w:rsidRDefault="00000000">
      <w:pPr>
        <w:rPr>
          <w:rFonts w:hint="eastAsia"/>
        </w:rPr>
      </w:pPr>
      <w:r>
        <w:rPr>
          <w:rFonts w:hint="eastAsia"/>
        </w:rPr>
        <w:tab/>
        <w:t xml:space="preserve">56.  </w:t>
      </w:r>
      <w:r>
        <w:rPr>
          <w:rFonts w:hint="eastAsia"/>
        </w:rPr>
        <w:t>委员会建议缔约国收集低收入家庭、单亲家庭和土著与非裔加拿大人家庭儿童交由寄养的分类统计数据，准确评估问题的严重性。委员会还建议联邦、省和地区政府按照《公约》关于保护家庭的第十条规定，采取一切必要措施，包括在必要情况下采取财政支助，避免这类寄养情况。</w:t>
      </w:r>
    </w:p>
    <w:p w:rsidR="00000000" w:rsidRDefault="00000000">
      <w:pPr>
        <w:rPr>
          <w:rFonts w:hint="eastAsia"/>
        </w:rPr>
      </w:pPr>
      <w:r>
        <w:rPr>
          <w:rFonts w:hint="eastAsia"/>
        </w:rPr>
        <w:tab/>
        <w:t xml:space="preserve">57.  </w:t>
      </w:r>
      <w:r>
        <w:rPr>
          <w:rFonts w:hint="eastAsia"/>
        </w:rPr>
        <w:t>委员会建议缔约国特别关注无家可归女童所面临的各项困难，她们更易于受到健康危险和社会及经济剥夺的危害，并采取一切必要措施，向她们提供适足住房和社会及保健服务。</w:t>
      </w:r>
    </w:p>
    <w:p w:rsidR="00000000" w:rsidRDefault="00000000">
      <w:pPr>
        <w:rPr>
          <w:rFonts w:hint="eastAsia"/>
        </w:rPr>
      </w:pPr>
      <w:r>
        <w:rPr>
          <w:rFonts w:hint="eastAsia"/>
        </w:rPr>
        <w:tab/>
        <w:t xml:space="preserve">58.  </w:t>
      </w:r>
      <w:r>
        <w:rPr>
          <w:rFonts w:hint="eastAsia"/>
        </w:rPr>
        <w:t>委员会建议将家庭暴力作为一项特定犯罪行为载入《刑法典》。</w:t>
      </w:r>
    </w:p>
    <w:p w:rsidR="00000000" w:rsidRDefault="00000000">
      <w:pPr>
        <w:rPr>
          <w:rFonts w:hint="eastAsia"/>
        </w:rPr>
      </w:pPr>
      <w:r>
        <w:rPr>
          <w:rFonts w:hint="eastAsia"/>
        </w:rPr>
        <w:tab/>
        <w:t xml:space="preserve">59.  </w:t>
      </w:r>
      <w:r>
        <w:rPr>
          <w:rFonts w:hint="eastAsia"/>
        </w:rPr>
        <w:t>委员会建议缔约国确保低收入妇女和试图离开虐待关系的妇女能够获得住房选择和适当的支助服务，能够享有适足生活水准的权利。</w:t>
      </w:r>
    </w:p>
    <w:p w:rsidR="00000000" w:rsidRDefault="00000000">
      <w:pPr>
        <w:rPr>
          <w:rFonts w:hint="eastAsia"/>
        </w:rPr>
      </w:pPr>
      <w:r>
        <w:rPr>
          <w:rFonts w:hint="eastAsia"/>
        </w:rPr>
        <w:tab/>
        <w:t xml:space="preserve">60.  </w:t>
      </w:r>
      <w:r>
        <w:rPr>
          <w:rFonts w:hint="eastAsia"/>
        </w:rPr>
        <w:t>委员会重申其关于缔约国制订国家贫困线的建议。委员会还建议缔约国将经济、社会和文化权利纳入减贫战略。在这方面，提请缔约国参考委员会</w:t>
      </w:r>
      <w:r>
        <w:rPr>
          <w:rFonts w:hint="eastAsia"/>
        </w:rPr>
        <w:t>2001</w:t>
      </w:r>
      <w:r>
        <w:rPr>
          <w:rFonts w:hint="eastAsia"/>
        </w:rPr>
        <w:t>年</w:t>
      </w:r>
      <w:r>
        <w:rPr>
          <w:rFonts w:hint="eastAsia"/>
        </w:rPr>
        <w:t>5</w:t>
      </w:r>
      <w:r>
        <w:rPr>
          <w:rFonts w:hint="eastAsia"/>
        </w:rPr>
        <w:t>月通过的关于“贫困与《经济、社会、文化权利国际公约》”的论述。</w:t>
      </w:r>
    </w:p>
    <w:p w:rsidR="00000000" w:rsidRDefault="00000000">
      <w:pPr>
        <w:rPr>
          <w:rFonts w:hint="eastAsia"/>
          <w:u w:val="single"/>
        </w:rPr>
      </w:pPr>
      <w:r>
        <w:rPr>
          <w:rFonts w:hint="eastAsia"/>
        </w:rPr>
        <w:tab/>
        <w:t xml:space="preserve">61.  </w:t>
      </w:r>
      <w:r>
        <w:rPr>
          <w:rFonts w:hint="eastAsia"/>
        </w:rPr>
        <w:t>委员会建议缔约国大大加强努力，解决加拿大粮食不安全和饥饿问题。在这方面，委员会提请缔约国注意，贫困和边缘个人或群体因无法控制的原因，尽管通过一切可以利用的办法，仍实现食物权时，它应该其履行</w:t>
      </w:r>
      <w:r>
        <w:rPr>
          <w:rFonts w:hint="eastAsia"/>
        </w:rPr>
        <w:t>(</w:t>
      </w:r>
      <w:r>
        <w:rPr>
          <w:rFonts w:hint="eastAsia"/>
        </w:rPr>
        <w:t>提供</w:t>
      </w:r>
      <w:r>
        <w:rPr>
          <w:rFonts w:hint="eastAsia"/>
        </w:rPr>
        <w:t>)</w:t>
      </w:r>
      <w:r>
        <w:rPr>
          <w:rFonts w:hint="eastAsia"/>
        </w:rPr>
        <w:t>食物权利这一核心义务。</w:t>
      </w:r>
    </w:p>
    <w:p w:rsidR="00000000" w:rsidRDefault="00000000">
      <w:pPr>
        <w:rPr>
          <w:rFonts w:hint="eastAsia"/>
        </w:rPr>
      </w:pPr>
      <w:r>
        <w:rPr>
          <w:rFonts w:hint="eastAsia"/>
        </w:rPr>
        <w:tab/>
        <w:t xml:space="preserve">62.  </w:t>
      </w:r>
      <w:r>
        <w:rPr>
          <w:rFonts w:hint="eastAsia"/>
        </w:rPr>
        <w:t>委员会重申其关于联邦、省和地区政府把解决无家可归和住房不足问题当作国家紧急事项的建议，认为在必要的情况下，应为需要社会住房方案的人恢复或增加这些方案，改善和适当加强住房领域的反歧视立法，将住房津贴和社会援助比例提高到现实水平，为残疾人提供适当支助服务。委员会敦促缔约国按照《公约》标准，执行包括可衡量的目标和时间表、与受影响社区进行磋商与协作、申诉程序和透明的可问责机制在内的减少无家可归的国家战略。</w:t>
      </w:r>
    </w:p>
    <w:p w:rsidR="00000000" w:rsidRDefault="00000000">
      <w:pPr>
        <w:rPr>
          <w:rFonts w:hint="eastAsia"/>
        </w:rPr>
      </w:pPr>
      <w:r>
        <w:rPr>
          <w:rFonts w:hint="eastAsia"/>
        </w:rPr>
        <w:tab/>
        <w:t xml:space="preserve">63.  </w:t>
      </w:r>
      <w:r>
        <w:rPr>
          <w:rFonts w:hint="eastAsia"/>
        </w:rPr>
        <w:t>委员会强烈建议，缔约国应按照委员会第</w:t>
      </w:r>
      <w:r>
        <w:rPr>
          <w:rFonts w:hint="eastAsia"/>
        </w:rPr>
        <w:t>7</w:t>
      </w:r>
      <w:r>
        <w:rPr>
          <w:rFonts w:hint="eastAsia"/>
        </w:rPr>
        <w:t>号</w:t>
      </w:r>
      <w:r>
        <w:rPr>
          <w:rFonts w:hint="eastAsia"/>
        </w:rPr>
        <w:t>(1997</w:t>
      </w:r>
      <w:r>
        <w:rPr>
          <w:rFonts w:hint="eastAsia"/>
        </w:rPr>
        <w:t>年</w:t>
      </w:r>
      <w:r>
        <w:rPr>
          <w:rFonts w:hint="eastAsia"/>
        </w:rPr>
        <w:t>)</w:t>
      </w:r>
      <w:r>
        <w:rPr>
          <w:rFonts w:hint="eastAsia"/>
        </w:rPr>
        <w:t>一般性建议，采取适当措施、立法或其他办法，确保在执行强迫驱逐之前，向被强迫驱逐者提供其他住宿场所，使其不会面临无家可归的境况。</w:t>
      </w:r>
    </w:p>
    <w:p w:rsidR="00000000" w:rsidRDefault="00000000">
      <w:pPr>
        <w:rPr>
          <w:rFonts w:hint="eastAsia"/>
        </w:rPr>
      </w:pPr>
      <w:r>
        <w:rPr>
          <w:rFonts w:hint="eastAsia"/>
        </w:rPr>
        <w:tab/>
        <w:t xml:space="preserve">64.  </w:t>
      </w:r>
      <w:r>
        <w:rPr>
          <w:rFonts w:hint="eastAsia"/>
        </w:rPr>
        <w:t>委员会强烈建议，缔约国应按照委员会关于水权的第</w:t>
      </w:r>
      <w:r>
        <w:rPr>
          <w:rFonts w:hint="eastAsia"/>
        </w:rPr>
        <w:t>15</w:t>
      </w:r>
      <w:r>
        <w:rPr>
          <w:rFonts w:hint="eastAsia"/>
        </w:rPr>
        <w:t>号</w:t>
      </w:r>
      <w:r>
        <w:rPr>
          <w:rFonts w:hint="eastAsia"/>
        </w:rPr>
        <w:t>(2002</w:t>
      </w:r>
      <w:r>
        <w:rPr>
          <w:rFonts w:hint="eastAsia"/>
        </w:rPr>
        <w:t>年</w:t>
      </w:r>
      <w:r>
        <w:rPr>
          <w:rFonts w:hint="eastAsia"/>
        </w:rPr>
        <w:t>)</w:t>
      </w:r>
      <w:r>
        <w:rPr>
          <w:rFonts w:hint="eastAsia"/>
        </w:rPr>
        <w:t>一般性意见审查关于水权的立场，确保缔约国内人民，无论其居住的省份或地区或所属社区，都能平等和适足获得饮用水。</w:t>
      </w:r>
    </w:p>
    <w:p w:rsidR="00000000" w:rsidRDefault="00000000">
      <w:pPr>
        <w:rPr>
          <w:rFonts w:hint="eastAsia"/>
        </w:rPr>
      </w:pPr>
      <w:r>
        <w:rPr>
          <w:rFonts w:hint="eastAsia"/>
        </w:rPr>
        <w:tab/>
        <w:t xml:space="preserve">65.  </w:t>
      </w:r>
      <w:r>
        <w:rPr>
          <w:rFonts w:hint="eastAsia"/>
        </w:rPr>
        <w:t>委员会建议缔约国采取各项适当措施，确保人人都能依据能力平等获得高等教育。</w:t>
      </w:r>
    </w:p>
    <w:p w:rsidR="00000000" w:rsidRDefault="00000000">
      <w:pPr>
        <w:rPr>
          <w:rFonts w:hint="eastAsia"/>
        </w:rPr>
      </w:pPr>
      <w:r>
        <w:rPr>
          <w:rFonts w:hint="eastAsia"/>
        </w:rPr>
        <w:tab/>
        <w:t xml:space="preserve">66.  </w:t>
      </w:r>
      <w:r>
        <w:rPr>
          <w:rFonts w:hint="eastAsia"/>
        </w:rPr>
        <w:t>委员会建议特别是在教育领域对非裔加拿大人的状况进行总体评估，以采取和有效执行有的放矢的行动方案，使其实现其《公约》权利。</w:t>
      </w:r>
    </w:p>
    <w:p w:rsidR="00000000" w:rsidRDefault="00000000">
      <w:pPr>
        <w:rPr>
          <w:rFonts w:hint="eastAsia"/>
        </w:rPr>
      </w:pPr>
      <w:r>
        <w:rPr>
          <w:rFonts w:hint="eastAsia"/>
        </w:rPr>
        <w:tab/>
        <w:t xml:space="preserve">67.  </w:t>
      </w:r>
      <w:r>
        <w:rPr>
          <w:rFonts w:hint="eastAsia"/>
        </w:rPr>
        <w:t>委员会建议缔约国采取和执行具体计划，订立有关基准和时间框架，审议和执行土著语言和文化工作组的建议，并在知识产权领域保护和促进土著人民祖先权利和传统知识。</w:t>
      </w:r>
    </w:p>
    <w:p w:rsidR="00000000" w:rsidRDefault="00000000">
      <w:pPr>
        <w:rPr>
          <w:rFonts w:hint="eastAsia"/>
        </w:rPr>
      </w:pPr>
      <w:r>
        <w:rPr>
          <w:rFonts w:hint="eastAsia"/>
        </w:rPr>
        <w:tab/>
        <w:t xml:space="preserve">68.  </w:t>
      </w:r>
      <w:r>
        <w:rPr>
          <w:rFonts w:hint="eastAsia"/>
        </w:rPr>
        <w:t>委员会提请缔约国注意，尽管贸易自由化具有产生财富的潜力，但这种自由化不一定创造或导致有利于实现经济、社会、文化权利的环境。在这一点上，委员会建议缔约国考虑在贸易和投资协定中，特别是在根据《北美自由贸易协定》第十一章裁定投资者与国家争端时，确保《公约》权利的优先地位得到保障。</w:t>
      </w:r>
    </w:p>
    <w:p w:rsidR="00000000" w:rsidRDefault="00000000">
      <w:pPr>
        <w:rPr>
          <w:rFonts w:hint="eastAsia"/>
        </w:rPr>
      </w:pPr>
      <w:r>
        <w:rPr>
          <w:rFonts w:hint="eastAsia"/>
        </w:rPr>
        <w:tab/>
        <w:t xml:space="preserve">69.  </w:t>
      </w:r>
      <w:r>
        <w:rPr>
          <w:rFonts w:hint="eastAsia"/>
        </w:rPr>
        <w:t>委员会要求缔约国在其第六次定期报告中载列详细资料，说明所采取的措施和取得的进展，特别是有关委员会在本结论性意见中提出的意见和建议。</w:t>
      </w:r>
    </w:p>
    <w:p w:rsidR="00000000" w:rsidRDefault="00000000">
      <w:pPr>
        <w:rPr>
          <w:rFonts w:hint="eastAsia"/>
        </w:rPr>
      </w:pPr>
      <w:r>
        <w:rPr>
          <w:rFonts w:hint="eastAsia"/>
        </w:rPr>
        <w:tab/>
        <w:t xml:space="preserve">70.  </w:t>
      </w:r>
      <w:r>
        <w:rPr>
          <w:rFonts w:hint="eastAsia"/>
        </w:rPr>
        <w:t>委员会请求缔约国在随后的报告中着重注意对委员会以往的结论性意见采取后续行动的情况，并按《公约》各章组织该份报告。除关于所采取措施方面的资料外，委员会还请缔约国详细说明这类措施对实现经济、社会、文化权利所产生的实质性影响。在这方面，委员会还希望收到按年分列的比较统计数据以及与《公约》有关方案获得预算拨款的资料。</w:t>
      </w:r>
    </w:p>
    <w:p w:rsidR="00000000" w:rsidRDefault="00000000">
      <w:pPr>
        <w:rPr>
          <w:rFonts w:hint="eastAsia"/>
        </w:rPr>
      </w:pPr>
      <w:r>
        <w:rPr>
          <w:rFonts w:hint="eastAsia"/>
        </w:rPr>
        <w:tab/>
        <w:t xml:space="preserve">71.  </w:t>
      </w:r>
      <w:r>
        <w:rPr>
          <w:rFonts w:hint="eastAsia"/>
        </w:rPr>
        <w:t>委员会鼓励缔约国在向委员会提交其下次定期报告之前积极参与非政府组织和其他民间社会成员在联邦、省和地区各级所开展的有益讨论。</w:t>
      </w:r>
    </w:p>
    <w:p w:rsidR="00000000" w:rsidRDefault="00000000">
      <w:pPr>
        <w:rPr>
          <w:rFonts w:hint="eastAsia"/>
        </w:rPr>
      </w:pPr>
      <w:r>
        <w:rPr>
          <w:rFonts w:hint="eastAsia"/>
        </w:rPr>
        <w:tab/>
        <w:t xml:space="preserve">72.  </w:t>
      </w:r>
      <w:r>
        <w:rPr>
          <w:rFonts w:hint="eastAsia"/>
        </w:rPr>
        <w:t>委员会请缔约国向包括政府官员和司法当局在内的所有各级社会广为散发本结论性意见，并在其下次定期报告中向委员会介绍为执行这些意见而采取的所有步骤。</w:t>
      </w:r>
    </w:p>
    <w:p w:rsidR="00000000" w:rsidRDefault="00000000">
      <w:pPr>
        <w:rPr>
          <w:rFonts w:hint="eastAsia"/>
        </w:rPr>
      </w:pPr>
      <w:r>
        <w:rPr>
          <w:rFonts w:hint="eastAsia"/>
        </w:rPr>
        <w:tab/>
        <w:t xml:space="preserve">73.  </w:t>
      </w:r>
      <w:r>
        <w:rPr>
          <w:rFonts w:hint="eastAsia"/>
        </w:rPr>
        <w:t>委员会请缔约国在</w:t>
      </w:r>
      <w:r>
        <w:rPr>
          <w:rFonts w:hint="eastAsia"/>
        </w:rPr>
        <w:t>2010</w:t>
      </w:r>
      <w:r>
        <w:rPr>
          <w:rFonts w:hint="eastAsia"/>
        </w:rPr>
        <w:t>年</w:t>
      </w:r>
      <w:r>
        <w:rPr>
          <w:rFonts w:hint="eastAsia"/>
        </w:rPr>
        <w:t>6</w:t>
      </w:r>
      <w:r>
        <w:rPr>
          <w:rFonts w:hint="eastAsia"/>
        </w:rPr>
        <w:t>月</w:t>
      </w:r>
      <w:r>
        <w:rPr>
          <w:rFonts w:hint="eastAsia"/>
        </w:rPr>
        <w:t>6</w:t>
      </w:r>
      <w:r>
        <w:rPr>
          <w:rFonts w:hint="eastAsia"/>
        </w:rPr>
        <w:t>日前提交其第六次定期报告。</w:t>
      </w:r>
    </w:p>
    <w:p w:rsidR="00000000" w:rsidRDefault="00000000">
      <w:pPr>
        <w:rPr>
          <w:rFonts w:hint="eastAsia"/>
        </w:rPr>
      </w:pPr>
    </w:p>
    <w:p w:rsidR="00000000" w:rsidRDefault="00000000">
      <w:pPr>
        <w:rPr>
          <w:rFonts w:hint="eastAsia"/>
        </w:rPr>
      </w:pPr>
    </w:p>
    <w:p w:rsidR="00000000" w:rsidRDefault="00000000">
      <w:pPr>
        <w:jc w:val="center"/>
      </w:pPr>
      <w:r>
        <w:t>--  --  --  --  --</w:t>
      </w:r>
    </w:p>
    <w:p w:rsidR="00000000" w:rsidRDefault="00000000"/>
    <w:sectPr w:rsidR="00000000">
      <w:headerReference w:type="even" r:id="rId7"/>
      <w:headerReference w:type="default" r:id="rId8"/>
      <w:headerReference w:type="first" r:id="rId9"/>
      <w:footerReference w:type="first" r:id="rId10"/>
      <w:pgSz w:w="11906" w:h="16838" w:code="9"/>
      <w:pgMar w:top="1985" w:right="851" w:bottom="1985" w:left="1701" w:header="794" w:footer="1588"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06-</w:t>
          </w:r>
          <w:r>
            <w:rPr>
              <w:rFonts w:hint="eastAsia"/>
              <w:lang w:eastAsia="zh-CN"/>
            </w:rPr>
            <w:t>42782</w:t>
          </w:r>
          <w:r>
            <w:t xml:space="preserve"> (C)</w:t>
          </w:r>
        </w:p>
      </w:tc>
      <w:tc>
        <w:tcPr>
          <w:tcW w:w="1050" w:type="dxa"/>
        </w:tcPr>
        <w:p w:rsidR="00000000" w:rsidRDefault="00000000">
          <w:pPr>
            <w:pStyle w:val="Footer"/>
          </w:pPr>
          <w:r>
            <w:rPr>
              <w:rFonts w:hint="eastAsia"/>
              <w:lang w:eastAsia="zh-CN"/>
            </w:rPr>
            <w:t>1108</w:t>
          </w:r>
          <w:r>
            <w:t>06</w:t>
          </w:r>
        </w:p>
      </w:tc>
      <w:tc>
        <w:tcPr>
          <w:tcW w:w="6061" w:type="dxa"/>
        </w:tcPr>
        <w:p w:rsidR="00000000" w:rsidRDefault="00000000">
          <w:pPr>
            <w:pStyle w:val="Footer"/>
          </w:pPr>
          <w:r>
            <w:rPr>
              <w:rFonts w:hint="eastAsia"/>
              <w:lang w:eastAsia="zh-CN"/>
            </w:rPr>
            <w:t>0409</w:t>
          </w:r>
          <w:r>
            <w:t>06</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hint="eastAsia"/>
        <w:lang w:eastAsia="zh-CN"/>
      </w:rPr>
    </w:pPr>
    <w:r>
      <w:t>E/C.12/</w:t>
    </w:r>
    <w:r>
      <w:rPr>
        <w:rFonts w:hint="eastAsia"/>
        <w:lang w:eastAsia="zh-CN"/>
      </w:rPr>
      <w:t>CAN/CO/4</w:t>
    </w:r>
  </w:p>
  <w:p w:rsidR="00000000" w:rsidRDefault="00000000">
    <w:pPr>
      <w:pStyle w:val="Header"/>
      <w:rPr>
        <w:rFonts w:hint="eastAsia"/>
        <w:lang w:eastAsia="zh-CN"/>
      </w:rPr>
    </w:pPr>
    <w:r>
      <w:t>E/C.12/</w:t>
    </w:r>
    <w:r>
      <w:rPr>
        <w:rFonts w:hint="eastAsia"/>
        <w:lang w:eastAsia="zh-CN"/>
      </w:rPr>
      <w:t>CAN/CO/5</w:t>
    </w:r>
  </w:p>
  <w:p w:rsidR="00000000" w:rsidRDefault="00000000">
    <w:pPr>
      <w:pStyle w:val="Heade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7144"/>
        <w:tab w:val="left" w:pos="7350"/>
      </w:tabs>
      <w:rPr>
        <w:rFonts w:hint="eastAsia"/>
        <w:lang w:eastAsia="zh-CN"/>
      </w:rPr>
    </w:pPr>
    <w:r>
      <w:tab/>
    </w:r>
    <w:r>
      <w:tab/>
    </w:r>
    <w:r>
      <w:tab/>
    </w:r>
    <w:r>
      <w:tab/>
      <w:t>E/C.12/</w:t>
    </w:r>
    <w:r>
      <w:rPr>
        <w:rFonts w:hint="eastAsia"/>
        <w:lang w:eastAsia="zh-CN"/>
      </w:rPr>
      <w:t>CAN/CO/4</w:t>
    </w:r>
  </w:p>
  <w:p w:rsidR="00000000" w:rsidRDefault="00000000">
    <w:pPr>
      <w:pStyle w:val="Header"/>
      <w:tabs>
        <w:tab w:val="clear" w:pos="7144"/>
        <w:tab w:val="left" w:pos="7350"/>
      </w:tabs>
      <w:rPr>
        <w:rFonts w:hint="eastAsia"/>
        <w:lang w:eastAsia="zh-CN"/>
      </w:rPr>
    </w:pPr>
    <w:r>
      <w:rPr>
        <w:rFonts w:hint="eastAsia"/>
        <w:lang w:eastAsia="zh-CN"/>
      </w:rPr>
      <w:tab/>
    </w:r>
    <w:r>
      <w:rPr>
        <w:rFonts w:hint="eastAsia"/>
        <w:lang w:eastAsia="zh-CN"/>
      </w:rPr>
      <w:tab/>
    </w:r>
    <w:r>
      <w:rPr>
        <w:rFonts w:hint="eastAsia"/>
        <w:lang w:eastAsia="zh-CN"/>
      </w:rPr>
      <w:tab/>
    </w:r>
    <w:r>
      <w:rPr>
        <w:rFonts w:hint="eastAsia"/>
        <w:lang w:eastAsia="zh-CN"/>
      </w:rPr>
      <w:tab/>
    </w:r>
    <w:r>
      <w:t>E/C.12/</w:t>
    </w:r>
    <w:r>
      <w:rPr>
        <w:rFonts w:hint="eastAsia"/>
        <w:lang w:eastAsia="zh-CN"/>
      </w:rPr>
      <w:t>CAN/CO/5</w:t>
    </w:r>
  </w:p>
  <w:p w:rsidR="00000000" w:rsidRDefault="00000000">
    <w:pPr>
      <w:pStyle w:val="Header"/>
      <w:tabs>
        <w:tab w:val="clear" w:pos="7144"/>
        <w:tab w:val="left" w:pos="7350"/>
      </w:tabs>
      <w:rPr>
        <w:lang w:val="en-US"/>
      </w:rPr>
    </w:pPr>
    <w:r>
      <w:rPr>
        <w:lang w:val="en-US"/>
      </w:rPr>
      <w:tab/>
    </w: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0" w:rightFromText="180" w:vertAnchor="page" w:horzAnchor="margin" w:tblpY="991"/>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8"/>
      <w:gridCol w:w="5475"/>
      <w:gridCol w:w="2321"/>
    </w:tblGrid>
    <w:tr w:rsidR="00000000">
      <w:tblPrEx>
        <w:tblCellMar>
          <w:top w:w="0" w:type="dxa"/>
          <w:bottom w:w="0" w:type="dxa"/>
        </w:tblCellMar>
      </w:tblPrEx>
      <w:tc>
        <w:tcPr>
          <w:tcW w:w="1668" w:type="dxa"/>
          <w:tcBorders>
            <w:top w:val="nil"/>
            <w:left w:val="nil"/>
            <w:bottom w:val="single" w:sz="8" w:space="0" w:color="auto"/>
            <w:right w:val="nil"/>
          </w:tcBorders>
          <w:vAlign w:val="center"/>
        </w:tcPr>
        <w:p w:rsidR="00000000" w:rsidRDefault="00000000">
          <w:pPr>
            <w:pStyle w:val="1L"/>
            <w:framePr w:w="0" w:hRule="auto" w:hSpace="0" w:wrap="auto" w:vAnchor="margin" w:hAnchor="text" w:xAlign="left" w:yAlign="inline"/>
            <w:rPr>
              <w:rFonts w:ascii="Time New Roman" w:hAnsi="Time New Roman"/>
              <w:b/>
            </w:rPr>
          </w:pPr>
          <w:r>
            <w:rPr>
              <w:rFonts w:hint="eastAsia"/>
            </w:rPr>
            <w:t>联合国</w:t>
          </w:r>
        </w:p>
      </w:tc>
      <w:tc>
        <w:tcPr>
          <w:tcW w:w="5475" w:type="dxa"/>
          <w:tcBorders>
            <w:top w:val="nil"/>
            <w:left w:val="nil"/>
            <w:bottom w:val="single" w:sz="8" w:space="0" w:color="auto"/>
            <w:right w:val="nil"/>
          </w:tcBorders>
        </w:tcPr>
        <w:p w:rsidR="00000000" w:rsidRDefault="00000000">
          <w:pPr>
            <w:pStyle w:val="1L"/>
            <w:framePr w:w="0" w:hRule="auto" w:hSpace="0" w:wrap="auto" w:vAnchor="margin" w:hAnchor="text" w:xAlign="left" w:yAlign="inline"/>
          </w:pPr>
        </w:p>
      </w:tc>
      <w:tc>
        <w:tcPr>
          <w:tcW w:w="2321" w:type="dxa"/>
          <w:tcBorders>
            <w:top w:val="nil"/>
            <w:left w:val="nil"/>
            <w:bottom w:val="single" w:sz="8" w:space="0" w:color="auto"/>
            <w:right w:val="nil"/>
          </w:tcBorders>
          <w:vAlign w:val="bottom"/>
        </w:tcPr>
        <w:p w:rsidR="00000000" w:rsidRDefault="00000000">
          <w:pPr>
            <w:pStyle w:val="1R1"/>
            <w:jc w:val="right"/>
            <w:rPr>
              <w:rFonts w:ascii="Univers" w:hAnsi="Univers"/>
              <w:b w:val="0"/>
              <w:sz w:val="72"/>
            </w:rPr>
          </w:pPr>
          <w:r>
            <w:t>E</w:t>
          </w:r>
        </w:p>
      </w:tc>
    </w:tr>
    <w:bookmarkStart w:id="0" w:name="_MON_992683020"/>
    <w:bookmarkStart w:id="1" w:name="_MON_1114339969"/>
    <w:bookmarkEnd w:id="0"/>
    <w:bookmarkEnd w:id="1"/>
    <w:tr w:rsidR="00000000">
      <w:tblPrEx>
        <w:tblCellMar>
          <w:top w:w="0" w:type="dxa"/>
          <w:bottom w:w="0" w:type="dxa"/>
        </w:tblCellMar>
      </w:tblPrEx>
      <w:tc>
        <w:tcPr>
          <w:tcW w:w="1668" w:type="dxa"/>
          <w:tcBorders>
            <w:top w:val="single" w:sz="8" w:space="0" w:color="auto"/>
            <w:left w:val="nil"/>
            <w:bottom w:val="single" w:sz="24"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6353249" r:id="rId2"/>
            </w:object>
          </w:r>
        </w:p>
      </w:tc>
      <w:tc>
        <w:tcPr>
          <w:tcW w:w="5475" w:type="dxa"/>
          <w:tcBorders>
            <w:top w:val="single" w:sz="8" w:space="0" w:color="auto"/>
            <w:left w:val="nil"/>
            <w:bottom w:val="single" w:sz="24" w:space="0" w:color="auto"/>
            <w:right w:val="nil"/>
          </w:tcBorders>
        </w:tcPr>
        <w:p w:rsidR="00000000" w:rsidRDefault="00000000">
          <w:pPr>
            <w:pStyle w:val="1m1"/>
            <w:spacing w:before="480"/>
          </w:pPr>
          <w:r>
            <w:rPr>
              <w:rFonts w:hint="eastAsia"/>
            </w:rPr>
            <w:t>经济及社会理事会</w:t>
          </w:r>
        </w:p>
      </w:tc>
      <w:tc>
        <w:tcPr>
          <w:tcW w:w="2321" w:type="dxa"/>
          <w:tcBorders>
            <w:top w:val="single" w:sz="8" w:space="0" w:color="auto"/>
            <w:left w:val="nil"/>
            <w:bottom w:val="single" w:sz="24" w:space="0" w:color="auto"/>
            <w:right w:val="nil"/>
          </w:tcBorders>
        </w:tcPr>
        <w:p w:rsidR="00000000" w:rsidRDefault="00000000">
          <w:pPr>
            <w:pStyle w:val="Header"/>
            <w:rPr>
              <w:lang w:eastAsia="zh-CN"/>
            </w:rPr>
          </w:pPr>
        </w:p>
        <w:p w:rsidR="00000000" w:rsidRDefault="00000000">
          <w:pPr>
            <w:pStyle w:val="Header"/>
          </w:pPr>
          <w:r>
            <w:t>Distr.</w:t>
          </w:r>
        </w:p>
        <w:p w:rsidR="00000000" w:rsidRDefault="00000000">
          <w:pPr>
            <w:pStyle w:val="Header"/>
            <w:rPr>
              <w:rFonts w:hint="eastAsia"/>
              <w:lang w:eastAsia="zh-CN"/>
            </w:rPr>
          </w:pPr>
          <w:r>
            <w:rPr>
              <w:lang w:eastAsia="zh-CN"/>
            </w:rPr>
            <w:t>GENERAL</w:t>
          </w:r>
        </w:p>
        <w:p w:rsidR="00000000" w:rsidRDefault="00000000">
          <w:pPr>
            <w:pStyle w:val="Header"/>
          </w:pPr>
        </w:p>
        <w:p w:rsidR="00000000" w:rsidRDefault="00000000">
          <w:pPr>
            <w:pStyle w:val="Header"/>
            <w:rPr>
              <w:rFonts w:hint="eastAsia"/>
              <w:lang w:eastAsia="zh-CN"/>
            </w:rPr>
          </w:pPr>
          <w:r>
            <w:t>E/C.12/</w:t>
          </w:r>
          <w:r>
            <w:rPr>
              <w:rFonts w:hint="eastAsia"/>
              <w:lang w:eastAsia="zh-CN"/>
            </w:rPr>
            <w:t>CAN/CO/4</w:t>
          </w:r>
        </w:p>
        <w:p w:rsidR="00000000" w:rsidRDefault="00000000">
          <w:pPr>
            <w:pStyle w:val="Header"/>
          </w:pPr>
          <w:r>
            <w:t>E/C.12/</w:t>
          </w:r>
          <w:r>
            <w:rPr>
              <w:rFonts w:hint="eastAsia"/>
              <w:lang w:eastAsia="zh-CN"/>
            </w:rPr>
            <w:t>CAN/CO/5</w:t>
          </w:r>
        </w:p>
        <w:p w:rsidR="00000000" w:rsidRDefault="00000000">
          <w:pPr>
            <w:pStyle w:val="Header"/>
          </w:pPr>
          <w:r>
            <w:rPr>
              <w:rFonts w:hint="eastAsia"/>
              <w:lang w:eastAsia="zh-CN"/>
            </w:rPr>
            <w:t xml:space="preserve">22 </w:t>
          </w:r>
          <w:r>
            <w:rPr>
              <w:lang w:eastAsia="zh-CN"/>
            </w:rPr>
            <w:t>May</w:t>
          </w:r>
          <w:r>
            <w:t xml:space="preserve"> 2006</w:t>
          </w:r>
        </w:p>
        <w:p w:rsidR="00000000" w:rsidRDefault="00000000">
          <w:pPr>
            <w:pStyle w:val="Header"/>
          </w:pPr>
        </w:p>
        <w:p w:rsidR="00000000" w:rsidRDefault="00000000">
          <w:pPr>
            <w:pStyle w:val="Header"/>
          </w:pPr>
          <w:r>
            <w:t>CHINESE</w:t>
          </w:r>
        </w:p>
        <w:p w:rsidR="00000000" w:rsidRDefault="00000000">
          <w:pPr>
            <w:pStyle w:val="Header"/>
            <w:tabs>
              <w:tab w:val="clear" w:pos="992"/>
              <w:tab w:val="left" w:pos="993"/>
            </w:tabs>
          </w:pPr>
          <w:r>
            <w:t>Original:</w:t>
          </w:r>
          <w:r>
            <w:tab/>
            <w:t>ENGLISH</w:t>
          </w:r>
        </w:p>
        <w:p w:rsidR="00000000" w:rsidRDefault="00000000">
          <w:pPr>
            <w:pStyle w:val="Header"/>
          </w:pPr>
        </w:p>
      </w:tc>
    </w:tr>
    <w:tr w:rsidR="00000000">
      <w:tblPrEx>
        <w:tblCellMar>
          <w:top w:w="0" w:type="dxa"/>
          <w:bottom w:w="0" w:type="dxa"/>
        </w:tblCellMar>
      </w:tblPrEx>
      <w:trPr>
        <w:cantSplit/>
        <w:trHeight w:val="293"/>
      </w:trPr>
      <w:tc>
        <w:tcPr>
          <w:tcW w:w="1668" w:type="dxa"/>
          <w:tcBorders>
            <w:top w:val="single" w:sz="24" w:space="0" w:color="auto"/>
            <w:left w:val="nil"/>
            <w:bottom w:val="nil"/>
            <w:right w:val="nil"/>
          </w:tcBorders>
          <w:noWrap/>
        </w:tcPr>
        <w:p w:rsidR="00000000" w:rsidRDefault="00000000">
          <w:pPr>
            <w:rPr>
              <w:sz w:val="16"/>
            </w:rPr>
          </w:pPr>
        </w:p>
      </w:tc>
      <w:tc>
        <w:tcPr>
          <w:tcW w:w="5475" w:type="dxa"/>
          <w:tcBorders>
            <w:top w:val="single" w:sz="24" w:space="0" w:color="auto"/>
            <w:left w:val="nil"/>
            <w:bottom w:val="nil"/>
            <w:right w:val="nil"/>
          </w:tcBorders>
          <w:noWrap/>
        </w:tcPr>
        <w:p w:rsidR="00000000" w:rsidRDefault="00000000">
          <w:pPr>
            <w:pStyle w:val="1m1"/>
            <w:spacing w:line="240" w:lineRule="auto"/>
            <w:rPr>
              <w:rFonts w:hint="eastAsia"/>
              <w:sz w:val="16"/>
            </w:rPr>
          </w:pPr>
        </w:p>
      </w:tc>
      <w:tc>
        <w:tcPr>
          <w:tcW w:w="2321" w:type="dxa"/>
          <w:tcBorders>
            <w:top w:val="single" w:sz="24" w:space="0" w:color="auto"/>
            <w:left w:val="nil"/>
            <w:bottom w:val="nil"/>
            <w:right w:val="nil"/>
          </w:tcBorders>
          <w:noWrap/>
        </w:tcPr>
        <w:p w:rsidR="00000000" w:rsidRDefault="00000000">
          <w:pPr>
            <w:rPr>
              <w:sz w:val="16"/>
            </w:rPr>
          </w:pPr>
        </w:p>
      </w:tc>
    </w:tr>
  </w:tbl>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A5D2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
    <w:nsid w:val="03103861"/>
    <w:multiLevelType w:val="singleLevel"/>
    <w:tmpl w:val="B4A25A9E"/>
    <w:lvl w:ilvl="0">
      <w:start w:val="1"/>
      <w:numFmt w:val="lowerLetter"/>
      <w:lvlText w:val="(%1)"/>
      <w:legacy w:legacy="1" w:legacySpace="0" w:legacyIndent="425"/>
      <w:lvlJc w:val="left"/>
      <w:pPr>
        <w:ind w:left="1446" w:hanging="425"/>
      </w:pPr>
    </w:lvl>
  </w:abstractNum>
  <w:abstractNum w:abstractNumId="2">
    <w:nsid w:val="03186C5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
    <w:nsid w:val="09140562"/>
    <w:multiLevelType w:val="singleLevel"/>
    <w:tmpl w:val="82686F16"/>
    <w:lvl w:ilvl="0">
      <w:start w:val="1"/>
      <w:numFmt w:val="lowerLetter"/>
      <w:lvlText w:val="(%1)"/>
      <w:lvlJc w:val="left"/>
      <w:pPr>
        <w:tabs>
          <w:tab w:val="num" w:pos="1531"/>
        </w:tabs>
        <w:ind w:left="1531" w:hanging="510"/>
      </w:pPr>
      <w:rPr>
        <w:rFonts w:hint="eastAsia"/>
      </w:rPr>
    </w:lvl>
  </w:abstractNum>
  <w:abstractNum w:abstractNumId="4">
    <w:nsid w:val="095375A4"/>
    <w:multiLevelType w:val="singleLevel"/>
    <w:tmpl w:val="B4A25A9E"/>
    <w:lvl w:ilvl="0">
      <w:start w:val="1"/>
      <w:numFmt w:val="lowerLetter"/>
      <w:lvlText w:val="(%1)"/>
      <w:legacy w:legacy="1" w:legacySpace="0" w:legacyIndent="425"/>
      <w:lvlJc w:val="left"/>
      <w:pPr>
        <w:ind w:left="1446" w:hanging="425"/>
      </w:pPr>
    </w:lvl>
  </w:abstractNum>
  <w:abstractNum w:abstractNumId="5">
    <w:nsid w:val="095F2F2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
    <w:nsid w:val="0A29067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
    <w:nsid w:val="0B6F6564"/>
    <w:multiLevelType w:val="hybridMultilevel"/>
    <w:tmpl w:val="E4B6D842"/>
    <w:lvl w:ilvl="0" w:tplc="B05406A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0CD872A0"/>
    <w:multiLevelType w:val="singleLevel"/>
    <w:tmpl w:val="B4A25A9E"/>
    <w:lvl w:ilvl="0">
      <w:start w:val="1"/>
      <w:numFmt w:val="lowerLetter"/>
      <w:lvlText w:val="(%1)"/>
      <w:legacy w:legacy="1" w:legacySpace="0" w:legacyIndent="425"/>
      <w:lvlJc w:val="left"/>
      <w:pPr>
        <w:ind w:left="1446" w:hanging="425"/>
      </w:pPr>
    </w:lvl>
  </w:abstractNum>
  <w:abstractNum w:abstractNumId="9">
    <w:nsid w:val="0DC0252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
    <w:nsid w:val="0F8637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
    <w:nsid w:val="105C5A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
    <w:nsid w:val="11EC2BA0"/>
    <w:multiLevelType w:val="singleLevel"/>
    <w:tmpl w:val="E9F4FBEE"/>
    <w:lvl w:ilvl="0">
      <w:start w:val="1"/>
      <w:numFmt w:val="lowerLetter"/>
      <w:lvlText w:val="(%1)"/>
      <w:legacy w:legacy="1" w:legacySpace="0" w:legacyIndent="425"/>
      <w:lvlJc w:val="left"/>
      <w:pPr>
        <w:ind w:left="1446" w:hanging="425"/>
      </w:pPr>
    </w:lvl>
  </w:abstractNum>
  <w:abstractNum w:abstractNumId="13">
    <w:nsid w:val="127557C9"/>
    <w:multiLevelType w:val="singleLevel"/>
    <w:tmpl w:val="E9F4FBEE"/>
    <w:lvl w:ilvl="0">
      <w:start w:val="1"/>
      <w:numFmt w:val="lowerLetter"/>
      <w:lvlText w:val="(%1)"/>
      <w:legacy w:legacy="1" w:legacySpace="0" w:legacyIndent="425"/>
      <w:lvlJc w:val="left"/>
      <w:pPr>
        <w:ind w:left="1446" w:hanging="425"/>
      </w:pPr>
    </w:lvl>
  </w:abstractNum>
  <w:abstractNum w:abstractNumId="14">
    <w:nsid w:val="168E6F2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5">
    <w:nsid w:val="179B577F"/>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6">
    <w:nsid w:val="184135EC"/>
    <w:multiLevelType w:val="singleLevel"/>
    <w:tmpl w:val="B4A25A9E"/>
    <w:lvl w:ilvl="0">
      <w:start w:val="1"/>
      <w:numFmt w:val="lowerLetter"/>
      <w:lvlText w:val="(%1)"/>
      <w:legacy w:legacy="1" w:legacySpace="0" w:legacyIndent="425"/>
      <w:lvlJc w:val="left"/>
      <w:pPr>
        <w:ind w:left="1446" w:hanging="425"/>
      </w:pPr>
    </w:lvl>
  </w:abstractNum>
  <w:abstractNum w:abstractNumId="17">
    <w:nsid w:val="1D57580F"/>
    <w:multiLevelType w:val="singleLevel"/>
    <w:tmpl w:val="B4A25A9E"/>
    <w:lvl w:ilvl="0">
      <w:start w:val="1"/>
      <w:numFmt w:val="lowerLetter"/>
      <w:lvlText w:val="(%1)"/>
      <w:legacy w:legacy="1" w:legacySpace="0" w:legacyIndent="425"/>
      <w:lvlJc w:val="left"/>
      <w:pPr>
        <w:ind w:left="1446" w:hanging="425"/>
      </w:pPr>
    </w:lvl>
  </w:abstractNum>
  <w:abstractNum w:abstractNumId="18">
    <w:nsid w:val="1D9A55A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9">
    <w:nsid w:val="1FD9126C"/>
    <w:multiLevelType w:val="singleLevel"/>
    <w:tmpl w:val="E7BCB06A"/>
    <w:lvl w:ilvl="0">
      <w:start w:val="1"/>
      <w:numFmt w:val="chineseCountingThousand"/>
      <w:lvlText w:val="(%1)"/>
      <w:legacy w:legacy="1" w:legacySpace="0" w:legacyIndent="510"/>
      <w:lvlJc w:val="left"/>
      <w:pPr>
        <w:ind w:left="1531" w:hanging="510"/>
      </w:pPr>
    </w:lvl>
  </w:abstractNum>
  <w:abstractNum w:abstractNumId="20">
    <w:nsid w:val="22C6376B"/>
    <w:multiLevelType w:val="singleLevel"/>
    <w:tmpl w:val="E7BCB06A"/>
    <w:lvl w:ilvl="0">
      <w:start w:val="1"/>
      <w:numFmt w:val="chineseCountingThousand"/>
      <w:lvlText w:val="(%1)"/>
      <w:legacy w:legacy="1" w:legacySpace="0" w:legacyIndent="510"/>
      <w:lvlJc w:val="left"/>
      <w:pPr>
        <w:ind w:left="1531" w:hanging="510"/>
      </w:pPr>
    </w:lvl>
  </w:abstractNum>
  <w:abstractNum w:abstractNumId="21">
    <w:nsid w:val="22E44274"/>
    <w:multiLevelType w:val="hybridMultilevel"/>
    <w:tmpl w:val="E132C74E"/>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2"/>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25DF17E1"/>
    <w:multiLevelType w:val="singleLevel"/>
    <w:tmpl w:val="E9F4FBEE"/>
    <w:lvl w:ilvl="0">
      <w:start w:val="1"/>
      <w:numFmt w:val="lowerLetter"/>
      <w:lvlText w:val="(%1)"/>
      <w:lvlJc w:val="left"/>
      <w:pPr>
        <w:tabs>
          <w:tab w:val="num" w:pos="1531"/>
        </w:tabs>
        <w:ind w:left="1531" w:hanging="510"/>
      </w:pPr>
      <w:rPr>
        <w:rFonts w:hint="eastAsia"/>
      </w:rPr>
    </w:lvl>
  </w:abstractNum>
  <w:abstractNum w:abstractNumId="23">
    <w:nsid w:val="25F3061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4">
    <w:nsid w:val="294E42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5">
    <w:nsid w:val="32D95CC5"/>
    <w:multiLevelType w:val="singleLevel"/>
    <w:tmpl w:val="B4A25A9E"/>
    <w:lvl w:ilvl="0">
      <w:start w:val="1"/>
      <w:numFmt w:val="lowerLetter"/>
      <w:lvlText w:val="(%1)"/>
      <w:legacy w:legacy="1" w:legacySpace="0" w:legacyIndent="425"/>
      <w:lvlJc w:val="left"/>
      <w:pPr>
        <w:ind w:left="1446" w:hanging="425"/>
      </w:pPr>
    </w:lvl>
  </w:abstractNum>
  <w:abstractNum w:abstractNumId="26">
    <w:nsid w:val="33BF5892"/>
    <w:multiLevelType w:val="singleLevel"/>
    <w:tmpl w:val="C86ED9F2"/>
    <w:lvl w:ilvl="0">
      <w:start w:val="1"/>
      <w:numFmt w:val="chineseCountingThousand"/>
      <w:lvlText w:val="(%1)"/>
      <w:lvlJc w:val="left"/>
      <w:pPr>
        <w:tabs>
          <w:tab w:val="num" w:pos="1021"/>
        </w:tabs>
        <w:ind w:left="1021" w:hanging="511"/>
      </w:pPr>
      <w:rPr>
        <w:rFonts w:hint="eastAsia"/>
        <w:sz w:val="21"/>
      </w:rPr>
    </w:lvl>
  </w:abstractNum>
  <w:abstractNum w:abstractNumId="27">
    <w:nsid w:val="34364C53"/>
    <w:multiLevelType w:val="singleLevel"/>
    <w:tmpl w:val="E7BCB06A"/>
    <w:lvl w:ilvl="0">
      <w:start w:val="1"/>
      <w:numFmt w:val="chineseCountingThousand"/>
      <w:lvlText w:val="(%1)"/>
      <w:legacy w:legacy="1" w:legacySpace="0" w:legacyIndent="510"/>
      <w:lvlJc w:val="left"/>
      <w:pPr>
        <w:ind w:left="1531" w:hanging="510"/>
      </w:pPr>
    </w:lvl>
  </w:abstractNum>
  <w:abstractNum w:abstractNumId="28">
    <w:nsid w:val="36DE14D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9">
    <w:nsid w:val="39640286"/>
    <w:multiLevelType w:val="singleLevel"/>
    <w:tmpl w:val="E9F4FBEE"/>
    <w:lvl w:ilvl="0">
      <w:start w:val="1"/>
      <w:numFmt w:val="lowerLetter"/>
      <w:lvlText w:val="(%1)"/>
      <w:legacy w:legacy="1" w:legacySpace="0" w:legacyIndent="425"/>
      <w:lvlJc w:val="left"/>
      <w:pPr>
        <w:ind w:left="1446" w:hanging="425"/>
      </w:pPr>
    </w:lvl>
  </w:abstractNum>
  <w:abstractNum w:abstractNumId="30">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31">
    <w:nsid w:val="3A2144BA"/>
    <w:multiLevelType w:val="singleLevel"/>
    <w:tmpl w:val="E7BCB06A"/>
    <w:lvl w:ilvl="0">
      <w:start w:val="1"/>
      <w:numFmt w:val="chineseCountingThousand"/>
      <w:lvlText w:val="(%1)"/>
      <w:legacy w:legacy="1" w:legacySpace="0" w:legacyIndent="510"/>
      <w:lvlJc w:val="left"/>
      <w:pPr>
        <w:ind w:left="1531" w:hanging="510"/>
      </w:pPr>
    </w:lvl>
  </w:abstractNum>
  <w:abstractNum w:abstractNumId="32">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33">
    <w:nsid w:val="3D3D063F"/>
    <w:multiLevelType w:val="singleLevel"/>
    <w:tmpl w:val="E9F4FBEE"/>
    <w:lvl w:ilvl="0">
      <w:start w:val="1"/>
      <w:numFmt w:val="lowerLetter"/>
      <w:lvlText w:val="(%1)"/>
      <w:legacy w:legacy="1" w:legacySpace="0" w:legacyIndent="425"/>
      <w:lvlJc w:val="left"/>
      <w:pPr>
        <w:ind w:left="1446" w:hanging="425"/>
      </w:pPr>
    </w:lvl>
  </w:abstractNum>
  <w:abstractNum w:abstractNumId="34">
    <w:nsid w:val="3D9135F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5">
    <w:nsid w:val="4058264B"/>
    <w:multiLevelType w:val="singleLevel"/>
    <w:tmpl w:val="E7BCB06A"/>
    <w:lvl w:ilvl="0">
      <w:start w:val="1"/>
      <w:numFmt w:val="chineseCountingThousand"/>
      <w:lvlText w:val="(%1)"/>
      <w:legacy w:legacy="1" w:legacySpace="0" w:legacyIndent="510"/>
      <w:lvlJc w:val="left"/>
      <w:pPr>
        <w:ind w:left="1531" w:hanging="510"/>
      </w:pPr>
    </w:lvl>
  </w:abstractNum>
  <w:abstractNum w:abstractNumId="36">
    <w:nsid w:val="43956758"/>
    <w:multiLevelType w:val="singleLevel"/>
    <w:tmpl w:val="E7BCB06A"/>
    <w:lvl w:ilvl="0">
      <w:start w:val="1"/>
      <w:numFmt w:val="chineseCountingThousand"/>
      <w:lvlText w:val="(%1)"/>
      <w:legacy w:legacy="1" w:legacySpace="0" w:legacyIndent="510"/>
      <w:lvlJc w:val="left"/>
      <w:pPr>
        <w:ind w:left="1531" w:hanging="510"/>
      </w:pPr>
    </w:lvl>
  </w:abstractNum>
  <w:abstractNum w:abstractNumId="37">
    <w:nsid w:val="479A15CD"/>
    <w:multiLevelType w:val="singleLevel"/>
    <w:tmpl w:val="E7BCB06A"/>
    <w:lvl w:ilvl="0">
      <w:start w:val="1"/>
      <w:numFmt w:val="chineseCountingThousand"/>
      <w:lvlText w:val="(%1)"/>
      <w:legacy w:legacy="1" w:legacySpace="0" w:legacyIndent="510"/>
      <w:lvlJc w:val="left"/>
      <w:pPr>
        <w:ind w:left="1531" w:hanging="510"/>
      </w:pPr>
    </w:lvl>
  </w:abstractNum>
  <w:abstractNum w:abstractNumId="38">
    <w:nsid w:val="47B819F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9">
    <w:nsid w:val="48634CBB"/>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0">
    <w:nsid w:val="49DE16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1">
    <w:nsid w:val="4A4B593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2">
    <w:nsid w:val="4D225052"/>
    <w:multiLevelType w:val="singleLevel"/>
    <w:tmpl w:val="E9F4FBEE"/>
    <w:lvl w:ilvl="0">
      <w:start w:val="1"/>
      <w:numFmt w:val="lowerLetter"/>
      <w:lvlText w:val="(%1)"/>
      <w:legacy w:legacy="1" w:legacySpace="0" w:legacyIndent="425"/>
      <w:lvlJc w:val="left"/>
      <w:pPr>
        <w:ind w:left="1446" w:hanging="425"/>
      </w:pPr>
    </w:lvl>
  </w:abstractNum>
  <w:abstractNum w:abstractNumId="43">
    <w:nsid w:val="4DC000A7"/>
    <w:multiLevelType w:val="singleLevel"/>
    <w:tmpl w:val="E7BCB06A"/>
    <w:lvl w:ilvl="0">
      <w:start w:val="1"/>
      <w:numFmt w:val="chineseCountingThousand"/>
      <w:lvlText w:val="(%1)"/>
      <w:legacy w:legacy="1" w:legacySpace="0" w:legacyIndent="510"/>
      <w:lvlJc w:val="left"/>
      <w:pPr>
        <w:ind w:left="1531" w:hanging="510"/>
      </w:pPr>
    </w:lvl>
  </w:abstractNum>
  <w:abstractNum w:abstractNumId="44">
    <w:nsid w:val="4E78043E"/>
    <w:multiLevelType w:val="singleLevel"/>
    <w:tmpl w:val="B4A25A9E"/>
    <w:lvl w:ilvl="0">
      <w:start w:val="1"/>
      <w:numFmt w:val="lowerLetter"/>
      <w:lvlText w:val="(%1)"/>
      <w:legacy w:legacy="1" w:legacySpace="0" w:legacyIndent="425"/>
      <w:lvlJc w:val="left"/>
      <w:pPr>
        <w:ind w:left="1446" w:hanging="425"/>
      </w:pPr>
    </w:lvl>
  </w:abstractNum>
  <w:abstractNum w:abstractNumId="45">
    <w:nsid w:val="4F3265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6">
    <w:nsid w:val="506E43E8"/>
    <w:multiLevelType w:val="singleLevel"/>
    <w:tmpl w:val="E7BCB06A"/>
    <w:lvl w:ilvl="0">
      <w:start w:val="1"/>
      <w:numFmt w:val="chineseCountingThousand"/>
      <w:lvlText w:val="(%1)"/>
      <w:legacy w:legacy="1" w:legacySpace="0" w:legacyIndent="510"/>
      <w:lvlJc w:val="left"/>
      <w:pPr>
        <w:ind w:left="1531" w:hanging="510"/>
      </w:pPr>
    </w:lvl>
  </w:abstractNum>
  <w:abstractNum w:abstractNumId="47">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abstractNum w:abstractNumId="48">
    <w:nsid w:val="517B1E4B"/>
    <w:multiLevelType w:val="singleLevel"/>
    <w:tmpl w:val="B4A25A9E"/>
    <w:lvl w:ilvl="0">
      <w:start w:val="1"/>
      <w:numFmt w:val="lowerLetter"/>
      <w:lvlText w:val="(%1)"/>
      <w:legacy w:legacy="1" w:legacySpace="0" w:legacyIndent="425"/>
      <w:lvlJc w:val="left"/>
      <w:pPr>
        <w:ind w:left="1446" w:hanging="425"/>
      </w:pPr>
    </w:lvl>
  </w:abstractNum>
  <w:abstractNum w:abstractNumId="49">
    <w:nsid w:val="518A6E7F"/>
    <w:multiLevelType w:val="singleLevel"/>
    <w:tmpl w:val="E7BCB06A"/>
    <w:lvl w:ilvl="0">
      <w:start w:val="1"/>
      <w:numFmt w:val="chineseCountingThousand"/>
      <w:lvlText w:val="(%1)"/>
      <w:legacy w:legacy="1" w:legacySpace="0" w:legacyIndent="510"/>
      <w:lvlJc w:val="left"/>
      <w:pPr>
        <w:ind w:left="1531" w:hanging="510"/>
      </w:pPr>
    </w:lvl>
  </w:abstractNum>
  <w:abstractNum w:abstractNumId="50">
    <w:nsid w:val="54156E5F"/>
    <w:multiLevelType w:val="singleLevel"/>
    <w:tmpl w:val="E7BCB06A"/>
    <w:lvl w:ilvl="0">
      <w:start w:val="1"/>
      <w:numFmt w:val="chineseCountingThousand"/>
      <w:lvlText w:val="(%1)"/>
      <w:legacy w:legacy="1" w:legacySpace="0" w:legacyIndent="510"/>
      <w:lvlJc w:val="left"/>
      <w:pPr>
        <w:ind w:left="1531" w:hanging="510"/>
      </w:pPr>
    </w:lvl>
  </w:abstractNum>
  <w:abstractNum w:abstractNumId="51">
    <w:nsid w:val="57565379"/>
    <w:multiLevelType w:val="singleLevel"/>
    <w:tmpl w:val="E7BCB06A"/>
    <w:lvl w:ilvl="0">
      <w:start w:val="1"/>
      <w:numFmt w:val="chineseCountingThousand"/>
      <w:lvlText w:val="(%1)"/>
      <w:legacy w:legacy="1" w:legacySpace="0" w:legacyIndent="510"/>
      <w:lvlJc w:val="left"/>
      <w:pPr>
        <w:ind w:left="1531" w:hanging="510"/>
      </w:pPr>
    </w:lvl>
  </w:abstractNum>
  <w:abstractNum w:abstractNumId="52">
    <w:nsid w:val="598B72F5"/>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3">
    <w:nsid w:val="5A4C6217"/>
    <w:multiLevelType w:val="singleLevel"/>
    <w:tmpl w:val="E9F4FBEE"/>
    <w:lvl w:ilvl="0">
      <w:start w:val="1"/>
      <w:numFmt w:val="lowerLetter"/>
      <w:lvlText w:val="(%1)"/>
      <w:legacy w:legacy="1" w:legacySpace="0" w:legacyIndent="425"/>
      <w:lvlJc w:val="left"/>
      <w:pPr>
        <w:ind w:left="1446" w:hanging="425"/>
      </w:pPr>
    </w:lvl>
  </w:abstractNum>
  <w:abstractNum w:abstractNumId="54">
    <w:nsid w:val="5C2F337C"/>
    <w:multiLevelType w:val="singleLevel"/>
    <w:tmpl w:val="B4A25A9E"/>
    <w:lvl w:ilvl="0">
      <w:start w:val="1"/>
      <w:numFmt w:val="lowerLetter"/>
      <w:lvlText w:val="(%1)"/>
      <w:legacy w:legacy="1" w:legacySpace="0" w:legacyIndent="425"/>
      <w:lvlJc w:val="left"/>
      <w:pPr>
        <w:ind w:left="1446" w:hanging="425"/>
      </w:pPr>
    </w:lvl>
  </w:abstractNum>
  <w:abstractNum w:abstractNumId="55">
    <w:nsid w:val="5C4B027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6">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7">
    <w:nsid w:val="5D6070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8">
    <w:nsid w:val="5DD74E8E"/>
    <w:multiLevelType w:val="singleLevel"/>
    <w:tmpl w:val="E7BCB06A"/>
    <w:lvl w:ilvl="0">
      <w:start w:val="1"/>
      <w:numFmt w:val="chineseCountingThousand"/>
      <w:lvlText w:val="(%1)"/>
      <w:legacy w:legacy="1" w:legacySpace="0" w:legacyIndent="510"/>
      <w:lvlJc w:val="left"/>
      <w:pPr>
        <w:ind w:left="1531" w:hanging="510"/>
      </w:pPr>
    </w:lvl>
  </w:abstractNum>
  <w:abstractNum w:abstractNumId="59">
    <w:nsid w:val="5F1E5E12"/>
    <w:multiLevelType w:val="singleLevel"/>
    <w:tmpl w:val="E9F4FBEE"/>
    <w:lvl w:ilvl="0">
      <w:start w:val="1"/>
      <w:numFmt w:val="lowerLetter"/>
      <w:lvlText w:val="(%1)"/>
      <w:legacy w:legacy="1" w:legacySpace="0" w:legacyIndent="425"/>
      <w:lvlJc w:val="left"/>
      <w:pPr>
        <w:ind w:left="1446" w:hanging="425"/>
      </w:pPr>
    </w:lvl>
  </w:abstractNum>
  <w:abstractNum w:abstractNumId="60">
    <w:nsid w:val="62841E0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1">
    <w:nsid w:val="62895BB0"/>
    <w:multiLevelType w:val="singleLevel"/>
    <w:tmpl w:val="E7BCB06A"/>
    <w:lvl w:ilvl="0">
      <w:start w:val="1"/>
      <w:numFmt w:val="chineseCountingThousand"/>
      <w:lvlText w:val="(%1)"/>
      <w:legacy w:legacy="1" w:legacySpace="0" w:legacyIndent="510"/>
      <w:lvlJc w:val="left"/>
      <w:pPr>
        <w:ind w:left="1531" w:hanging="510"/>
      </w:pPr>
    </w:lvl>
  </w:abstractNum>
  <w:abstractNum w:abstractNumId="62">
    <w:nsid w:val="644F6C68"/>
    <w:multiLevelType w:val="singleLevel"/>
    <w:tmpl w:val="B4A25A9E"/>
    <w:lvl w:ilvl="0">
      <w:start w:val="1"/>
      <w:numFmt w:val="lowerLetter"/>
      <w:lvlText w:val="(%1)"/>
      <w:legacy w:legacy="1" w:legacySpace="0" w:legacyIndent="425"/>
      <w:lvlJc w:val="left"/>
      <w:pPr>
        <w:ind w:left="1446" w:hanging="425"/>
      </w:pPr>
    </w:lvl>
  </w:abstractNum>
  <w:abstractNum w:abstractNumId="63">
    <w:nsid w:val="65540331"/>
    <w:multiLevelType w:val="hybridMultilevel"/>
    <w:tmpl w:val="7D8854F0"/>
    <w:lvl w:ilvl="0" w:tplc="8DB02E10">
      <w:start w:val="1"/>
      <w:numFmt w:val="lowerLetter"/>
      <w:lvlText w:val="（%1）"/>
      <w:lvlJc w:val="left"/>
      <w:pPr>
        <w:tabs>
          <w:tab w:val="num" w:pos="1230"/>
        </w:tabs>
        <w:ind w:left="1230" w:hanging="72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64">
    <w:nsid w:val="67A72E09"/>
    <w:multiLevelType w:val="singleLevel"/>
    <w:tmpl w:val="B4A25A9E"/>
    <w:lvl w:ilvl="0">
      <w:start w:val="1"/>
      <w:numFmt w:val="lowerLetter"/>
      <w:lvlText w:val="(%1)"/>
      <w:legacy w:legacy="1" w:legacySpace="0" w:legacyIndent="425"/>
      <w:lvlJc w:val="left"/>
      <w:pPr>
        <w:ind w:left="1446" w:hanging="425"/>
      </w:pPr>
    </w:lvl>
  </w:abstractNum>
  <w:abstractNum w:abstractNumId="65">
    <w:nsid w:val="68264AA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6">
    <w:nsid w:val="688572CE"/>
    <w:multiLevelType w:val="singleLevel"/>
    <w:tmpl w:val="B4A25A9E"/>
    <w:lvl w:ilvl="0">
      <w:start w:val="1"/>
      <w:numFmt w:val="lowerLetter"/>
      <w:lvlText w:val="(%1)"/>
      <w:legacy w:legacy="1" w:legacySpace="0" w:legacyIndent="425"/>
      <w:lvlJc w:val="left"/>
      <w:pPr>
        <w:ind w:left="1446" w:hanging="425"/>
      </w:pPr>
    </w:lvl>
  </w:abstractNum>
  <w:abstractNum w:abstractNumId="67">
    <w:nsid w:val="6A27318B"/>
    <w:multiLevelType w:val="singleLevel"/>
    <w:tmpl w:val="E7BCB06A"/>
    <w:lvl w:ilvl="0">
      <w:start w:val="1"/>
      <w:numFmt w:val="chineseCountingThousand"/>
      <w:lvlText w:val="(%1)"/>
      <w:legacy w:legacy="1" w:legacySpace="0" w:legacyIndent="510"/>
      <w:lvlJc w:val="left"/>
      <w:pPr>
        <w:ind w:left="1531" w:hanging="510"/>
      </w:pPr>
    </w:lvl>
  </w:abstractNum>
  <w:abstractNum w:abstractNumId="68">
    <w:nsid w:val="6C6A76B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9">
    <w:nsid w:val="709D151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0">
    <w:nsid w:val="714A7CB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1">
    <w:nsid w:val="72E2133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2">
    <w:nsid w:val="738B6B3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3">
    <w:nsid w:val="74C879AA"/>
    <w:multiLevelType w:val="singleLevel"/>
    <w:tmpl w:val="B4A25A9E"/>
    <w:lvl w:ilvl="0">
      <w:start w:val="1"/>
      <w:numFmt w:val="lowerLetter"/>
      <w:lvlText w:val="(%1)"/>
      <w:legacy w:legacy="1" w:legacySpace="0" w:legacyIndent="425"/>
      <w:lvlJc w:val="left"/>
      <w:pPr>
        <w:ind w:left="1446" w:hanging="425"/>
      </w:pPr>
    </w:lvl>
  </w:abstractNum>
  <w:abstractNum w:abstractNumId="74">
    <w:nsid w:val="77350EFD"/>
    <w:multiLevelType w:val="hybridMultilevel"/>
    <w:tmpl w:val="67E8A7A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5">
    <w:nsid w:val="7796048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6">
    <w:nsid w:val="78332066"/>
    <w:multiLevelType w:val="singleLevel"/>
    <w:tmpl w:val="E7BCB06A"/>
    <w:lvl w:ilvl="0">
      <w:start w:val="1"/>
      <w:numFmt w:val="chineseCountingThousand"/>
      <w:lvlText w:val="(%1)"/>
      <w:legacy w:legacy="1" w:legacySpace="0" w:legacyIndent="510"/>
      <w:lvlJc w:val="left"/>
      <w:pPr>
        <w:ind w:left="1531" w:hanging="510"/>
      </w:pPr>
    </w:lvl>
  </w:abstractNum>
  <w:abstractNum w:abstractNumId="77">
    <w:nsid w:val="7AE3359F"/>
    <w:multiLevelType w:val="singleLevel"/>
    <w:tmpl w:val="E7BCB06A"/>
    <w:lvl w:ilvl="0">
      <w:start w:val="1"/>
      <w:numFmt w:val="chineseCountingThousand"/>
      <w:lvlText w:val="(%1)"/>
      <w:legacy w:legacy="1" w:legacySpace="0" w:legacyIndent="510"/>
      <w:lvlJc w:val="left"/>
      <w:pPr>
        <w:ind w:left="1531" w:hanging="510"/>
      </w:pPr>
    </w:lvl>
  </w:abstractNum>
  <w:abstractNum w:abstractNumId="78">
    <w:nsid w:val="7B816060"/>
    <w:multiLevelType w:val="singleLevel"/>
    <w:tmpl w:val="B4A25A9E"/>
    <w:lvl w:ilvl="0">
      <w:start w:val="1"/>
      <w:numFmt w:val="lowerLetter"/>
      <w:lvlText w:val="(%1)"/>
      <w:legacy w:legacy="1" w:legacySpace="0" w:legacyIndent="425"/>
      <w:lvlJc w:val="left"/>
      <w:pPr>
        <w:ind w:left="1446" w:hanging="425"/>
      </w:pPr>
    </w:lvl>
  </w:abstractNum>
  <w:abstractNum w:abstractNumId="79">
    <w:nsid w:val="7DE8756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0">
    <w:nsid w:val="7E8035EA"/>
    <w:multiLevelType w:val="singleLevel"/>
    <w:tmpl w:val="B4A25A9E"/>
    <w:lvl w:ilvl="0">
      <w:start w:val="1"/>
      <w:numFmt w:val="lowerLetter"/>
      <w:lvlText w:val="(%1)"/>
      <w:legacy w:legacy="1" w:legacySpace="0" w:legacyIndent="425"/>
      <w:lvlJc w:val="left"/>
      <w:pPr>
        <w:ind w:left="1446" w:hanging="425"/>
      </w:pPr>
    </w:lvl>
  </w:abstractNum>
  <w:num w:numId="1">
    <w:abstractNumId w:val="25"/>
  </w:num>
  <w:num w:numId="2">
    <w:abstractNumId w:val="26"/>
  </w:num>
  <w:num w:numId="3">
    <w:abstractNumId w:val="47"/>
  </w:num>
  <w:num w:numId="4">
    <w:abstractNumId w:val="30"/>
  </w:num>
  <w:num w:numId="5">
    <w:abstractNumId w:val="75"/>
  </w:num>
  <w:num w:numId="6">
    <w:abstractNumId w:val="0"/>
  </w:num>
  <w:num w:numId="7">
    <w:abstractNumId w:val="40"/>
  </w:num>
  <w:num w:numId="8">
    <w:abstractNumId w:val="23"/>
  </w:num>
  <w:num w:numId="9">
    <w:abstractNumId w:val="9"/>
  </w:num>
  <w:num w:numId="10">
    <w:abstractNumId w:val="14"/>
  </w:num>
  <w:num w:numId="11">
    <w:abstractNumId w:val="69"/>
  </w:num>
  <w:num w:numId="12">
    <w:abstractNumId w:val="17"/>
  </w:num>
  <w:num w:numId="13">
    <w:abstractNumId w:val="73"/>
  </w:num>
  <w:num w:numId="14">
    <w:abstractNumId w:val="44"/>
  </w:num>
  <w:num w:numId="15">
    <w:abstractNumId w:val="48"/>
  </w:num>
  <w:num w:numId="16">
    <w:abstractNumId w:val="4"/>
  </w:num>
  <w:num w:numId="17">
    <w:abstractNumId w:val="79"/>
  </w:num>
  <w:num w:numId="18">
    <w:abstractNumId w:val="68"/>
  </w:num>
  <w:num w:numId="19">
    <w:abstractNumId w:val="65"/>
  </w:num>
  <w:num w:numId="20">
    <w:abstractNumId w:val="6"/>
  </w:num>
  <w:num w:numId="21">
    <w:abstractNumId w:val="46"/>
  </w:num>
  <w:num w:numId="22">
    <w:abstractNumId w:val="50"/>
  </w:num>
  <w:num w:numId="23">
    <w:abstractNumId w:val="77"/>
  </w:num>
  <w:num w:numId="24">
    <w:abstractNumId w:val="58"/>
  </w:num>
  <w:num w:numId="25">
    <w:abstractNumId w:val="56"/>
  </w:num>
  <w:num w:numId="26">
    <w:abstractNumId w:val="39"/>
  </w:num>
  <w:num w:numId="27">
    <w:abstractNumId w:val="11"/>
  </w:num>
  <w:num w:numId="28">
    <w:abstractNumId w:val="8"/>
  </w:num>
  <w:num w:numId="29">
    <w:abstractNumId w:val="80"/>
  </w:num>
  <w:num w:numId="30">
    <w:abstractNumId w:val="1"/>
  </w:num>
  <w:num w:numId="31">
    <w:abstractNumId w:val="16"/>
  </w:num>
  <w:num w:numId="32">
    <w:abstractNumId w:val="47"/>
  </w:num>
  <w:num w:numId="33">
    <w:abstractNumId w:val="30"/>
  </w:num>
  <w:num w:numId="34">
    <w:abstractNumId w:val="72"/>
  </w:num>
  <w:num w:numId="35">
    <w:abstractNumId w:val="24"/>
  </w:num>
  <w:num w:numId="36">
    <w:abstractNumId w:val="64"/>
  </w:num>
  <w:num w:numId="37">
    <w:abstractNumId w:val="62"/>
  </w:num>
  <w:num w:numId="38">
    <w:abstractNumId w:val="31"/>
  </w:num>
  <w:num w:numId="39">
    <w:abstractNumId w:val="51"/>
  </w:num>
  <w:num w:numId="40">
    <w:abstractNumId w:val="55"/>
  </w:num>
  <w:num w:numId="41">
    <w:abstractNumId w:val="70"/>
  </w:num>
  <w:num w:numId="42">
    <w:abstractNumId w:val="5"/>
  </w:num>
  <w:num w:numId="43">
    <w:abstractNumId w:val="28"/>
  </w:num>
  <w:num w:numId="44">
    <w:abstractNumId w:val="30"/>
  </w:num>
  <w:num w:numId="45">
    <w:abstractNumId w:val="47"/>
  </w:num>
  <w:num w:numId="46">
    <w:abstractNumId w:val="30"/>
  </w:num>
  <w:num w:numId="47">
    <w:abstractNumId w:val="30"/>
  </w:num>
  <w:num w:numId="48">
    <w:abstractNumId w:val="47"/>
  </w:num>
  <w:num w:numId="49">
    <w:abstractNumId w:val="47"/>
  </w:num>
  <w:num w:numId="50">
    <w:abstractNumId w:val="30"/>
  </w:num>
  <w:num w:numId="51">
    <w:abstractNumId w:val="47"/>
  </w:num>
  <w:num w:numId="52">
    <w:abstractNumId w:val="30"/>
  </w:num>
  <w:num w:numId="53">
    <w:abstractNumId w:val="30"/>
  </w:num>
  <w:num w:numId="54">
    <w:abstractNumId w:val="47"/>
  </w:num>
  <w:num w:numId="55">
    <w:abstractNumId w:val="30"/>
  </w:num>
  <w:num w:numId="56">
    <w:abstractNumId w:val="47"/>
  </w:num>
  <w:num w:numId="57">
    <w:abstractNumId w:val="30"/>
  </w:num>
  <w:num w:numId="58">
    <w:abstractNumId w:val="47"/>
  </w:num>
  <w:num w:numId="59">
    <w:abstractNumId w:val="78"/>
  </w:num>
  <w:num w:numId="60">
    <w:abstractNumId w:val="54"/>
  </w:num>
  <w:num w:numId="61">
    <w:abstractNumId w:val="66"/>
  </w:num>
  <w:num w:numId="62">
    <w:abstractNumId w:val="22"/>
  </w:num>
  <w:num w:numId="63">
    <w:abstractNumId w:val="29"/>
  </w:num>
  <w:num w:numId="64">
    <w:abstractNumId w:val="13"/>
  </w:num>
  <w:num w:numId="65">
    <w:abstractNumId w:val="59"/>
  </w:num>
  <w:num w:numId="66">
    <w:abstractNumId w:val="52"/>
  </w:num>
  <w:num w:numId="67">
    <w:abstractNumId w:val="34"/>
  </w:num>
  <w:num w:numId="68">
    <w:abstractNumId w:val="15"/>
  </w:num>
  <w:num w:numId="69">
    <w:abstractNumId w:val="53"/>
  </w:num>
  <w:num w:numId="70">
    <w:abstractNumId w:val="12"/>
  </w:num>
  <w:num w:numId="71">
    <w:abstractNumId w:val="33"/>
  </w:num>
  <w:num w:numId="72">
    <w:abstractNumId w:val="42"/>
  </w:num>
  <w:num w:numId="73">
    <w:abstractNumId w:val="76"/>
  </w:num>
  <w:num w:numId="74">
    <w:abstractNumId w:val="49"/>
  </w:num>
  <w:num w:numId="75">
    <w:abstractNumId w:val="35"/>
  </w:num>
  <w:num w:numId="76">
    <w:abstractNumId w:val="27"/>
  </w:num>
  <w:num w:numId="77">
    <w:abstractNumId w:val="3"/>
  </w:num>
  <w:num w:numId="78">
    <w:abstractNumId w:val="3"/>
  </w:num>
  <w:num w:numId="79">
    <w:abstractNumId w:val="30"/>
  </w:num>
  <w:num w:numId="80">
    <w:abstractNumId w:val="3"/>
  </w:num>
  <w:num w:numId="81">
    <w:abstractNumId w:val="47"/>
  </w:num>
  <w:num w:numId="82">
    <w:abstractNumId w:val="30"/>
  </w:num>
  <w:num w:numId="83">
    <w:abstractNumId w:val="43"/>
  </w:num>
  <w:num w:numId="84">
    <w:abstractNumId w:val="19"/>
  </w:num>
  <w:num w:numId="85">
    <w:abstractNumId w:val="61"/>
  </w:num>
  <w:num w:numId="86">
    <w:abstractNumId w:val="60"/>
  </w:num>
  <w:num w:numId="87">
    <w:abstractNumId w:val="2"/>
  </w:num>
  <w:num w:numId="88">
    <w:abstractNumId w:val="45"/>
  </w:num>
  <w:num w:numId="89">
    <w:abstractNumId w:val="18"/>
  </w:num>
  <w:num w:numId="90">
    <w:abstractNumId w:val="41"/>
  </w:num>
  <w:num w:numId="91">
    <w:abstractNumId w:val="10"/>
  </w:num>
  <w:num w:numId="92">
    <w:abstractNumId w:val="57"/>
  </w:num>
  <w:num w:numId="93">
    <w:abstractNumId w:val="38"/>
  </w:num>
  <w:num w:numId="94">
    <w:abstractNumId w:val="71"/>
  </w:num>
  <w:num w:numId="95">
    <w:abstractNumId w:val="67"/>
  </w:num>
  <w:num w:numId="96">
    <w:abstractNumId w:val="20"/>
  </w:num>
  <w:num w:numId="97">
    <w:abstractNumId w:val="36"/>
  </w:num>
  <w:num w:numId="98">
    <w:abstractNumId w:val="37"/>
  </w:num>
  <w:num w:numId="99">
    <w:abstractNumId w:val="21"/>
  </w:num>
  <w:num w:numId="100">
    <w:abstractNumId w:val="74"/>
  </w:num>
  <w:num w:numId="101">
    <w:abstractNumId w:val="74"/>
  </w:num>
  <w:num w:numId="102">
    <w:abstractNumId w:val="21"/>
  </w:num>
  <w:num w:numId="103">
    <w:abstractNumId w:val="21"/>
  </w:num>
  <w:num w:numId="104">
    <w:abstractNumId w:val="74"/>
  </w:num>
  <w:num w:numId="105">
    <w:abstractNumId w:val="21"/>
  </w:num>
  <w:num w:numId="106">
    <w:abstractNumId w:val="32"/>
  </w:num>
  <w:num w:numId="107">
    <w:abstractNumId w:val="63"/>
  </w:num>
  <w:num w:numId="10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semiHidden/>
    <w:pPr>
      <w:overflowPunct/>
      <w:spacing w:line="240" w:lineRule="auto"/>
      <w:jc w:val="left"/>
    </w:pPr>
    <w:rPr>
      <w:rFonts w:eastAsia="KaiTi_GB2312"/>
      <w:spacing w:val="0"/>
      <w:lang w:val="en-GB" w:eastAsia="en-US"/>
    </w:rPr>
  </w:style>
  <w:style w:type="character" w:styleId="PageNumber">
    <w:name w:val="page number"/>
    <w:semiHidden/>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semiHidden/>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81"/>
      </w:numPr>
      <w:tabs>
        <w:tab w:val="clear" w:pos="510"/>
      </w:tabs>
    </w:pPr>
  </w:style>
  <w:style w:type="paragraph" w:customStyle="1" w:styleId="a">
    <w:name w:val="悬挂符号●"/>
    <w:basedOn w:val="Normal"/>
    <w:pPr>
      <w:numPr>
        <w:numId w:val="82"/>
      </w:numPr>
      <w:tabs>
        <w:tab w:val="clear" w:pos="510"/>
      </w:tabs>
    </w:pPr>
  </w:style>
  <w:style w:type="paragraph" w:customStyle="1" w:styleId="1L">
    <w:name w:val="页眉1L"/>
    <w:basedOn w:val="Normal"/>
    <w:autoRedefine/>
    <w:pPr>
      <w:framePr w:w="1542" w:h="627" w:hSpace="180" w:wrap="around" w:vAnchor="page" w:hAnchor="page" w:x="1469" w:y="1390"/>
      <w:widowControl w:val="0"/>
      <w:spacing w:line="240" w:lineRule="auto"/>
    </w:pPr>
    <w:rPr>
      <w:rFonts w:ascii="SimHei" w:eastAsia="SimHei"/>
      <w:snapToGrid/>
      <w:spacing w:val="6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semiHidden/>
    <w:pPr>
      <w:widowControl w:val="0"/>
    </w:pPr>
    <w:rPr>
      <w:snapToGrid/>
    </w:rPr>
  </w:style>
  <w:style w:type="paragraph" w:customStyle="1" w:styleId="ac">
    <w:name w:val="表中文字"/>
    <w:basedOn w:val="Normal"/>
    <w:pPr>
      <w:spacing w:line="320" w:lineRule="exact"/>
    </w:pPr>
    <w:rPr>
      <w:spacing w:val="0"/>
      <w:sz w:val="21"/>
    </w:rPr>
  </w:style>
  <w:style w:type="paragraph" w:customStyle="1" w:styleId="ad">
    <w:name w:val="正文缩进"/>
    <w:basedOn w:val="Normal"/>
    <w:pPr>
      <w:ind w:left="1021" w:firstLine="510"/>
    </w:pPr>
  </w:style>
  <w:style w:type="paragraph" w:customStyle="1" w:styleId="ae">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f">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106"/>
      </w:numPr>
      <w:tabs>
        <w:tab w:val="clear" w:pos="360"/>
        <w:tab w:val="left" w:pos="737"/>
      </w:tabs>
      <w:overflowPunct/>
      <w:adjustRightInd/>
      <w:snapToGrid/>
      <w:spacing w:after="240" w:line="240" w:lineRule="auto"/>
      <w:jc w:val="left"/>
    </w:pPr>
    <w:rPr>
      <w:rFonts w:eastAsia="PMingLiU"/>
      <w:snapToGrid/>
      <w:spacing w:val="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10</Pages>
  <Words>6962</Words>
  <Characters>7346</Characters>
  <Application>Microsoft Office Word</Application>
  <DocSecurity>4</DocSecurity>
  <Lines>262</Lines>
  <Paragraphs>92</Paragraphs>
  <ScaleCrop>false</ScaleCrop>
  <HeadingPairs>
    <vt:vector size="2" baseType="variant">
      <vt:variant>
        <vt:lpstr>题目</vt:lpstr>
      </vt:variant>
      <vt:variant>
        <vt:i4>1</vt:i4>
      </vt:variant>
    </vt:vector>
  </HeadingPairs>
  <TitlesOfParts>
    <vt:vector size="1" baseType="lpstr">
      <vt:lpstr>E.dot</vt:lpstr>
    </vt:vector>
  </TitlesOfParts>
  <Company>TPS_CHI</Company>
  <LinksUpToDate>false</LinksUpToDate>
  <CharactersWithSpaces>7601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nie</dc:creator>
  <cp:keywords/>
  <dc:description/>
  <cp:lastModifiedBy>CSD</cp:lastModifiedBy>
  <cp:revision>2</cp:revision>
  <cp:lastPrinted>2006-09-04T08:58:00Z</cp:lastPrinted>
  <dcterms:created xsi:type="dcterms:W3CDTF">2006-09-04T12:52:00Z</dcterms:created>
  <dcterms:modified xsi:type="dcterms:W3CDTF">2006-09-04T12:52:00Z</dcterms:modified>
</cp:coreProperties>
</file>