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F97F12E" w14:textId="77777777" w:rsidTr="007A2AE0">
        <w:trPr>
          <w:trHeight w:hRule="exact" w:val="851"/>
        </w:trPr>
        <w:tc>
          <w:tcPr>
            <w:tcW w:w="142" w:type="dxa"/>
            <w:tcBorders>
              <w:bottom w:val="single" w:sz="4" w:space="0" w:color="auto"/>
            </w:tcBorders>
          </w:tcPr>
          <w:p w14:paraId="46095AAD" w14:textId="77777777" w:rsidR="002D5AAC" w:rsidRDefault="002D5AAC" w:rsidP="006475D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FE875E9" w14:textId="77777777"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4006E65" w14:textId="3A77FD13" w:rsidR="002D5AAC" w:rsidRDefault="006475D0" w:rsidP="006475D0">
            <w:pPr>
              <w:jc w:val="right"/>
            </w:pPr>
            <w:r w:rsidRPr="006475D0">
              <w:rPr>
                <w:sz w:val="40"/>
              </w:rPr>
              <w:t>CMW</w:t>
            </w:r>
            <w:r>
              <w:t>/C/SYC/CO/2</w:t>
            </w:r>
          </w:p>
        </w:tc>
      </w:tr>
      <w:tr w:rsidR="002D5AAC" w:rsidRPr="005E1FCE" w14:paraId="2BA6E33D" w14:textId="77777777" w:rsidTr="007A2AE0">
        <w:trPr>
          <w:trHeight w:hRule="exact" w:val="2835"/>
        </w:trPr>
        <w:tc>
          <w:tcPr>
            <w:tcW w:w="1280" w:type="dxa"/>
            <w:gridSpan w:val="2"/>
            <w:tcBorders>
              <w:top w:val="single" w:sz="4" w:space="0" w:color="auto"/>
              <w:bottom w:val="single" w:sz="12" w:space="0" w:color="auto"/>
            </w:tcBorders>
          </w:tcPr>
          <w:p w14:paraId="630C5F67" w14:textId="77777777" w:rsidR="002D5AAC" w:rsidRDefault="002E5067" w:rsidP="007A2AE0">
            <w:pPr>
              <w:spacing w:before="120"/>
              <w:jc w:val="center"/>
            </w:pPr>
            <w:r>
              <w:rPr>
                <w:noProof/>
                <w:lang w:val="fr-CH" w:eastAsia="fr-CH"/>
              </w:rPr>
              <w:drawing>
                <wp:inline distT="0" distB="0" distL="0" distR="0" wp14:anchorId="0C7A6867" wp14:editId="4F03EC3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B4EF9F" w14:textId="77777777" w:rsidR="002D5AAC" w:rsidRPr="00033EE1" w:rsidRDefault="00734ACB" w:rsidP="00385581">
            <w:pPr>
              <w:spacing w:before="120" w:line="38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5ECC05C1" w14:textId="77777777" w:rsidR="006475D0" w:rsidRPr="006475D0" w:rsidRDefault="006475D0" w:rsidP="006475D0">
            <w:pPr>
              <w:suppressAutoHyphens w:val="0"/>
              <w:spacing w:before="240" w:line="240" w:lineRule="exact"/>
              <w:rPr>
                <w:lang w:val="en-US"/>
              </w:rPr>
            </w:pPr>
            <w:r w:rsidRPr="006475D0">
              <w:rPr>
                <w:lang w:val="en-US"/>
              </w:rPr>
              <w:t>Distr.: General</w:t>
            </w:r>
          </w:p>
          <w:p w14:paraId="5405A8B6" w14:textId="77777777" w:rsidR="006475D0" w:rsidRPr="006475D0" w:rsidRDefault="006475D0" w:rsidP="006475D0">
            <w:pPr>
              <w:suppressAutoHyphens w:val="0"/>
              <w:rPr>
                <w:lang w:val="en-US"/>
              </w:rPr>
            </w:pPr>
            <w:r w:rsidRPr="006475D0">
              <w:rPr>
                <w:lang w:val="en-US"/>
              </w:rPr>
              <w:t>17 January 2025</w:t>
            </w:r>
          </w:p>
          <w:p w14:paraId="782621A9" w14:textId="346C7620" w:rsidR="006475D0" w:rsidRPr="006475D0" w:rsidRDefault="003209BB" w:rsidP="006475D0">
            <w:pPr>
              <w:suppressAutoHyphens w:val="0"/>
              <w:rPr>
                <w:lang w:val="en-US"/>
              </w:rPr>
            </w:pPr>
            <w:r>
              <w:rPr>
                <w:lang w:val="en-US"/>
              </w:rPr>
              <w:t>Russian</w:t>
            </w:r>
          </w:p>
          <w:p w14:paraId="7459949B" w14:textId="69E63E89" w:rsidR="006475D0" w:rsidRPr="006475D0" w:rsidRDefault="006475D0" w:rsidP="006475D0">
            <w:pPr>
              <w:spacing w:line="240" w:lineRule="exact"/>
              <w:rPr>
                <w:lang w:val="en-US"/>
              </w:rPr>
            </w:pPr>
            <w:r w:rsidRPr="006475D0">
              <w:rPr>
                <w:lang w:val="en-US"/>
              </w:rPr>
              <w:t>Original: English</w:t>
            </w:r>
          </w:p>
        </w:tc>
      </w:tr>
    </w:tbl>
    <w:p w14:paraId="0141A1D1" w14:textId="0DE800A7" w:rsidR="00D62714" w:rsidRPr="00D62714" w:rsidRDefault="00D62714" w:rsidP="00D62714">
      <w:pPr>
        <w:spacing w:before="120"/>
        <w:rPr>
          <w:b/>
          <w:sz w:val="32"/>
          <w:szCs w:val="28"/>
        </w:rPr>
      </w:pPr>
      <w:r w:rsidRPr="00D62714">
        <w:rPr>
          <w:b/>
          <w:bCs/>
          <w:sz w:val="24"/>
          <w:szCs w:val="28"/>
        </w:rPr>
        <w:t xml:space="preserve">Комитет по защите прав всех </w:t>
      </w:r>
      <w:r w:rsidRPr="00D62714">
        <w:rPr>
          <w:b/>
          <w:bCs/>
          <w:sz w:val="24"/>
          <w:szCs w:val="28"/>
        </w:rPr>
        <w:br/>
        <w:t>трудящихся-мигрантов и членов их семей</w:t>
      </w:r>
    </w:p>
    <w:p w14:paraId="4DE98433" w14:textId="77777777" w:rsidR="00D62714" w:rsidRPr="00DF494F" w:rsidRDefault="00D62714" w:rsidP="00D62714">
      <w:pPr>
        <w:pStyle w:val="HChG"/>
      </w:pPr>
      <w:r>
        <w:tab/>
      </w:r>
      <w:r>
        <w:tab/>
      </w:r>
      <w:r>
        <w:rPr>
          <w:bCs/>
        </w:rPr>
        <w:t>Заключительные замечания по второму периодическому докладу Сейшельских Островов</w:t>
      </w:r>
      <w:r w:rsidRPr="00D62714">
        <w:rPr>
          <w:rStyle w:val="aa"/>
          <w:b w:val="0"/>
          <w:bCs/>
          <w:sz w:val="20"/>
          <w:vertAlign w:val="baseline"/>
        </w:rPr>
        <w:footnoteReference w:customMarkFollows="1" w:id="1"/>
        <w:t>*</w:t>
      </w:r>
    </w:p>
    <w:p w14:paraId="128177FE" w14:textId="77777777" w:rsidR="00D62714" w:rsidRPr="00DF494F" w:rsidRDefault="00D62714" w:rsidP="00D62714">
      <w:pPr>
        <w:pStyle w:val="SingleTxtG"/>
      </w:pPr>
      <w:r>
        <w:t>1.</w:t>
      </w:r>
      <w:r>
        <w:tab/>
        <w:t>Комитет рассмотрел второй периодический доклад Сейшельских Островов</w:t>
      </w:r>
      <w:r w:rsidRPr="002423E1">
        <w:rPr>
          <w:sz w:val="18"/>
          <w:vertAlign w:val="superscript"/>
        </w:rPr>
        <w:footnoteReference w:id="2"/>
      </w:r>
      <w:r>
        <w:t xml:space="preserve"> на своих 578-м и 579-м заседаниях</w:t>
      </w:r>
      <w:r>
        <w:rPr>
          <w:rStyle w:val="aa"/>
        </w:rPr>
        <w:footnoteReference w:id="3"/>
      </w:r>
      <w:r>
        <w:t>, состоявшихся 5 и 6 декабря 2024 года соответственно. На своем 590-м заседании, состоявшемся 13 декабря 2024 года, он принял настоящие заключительные замечания.</w:t>
      </w:r>
    </w:p>
    <w:p w14:paraId="0BE4F397" w14:textId="77777777" w:rsidR="00D62714" w:rsidRPr="00DF494F" w:rsidRDefault="00D62714" w:rsidP="00D62714">
      <w:pPr>
        <w:pStyle w:val="H1G"/>
      </w:pPr>
      <w:r>
        <w:rPr>
          <w:bCs/>
        </w:rPr>
        <w:tab/>
        <w:t>A.</w:t>
      </w:r>
      <w:r>
        <w:tab/>
      </w:r>
      <w:r>
        <w:rPr>
          <w:bCs/>
        </w:rPr>
        <w:t>Введение</w:t>
      </w:r>
    </w:p>
    <w:p w14:paraId="696190B0" w14:textId="77777777" w:rsidR="00D62714" w:rsidRPr="00DF494F" w:rsidRDefault="00D62714" w:rsidP="00D62714">
      <w:pPr>
        <w:pStyle w:val="SingleTxtG"/>
        <w:rPr>
          <w:u w:val="single"/>
        </w:rPr>
      </w:pPr>
      <w:r>
        <w:t>2.</w:t>
      </w:r>
      <w:r>
        <w:tab/>
        <w:t>Комитет приветствует представление второго периодического доклада государства-участника, подготовленного в соответствии с перечнем вопросов, направляемых до представления доклада</w:t>
      </w:r>
      <w:r w:rsidRPr="002423E1">
        <w:rPr>
          <w:sz w:val="18"/>
          <w:vertAlign w:val="superscript"/>
        </w:rPr>
        <w:footnoteReference w:id="4"/>
      </w:r>
      <w:r>
        <w:t>, его доклада о последующих мерах в связи с заключительными замечаниями по первоначальному докладу</w:t>
      </w:r>
      <w:r w:rsidRPr="002423E1">
        <w:rPr>
          <w:sz w:val="18"/>
          <w:vertAlign w:val="superscript"/>
        </w:rPr>
        <w:footnoteReference w:id="5"/>
      </w:r>
      <w:r>
        <w:t xml:space="preserve"> и дополнительной информации, представленной </w:t>
      </w:r>
      <w:r w:rsidRPr="002F3135">
        <w:t xml:space="preserve">многопрофильной </w:t>
      </w:r>
      <w:r>
        <w:t>делегацией во главе с министром занятости и социальных дел, в состав которой вошли представители этого министерства, Министерства внутренних дел (управления иммиграции) и Аппарата президента (правового управления, а также секретариата по борьбе с торговлей людьми).</w:t>
      </w:r>
    </w:p>
    <w:p w14:paraId="5EF8AFEA" w14:textId="77777777" w:rsidR="00D62714" w:rsidRPr="00DF494F" w:rsidRDefault="00D62714" w:rsidP="00D62714">
      <w:pPr>
        <w:pStyle w:val="SingleTxtG"/>
      </w:pPr>
      <w:r>
        <w:t>3.</w:t>
      </w:r>
      <w:r>
        <w:tab/>
        <w:t>Комитет высоко оценивает открытый, откровенный и конструктивный диалог, состоявшийся с делегацией, а также полученную от представителей государства-участника всеобъемлющую информацию и конструктивное и позитивное взаимодействие с Комитетом в ходе заседаний, позволившее провести приведенный ниже анализ и сформулировать выводы. Комитет приветствует, в частности, гендерный состав делегации, большинство в которой составляли женщины. Комитет также положительно отмечает внимание, которое члены делегации уделили ценности вклада мигрантов в развитие их страны.</w:t>
      </w:r>
    </w:p>
    <w:p w14:paraId="05818724" w14:textId="77777777" w:rsidR="00D62714" w:rsidRPr="00DF494F" w:rsidRDefault="00D62714" w:rsidP="00D62714">
      <w:pPr>
        <w:pStyle w:val="SingleTxtG"/>
      </w:pPr>
      <w:r>
        <w:t>4.</w:t>
      </w:r>
      <w:r>
        <w:tab/>
        <w:t>Комитет учитывает, что географическое положение Сейшельских Островов и их политический и экономический прогресс делают их перевалочным центром и входными вратами миграционных потоков, особенно для мигрантов из стран Африки и Азии. Кроме того, Комитет принимает к сведению то, что Сейшельские Острова, будучи малым островным развивающимся государством, сталкиваются с дополнительными проблемами, обусловленными изменением климата, в частности в связи с повышенной необходимостью адаптации к нему и смягчения его последствий и проблемами, сопряженными с миграцией.</w:t>
      </w:r>
    </w:p>
    <w:p w14:paraId="552A2F77" w14:textId="77777777" w:rsidR="00D62714" w:rsidRPr="00DF494F" w:rsidRDefault="00D62714" w:rsidP="00D62714">
      <w:pPr>
        <w:pStyle w:val="H1G"/>
      </w:pPr>
      <w:r>
        <w:rPr>
          <w:bCs/>
        </w:rPr>
        <w:lastRenderedPageBreak/>
        <w:tab/>
        <w:t>B.</w:t>
      </w:r>
      <w:r>
        <w:tab/>
      </w:r>
      <w:r>
        <w:rPr>
          <w:bCs/>
        </w:rPr>
        <w:t>Позитивные аспекты</w:t>
      </w:r>
    </w:p>
    <w:p w14:paraId="4E6BDBB2" w14:textId="77777777" w:rsidR="00D62714" w:rsidRPr="00DF494F" w:rsidRDefault="00D62714" w:rsidP="00D62714">
      <w:pPr>
        <w:pStyle w:val="SingleTxtG"/>
        <w:keepNext/>
        <w:ind w:left="1138" w:right="1138"/>
      </w:pPr>
      <w:r>
        <w:t>5.</w:t>
      </w:r>
      <w:r>
        <w:tab/>
        <w:t>Комитет приветствует ратификацию Сейшельскими Островами следующих международных договоров:</w:t>
      </w:r>
    </w:p>
    <w:p w14:paraId="1AD811FC" w14:textId="5F7C177A" w:rsidR="00D62714" w:rsidRPr="00DF494F" w:rsidRDefault="00D62714" w:rsidP="00D62714">
      <w:pPr>
        <w:pStyle w:val="SingleTxtG"/>
      </w:pPr>
      <w:r w:rsidRPr="00656E61">
        <w:tab/>
      </w:r>
      <w:r>
        <w:t>a)</w:t>
      </w:r>
      <w:r>
        <w:tab/>
        <w:t xml:space="preserve">18 января 2017 года </w:t>
      </w:r>
      <w:r w:rsidRPr="002F3135">
        <w:t>—</w:t>
      </w:r>
      <w:r>
        <w:t xml:space="preserve"> Международной конвенции для защиты всех лиц от насильственных исчезновений, включая ратификацию всех девяти основных договоров по правам человека;</w:t>
      </w:r>
      <w:r>
        <w:tab/>
      </w:r>
    </w:p>
    <w:p w14:paraId="6E36AD9C" w14:textId="369D82B4" w:rsidR="00D62714" w:rsidRPr="00DF494F" w:rsidRDefault="00D62714" w:rsidP="00D62714">
      <w:pPr>
        <w:pStyle w:val="SingleTxtG"/>
      </w:pPr>
      <w:r w:rsidRPr="00656E61">
        <w:tab/>
      </w:r>
      <w:r>
        <w:t>b)</w:t>
      </w:r>
      <w:r>
        <w:tab/>
        <w:t xml:space="preserve">22 января 2024 года </w:t>
      </w:r>
      <w:r w:rsidRPr="002F3135">
        <w:t>—</w:t>
      </w:r>
      <w:r>
        <w:t xml:space="preserve"> Конвенции 2011 года Международной организации труда (МОТ) о домашних работниках (№ 189), которая вступит в силу для Сейшельских Островов 22 января 2025 года.</w:t>
      </w:r>
    </w:p>
    <w:p w14:paraId="42AF3B4C" w14:textId="77777777" w:rsidR="00D62714" w:rsidRPr="00DF494F" w:rsidRDefault="00D62714" w:rsidP="00D62714">
      <w:pPr>
        <w:pStyle w:val="SingleTxtG"/>
      </w:pPr>
      <w:r>
        <w:t>6.</w:t>
      </w:r>
      <w:r>
        <w:tab/>
        <w:t>Комитет приветствует следующие законодательные меры:</w:t>
      </w:r>
    </w:p>
    <w:p w14:paraId="5782B5BD" w14:textId="53AC15FF" w:rsidR="00D62714" w:rsidRPr="00DF494F" w:rsidRDefault="00D62714" w:rsidP="00D62714">
      <w:pPr>
        <w:pStyle w:val="SingleTxtG"/>
      </w:pPr>
      <w:r w:rsidRPr="00656E61">
        <w:tab/>
      </w:r>
      <w:r>
        <w:t>a)</w:t>
      </w:r>
      <w:r>
        <w:tab/>
        <w:t>принятие в 2018 году Закона о Комиссии по правам человека Сейшельских Островов, в соответствии с которым была создана Комиссия по правам человека Сейшельских Островов;</w:t>
      </w:r>
    </w:p>
    <w:p w14:paraId="4C82F96A" w14:textId="0BD4B2FA" w:rsidR="00D62714" w:rsidRPr="00DF494F" w:rsidRDefault="00D62714" w:rsidP="00D62714">
      <w:pPr>
        <w:pStyle w:val="SingleTxtG"/>
      </w:pPr>
      <w:r w:rsidRPr="00656E61">
        <w:tab/>
      </w:r>
      <w:r>
        <w:t>b)</w:t>
      </w:r>
      <w:r>
        <w:tab/>
        <w:t xml:space="preserve">принятие в 2018 году поправок к Закону Сейшельских Островов о занятости, в соответствии с которыми, в частности, была увеличена продолжительность отпуска по беременности и родам до 26 недель, а отпуска по уходу за ребенком для отца </w:t>
      </w:r>
      <w:r w:rsidRPr="002F3135">
        <w:t>—</w:t>
      </w:r>
      <w:r>
        <w:t xml:space="preserve"> до 20 дней; Положений о занятости (национальная минимальная заработная плата) (поправки) (2018 год); Положений о занятости (национальная минимальная заработная плата) (поправки) (2019 год); Положений о занятости (условия найма домашних работников) (2019 год); и Положений о занятости (специальный отпуск в связи с коронавирусом) (временные меры) (2020 год);</w:t>
      </w:r>
    </w:p>
    <w:p w14:paraId="57A7249C" w14:textId="79E2E467" w:rsidR="00D62714" w:rsidRPr="00DF494F" w:rsidRDefault="00D62714" w:rsidP="00D62714">
      <w:pPr>
        <w:pStyle w:val="SingleTxtG"/>
      </w:pPr>
      <w:r w:rsidRPr="00656E61">
        <w:tab/>
      </w:r>
      <w:r>
        <w:t>c)</w:t>
      </w:r>
      <w:r>
        <w:tab/>
        <w:t>отмену в 2016 году пунктов a) и c) статьи 151 Уголовного кодекса;</w:t>
      </w:r>
    </w:p>
    <w:p w14:paraId="42344AFD" w14:textId="10613D7B" w:rsidR="00D62714" w:rsidRPr="00DF494F" w:rsidRDefault="00D62714" w:rsidP="00D62714">
      <w:pPr>
        <w:pStyle w:val="SingleTxtG"/>
      </w:pPr>
      <w:r w:rsidRPr="00656E61">
        <w:tab/>
      </w:r>
      <w:r>
        <w:t>d)</w:t>
      </w:r>
      <w:r>
        <w:tab/>
        <w:t>введение в действие Закона о домашнем насилии (2020 год), запрещающего акты домашнего насилия и обеспечивающего защиту жертв.</w:t>
      </w:r>
    </w:p>
    <w:p w14:paraId="6B2DAF56" w14:textId="77777777" w:rsidR="00D62714" w:rsidRPr="00DF494F" w:rsidRDefault="00D62714" w:rsidP="00D62714">
      <w:pPr>
        <w:pStyle w:val="SingleTxtG"/>
      </w:pPr>
      <w:r>
        <w:t>7.</w:t>
      </w:r>
      <w:r>
        <w:tab/>
        <w:t>Комитет приветствует также следующие институциональные и политические меры:</w:t>
      </w:r>
    </w:p>
    <w:p w14:paraId="52AC77DE" w14:textId="7D80471C" w:rsidR="00D62714" w:rsidRPr="00DF494F" w:rsidRDefault="00D62714" w:rsidP="00D62714">
      <w:pPr>
        <w:pStyle w:val="SingleTxtG"/>
      </w:pPr>
      <w:r w:rsidRPr="00656E61">
        <w:tab/>
      </w:r>
      <w:r>
        <w:t>a)</w:t>
      </w:r>
      <w:r>
        <w:tab/>
        <w:t>принятие Национального плана действий по гендерным вопросам на 2019–2023 годы;</w:t>
      </w:r>
    </w:p>
    <w:p w14:paraId="3D7F62C7" w14:textId="3D34FC8D" w:rsidR="00D62714" w:rsidRPr="00DF494F" w:rsidRDefault="00D62714" w:rsidP="00D62714">
      <w:pPr>
        <w:pStyle w:val="SingleTxtG"/>
      </w:pPr>
      <w:r w:rsidRPr="00656E61">
        <w:tab/>
      </w:r>
      <w:r>
        <w:t>b)</w:t>
      </w:r>
      <w:r>
        <w:tab/>
        <w:t>принятие Политики в области сексуального и репродуктивного здоровья, 2018 год;</w:t>
      </w:r>
    </w:p>
    <w:p w14:paraId="5AFD520B" w14:textId="031542BC" w:rsidR="00D62714" w:rsidRPr="00DF494F" w:rsidRDefault="00141B08" w:rsidP="00D62714">
      <w:pPr>
        <w:pStyle w:val="SingleTxtG"/>
      </w:pPr>
      <w:r w:rsidRPr="00656E61">
        <w:tab/>
      </w:r>
      <w:r w:rsidR="00D62714">
        <w:t>c)</w:t>
      </w:r>
      <w:r w:rsidR="00D62714">
        <w:tab/>
        <w:t xml:space="preserve">принятие Национального плана действий в области трудовой миграции </w:t>
      </w:r>
      <w:r w:rsidR="00D62714" w:rsidRPr="00656E61">
        <w:br/>
      </w:r>
      <w:r w:rsidR="00D62714">
        <w:t>(2020–2024 годы) и Национальной политики в области трудовой миграции (2019 год);</w:t>
      </w:r>
    </w:p>
    <w:p w14:paraId="43416376" w14:textId="34C97EF8" w:rsidR="00D62714" w:rsidRPr="00DF494F" w:rsidRDefault="00D62714" w:rsidP="00D62714">
      <w:pPr>
        <w:pStyle w:val="SingleTxtG"/>
      </w:pPr>
      <w:r w:rsidRPr="00656E61">
        <w:tab/>
      </w:r>
      <w:r>
        <w:t>d)</w:t>
      </w:r>
      <w:r>
        <w:tab/>
        <w:t>работу, проделанную Секретариатом по борьбе с торговлей людьми и новой Технической целевой группой по борьбе с торговлей людьми, а также расширение услуг и увеличение ресурсов, предоставляемых жертвам торговли людьми через специальный фонд, созданный в соответствии с Законом о запрете торговли людьми (2014 год);</w:t>
      </w:r>
    </w:p>
    <w:p w14:paraId="3E917C2F" w14:textId="5C523D75" w:rsidR="00D62714" w:rsidRPr="00DF494F" w:rsidRDefault="00D62714" w:rsidP="00D62714">
      <w:pPr>
        <w:pStyle w:val="SingleTxtG"/>
      </w:pPr>
      <w:r w:rsidRPr="00656E61">
        <w:tab/>
      </w:r>
      <w:r>
        <w:t>e)</w:t>
      </w:r>
      <w:r>
        <w:tab/>
        <w:t>реализацию Страновой программы достойного труда (2019–2023 годы), приоритетное внимание в которой уделено: i)</w:t>
      </w:r>
      <w:r>
        <w:rPr>
          <w:lang w:val="en-US"/>
        </w:rPr>
        <w:t> </w:t>
      </w:r>
      <w:r>
        <w:t xml:space="preserve">созданию условий для достойной </w:t>
      </w:r>
      <w:r w:rsidRPr="00D62714">
        <w:br/>
      </w:r>
      <w:r>
        <w:t>и производительной занятости; ii)</w:t>
      </w:r>
      <w:r>
        <w:rPr>
          <w:lang w:val="en-US"/>
        </w:rPr>
        <w:t> </w:t>
      </w:r>
      <w:r>
        <w:t>укреплению социального диалога и трехсторонних институтов; и iii)</w:t>
      </w:r>
      <w:r>
        <w:rPr>
          <w:lang w:val="en-US"/>
        </w:rPr>
        <w:t> </w:t>
      </w:r>
      <w:r>
        <w:t>эффективному осуществлению международных трудовых стандартов.</w:t>
      </w:r>
    </w:p>
    <w:p w14:paraId="6E55FA80" w14:textId="6C5826E8" w:rsidR="00D62714" w:rsidRPr="00DF494F" w:rsidRDefault="00D62714" w:rsidP="00D62714">
      <w:pPr>
        <w:pStyle w:val="SingleTxtG"/>
      </w:pPr>
      <w:r>
        <w:t>8.</w:t>
      </w:r>
      <w:r>
        <w:tab/>
        <w:t xml:space="preserve">Комитет выражает признательность Сейшельским Островам за то, что они взяли на себя руководящую роль, организовав у себя в стране в 2019 году мероприятие, посвященное началу Миграционного диалога для стран Комиссии по Индийскому океану </w:t>
      </w:r>
      <w:r>
        <w:rPr>
          <w:lang w:val="en-US"/>
        </w:rPr>
        <w:t>⸺</w:t>
      </w:r>
      <w:r>
        <w:t xml:space="preserve"> региональной инициативы по улучшению управления миграцией в регионе Индийского океана, которая была утверждена в марте 2020 года, причем Сейшельские Острова возглавили этот процесс.</w:t>
      </w:r>
    </w:p>
    <w:p w14:paraId="73780220" w14:textId="5A0C9F93" w:rsidR="00D62714" w:rsidRPr="00DF494F" w:rsidRDefault="00D62714" w:rsidP="00D62714">
      <w:pPr>
        <w:pStyle w:val="H1G"/>
      </w:pPr>
      <w:r w:rsidRPr="006F5F18">
        <w:rPr>
          <w:bCs/>
        </w:rPr>
        <w:lastRenderedPageBreak/>
        <w:tab/>
      </w:r>
      <w:r>
        <w:rPr>
          <w:bCs/>
        </w:rPr>
        <w:t>C.</w:t>
      </w:r>
      <w:r>
        <w:tab/>
      </w:r>
      <w:r>
        <w:rPr>
          <w:bCs/>
        </w:rPr>
        <w:t xml:space="preserve">Основные вопросы, вызывающие обеспокоенность, </w:t>
      </w:r>
      <w:r w:rsidRPr="00656E61">
        <w:rPr>
          <w:bCs/>
        </w:rPr>
        <w:br/>
      </w:r>
      <w:r>
        <w:rPr>
          <w:bCs/>
        </w:rPr>
        <w:t>и рекомендации</w:t>
      </w:r>
    </w:p>
    <w:p w14:paraId="5DF668C1" w14:textId="77777777" w:rsidR="00D62714" w:rsidRPr="00DF494F" w:rsidRDefault="00D62714" w:rsidP="00D62714">
      <w:pPr>
        <w:pStyle w:val="H23G"/>
      </w:pPr>
      <w:r>
        <w:rPr>
          <w:bCs/>
        </w:rPr>
        <w:tab/>
        <w:t>1.</w:t>
      </w:r>
      <w:r>
        <w:tab/>
      </w:r>
      <w:r>
        <w:rPr>
          <w:bCs/>
        </w:rPr>
        <w:t>Общие меры по осуществлению (статьи 73 и 84)</w:t>
      </w:r>
    </w:p>
    <w:p w14:paraId="511D99F1" w14:textId="77777777" w:rsidR="00D62714" w:rsidRPr="00DF494F" w:rsidRDefault="00D62714" w:rsidP="00D62714">
      <w:pPr>
        <w:pStyle w:val="H23G"/>
      </w:pPr>
      <w:r>
        <w:tab/>
      </w:r>
      <w:r>
        <w:tab/>
      </w:r>
      <w:r>
        <w:rPr>
          <w:bCs/>
        </w:rPr>
        <w:t>Нынешний контекст</w:t>
      </w:r>
    </w:p>
    <w:p w14:paraId="77A7869E" w14:textId="6CFECBFD" w:rsidR="00D62714" w:rsidRPr="00DF494F" w:rsidRDefault="00D62714" w:rsidP="00D62714">
      <w:pPr>
        <w:pStyle w:val="SingleTxtG"/>
      </w:pPr>
      <w:r>
        <w:t>9.</w:t>
      </w:r>
      <w:r>
        <w:tab/>
        <w:t xml:space="preserve">Комитет отмечает, что, хотя количество мигрантов на Сейшельских Островах, достигающее 17 000 человек, может показаться не таким большим, пропорционально численности населения этот показатель составляет 19 процентов, что в действительности довольно много. Комитет признает усилия государства-участника по укреплению законодательной базы в целях защиты трудящихся-мигрантов. Тем не менее он считает, что можно было бы укрепить контроль за условиями труда мигрантов, в том числе с целью гарантировать, что трудящиеся-мигранты, включая женщин, </w:t>
      </w:r>
      <w:r w:rsidRPr="005E1FCE">
        <w:t xml:space="preserve">не </w:t>
      </w:r>
      <w:r w:rsidR="005E1FCE" w:rsidRPr="005E1FCE">
        <w:t xml:space="preserve">будут </w:t>
      </w:r>
      <w:r w:rsidRPr="005E1FCE">
        <w:t>подвергаться трудовой</w:t>
      </w:r>
      <w:r>
        <w:t xml:space="preserve"> эксплуатации, которая, по сообщениям, имеет место, в частности в секторах строительства, туризма и коммерческого рыболовства, а также в Международной торговой зоне Сейшельских Островов.</w:t>
      </w:r>
    </w:p>
    <w:p w14:paraId="70E453F5" w14:textId="77777777" w:rsidR="00D62714" w:rsidRPr="00DF494F" w:rsidRDefault="00D62714" w:rsidP="00D62714">
      <w:pPr>
        <w:pStyle w:val="H23G"/>
      </w:pPr>
      <w:r>
        <w:tab/>
      </w:r>
      <w:r>
        <w:tab/>
      </w:r>
      <w:r>
        <w:rPr>
          <w:bCs/>
        </w:rPr>
        <w:t>Законодательство и его применение</w:t>
      </w:r>
    </w:p>
    <w:p w14:paraId="0275C1E3" w14:textId="77777777" w:rsidR="00D62714" w:rsidRPr="00DF494F" w:rsidRDefault="00D62714" w:rsidP="00D62714">
      <w:pPr>
        <w:pStyle w:val="SingleTxtG"/>
      </w:pPr>
      <w:r>
        <w:t>10.</w:t>
      </w:r>
      <w:r>
        <w:tab/>
        <w:t>Хотя отмечается, что Конвенция применяется на Сейшельских Островах в силу ее утверждения Национальной ассамблеей, по-прежнему отсутствуют комплексные меры по ее распространению. Кроме того, на положения Конвенции не ссылаются в национальных судах.</w:t>
      </w:r>
    </w:p>
    <w:p w14:paraId="7A9BD9E2" w14:textId="77777777" w:rsidR="00D62714" w:rsidRPr="00DF494F" w:rsidRDefault="00D62714" w:rsidP="00D62714">
      <w:pPr>
        <w:pStyle w:val="SingleTxtG"/>
        <w:rPr>
          <w:rFonts w:asciiTheme="majorBidi" w:eastAsiaTheme="majorEastAsia" w:hAnsiTheme="majorBidi" w:cstheme="majorBidi"/>
        </w:rPr>
      </w:pPr>
      <w:r>
        <w:t>11.</w:t>
      </w:r>
      <w:r>
        <w:tab/>
        <w:t>Аналогичным образом, несмотря на то, что в 2017 году началась реализация Национальной политики в области безопасности и гигиены труда, а в 2019 году была принята Национальная политика в области трудовой миграции, государству-участнику еще предстоит ратифицировать несколько конвенций МОТ, которые касаются, в частности, безопасности и гигиены труда, минимальной заработной платы и трудовой миграции. Хотя Сейшельские Острова приняли нормативные акты, касающиеся минимальной заработной платы, государство-участник еще не ратифицировало Конвенцию МОТ 1970 года об установлении минимальной заработной платы (№ 131) и не присоединилось к ней.</w:t>
      </w:r>
    </w:p>
    <w:p w14:paraId="4802AAB0" w14:textId="77777777" w:rsidR="00D62714" w:rsidRPr="00DF494F" w:rsidRDefault="00D62714" w:rsidP="00D62714">
      <w:pPr>
        <w:pStyle w:val="SingleTxtG"/>
        <w:rPr>
          <w:rFonts w:eastAsiaTheme="minorHAnsi"/>
        </w:rPr>
      </w:pPr>
      <w:r>
        <w:t>12.</w:t>
      </w:r>
      <w:r>
        <w:tab/>
        <w:t>Кроме того, Сейшельские Острова до сих пор не утвердили Национальный план действий по борьбе с торговлей людьми на 2022–2025 годы и не приняли поправки к Указу об иммиграции, которые запрещали бы работодателю удерживать паспорт иностранного работника. Осуществление Национальной политики в области трудовой миграции по-прежнему наталкивается на проблемы, включая трудности с оценкой потребностей рынка труда, защитой прав трудящихся-мигрантов и координацией усилий государственного и частного секторов.</w:t>
      </w:r>
    </w:p>
    <w:p w14:paraId="295B0EF6" w14:textId="77777777" w:rsidR="00D62714" w:rsidRPr="00DF494F" w:rsidRDefault="00D62714" w:rsidP="00D62714">
      <w:pPr>
        <w:pStyle w:val="SingleTxtG"/>
        <w:rPr>
          <w:b/>
          <w:bCs/>
        </w:rPr>
      </w:pPr>
      <w:r>
        <w:t>13.</w:t>
      </w:r>
      <w:r>
        <w:tab/>
      </w:r>
      <w:r>
        <w:rPr>
          <w:b/>
          <w:bCs/>
        </w:rPr>
        <w:t>Комитет рекомендует Сейшельским Островам:</w:t>
      </w:r>
    </w:p>
    <w:p w14:paraId="2559B1DC" w14:textId="49799B72" w:rsidR="00D62714" w:rsidRPr="00D62714" w:rsidRDefault="00D62714" w:rsidP="00D62714">
      <w:pPr>
        <w:pStyle w:val="SingleTxtG"/>
        <w:rPr>
          <w:b/>
          <w:bCs/>
        </w:rPr>
      </w:pPr>
      <w:r w:rsidRPr="00656E61">
        <w:rPr>
          <w:b/>
          <w:bCs/>
        </w:rPr>
        <w:tab/>
      </w:r>
      <w:r w:rsidRPr="00D62714">
        <w:rPr>
          <w:b/>
          <w:bCs/>
        </w:rPr>
        <w:t>a)</w:t>
      </w:r>
      <w:r w:rsidRPr="00D62714">
        <w:rPr>
          <w:b/>
          <w:bCs/>
        </w:rPr>
        <w:tab/>
        <w:t>ускорить принятие Национального плана действий по борьбе с торговлей людьми на 2022–2025 годы и начать разработку нового плана действий на последующий период;</w:t>
      </w:r>
    </w:p>
    <w:p w14:paraId="7D090B20" w14:textId="594D4B11" w:rsidR="00D62714" w:rsidRPr="00D62714" w:rsidRDefault="00D62714" w:rsidP="00D62714">
      <w:pPr>
        <w:pStyle w:val="SingleTxtG"/>
        <w:rPr>
          <w:b/>
          <w:bCs/>
        </w:rPr>
      </w:pPr>
      <w:r w:rsidRPr="00656E61">
        <w:rPr>
          <w:b/>
          <w:bCs/>
        </w:rPr>
        <w:tab/>
      </w:r>
      <w:r w:rsidRPr="00D62714">
        <w:rPr>
          <w:b/>
          <w:bCs/>
        </w:rPr>
        <w:t>b)</w:t>
      </w:r>
      <w:r w:rsidRPr="00D62714">
        <w:rPr>
          <w:b/>
          <w:bCs/>
        </w:rPr>
        <w:tab/>
        <w:t>принять необходимые меры для обеспечения надлежащего распространения информации о Конвенции, включая проведение программ обучения юристов-практиков и работников судебной системы тому, как Конвенция может и должна применяться во внутренней правовой системе и в судебных решениях;</w:t>
      </w:r>
    </w:p>
    <w:p w14:paraId="5EFCD265" w14:textId="05459F2D" w:rsidR="00D62714" w:rsidRPr="00D62714" w:rsidRDefault="00D62714" w:rsidP="00D62714">
      <w:pPr>
        <w:pStyle w:val="SingleTxtG"/>
        <w:rPr>
          <w:b/>
          <w:bCs/>
        </w:rPr>
      </w:pPr>
      <w:r w:rsidRPr="00656E61">
        <w:rPr>
          <w:b/>
          <w:bCs/>
        </w:rPr>
        <w:tab/>
      </w:r>
      <w:r w:rsidRPr="00D62714">
        <w:rPr>
          <w:b/>
          <w:bCs/>
        </w:rPr>
        <w:t>c)</w:t>
      </w:r>
      <w:r w:rsidRPr="00D62714">
        <w:rPr>
          <w:b/>
          <w:bCs/>
        </w:rPr>
        <w:tab/>
        <w:t>сформулировать отдельный закон, обеспечивающий соблюдение Конвенции, в том числе гарантирующий применение лишения свободы только в исключительных обстоятельствах;</w:t>
      </w:r>
    </w:p>
    <w:p w14:paraId="24204BA1" w14:textId="5AF82636" w:rsidR="00D62714" w:rsidRPr="00DF494F" w:rsidRDefault="00D62714" w:rsidP="00D62714">
      <w:pPr>
        <w:pStyle w:val="SingleTxtG"/>
        <w:rPr>
          <w:b/>
          <w:bCs/>
        </w:rPr>
      </w:pPr>
      <w:r w:rsidRPr="00656E61">
        <w:rPr>
          <w:b/>
          <w:bCs/>
        </w:rPr>
        <w:tab/>
      </w:r>
      <w:r w:rsidRPr="00D62714">
        <w:rPr>
          <w:b/>
          <w:bCs/>
        </w:rPr>
        <w:t>d)</w:t>
      </w:r>
      <w:r w:rsidRPr="00D62714">
        <w:rPr>
          <w:b/>
          <w:bCs/>
        </w:rPr>
        <w:tab/>
        <w:t>наблюдать за воздействием Политики в области трудовой миграции, в частности в</w:t>
      </w:r>
      <w:r>
        <w:rPr>
          <w:b/>
          <w:bCs/>
        </w:rPr>
        <w:t xml:space="preserve"> плане борьбы с дискриминационным отношением и стереотипами, основанными на расе, цвете кожи или национальной принадлежности </w:t>
      </w:r>
      <w:r>
        <w:rPr>
          <w:b/>
          <w:bCs/>
        </w:rPr>
        <w:lastRenderedPageBreak/>
        <w:t>трудящихся-мигрантов и трудящихся-мигранток, и содействия равенству возможностей и обращения в этом отношении.</w:t>
      </w:r>
    </w:p>
    <w:p w14:paraId="0602184A" w14:textId="77777777" w:rsidR="00D62714" w:rsidRPr="00DF494F" w:rsidRDefault="00D62714" w:rsidP="00D62714">
      <w:pPr>
        <w:pStyle w:val="H23G"/>
      </w:pPr>
      <w:r>
        <w:tab/>
      </w:r>
      <w:r>
        <w:tab/>
      </w:r>
      <w:r>
        <w:rPr>
          <w:bCs/>
        </w:rPr>
        <w:t>Заявления и оговорки, в том числе в соответствии со статьями 76–77</w:t>
      </w:r>
    </w:p>
    <w:p w14:paraId="196A7639" w14:textId="77777777" w:rsidR="00D62714" w:rsidRPr="00DF494F" w:rsidRDefault="00D62714" w:rsidP="00D62714">
      <w:pPr>
        <w:pStyle w:val="SingleTxtG"/>
      </w:pPr>
      <w:r>
        <w:t>14.</w:t>
      </w:r>
      <w:r>
        <w:tab/>
        <w:t>Что касается предыдущего сообщения делегации, сделанного в рамках конструктивного диалога с Комитетом в 2015 году, о том, что правительство Сейшельских Островов рассматривает возможность сделать заявления по статьям 76 и 77 Конвенции в знак признания компетенции Комитета получать и рассматривать сообщения от государств-участников и частных лиц</w:t>
      </w:r>
      <w:r>
        <w:rPr>
          <w:rStyle w:val="aa"/>
        </w:rPr>
        <w:footnoteReference w:id="6"/>
      </w:r>
      <w:r>
        <w:t>, то делегация проинформировала Комитет о том, что в настоящее время позиция государства-участника такова, что оно не может положительно рассматривать возможность таких заявлений в связи с продолжающейся реорганизацией законодательства.</w:t>
      </w:r>
    </w:p>
    <w:p w14:paraId="24462A0C" w14:textId="77777777" w:rsidR="00D62714" w:rsidRPr="00DF494F" w:rsidRDefault="00D62714" w:rsidP="00D62714">
      <w:pPr>
        <w:pStyle w:val="SingleTxtG"/>
      </w:pPr>
      <w:r>
        <w:t>15.</w:t>
      </w:r>
      <w:r>
        <w:tab/>
      </w:r>
      <w:r>
        <w:rPr>
          <w:b/>
          <w:bCs/>
        </w:rPr>
        <w:t>Комитет рекомендует государству-участнику продолжить рассмотрение вопроса о заявлениях по статьям 76 и 77 Конвенции, в частности с целью возвращения к выраженной ранее позитивной позиции, как только для этого будет создана благоприятная законодательная среда.</w:t>
      </w:r>
    </w:p>
    <w:p w14:paraId="32C7D0D2" w14:textId="77777777" w:rsidR="00D62714" w:rsidRPr="00DF494F" w:rsidRDefault="00D62714" w:rsidP="00D62714">
      <w:pPr>
        <w:pStyle w:val="H23G"/>
      </w:pPr>
      <w:r>
        <w:tab/>
      </w:r>
      <w:r>
        <w:tab/>
      </w:r>
      <w:r>
        <w:rPr>
          <w:bCs/>
        </w:rPr>
        <w:t>Ратификация соответствующих договоров</w:t>
      </w:r>
    </w:p>
    <w:p w14:paraId="36A2E68D" w14:textId="77777777" w:rsidR="00D62714" w:rsidRPr="00DF494F" w:rsidRDefault="00D62714" w:rsidP="00D62714">
      <w:pPr>
        <w:pStyle w:val="SingleTxtG"/>
      </w:pPr>
      <w:r>
        <w:t>16.</w:t>
      </w:r>
      <w:r>
        <w:tab/>
        <w:t>Комитет с удовлетворением отмечает, что государство-участник ратифицировало основные договоры по правам человека и основополагающие конвенции МОТ, включая Конвенцию МОТ о достойном труде домашних работников 2011 года (№ 189), которая была ратифицирована 22 января 2024 года и вступает в силу 22 января 2025 года. Вместе с тем Комитет отмечает, что государству-участнику еще предстоит ратифицировать следующие документы МОТ:</w:t>
      </w:r>
    </w:p>
    <w:p w14:paraId="22737608" w14:textId="7CDECD8A" w:rsidR="00D62714" w:rsidRPr="00DF494F" w:rsidRDefault="00D62714" w:rsidP="00D62714">
      <w:pPr>
        <w:pStyle w:val="SingleTxtG"/>
      </w:pPr>
      <w:r w:rsidRPr="00656E61">
        <w:tab/>
      </w:r>
      <w:r>
        <w:t>a)</w:t>
      </w:r>
      <w:r>
        <w:tab/>
        <w:t>Конвенцию 1949 года (пересмотренную) о работниках-мигрантах (№ 97);</w:t>
      </w:r>
    </w:p>
    <w:p w14:paraId="4283DD55" w14:textId="056C5CEB" w:rsidR="00D62714" w:rsidRPr="00DF494F" w:rsidRDefault="00D62714" w:rsidP="00D62714">
      <w:pPr>
        <w:pStyle w:val="SingleTxtG"/>
      </w:pPr>
      <w:r w:rsidRPr="00656E61">
        <w:tab/>
      </w:r>
      <w:r>
        <w:t>b)</w:t>
      </w:r>
      <w:r>
        <w:tab/>
        <w:t xml:space="preserve">Конвенцию 1988 года о безопасности и гигиене труда в строительстве </w:t>
      </w:r>
      <w:r w:rsidRPr="00656E61">
        <w:br/>
      </w:r>
      <w:r>
        <w:t>(№ 167);</w:t>
      </w:r>
    </w:p>
    <w:p w14:paraId="57CEEA35" w14:textId="5EE2555C" w:rsidR="00D62714" w:rsidRPr="00DF494F" w:rsidRDefault="00D62714" w:rsidP="00D62714">
      <w:pPr>
        <w:pStyle w:val="SingleTxtG"/>
      </w:pPr>
      <w:r w:rsidRPr="00656E61">
        <w:tab/>
      </w:r>
      <w:r>
        <w:t>c)</w:t>
      </w:r>
      <w:r>
        <w:tab/>
        <w:t xml:space="preserve">Протокол 2014 года к Конвенции 1930 года о принудительном труде </w:t>
      </w:r>
      <w:r w:rsidR="00CF00A3" w:rsidRPr="00656E61">
        <w:br/>
      </w:r>
      <w:r>
        <w:t>(№ 29);</w:t>
      </w:r>
    </w:p>
    <w:p w14:paraId="37FBD569" w14:textId="019A06C0" w:rsidR="00D62714" w:rsidRPr="00DF494F" w:rsidRDefault="00D62714" w:rsidP="00D62714">
      <w:pPr>
        <w:pStyle w:val="SingleTxtG"/>
      </w:pPr>
      <w:r w:rsidRPr="00656E61">
        <w:tab/>
      </w:r>
      <w:r>
        <w:t>d)</w:t>
      </w:r>
      <w:r>
        <w:tab/>
        <w:t xml:space="preserve">Конвенцию </w:t>
      </w:r>
      <w:r w:rsidRPr="005E1FCE">
        <w:t>2006 года</w:t>
      </w:r>
      <w:r>
        <w:t xml:space="preserve"> </w:t>
      </w:r>
      <w:r w:rsidRPr="002F3135">
        <w:t>об основах, содействующих безопасности и гигиене труда</w:t>
      </w:r>
      <w:r w:rsidRPr="00F46207" w:rsidDel="00F46207">
        <w:t xml:space="preserve"> </w:t>
      </w:r>
      <w:r>
        <w:t>(№ 187);</w:t>
      </w:r>
    </w:p>
    <w:p w14:paraId="5336F509" w14:textId="0D01AD86" w:rsidR="00D62714" w:rsidRPr="00DF494F" w:rsidRDefault="00D62714" w:rsidP="00D62714">
      <w:pPr>
        <w:pStyle w:val="SingleTxtG"/>
      </w:pPr>
      <w:r w:rsidRPr="00656E61">
        <w:tab/>
      </w:r>
      <w:r>
        <w:t>e)</w:t>
      </w:r>
      <w:r>
        <w:tab/>
        <w:t>Конвенцию 2019 года о насилии и домогательствах (№ 190);</w:t>
      </w:r>
    </w:p>
    <w:p w14:paraId="7E633694" w14:textId="7992A57C" w:rsidR="00D62714" w:rsidRPr="00DF494F" w:rsidRDefault="00D62714" w:rsidP="00D62714">
      <w:pPr>
        <w:pStyle w:val="SingleTxtG"/>
      </w:pPr>
      <w:r w:rsidRPr="00D62714">
        <w:tab/>
      </w:r>
      <w:r>
        <w:t>f)</w:t>
      </w:r>
      <w:r>
        <w:tab/>
        <w:t>Конвенцию 1997 года о частных агентствах занятости (№</w:t>
      </w:r>
      <w:r w:rsidR="00E03239">
        <w:t xml:space="preserve"> </w:t>
      </w:r>
      <w:r>
        <w:t>181);</w:t>
      </w:r>
    </w:p>
    <w:p w14:paraId="3F31C394" w14:textId="59F775BB" w:rsidR="00D62714" w:rsidRPr="00DF494F" w:rsidRDefault="00D62714" w:rsidP="00D62714">
      <w:pPr>
        <w:pStyle w:val="SingleTxtG"/>
      </w:pPr>
      <w:r w:rsidRPr="00D62714">
        <w:tab/>
      </w:r>
      <w:r>
        <w:t xml:space="preserve">g) </w:t>
      </w:r>
      <w:r>
        <w:tab/>
        <w:t>Конвенцию 1970 года об установлении минимальной заработной платы (№ 131);</w:t>
      </w:r>
    </w:p>
    <w:p w14:paraId="7328C952" w14:textId="196EDB14" w:rsidR="00D62714" w:rsidRPr="00DF494F" w:rsidRDefault="00CF00A3" w:rsidP="00D62714">
      <w:pPr>
        <w:pStyle w:val="SingleTxtG"/>
      </w:pPr>
      <w:r w:rsidRPr="00656E61">
        <w:tab/>
      </w:r>
      <w:r w:rsidR="00D62714">
        <w:t>h)</w:t>
      </w:r>
      <w:r w:rsidR="00D62714">
        <w:tab/>
        <w:t>Конвенцию 1996 года о продолжительности рабочего времени моряков и укомплектовании судов экипажами (№ 180);</w:t>
      </w:r>
    </w:p>
    <w:p w14:paraId="7EC056B5" w14:textId="4CD73CCC" w:rsidR="00D62714" w:rsidRPr="00DF494F" w:rsidRDefault="00CF00A3" w:rsidP="00D62714">
      <w:pPr>
        <w:pStyle w:val="SingleTxtG"/>
      </w:pPr>
      <w:r w:rsidRPr="00656E61">
        <w:tab/>
      </w:r>
      <w:r w:rsidR="00D62714">
        <w:t>i)</w:t>
      </w:r>
      <w:r w:rsidR="00D62714">
        <w:tab/>
        <w:t>Конвенцию 1975 года о трудящихся-мигрантах (дополнительные положения) (№ 143);</w:t>
      </w:r>
    </w:p>
    <w:p w14:paraId="33CB4AC7" w14:textId="6CB46061" w:rsidR="00D62714" w:rsidRPr="00DF494F" w:rsidRDefault="00CF00A3" w:rsidP="00D62714">
      <w:pPr>
        <w:pStyle w:val="SingleTxtG"/>
      </w:pPr>
      <w:r w:rsidRPr="00656E61">
        <w:tab/>
      </w:r>
      <w:r w:rsidR="00D62714">
        <w:t>j)</w:t>
      </w:r>
      <w:r w:rsidR="00D62714">
        <w:tab/>
        <w:t xml:space="preserve">Конвенцию 1919 года о ночном труде подростков в промышленности </w:t>
      </w:r>
      <w:r w:rsidRPr="00656E61">
        <w:br/>
      </w:r>
      <w:r w:rsidR="00D62714">
        <w:t>(№ 6).</w:t>
      </w:r>
    </w:p>
    <w:p w14:paraId="190072DC" w14:textId="77777777" w:rsidR="00D62714" w:rsidRPr="00DF494F" w:rsidRDefault="00D62714" w:rsidP="00D62714">
      <w:pPr>
        <w:pStyle w:val="SingleTxtG"/>
      </w:pPr>
      <w:r>
        <w:t>17.</w:t>
      </w:r>
      <w:r>
        <w:tab/>
      </w:r>
      <w:r>
        <w:rPr>
          <w:b/>
          <w:bCs/>
        </w:rPr>
        <w:t>Комитет рекомендует государству-участнику как можно скорее ратифицировать вышеупомянутые договоры или присоединиться к ним.</w:t>
      </w:r>
    </w:p>
    <w:p w14:paraId="41432F19" w14:textId="77777777" w:rsidR="00D62714" w:rsidRPr="00DF494F" w:rsidRDefault="00D62714" w:rsidP="00D62714">
      <w:pPr>
        <w:pStyle w:val="H23G"/>
        <w:rPr>
          <w:b w:val="0"/>
        </w:rPr>
      </w:pPr>
      <w:r>
        <w:tab/>
      </w:r>
      <w:r>
        <w:tab/>
      </w:r>
      <w:r>
        <w:rPr>
          <w:bCs/>
        </w:rPr>
        <w:t>Независимый мониторинг</w:t>
      </w:r>
    </w:p>
    <w:p w14:paraId="4972AF5E" w14:textId="77777777" w:rsidR="00D62714" w:rsidRPr="00DF494F" w:rsidRDefault="00D62714" w:rsidP="00D62714">
      <w:pPr>
        <w:pStyle w:val="SingleTxtG"/>
      </w:pPr>
      <w:r>
        <w:t>18.</w:t>
      </w:r>
      <w:r>
        <w:tab/>
        <w:t xml:space="preserve">Государство-участник заслуживает высокой оценки за создание Комиссии по правам человека Сейшельских Островов, особенно за содержание ее мандата, который охватывает мониторинг всех договоров по правам человека, включая Конвенцию. Вместе с тем Комитет обеспокоен тем, что Комиссия не аккредитована в соответствии </w:t>
      </w:r>
      <w:r>
        <w:lastRenderedPageBreak/>
        <w:t>с международными стандартами, такими как принципы, касающиеся статуса национальных учреждений, занимающихся поощрением и защитой прав человека (Парижские принципы), хотя его обнадеживают сообщения государства-участника о том, что планы по аккредитации Комиссии осуществляются. Комитет считает, что государству-участнику важно согласовать мандаты Управления омбудсмена и Комиссии по правам человека Сейшельских Островов. Комитет обеспокоен также вопросом мониторинга мест содержания под стражей и Международной торговой зоны Сейшельских Островов.</w:t>
      </w:r>
    </w:p>
    <w:p w14:paraId="4FBE8875" w14:textId="6C0CC8C4" w:rsidR="00D62714" w:rsidRPr="00DF494F" w:rsidRDefault="00D62714" w:rsidP="00D62714">
      <w:pPr>
        <w:pStyle w:val="SingleTxtG"/>
      </w:pPr>
      <w:r>
        <w:t>19.</w:t>
      </w:r>
      <w:r>
        <w:tab/>
        <w:t xml:space="preserve">Комитет признает трудности, с которыми сталкивается государство-участник при изыскании ресурсов для Комиссии по правам человека Сейшельских Островов, </w:t>
      </w:r>
      <w:r w:rsidR="00CF00A3" w:rsidRPr="00656E61">
        <w:br/>
      </w:r>
      <w:r>
        <w:t xml:space="preserve">в которой только один сотрудник работает в подразделении по мониторингу, контролирующем осуществление и соблюдение всех девяти основных договоров Организации Объединенных Наций по правам человека, включая Конвенцию. </w:t>
      </w:r>
      <w:r w:rsidR="00CF00A3" w:rsidRPr="00656E61">
        <w:br/>
      </w:r>
      <w:r>
        <w:t>В подразделении по вопросам образования и подготовки кадров также всего один сотрудник, который занимается разработкой, проведением и координацией программ информирования и просвещения общественности. Программы обучения по правам трудящихся-мигрантов и членов их семей, а также конкретно по Конвенции не проводятся.</w:t>
      </w:r>
    </w:p>
    <w:p w14:paraId="5B85CC24" w14:textId="77777777" w:rsidR="00D62714" w:rsidRPr="00DF494F" w:rsidRDefault="00D62714" w:rsidP="00D62714">
      <w:pPr>
        <w:pStyle w:val="SingleTxtG"/>
      </w:pPr>
      <w:r>
        <w:t>20.</w:t>
      </w:r>
      <w:r>
        <w:tab/>
      </w:r>
      <w:r>
        <w:rPr>
          <w:b/>
          <w:bCs/>
        </w:rPr>
        <w:t>Комитет рекомендует государству-участнику:</w:t>
      </w:r>
    </w:p>
    <w:p w14:paraId="36F5608A" w14:textId="417F065B" w:rsidR="00D62714" w:rsidRPr="00CF00A3" w:rsidRDefault="00CF00A3" w:rsidP="00D62714">
      <w:pPr>
        <w:pStyle w:val="SingleTxtG"/>
        <w:rPr>
          <w:b/>
          <w:bCs/>
        </w:rPr>
      </w:pPr>
      <w:r w:rsidRPr="00656E61">
        <w:rPr>
          <w:b/>
          <w:bCs/>
        </w:rPr>
        <w:tab/>
      </w:r>
      <w:r w:rsidR="00D62714" w:rsidRPr="00CF00A3">
        <w:rPr>
          <w:b/>
          <w:bCs/>
        </w:rPr>
        <w:t>a)</w:t>
      </w:r>
      <w:r w:rsidR="00D62714" w:rsidRPr="00CF00A3">
        <w:rPr>
          <w:b/>
          <w:bCs/>
        </w:rPr>
        <w:tab/>
        <w:t>укрепить и обеспечить Комиссию по правам человека Сейшельских Островов финансовыми и людскими ресурсами, чтобы она могла эффективно выполнять свой мандат, и обеспечить скорейшее получение ею аккредитации в Глобальном альянсе национальных правозащитных учреждений, чтобы привести ее в соответствие с международными стандартами и добиться ее полной независимости; важно также согласовать мандат Комиссии с мандатом Управления омбудсмена;</w:t>
      </w:r>
    </w:p>
    <w:p w14:paraId="7E855157" w14:textId="4123B457" w:rsidR="00D62714" w:rsidRPr="00DF494F" w:rsidRDefault="00CF00A3" w:rsidP="00D62714">
      <w:pPr>
        <w:pStyle w:val="SingleTxtG"/>
      </w:pPr>
      <w:r w:rsidRPr="00656E61">
        <w:rPr>
          <w:b/>
          <w:bCs/>
        </w:rPr>
        <w:tab/>
      </w:r>
      <w:r w:rsidR="00D62714" w:rsidRPr="00CF00A3">
        <w:rPr>
          <w:b/>
          <w:bCs/>
        </w:rPr>
        <w:t>b)</w:t>
      </w:r>
      <w:r w:rsidR="00D62714" w:rsidRPr="00CF00A3">
        <w:rPr>
          <w:b/>
          <w:bCs/>
        </w:rPr>
        <w:tab/>
        <w:t>предоставить Комиссии по правам человека Сейшельских Островов беспрепятственный</w:t>
      </w:r>
      <w:r w:rsidR="00D62714">
        <w:rPr>
          <w:b/>
          <w:bCs/>
        </w:rPr>
        <w:t xml:space="preserve"> доступ к местам содержания под стражей, включая места содержания лиц без права на въезд, и Международной торговой зоне Сейшельских Островов, чтобы Комиссия могла выполнять свои функции независимо и беспристрастно.</w:t>
      </w:r>
    </w:p>
    <w:p w14:paraId="5B8E742F" w14:textId="77777777" w:rsidR="00D62714" w:rsidRPr="00DF494F" w:rsidRDefault="00D62714" w:rsidP="00D62714">
      <w:pPr>
        <w:pStyle w:val="H23G"/>
      </w:pPr>
      <w:r>
        <w:tab/>
      </w:r>
      <w:r>
        <w:tab/>
      </w:r>
      <w:r>
        <w:rPr>
          <w:bCs/>
        </w:rPr>
        <w:t>Сбор данных</w:t>
      </w:r>
    </w:p>
    <w:p w14:paraId="030C1967" w14:textId="77777777" w:rsidR="00D62714" w:rsidRPr="00DF494F" w:rsidRDefault="00D62714" w:rsidP="00D62714">
      <w:pPr>
        <w:pStyle w:val="SingleTxtG"/>
      </w:pPr>
      <w:r>
        <w:t>21.</w:t>
      </w:r>
      <w:r>
        <w:tab/>
        <w:t>Комитет с удовлетворением отмечает шаги, предпринятые Сейшельскими Островами для наращивания потенциала соответствующих учреждений в области сбора данных о миграции. Вместе с тем он обращает внимание на то, что Сейшельские Острова сталкиваются с рядом проблем в области сбора и использования данных, связанных с миграцией. В настоящее время отсутствуют достаточные данные для оценки потребностей рынка труда или тенденций миграции, что затрудняет распределение трудовых мигрантов по областям, где они могли бы наиболее эффективно решить проблему нехватки рабочей силы.</w:t>
      </w:r>
    </w:p>
    <w:p w14:paraId="02372E3B" w14:textId="77777777" w:rsidR="00D62714" w:rsidRPr="00DF494F" w:rsidRDefault="00D62714" w:rsidP="00D62714">
      <w:pPr>
        <w:pStyle w:val="SingleTxtG"/>
      </w:pPr>
      <w:r>
        <w:t>22.</w:t>
      </w:r>
      <w:r>
        <w:tab/>
        <w:t>Кроме того, Комитет признает усилия государства-участника, в том числе в рамках национальной переписи населения и оценки данных о миграции на Сейшельских Островах (2023 год), по сбору всеобъемлющих данных о миграции, включая количественные и статистические данные о трудящихся-мигрантах с неурегулированным статусом. Однако в настоящее время известны лишь приблизительные цифры.</w:t>
      </w:r>
    </w:p>
    <w:p w14:paraId="19F54E8D" w14:textId="77777777" w:rsidR="00D62714" w:rsidRPr="00DF494F" w:rsidRDefault="00D62714" w:rsidP="00D62714">
      <w:pPr>
        <w:pStyle w:val="SingleTxtG"/>
      </w:pPr>
      <w:r>
        <w:t>23.</w:t>
      </w:r>
      <w:r>
        <w:tab/>
      </w:r>
      <w:r>
        <w:rPr>
          <w:b/>
          <w:bCs/>
        </w:rPr>
        <w:t>Комитет рекомендует Статистическому бюро Сейшельских Островов вести сбор всеобъемлющих данных как о тенденциях на рынке труда, так и о миграции, которые должны охватывать все аспекты Конвенции.</w:t>
      </w:r>
      <w:r>
        <w:t xml:space="preserve"> </w:t>
      </w:r>
      <w:r>
        <w:rPr>
          <w:b/>
          <w:bCs/>
        </w:rPr>
        <w:t>В частности, Комитет рекомендует вести сбор данных о трудящихся-мигрантах с неурегулированным статусом в разбивке по полу, возрасту, инвалидности и гражданству, а также дополнительно дезагрегировать данные о лицах, живущих с инвалидностью, по полу, возрасту и гражданству.</w:t>
      </w:r>
    </w:p>
    <w:p w14:paraId="72D33BC6" w14:textId="77777777" w:rsidR="00D62714" w:rsidRPr="00DF494F" w:rsidRDefault="00D62714" w:rsidP="00D62714">
      <w:pPr>
        <w:pStyle w:val="H23G"/>
      </w:pPr>
      <w:r>
        <w:rPr>
          <w:bCs/>
        </w:rPr>
        <w:lastRenderedPageBreak/>
        <w:tab/>
        <w:t>2.</w:t>
      </w:r>
      <w:r>
        <w:tab/>
      </w:r>
      <w:r>
        <w:rPr>
          <w:bCs/>
        </w:rPr>
        <w:t>Общие принципы (статьи 7 и 83)</w:t>
      </w:r>
    </w:p>
    <w:p w14:paraId="2CA91B3A" w14:textId="77777777" w:rsidR="00D62714" w:rsidRPr="00DF494F" w:rsidRDefault="00D62714" w:rsidP="00D62714">
      <w:pPr>
        <w:pStyle w:val="H23G"/>
      </w:pPr>
      <w:r>
        <w:tab/>
      </w:r>
      <w:r>
        <w:tab/>
      </w:r>
      <w:r>
        <w:rPr>
          <w:bCs/>
        </w:rPr>
        <w:t>Недискриминация</w:t>
      </w:r>
    </w:p>
    <w:p w14:paraId="6E8650EA" w14:textId="77777777" w:rsidR="00D62714" w:rsidRPr="00DF494F" w:rsidRDefault="00D62714" w:rsidP="00D62714">
      <w:pPr>
        <w:pStyle w:val="SingleTxtG"/>
      </w:pPr>
      <w:r>
        <w:t>24.</w:t>
      </w:r>
      <w:r>
        <w:tab/>
        <w:t>Комитет обеспокоен тем, что мигранты могут не иметь полного доступа к льготам на рабочем месте, включая социальную защиту, хотя государство-участник</w:t>
      </w:r>
      <w:r w:rsidRPr="008243D7">
        <w:t xml:space="preserve"> </w:t>
      </w:r>
      <w:r>
        <w:t>и сообщило, что этот вопрос решается через предложение о распространении социальной защиты на мигрантов и предложение о пенсионном обеспечении мигрантов.</w:t>
      </w:r>
    </w:p>
    <w:p w14:paraId="31DB20D6" w14:textId="77777777" w:rsidR="00D62714" w:rsidRPr="00DF494F" w:rsidRDefault="00D62714" w:rsidP="00D62714">
      <w:pPr>
        <w:pStyle w:val="SingleTxtG"/>
      </w:pPr>
      <w:r>
        <w:t>25.</w:t>
      </w:r>
      <w:r>
        <w:tab/>
        <w:t>Комитет понимает, что, несмотря на недавнее соглашение о статусе архипелага Чагос, объявленного суверенной частью Маврикия, в этом соглашении</w:t>
      </w:r>
      <w:r w:rsidRPr="008243D7">
        <w:t xml:space="preserve"> </w:t>
      </w:r>
      <w:r>
        <w:t>выходцы с архипелага Чагос, проживающие на Сейшельских Островах, не признаны в качестве граждан, и отмечает, что Сейшельские Острова оказывают помощь выходцам с архипелага Чагос, проживающим на Сейшельских Островах и желающим получить маврикийское гражданство, в урегулировании их статуса. Тем не менее Комитет обеспокоен тем, что в промежуточный период выходцы с архипелага Чагос в государстве-участнике находятся в состоянии безгражданства.</w:t>
      </w:r>
    </w:p>
    <w:p w14:paraId="3E878716" w14:textId="77777777" w:rsidR="00D62714" w:rsidRPr="00DF494F" w:rsidRDefault="00D62714" w:rsidP="00D62714">
      <w:pPr>
        <w:pStyle w:val="SingleTxtG"/>
      </w:pPr>
      <w:r>
        <w:t>26.</w:t>
      </w:r>
      <w:r>
        <w:tab/>
      </w:r>
      <w:r>
        <w:rPr>
          <w:b/>
          <w:bCs/>
        </w:rPr>
        <w:t>Комитет рекомендует государству-участнику обеспечить полное пользование трудящимися-мигрантами и членами их семей льготами, предоставляемыми работодателем, включая социальную защиту, сопоставимыми с теми, которыми обеспечены граждане Сейшельских Островов.</w:t>
      </w:r>
    </w:p>
    <w:p w14:paraId="70562C8F" w14:textId="77777777" w:rsidR="00D62714" w:rsidRPr="00DF494F" w:rsidRDefault="00D62714" w:rsidP="00D62714">
      <w:pPr>
        <w:pStyle w:val="SingleTxtG"/>
      </w:pPr>
      <w:r>
        <w:t>27.</w:t>
      </w:r>
      <w:r>
        <w:tab/>
      </w:r>
      <w:r>
        <w:rPr>
          <w:b/>
          <w:bCs/>
        </w:rPr>
        <w:t>Комитет ссылается далее на предыдущую рекомендацию Комитета против пыток</w:t>
      </w:r>
      <w:r w:rsidRPr="00C77523">
        <w:rPr>
          <w:rStyle w:val="aa"/>
        </w:rPr>
        <w:footnoteReference w:id="7"/>
      </w:r>
      <w:r>
        <w:rPr>
          <w:b/>
          <w:bCs/>
        </w:rPr>
        <w:t xml:space="preserve"> и рекомендует государству-участнику ускорить процесс содействия получению маврикийского гражданства выходцами с архипелага Чагос, проживающими в государстве-участнике, и эффективно решить проблему отсутствия у них гражданства.</w:t>
      </w:r>
    </w:p>
    <w:p w14:paraId="34F8546C" w14:textId="77777777" w:rsidR="00D62714" w:rsidRPr="00DF494F" w:rsidRDefault="00D62714" w:rsidP="00D62714">
      <w:pPr>
        <w:pStyle w:val="H23G"/>
      </w:pPr>
      <w:r>
        <w:rPr>
          <w:bCs/>
        </w:rPr>
        <w:tab/>
        <w:t>3.</w:t>
      </w:r>
      <w:r>
        <w:tab/>
      </w:r>
      <w:r>
        <w:rPr>
          <w:bCs/>
        </w:rPr>
        <w:t>Права человека всех трудящихся-мигрантов и членов их семей (статьи 8–35)</w:t>
      </w:r>
    </w:p>
    <w:p w14:paraId="35CB916C" w14:textId="77777777" w:rsidR="00D62714" w:rsidRPr="00DF494F" w:rsidRDefault="00D62714" w:rsidP="00D62714">
      <w:pPr>
        <w:pStyle w:val="H23G"/>
      </w:pPr>
      <w:bookmarkStart w:id="0" w:name="_Hlk167844217"/>
      <w:r>
        <w:tab/>
      </w:r>
      <w:r>
        <w:tab/>
      </w:r>
      <w:r>
        <w:rPr>
          <w:bCs/>
        </w:rPr>
        <w:t>Высылка (статья 22)</w:t>
      </w:r>
      <w:bookmarkEnd w:id="0"/>
    </w:p>
    <w:p w14:paraId="5D969C12" w14:textId="77777777" w:rsidR="00D62714" w:rsidRPr="00DF494F" w:rsidRDefault="00D62714" w:rsidP="00D62714">
      <w:pPr>
        <w:pStyle w:val="SingleTxtG"/>
      </w:pPr>
      <w:r>
        <w:t>28.</w:t>
      </w:r>
      <w:r>
        <w:tab/>
        <w:t>Комитет понимает, что в настоящее время существует мало средств, с помощью которых государство-участник может наказывать виновных в несоблюдении надлежащей правовой процедуры высылки. Комитет обеспокоен отсутствием эффективных правоприменительных мер в отношении работодателей, нарушающих иммиграционные процедуры, особенно длительными сроками выявления рецидивистов, что отчасти объясняется нехваткой людских ресурсов и отсутствием централизованной базы данных для обмена информацией между иммиграционными органами и службами занятости. В результате работодатели часто получают разрешение на работу, несмотря на неуплаченные взносы или доказательства необоснованного увольнения своих бывших работников-мигрантов.</w:t>
      </w:r>
    </w:p>
    <w:p w14:paraId="75EE5573" w14:textId="11CA3AEF" w:rsidR="00D62714" w:rsidRPr="00DF494F" w:rsidRDefault="00D62714" w:rsidP="00D62714">
      <w:pPr>
        <w:pStyle w:val="SingleTxtG"/>
      </w:pPr>
      <w:r>
        <w:t>29.</w:t>
      </w:r>
      <w:r>
        <w:tab/>
      </w:r>
      <w:r>
        <w:rPr>
          <w:b/>
          <w:bCs/>
        </w:rPr>
        <w:t xml:space="preserve">Принимая к сведению отсутствие эффективных правоприменительных мер, Комитет рекомендует государству-участнику принять меры по обеспечению того, чтобы в ходе разбирательств, связанных с иммиграцией, включая процедуры высылки, трудящимся-мигрантам и членам их семей, в частности тем, кто не имеет урегулированного статуса, обеспечивалось надлежащее разбирательство, чтобы их высылка с территории государства-участника осуществлялась только на основании решения, принятого компетентным органом в соответствии с процедурой, установленной законом и отвечающей положениям Конвенции, чтобы соответствующие решения могли быть пересмотрены в апелляционном порядке, чтобы средства правовой защиты имели приостанавливающее действие, в том числе, но не ограничиваясь этим, </w:t>
      </w:r>
      <w:r w:rsidR="00CF00A3" w:rsidRPr="00656E61">
        <w:rPr>
          <w:b/>
          <w:bCs/>
        </w:rPr>
        <w:br/>
      </w:r>
      <w:r>
        <w:rPr>
          <w:b/>
          <w:bCs/>
        </w:rPr>
        <w:t>в рамках разбирательства на основании Указа об иммиграции 1981 года, и чтобы такие разбирательства проводились в судах общей юрисдикции.</w:t>
      </w:r>
    </w:p>
    <w:p w14:paraId="535100BB" w14:textId="77777777" w:rsidR="00D62714" w:rsidRPr="00DF494F" w:rsidRDefault="00D62714" w:rsidP="00D62714">
      <w:pPr>
        <w:pStyle w:val="H23G"/>
      </w:pPr>
      <w:r>
        <w:lastRenderedPageBreak/>
        <w:tab/>
      </w:r>
      <w:r>
        <w:tab/>
      </w:r>
      <w:r>
        <w:rPr>
          <w:bCs/>
        </w:rPr>
        <w:t>Надлежащая правовая процедура, содержание под стражей и равенство перед законом (статьи 16, 17 и 18)</w:t>
      </w:r>
    </w:p>
    <w:p w14:paraId="6595EBC2" w14:textId="77777777" w:rsidR="00D62714" w:rsidRPr="00DF494F" w:rsidRDefault="00D62714" w:rsidP="00D62714">
      <w:pPr>
        <w:pStyle w:val="SingleTxtG"/>
      </w:pPr>
      <w:r>
        <w:t>30.</w:t>
      </w:r>
      <w:r>
        <w:tab/>
        <w:t>Комитет обеспокоен сообщениями о том, что при пересечении границы людей отправляют обратно, иногда немедленно или менее чем в течение 48 часов, несмотря на выраженное ими намерение просить убежища, включая тех, кто prima facie может считаться имеющим право на убежище на основании страны происхождения. Государство-участник проинформировало Комитет о шести таких случаях в 2024 году и указало в качестве препятствия на отсутствие во внутренней правовой системе Конвенции о статусе беженцев 1951 года и Протокола 1967 года о статусе беженцев. Тем не менее Комитет по-прежнему обеспокоен тем, что государство-участник не выполняет свои обязательства в отношении лиц, ищущих международной защиты.</w:t>
      </w:r>
    </w:p>
    <w:p w14:paraId="43826BE9" w14:textId="77777777" w:rsidR="00D62714" w:rsidRPr="00DF494F" w:rsidRDefault="00D62714" w:rsidP="00D62714">
      <w:pPr>
        <w:pStyle w:val="SingleTxtG"/>
        <w:keepNext/>
        <w:ind w:left="1138" w:right="1138"/>
        <w:rPr>
          <w:b/>
          <w:bCs/>
        </w:rPr>
      </w:pPr>
      <w:r>
        <w:t>31.</w:t>
      </w:r>
      <w:r>
        <w:tab/>
      </w:r>
      <w:r>
        <w:rPr>
          <w:b/>
          <w:bCs/>
        </w:rPr>
        <w:t>Комитет рекомендует государству-участнику:</w:t>
      </w:r>
    </w:p>
    <w:p w14:paraId="7D729BD6" w14:textId="1643A7B0" w:rsidR="00D62714" w:rsidRPr="00CF00A3" w:rsidRDefault="00CF00A3" w:rsidP="00D62714">
      <w:pPr>
        <w:pStyle w:val="SingleTxtG"/>
        <w:rPr>
          <w:b/>
          <w:bCs/>
        </w:rPr>
      </w:pPr>
      <w:r w:rsidRPr="00656E61">
        <w:rPr>
          <w:b/>
          <w:bCs/>
        </w:rPr>
        <w:tab/>
      </w:r>
      <w:r w:rsidR="00D62714" w:rsidRPr="00CF00A3">
        <w:rPr>
          <w:b/>
          <w:bCs/>
        </w:rPr>
        <w:t>a)</w:t>
      </w:r>
      <w:r w:rsidR="00D62714" w:rsidRPr="00CF00A3">
        <w:rPr>
          <w:b/>
          <w:bCs/>
        </w:rPr>
        <w:tab/>
        <w:t xml:space="preserve">обеспечить наличие гарантий надлежащей правовой процедуры, включая доступ к адвокату и переводчику, в ситуациях расследования, задержания, заключения под стражу или высылки мигрантов, включая трудящихся-мигрантов и членов их семей, а также потенциальных просителей убежища, за правонарушения, связанные с иммиграцией, в том числе имевшие место после высылки; центральное место в таких процессах и соответствующих решениях должно отводиться принципам </w:t>
      </w:r>
      <w:proofErr w:type="spellStart"/>
      <w:r w:rsidR="00D62714" w:rsidRPr="00CF00A3">
        <w:rPr>
          <w:b/>
          <w:bCs/>
        </w:rPr>
        <w:t>невыдворения</w:t>
      </w:r>
      <w:proofErr w:type="spellEnd"/>
      <w:r w:rsidR="00D62714" w:rsidRPr="00CF00A3">
        <w:rPr>
          <w:b/>
          <w:bCs/>
        </w:rPr>
        <w:t xml:space="preserve"> и запрету произвольной и коллективной высылки;</w:t>
      </w:r>
      <w:bookmarkStart w:id="1" w:name="_Hlk184412889"/>
      <w:bookmarkStart w:id="2" w:name="_Hlk184412854"/>
    </w:p>
    <w:bookmarkEnd w:id="1"/>
    <w:p w14:paraId="30D16AE9" w14:textId="0D8B0226" w:rsidR="00D62714" w:rsidRPr="00CF00A3" w:rsidRDefault="00CF00A3" w:rsidP="00D62714">
      <w:pPr>
        <w:pStyle w:val="SingleTxtG"/>
        <w:rPr>
          <w:b/>
          <w:bCs/>
        </w:rPr>
      </w:pPr>
      <w:r w:rsidRPr="00656E61">
        <w:rPr>
          <w:b/>
          <w:bCs/>
        </w:rPr>
        <w:tab/>
      </w:r>
      <w:r w:rsidR="00D62714" w:rsidRPr="00CF00A3">
        <w:rPr>
          <w:b/>
          <w:bCs/>
        </w:rPr>
        <w:t>b)</w:t>
      </w:r>
      <w:r w:rsidR="00D62714" w:rsidRPr="00CF00A3">
        <w:rPr>
          <w:b/>
          <w:bCs/>
        </w:rPr>
        <w:tab/>
        <w:t xml:space="preserve">гарантировать своевременную регистрацию и надлежащее рассмотрение ходатайств о предоставлении убежища, поданных трудящимися-мигрантами и членами их семей, независимо от их миграционного статуса, </w:t>
      </w:r>
      <w:r w:rsidRPr="00656E61">
        <w:rPr>
          <w:b/>
          <w:bCs/>
        </w:rPr>
        <w:br/>
      </w:r>
      <w:r w:rsidR="00D62714" w:rsidRPr="00CF00A3">
        <w:rPr>
          <w:b/>
          <w:bCs/>
        </w:rPr>
        <w:t>а также соблюдение права на обжалование;</w:t>
      </w:r>
    </w:p>
    <w:p w14:paraId="6CFF4462" w14:textId="4B1F5EF7" w:rsidR="00D62714" w:rsidRPr="00DF494F" w:rsidRDefault="00CF00A3" w:rsidP="00D62714">
      <w:pPr>
        <w:pStyle w:val="SingleTxtG"/>
        <w:rPr>
          <w:bCs/>
        </w:rPr>
      </w:pPr>
      <w:r w:rsidRPr="00656E61">
        <w:rPr>
          <w:b/>
          <w:bCs/>
        </w:rPr>
        <w:tab/>
      </w:r>
      <w:r w:rsidR="00D62714" w:rsidRPr="00CF00A3">
        <w:rPr>
          <w:b/>
          <w:bCs/>
        </w:rPr>
        <w:t>c)</w:t>
      </w:r>
      <w:r w:rsidR="00D62714" w:rsidRPr="00CF00A3">
        <w:rPr>
          <w:b/>
          <w:bCs/>
        </w:rPr>
        <w:tab/>
      </w:r>
      <w:r w:rsidR="00D62714">
        <w:rPr>
          <w:b/>
          <w:bCs/>
        </w:rPr>
        <w:t>создать правовую или политическую основу для предоставления убежища или статуса беженца и обеспечения защиты беженцев.</w:t>
      </w:r>
    </w:p>
    <w:p w14:paraId="17EF5858" w14:textId="77777777" w:rsidR="00D62714" w:rsidRPr="00DF494F" w:rsidRDefault="00D62714" w:rsidP="00D62714">
      <w:pPr>
        <w:pStyle w:val="H23G"/>
      </w:pPr>
      <w:bookmarkStart w:id="3" w:name="_Hlk184044875"/>
      <w:bookmarkEnd w:id="2"/>
      <w:r>
        <w:tab/>
      </w:r>
      <w:r>
        <w:tab/>
      </w:r>
      <w:r>
        <w:tab/>
      </w:r>
      <w:r>
        <w:rPr>
          <w:bCs/>
        </w:rPr>
        <w:t>Трудовая эксплуатация и другие формы ненадлежащего обращения</w:t>
      </w:r>
    </w:p>
    <w:p w14:paraId="541CDB72" w14:textId="77777777" w:rsidR="00D62714" w:rsidRPr="00DF494F" w:rsidRDefault="00D62714" w:rsidP="00D62714">
      <w:pPr>
        <w:pStyle w:val="SingleTxtG"/>
      </w:pPr>
      <w:r>
        <w:t>32.</w:t>
      </w:r>
      <w:r>
        <w:tab/>
        <w:t>Комитет отмечает, что на Международную торговую зону Сейшельских Островов не распространяется действие Закона Сейшельских Островов о занятости (2018 год), поскольку она относится к ведению Министерства финансов, и что именно Управление финансовых услуг Министерства проводит там трудовые инспекции. Тем не менее Комитет обеспокоен количеством сообщений о низком уровне соблюдения трудовых стандартов, обязательств по уплате налогов на имущество и предпринимательского и иммиграционного законодательства, а также информацией о конфискации паспортов, заниженной заработной плате и ограничениях на передвижение в нерабочее время.</w:t>
      </w:r>
    </w:p>
    <w:p w14:paraId="721B7615" w14:textId="77777777" w:rsidR="00D62714" w:rsidRPr="00DF494F" w:rsidRDefault="00D62714" w:rsidP="00D62714">
      <w:pPr>
        <w:pStyle w:val="SingleTxtG"/>
        <w:rPr>
          <w:bCs/>
        </w:rPr>
      </w:pPr>
      <w:r>
        <w:t>33.</w:t>
      </w:r>
      <w:r>
        <w:tab/>
      </w:r>
      <w:r>
        <w:rPr>
          <w:b/>
          <w:bCs/>
        </w:rPr>
        <w:t>Высоко оценивая тот факт, что государство-участник проводит несколько обзоров законодательных положений, охватываемых Конвенцией, включая Закон о занятости (2018 год) и Указ об иммиграции (1981 год), Комитет рекомендует государству-участнику:</w:t>
      </w:r>
    </w:p>
    <w:p w14:paraId="228E0362" w14:textId="08965A67" w:rsidR="00D62714" w:rsidRPr="00CF00A3" w:rsidRDefault="00CF00A3" w:rsidP="00D62714">
      <w:pPr>
        <w:pStyle w:val="SingleTxtG"/>
        <w:rPr>
          <w:b/>
          <w:bCs/>
        </w:rPr>
      </w:pPr>
      <w:r w:rsidRPr="00656E61">
        <w:rPr>
          <w:b/>
          <w:bCs/>
        </w:rPr>
        <w:tab/>
      </w:r>
      <w:r w:rsidR="00D62714" w:rsidRPr="00CF00A3">
        <w:rPr>
          <w:b/>
          <w:bCs/>
        </w:rPr>
        <w:t>a)</w:t>
      </w:r>
      <w:r w:rsidR="00D62714" w:rsidRPr="00CF00A3">
        <w:rPr>
          <w:b/>
          <w:bCs/>
        </w:rPr>
        <w:tab/>
        <w:t>проводить плановые и регулярные проверки условий труда трудящихся-мигрантов в Международной торговой зоне Сейшельских Островов;</w:t>
      </w:r>
    </w:p>
    <w:p w14:paraId="3D2494E7" w14:textId="0B16DBA4" w:rsidR="00D62714" w:rsidRPr="00CF00A3" w:rsidRDefault="00CF00A3" w:rsidP="00D62714">
      <w:pPr>
        <w:pStyle w:val="SingleTxtG"/>
        <w:rPr>
          <w:rFonts w:asciiTheme="majorBidi" w:hAnsiTheme="majorBidi" w:cstheme="majorBidi"/>
          <w:b/>
          <w:bCs/>
          <w:bdr w:val="none" w:sz="0" w:space="0" w:color="auto" w:frame="1"/>
        </w:rPr>
      </w:pPr>
      <w:r w:rsidRPr="00656E61">
        <w:rPr>
          <w:b/>
          <w:bCs/>
        </w:rPr>
        <w:tab/>
      </w:r>
      <w:r w:rsidR="00D62714" w:rsidRPr="00CF00A3">
        <w:rPr>
          <w:b/>
          <w:bCs/>
        </w:rPr>
        <w:t>b)</w:t>
      </w:r>
      <w:r w:rsidR="00D62714" w:rsidRPr="00CF00A3">
        <w:rPr>
          <w:b/>
          <w:bCs/>
        </w:rPr>
        <w:tab/>
        <w:t>ускорить принятие закона, запрещающего работодателям трудящихся-мигрантов удерживать их паспорта;</w:t>
      </w:r>
    </w:p>
    <w:p w14:paraId="3F7134A4" w14:textId="06F4DB3A" w:rsidR="00D62714" w:rsidRPr="00DF494F" w:rsidRDefault="00CF00A3" w:rsidP="00D62714">
      <w:pPr>
        <w:pStyle w:val="SingleTxtG"/>
        <w:rPr>
          <w:rFonts w:asciiTheme="majorBidi" w:hAnsiTheme="majorBidi" w:cstheme="majorBidi"/>
          <w:bCs/>
          <w:bdr w:val="none" w:sz="0" w:space="0" w:color="auto" w:frame="1"/>
        </w:rPr>
      </w:pPr>
      <w:r w:rsidRPr="00656E61">
        <w:rPr>
          <w:b/>
          <w:bCs/>
        </w:rPr>
        <w:tab/>
      </w:r>
      <w:r w:rsidR="00D62714" w:rsidRPr="00CF00A3">
        <w:rPr>
          <w:b/>
          <w:bCs/>
        </w:rPr>
        <w:t>c)</w:t>
      </w:r>
      <w:r w:rsidR="00D62714" w:rsidRPr="00CF00A3">
        <w:rPr>
          <w:b/>
          <w:bCs/>
        </w:rPr>
        <w:tab/>
        <w:t>обеспечить, чтобы все другие законодательные реформы соответствовали Конвенции</w:t>
      </w:r>
      <w:r w:rsidR="00D62714">
        <w:rPr>
          <w:b/>
          <w:bCs/>
        </w:rPr>
        <w:t>.</w:t>
      </w:r>
    </w:p>
    <w:p w14:paraId="74FD3F6E" w14:textId="77777777" w:rsidR="00D62714" w:rsidRPr="00DF494F" w:rsidRDefault="00D62714" w:rsidP="00D62714">
      <w:pPr>
        <w:pStyle w:val="H23G"/>
      </w:pPr>
      <w:r>
        <w:tab/>
      </w:r>
      <w:r>
        <w:tab/>
      </w:r>
      <w:r>
        <w:rPr>
          <w:bCs/>
        </w:rPr>
        <w:t>Медицинское обслуживание (статья 28)</w:t>
      </w:r>
    </w:p>
    <w:bookmarkEnd w:id="3"/>
    <w:p w14:paraId="32776695" w14:textId="41857E52" w:rsidR="00D62714" w:rsidRPr="00DF494F" w:rsidRDefault="00D62714" w:rsidP="00D62714">
      <w:pPr>
        <w:pStyle w:val="SingleTxtG"/>
      </w:pPr>
      <w:r>
        <w:t>34.</w:t>
      </w:r>
      <w:r>
        <w:tab/>
        <w:t xml:space="preserve">Комитет отмечает, что, хотя трудящиеся-мигранты, нанятые государством, имеют те же права на доступ к первичной медицинской помощи, что и граждане страны, мигранты, не работающие на государство, имеют доступ только к экстренной медицинской помощи. Неграждане, даже имеющие постоянный вид на жительство, </w:t>
      </w:r>
      <w:r w:rsidR="00CF00A3" w:rsidRPr="00656E61">
        <w:br/>
      </w:r>
      <w:r>
        <w:t xml:space="preserve">не имеют права на бесплатное медицинское обслуживание, в то время как граждане </w:t>
      </w:r>
      <w:r>
        <w:lastRenderedPageBreak/>
        <w:t xml:space="preserve">страны пользуются бесплатным здравоохранением. Кроме того, с неграждан взимается комиссия за рецепт при покупке ими лекарств. Трудящиеся-мигранты, </w:t>
      </w:r>
      <w:r w:rsidR="00CF00A3" w:rsidRPr="00656E61">
        <w:br/>
      </w:r>
      <w:r>
        <w:t>не работающие на государство, оплачивают все расходы, связанные с медицинскими услугами и продуктами. Комитет с удовлетворением оценивает полученную дополнительную информацию о том, что трудящиеся-мигранты имеют доступ к бесплатным медицинским услугам, связанным с реабилитацией наркозависимых.</w:t>
      </w:r>
    </w:p>
    <w:p w14:paraId="29A73347" w14:textId="77777777" w:rsidR="00D62714" w:rsidRPr="00DF494F" w:rsidRDefault="00D62714" w:rsidP="00D62714">
      <w:pPr>
        <w:pStyle w:val="SingleTxtG"/>
      </w:pPr>
      <w:r>
        <w:t>35.</w:t>
      </w:r>
      <w:r>
        <w:tab/>
        <w:t>Комитет положительно оценивает установленное законом требование к работодателям при размещении объявлений о вакансиях для неграждан Сейшельских Островов включать в социальный пакет медицинское страхование. Вместе с тем он сожалеет, что не существует конкретных правил, определяющих объем и степень страхового покрытия, которое должны предоставлять работодатели, а также обязательства работодателей в отношении несчастных случаев на производстве, пособий по инвалидности или лечения хронических заболеваний, включая вирус иммунодефицита человека (ВИЧ).</w:t>
      </w:r>
    </w:p>
    <w:p w14:paraId="0E66F9C5" w14:textId="77777777" w:rsidR="00D62714" w:rsidRPr="00DF494F" w:rsidRDefault="00D62714" w:rsidP="00D62714">
      <w:pPr>
        <w:pStyle w:val="SingleTxtG"/>
      </w:pPr>
      <w:r>
        <w:t>36.</w:t>
      </w:r>
      <w:r>
        <w:tab/>
      </w:r>
      <w:r>
        <w:rPr>
          <w:b/>
          <w:bCs/>
        </w:rPr>
        <w:t>Комитет рекомендует государству-участнику рассмотреть вопрос о предоставлении всем трудящимся-мигрантам и членам их семей медицинских льгот наравне с теми, которые предоставляются гражданам и мигрантам, работающим на государство, а также расширить охват предоставляемых работодателями льгот до обязательств в отношении несчастных случаев на производстве, пособий по инвалидности и лечения хронических заболеваний, включая ВИЧ.</w:t>
      </w:r>
    </w:p>
    <w:p w14:paraId="1F88BF47" w14:textId="77777777" w:rsidR="00D62714" w:rsidRPr="00DF494F" w:rsidRDefault="00D62714" w:rsidP="00D62714">
      <w:pPr>
        <w:pStyle w:val="H23G"/>
      </w:pPr>
      <w:r>
        <w:tab/>
      </w:r>
      <w:r>
        <w:tab/>
      </w:r>
      <w:r>
        <w:rPr>
          <w:bCs/>
        </w:rPr>
        <w:t>Право на вступление в профсоюзы и участие в их собраниях (статьи 26 и 40)</w:t>
      </w:r>
    </w:p>
    <w:p w14:paraId="5C1ECFEC" w14:textId="77777777" w:rsidR="00D62714" w:rsidRPr="00DF494F" w:rsidRDefault="00D62714" w:rsidP="00D62714">
      <w:pPr>
        <w:pStyle w:val="SingleTxtG"/>
      </w:pPr>
      <w:r>
        <w:t>37.</w:t>
      </w:r>
      <w:r>
        <w:tab/>
        <w:t>Несмотря на то, что Конституция и законодательство Сейшельских Островов предоставляют трудящимся (за исключением полицейских, военных, работников тюрем и пожарных) право вступать в профсоюзы и вести коллективные переговоры, Комитет обеспокоен тем, что иностранным работникам не предоставлено четко выраженное право вступать в профсоюзы.</w:t>
      </w:r>
    </w:p>
    <w:p w14:paraId="251B755D" w14:textId="77777777" w:rsidR="00D62714" w:rsidRPr="00DF494F" w:rsidRDefault="00D62714" w:rsidP="00D62714">
      <w:pPr>
        <w:pStyle w:val="SingleTxtG"/>
        <w:rPr>
          <w:b/>
          <w:bCs/>
        </w:rPr>
      </w:pPr>
      <w:r>
        <w:t>38.</w:t>
      </w:r>
      <w:r>
        <w:tab/>
      </w:r>
      <w:r>
        <w:rPr>
          <w:b/>
          <w:bCs/>
        </w:rPr>
        <w:t>Комитет рекомендует государству-участнику принять все необходимые меры для содействия осуществлению мигрантами свободы вступать в профсоюзы и участвовать в коллективных переговорах в качестве членов профсоюзов.</w:t>
      </w:r>
    </w:p>
    <w:p w14:paraId="29724874" w14:textId="77777777" w:rsidR="00D62714" w:rsidRPr="00DF494F" w:rsidRDefault="00D62714" w:rsidP="00D62714">
      <w:pPr>
        <w:pStyle w:val="H23G"/>
      </w:pPr>
      <w:bookmarkStart w:id="4" w:name="_Hlk184393721"/>
      <w:r>
        <w:tab/>
      </w:r>
      <w:r>
        <w:tab/>
      </w:r>
      <w:r>
        <w:rPr>
          <w:bCs/>
        </w:rPr>
        <w:t>Регистрация рождения и гражданство (статья 29)</w:t>
      </w:r>
    </w:p>
    <w:bookmarkEnd w:id="4"/>
    <w:p w14:paraId="2052518D" w14:textId="77777777" w:rsidR="00D62714" w:rsidRPr="00DF494F" w:rsidRDefault="00D62714" w:rsidP="00D62714">
      <w:pPr>
        <w:pStyle w:val="SingleTxtG"/>
      </w:pPr>
      <w:r>
        <w:t>39.</w:t>
      </w:r>
      <w:r>
        <w:tab/>
        <w:t xml:space="preserve">В декабре 2023 года Национальная ассамблея Сейшельских Островов одобрила законопроект о гражданстве (поправки), который вносит коррективы в условия получения гражданства путем натурализации и регистрации, в том числе за выдающиеся заслуги перед государством-участником. Несмотря на эти поправки, Комитет обеспокоен тем, что они не предусматривают никаких мер или усиления защиты детей трудящихся-мигрантов. Комитет принимает далее к сведению представленную государством-участником информацию о том, что гражданство по-прежнему предоставляется по принципу права крови (jus </w:t>
      </w:r>
      <w:proofErr w:type="spellStart"/>
      <w:r>
        <w:t>sanguinis</w:t>
      </w:r>
      <w:proofErr w:type="spellEnd"/>
      <w:r>
        <w:t>), при этом по крайней мере один из родителей должен быть гражданином Сейшельских Островов.</w:t>
      </w:r>
    </w:p>
    <w:p w14:paraId="110F45AC" w14:textId="77777777" w:rsidR="00D62714" w:rsidRPr="00DF494F" w:rsidRDefault="00D62714" w:rsidP="00D62714">
      <w:pPr>
        <w:pStyle w:val="SingleTxtG"/>
        <w:rPr>
          <w:b/>
          <w:bCs/>
        </w:rPr>
      </w:pPr>
      <w:r>
        <w:t>40.</w:t>
      </w:r>
      <w:r>
        <w:tab/>
      </w:r>
      <w:r>
        <w:rPr>
          <w:b/>
          <w:bCs/>
        </w:rPr>
        <w:t>Комитет повторяет свою предыдущую рекомендацию</w:t>
      </w:r>
      <w:r w:rsidRPr="00420C77">
        <w:rPr>
          <w:rStyle w:val="aa"/>
        </w:rPr>
        <w:footnoteReference w:id="8"/>
      </w:r>
      <w:r>
        <w:rPr>
          <w:b/>
          <w:bCs/>
        </w:rPr>
        <w:t xml:space="preserve"> государству-участнику принять надлежащие меры для обеспечения защиты детей трудящихся-мигрантов от безгражданства, включая четкую процедуру определения безгражданства.</w:t>
      </w:r>
      <w:r>
        <w:t xml:space="preserve"> </w:t>
      </w:r>
      <w:r>
        <w:rPr>
          <w:b/>
          <w:bCs/>
        </w:rPr>
        <w:t>Кроме того, он рекомендует государству-участнику ратифицировать Конвенцию о статусе апатридов 1954 года и Конвенцию о сокращении безгражданства 1961 года или присоединиться к ним.</w:t>
      </w:r>
    </w:p>
    <w:p w14:paraId="11F09AD9" w14:textId="77777777" w:rsidR="00D62714" w:rsidRPr="00DF494F" w:rsidRDefault="00D62714" w:rsidP="00D62714">
      <w:pPr>
        <w:pStyle w:val="H23G"/>
        <w:rPr>
          <w:bCs/>
        </w:rPr>
      </w:pPr>
      <w:r>
        <w:tab/>
      </w:r>
      <w:r>
        <w:tab/>
      </w:r>
      <w:r>
        <w:rPr>
          <w:bCs/>
        </w:rPr>
        <w:t>Образование (статья 30)</w:t>
      </w:r>
    </w:p>
    <w:p w14:paraId="5671359F" w14:textId="77777777" w:rsidR="00D62714" w:rsidRPr="00DF494F" w:rsidRDefault="00D62714" w:rsidP="00D62714">
      <w:pPr>
        <w:pStyle w:val="SingleTxtG"/>
      </w:pPr>
      <w:r>
        <w:t>41.</w:t>
      </w:r>
      <w:r>
        <w:tab/>
        <w:t xml:space="preserve">Принимая к сведению предоставленную государством-участником информацию о том, что на практике все мигранты и члены их семей имеют доступ к </w:t>
      </w:r>
      <w:r>
        <w:lastRenderedPageBreak/>
        <w:t>такому же образованию, как и граждане страны, в форме финансируемого государством обязательного начального и среднего образования, Комитет тем не менее обеспокоен тем, что по закону доступ к образованию на Сейшельских Островах предоставляется только гражданам страны в соответствии со статьей 33 Конституции.</w:t>
      </w:r>
    </w:p>
    <w:p w14:paraId="5022F6D8" w14:textId="77777777" w:rsidR="00D62714" w:rsidRPr="00DF494F" w:rsidRDefault="00D62714" w:rsidP="00D62714">
      <w:pPr>
        <w:pStyle w:val="SingleTxtG"/>
      </w:pPr>
      <w:r>
        <w:t>42.</w:t>
      </w:r>
      <w:r>
        <w:tab/>
      </w:r>
      <w:r>
        <w:rPr>
          <w:b/>
          <w:bCs/>
        </w:rPr>
        <w:t>Комитет повторяет свою предыдущую рекомендацию</w:t>
      </w:r>
      <w:r w:rsidRPr="0066152A">
        <w:rPr>
          <w:rStyle w:val="aa"/>
        </w:rPr>
        <w:footnoteReference w:id="9"/>
      </w:r>
      <w:r>
        <w:rPr>
          <w:b/>
          <w:bCs/>
        </w:rPr>
        <w:t xml:space="preserve"> и рекомендует государству-участнику признать право на образование всех трудящихся-мигрантов и членов их семей наравне с гражданами как в законодательстве, так и на практике.</w:t>
      </w:r>
    </w:p>
    <w:p w14:paraId="68648D64" w14:textId="77777777" w:rsidR="00D62714" w:rsidRPr="00DF494F" w:rsidRDefault="00D62714" w:rsidP="00D62714">
      <w:pPr>
        <w:pStyle w:val="H23G"/>
      </w:pPr>
      <w:r>
        <w:rPr>
          <w:bCs/>
        </w:rPr>
        <w:tab/>
        <w:t>4.</w:t>
      </w:r>
      <w:r>
        <w:tab/>
      </w:r>
      <w:r>
        <w:rPr>
          <w:bCs/>
        </w:rPr>
        <w:t>Другие права трудящихся-мигрантов и членов их семей, имеющих документы или урегулированный статус (статьи 35–56)</w:t>
      </w:r>
    </w:p>
    <w:p w14:paraId="749115C2" w14:textId="77777777" w:rsidR="00D62714" w:rsidRPr="00DF494F" w:rsidRDefault="00D62714" w:rsidP="00D62714">
      <w:pPr>
        <w:pStyle w:val="H23G"/>
      </w:pPr>
      <w:r>
        <w:tab/>
      </w:r>
      <w:r>
        <w:tab/>
      </w:r>
      <w:r>
        <w:rPr>
          <w:bCs/>
        </w:rPr>
        <w:t>Налоги (статья 48)</w:t>
      </w:r>
    </w:p>
    <w:p w14:paraId="7CFCAAE9" w14:textId="77777777" w:rsidR="00D62714" w:rsidRPr="00DF494F" w:rsidRDefault="00D62714" w:rsidP="00D62714">
      <w:pPr>
        <w:pStyle w:val="SingleTxtG"/>
      </w:pPr>
      <w:r>
        <w:t>43.</w:t>
      </w:r>
      <w:r>
        <w:tab/>
        <w:t>Комитет обеспокоен тем, что в соответствии с поправками к налоговому законодательству, принятыми в июне 2018 года, подоходный налог для трудящихся-мигрантов выше, чем для граждан страны, так как неграждане, в отличие от граждан, не могут пользоваться порогом для применения налоговых льгот. Государство-участник проинформировало Комитет о том, что неграждане также получают льготы, которых не имеют граждане. Однако Комитет считает, что налогообложение не должно использоваться как мера, которая уравновешивается льготами, предусмотренными трудовым договором, такими как бесплатное жилье и транспорт.</w:t>
      </w:r>
    </w:p>
    <w:p w14:paraId="04359B2B" w14:textId="740E35D9" w:rsidR="00D62714" w:rsidRPr="00DF494F" w:rsidRDefault="00D62714" w:rsidP="00D62714">
      <w:pPr>
        <w:pStyle w:val="SingleTxtG"/>
      </w:pPr>
      <w:r>
        <w:t>44.</w:t>
      </w:r>
      <w:r>
        <w:tab/>
      </w:r>
      <w:r>
        <w:rPr>
          <w:b/>
          <w:bCs/>
        </w:rPr>
        <w:t>Комитет рекомендует государству-участнику рассмотреть вопрос об отмене дифференцированного расч</w:t>
      </w:r>
      <w:r w:rsidR="00656E61">
        <w:rPr>
          <w:b/>
          <w:bCs/>
        </w:rPr>
        <w:t>е</w:t>
      </w:r>
      <w:r>
        <w:rPr>
          <w:b/>
          <w:bCs/>
        </w:rPr>
        <w:t>та налогов, в результате которого мигранты платят более высокие налоги, чем граждане страны, и тем самым привести закон о налогообложении в соответствие с Конвенцией.</w:t>
      </w:r>
    </w:p>
    <w:p w14:paraId="178E711A" w14:textId="77777777" w:rsidR="00D62714" w:rsidRPr="00DF494F" w:rsidRDefault="00D62714" w:rsidP="00D62714">
      <w:pPr>
        <w:pStyle w:val="H23G"/>
      </w:pPr>
      <w:r>
        <w:tab/>
      </w:r>
      <w:r>
        <w:tab/>
      </w:r>
      <w:r>
        <w:rPr>
          <w:bCs/>
        </w:rPr>
        <w:t>Разрешения на работу (статья 49)</w:t>
      </w:r>
    </w:p>
    <w:p w14:paraId="4E95B9ED" w14:textId="77777777" w:rsidR="00D62714" w:rsidRPr="00DF494F" w:rsidRDefault="00D62714" w:rsidP="00D62714">
      <w:pPr>
        <w:pStyle w:val="SingleTxtG"/>
      </w:pPr>
      <w:r>
        <w:t>45.</w:t>
      </w:r>
      <w:r>
        <w:tab/>
        <w:t>Комитет отмечает, что в рамках действующей системы выдачи разрешений на оплачиваемую трудовую деятельность трудящиеся-мигранты должны иметь поручительство работодателя для получения разрешения на въезд в страну. Приехав в страну, трудящиеся-мигранты не могут менять работодателя, а прекращение трудового договора в результате увольнения или ухода с работы влечет за собой прекращение легального миграционного статуса в стране. Комитет обеспокоен тем, что это приводит к сильной зависимости трудящихся-мигрантов от их работодателей, что, в свою очередь, может повышать уязвимость для злоупотреблений и эксплуатации. Трудящиеся-мигранты, работодатели которых не продлевают их разрешение на оплачиваемую трудовую деятельность, оказываются на нелегальном положении и сталкиваются с риском депортации и попадания в категорию «запрещенных иммигрантов». Для работодателей подобных негативных последствий не существует, и они могут продолжать нанимать на работу трудящихся-мигрантов, несмотря на несоблюдение правил оформления и использования разрешений на оплачиваемую трудовую деятельность в отношении предыдущих иностранных сотрудников.</w:t>
      </w:r>
    </w:p>
    <w:p w14:paraId="610A9DE0" w14:textId="77777777" w:rsidR="00D62714" w:rsidRPr="00DF494F" w:rsidRDefault="00D62714" w:rsidP="00D62714">
      <w:pPr>
        <w:pStyle w:val="SingleTxtG"/>
        <w:rPr>
          <w:b/>
          <w:bCs/>
        </w:rPr>
      </w:pPr>
      <w:r>
        <w:t>46.</w:t>
      </w:r>
      <w:r>
        <w:tab/>
      </w:r>
      <w:r>
        <w:rPr>
          <w:b/>
          <w:bCs/>
        </w:rPr>
        <w:t>Комитет рекомендует государству-участнику оценить эту ситуацию с целью снижения уязвимости мигрантов, обусловленной привязкой их вида на жительство к разрешению на работу.</w:t>
      </w:r>
    </w:p>
    <w:p w14:paraId="6F577FFA" w14:textId="394BF804" w:rsidR="00D62714" w:rsidRPr="00DF494F" w:rsidRDefault="00D62714" w:rsidP="00D62714">
      <w:pPr>
        <w:pStyle w:val="SingleTxtG"/>
      </w:pPr>
      <w:r>
        <w:t>47.</w:t>
      </w:r>
      <w:r>
        <w:tab/>
        <w:t xml:space="preserve">Комитет отмечает, что после многолетней эмиграции граждан Сейшельских Островов, которая стала частью истории страны, сформировалась значительная диаспора, распределившаяся по всему миру. Комитет положительно оценивает Национальную политику Сейшельских Островов в отношении диаспоры на </w:t>
      </w:r>
      <w:r w:rsidR="00CF00A3" w:rsidRPr="00656E61">
        <w:br/>
      </w:r>
      <w:r>
        <w:t>2024–2029 годы, принятую в 2024 году.</w:t>
      </w:r>
    </w:p>
    <w:p w14:paraId="0AD57F5A" w14:textId="77777777" w:rsidR="00D62714" w:rsidRPr="00DF494F" w:rsidRDefault="00D62714" w:rsidP="00D62714">
      <w:pPr>
        <w:pStyle w:val="SingleTxtG"/>
      </w:pPr>
      <w:r>
        <w:t>48.</w:t>
      </w:r>
      <w:r>
        <w:tab/>
      </w:r>
      <w:r>
        <w:rPr>
          <w:b/>
          <w:bCs/>
        </w:rPr>
        <w:t xml:space="preserve">Комитет рекомендует государству-участнику эффективно осуществлять Национальную политику в отношении диаспоры на 2024–2029 годы и обеспечить, </w:t>
      </w:r>
      <w:r>
        <w:rPr>
          <w:b/>
          <w:bCs/>
        </w:rPr>
        <w:lastRenderedPageBreak/>
        <w:t>чтобы деятельность консульских служб в различных странах проживания граждан Сейшельских Островов, соответствовала этой политике.</w:t>
      </w:r>
    </w:p>
    <w:p w14:paraId="3B8357F8" w14:textId="77777777" w:rsidR="00D62714" w:rsidRPr="00DF494F" w:rsidRDefault="00D62714" w:rsidP="00D62714">
      <w:pPr>
        <w:pStyle w:val="H23G"/>
      </w:pPr>
      <w:r>
        <w:rPr>
          <w:bCs/>
        </w:rPr>
        <w:tab/>
        <w:t>5.</w:t>
      </w:r>
      <w:r>
        <w:tab/>
      </w:r>
      <w:r>
        <w:rPr>
          <w:bCs/>
        </w:rPr>
        <w:t>Содействие созданию нормальных, справедливых, гуманных и законных условий в отношении международной миграции трудящихся и членов их семей (статьи 64–71)</w:t>
      </w:r>
    </w:p>
    <w:p w14:paraId="38D28861" w14:textId="77777777" w:rsidR="00D62714" w:rsidRPr="00DF494F" w:rsidRDefault="00D62714" w:rsidP="00D62714">
      <w:pPr>
        <w:pStyle w:val="H23G"/>
      </w:pPr>
      <w:bookmarkStart w:id="5" w:name="_Hlk167915443"/>
      <w:r>
        <w:tab/>
      </w:r>
      <w:r>
        <w:tab/>
      </w:r>
      <w:r>
        <w:rPr>
          <w:bCs/>
        </w:rPr>
        <w:t>Торговля людьми и незаконный ввоз мигрантов (статья 68)</w:t>
      </w:r>
    </w:p>
    <w:p w14:paraId="7FC6CF6B" w14:textId="77777777" w:rsidR="00D62714" w:rsidRPr="00DF494F" w:rsidRDefault="00D62714" w:rsidP="00D62714">
      <w:pPr>
        <w:pStyle w:val="SingleTxtG"/>
      </w:pPr>
      <w:r>
        <w:t>49.</w:t>
      </w:r>
      <w:r>
        <w:tab/>
        <w:t>Высоко оценивая принятые государством-участником меры по борьбе с торговлей людьми, включая Закон о торговле людьми 2014 года, создание Национального координационного комитета по борьбе с торговлей людьми и учреждение фонда для оказания помощи жертвам торговли людьми, Комитет обеспокоен отсутствием регулярных и эффективных инспекций условий труда мигрантов в Международной торговой зоне Сейшельских Островов, несмотря на продолжающиеся сообщения о случаях торговли людьми в этой зоне.</w:t>
      </w:r>
      <w:bookmarkEnd w:id="5"/>
    </w:p>
    <w:p w14:paraId="09104871" w14:textId="77777777" w:rsidR="00D62714" w:rsidRPr="00DF494F" w:rsidRDefault="00D62714" w:rsidP="00D62714">
      <w:pPr>
        <w:pStyle w:val="SingleTxtG"/>
      </w:pPr>
      <w:r>
        <w:t>50.</w:t>
      </w:r>
      <w:r>
        <w:tab/>
        <w:t>Комитет особенно обеспокоен сообщениями о принудительном труде в рыболовстве, сельском хозяйстве и строительстве, где работает большинство из почти 17 000 мигрантов страны. Комитет приветствует возбуждение первого дела о принудительном труде в строительном секторе в 2017 году.</w:t>
      </w:r>
    </w:p>
    <w:p w14:paraId="50B7C13C" w14:textId="77777777" w:rsidR="00D62714" w:rsidRPr="00DF494F" w:rsidRDefault="00D62714" w:rsidP="00D62714">
      <w:pPr>
        <w:pStyle w:val="SingleTxtG"/>
        <w:keepNext/>
        <w:keepLines/>
      </w:pPr>
      <w:r>
        <w:t>51.</w:t>
      </w:r>
      <w:r>
        <w:tab/>
      </w:r>
      <w:r>
        <w:rPr>
          <w:b/>
          <w:bCs/>
        </w:rPr>
        <w:t>Комитет рекомендует государству-участнику:</w:t>
      </w:r>
    </w:p>
    <w:p w14:paraId="347CFEC1" w14:textId="32767E55" w:rsidR="00D62714" w:rsidRPr="00CF00A3" w:rsidRDefault="00CF00A3" w:rsidP="00D62714">
      <w:pPr>
        <w:pStyle w:val="SingleTxtG"/>
        <w:rPr>
          <w:rFonts w:asciiTheme="majorBidi" w:hAnsiTheme="majorBidi" w:cstheme="majorBidi"/>
          <w:b/>
          <w:bCs/>
          <w:bdr w:val="none" w:sz="0" w:space="0" w:color="auto" w:frame="1"/>
        </w:rPr>
      </w:pPr>
      <w:r w:rsidRPr="00656E61">
        <w:rPr>
          <w:b/>
          <w:bCs/>
        </w:rPr>
        <w:tab/>
      </w:r>
      <w:r w:rsidR="00D62714" w:rsidRPr="00CF00A3">
        <w:rPr>
          <w:b/>
          <w:bCs/>
        </w:rPr>
        <w:t>a)</w:t>
      </w:r>
      <w:r w:rsidR="00D62714" w:rsidRPr="00CF00A3">
        <w:rPr>
          <w:b/>
          <w:bCs/>
        </w:rPr>
        <w:tab/>
        <w:t xml:space="preserve">активизировать усилия по обеспечению трудовых инспекций в Международной торговой зоне Сейшельских Островов и других недостаточно инспектируемых районах, таких как острова </w:t>
      </w:r>
      <w:proofErr w:type="spellStart"/>
      <w:r w:rsidR="00D62714" w:rsidRPr="00CF00A3">
        <w:rPr>
          <w:b/>
          <w:bCs/>
        </w:rPr>
        <w:t>Праслин</w:t>
      </w:r>
      <w:proofErr w:type="spellEnd"/>
      <w:r w:rsidR="00D62714" w:rsidRPr="00CF00A3">
        <w:rPr>
          <w:b/>
          <w:bCs/>
        </w:rPr>
        <w:t xml:space="preserve"> и Ла-</w:t>
      </w:r>
      <w:proofErr w:type="spellStart"/>
      <w:r w:rsidR="00D62714" w:rsidRPr="00CF00A3">
        <w:rPr>
          <w:b/>
          <w:bCs/>
        </w:rPr>
        <w:t>Диг</w:t>
      </w:r>
      <w:proofErr w:type="spellEnd"/>
      <w:r w:rsidR="00D62714" w:rsidRPr="00CF00A3">
        <w:rPr>
          <w:b/>
          <w:bCs/>
        </w:rPr>
        <w:t>, и принять Национальный план действий по борьбе с торговлей людьми на 2022–2025 годы;</w:t>
      </w:r>
    </w:p>
    <w:p w14:paraId="3A45F16E" w14:textId="06D9444C" w:rsidR="00D62714" w:rsidRPr="00DF494F" w:rsidRDefault="00CF00A3" w:rsidP="00D62714">
      <w:pPr>
        <w:pStyle w:val="SingleTxtG"/>
      </w:pPr>
      <w:r w:rsidRPr="00656E61">
        <w:rPr>
          <w:b/>
          <w:bCs/>
        </w:rPr>
        <w:tab/>
      </w:r>
      <w:r w:rsidR="00D62714" w:rsidRPr="00CF00A3">
        <w:rPr>
          <w:b/>
          <w:bCs/>
        </w:rPr>
        <w:t>b)</w:t>
      </w:r>
      <w:r w:rsidR="00D62714" w:rsidRPr="00CF00A3">
        <w:rPr>
          <w:b/>
          <w:bCs/>
        </w:rPr>
        <w:tab/>
      </w:r>
      <w:r w:rsidR="00D62714">
        <w:rPr>
          <w:b/>
          <w:bCs/>
        </w:rPr>
        <w:t>укрепить потенциал соответствующих государственных органов, выполняющих инспекционные функции, по выявлению и преследованию случаев принудительного труда, а также усовершенствовать механизмы поддержки жертв эксплуатации.</w:t>
      </w:r>
    </w:p>
    <w:p w14:paraId="284BCF18" w14:textId="581DBAAD" w:rsidR="00D62714" w:rsidRPr="00DF494F" w:rsidRDefault="00CF00A3" w:rsidP="00D62714">
      <w:pPr>
        <w:pStyle w:val="H23G"/>
      </w:pPr>
      <w:r w:rsidRPr="00656E61">
        <w:rPr>
          <w:bCs/>
        </w:rPr>
        <w:tab/>
      </w:r>
      <w:r w:rsidR="00D62714">
        <w:rPr>
          <w:bCs/>
        </w:rPr>
        <w:t>6.</w:t>
      </w:r>
      <w:r w:rsidR="00D62714">
        <w:tab/>
      </w:r>
      <w:r w:rsidR="00D62714">
        <w:tab/>
      </w:r>
      <w:r w:rsidR="00D62714">
        <w:rPr>
          <w:bCs/>
        </w:rPr>
        <w:t>Распространение информации и последующая деятельность</w:t>
      </w:r>
    </w:p>
    <w:p w14:paraId="7F54A627" w14:textId="77777777" w:rsidR="00D62714" w:rsidRPr="00DF494F" w:rsidRDefault="00D62714" w:rsidP="00D62714">
      <w:pPr>
        <w:pStyle w:val="H23G"/>
      </w:pPr>
      <w:r>
        <w:tab/>
      </w:r>
      <w:r>
        <w:tab/>
      </w:r>
      <w:r>
        <w:rPr>
          <w:bCs/>
        </w:rPr>
        <w:t>Распространение информации</w:t>
      </w:r>
    </w:p>
    <w:p w14:paraId="6D772F96" w14:textId="77777777" w:rsidR="00D62714" w:rsidRPr="00DF494F" w:rsidRDefault="00D62714" w:rsidP="00D62714">
      <w:pPr>
        <w:pStyle w:val="SingleTxtG"/>
      </w:pPr>
      <w:r>
        <w:t>52.</w:t>
      </w:r>
      <w:r>
        <w:tab/>
      </w:r>
      <w:r>
        <w:rPr>
          <w:b/>
          <w:bCs/>
        </w:rPr>
        <w:t>Комитет обращается к государству-участнику с просьбой гарантировать оперативное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на всех уровнях, в частности на уровне министерств, парламента, судебной системы и местных органов власти, а также среди неправительственных организаций и других членов гражданского общества.</w:t>
      </w:r>
    </w:p>
    <w:p w14:paraId="10696C6E" w14:textId="77777777" w:rsidR="00D62714" w:rsidRPr="00DF494F" w:rsidRDefault="00D62714" w:rsidP="00D62714">
      <w:pPr>
        <w:pStyle w:val="H23G"/>
      </w:pPr>
      <w:r>
        <w:tab/>
      </w:r>
      <w:r>
        <w:tab/>
      </w:r>
      <w:r>
        <w:rPr>
          <w:bCs/>
        </w:rPr>
        <w:t>Техническая помощь</w:t>
      </w:r>
    </w:p>
    <w:p w14:paraId="377170D5" w14:textId="77777777" w:rsidR="00D62714" w:rsidRPr="00DF494F" w:rsidRDefault="00D62714" w:rsidP="00D62714">
      <w:pPr>
        <w:pStyle w:val="SingleTxtG"/>
      </w:pPr>
      <w:r>
        <w:t>53.</w:t>
      </w:r>
      <w:r>
        <w:tab/>
      </w:r>
      <w:r>
        <w:rPr>
          <w:b/>
          <w:bCs/>
        </w:rPr>
        <w:t>Комитет рекомендует государству-участнику и впредь обращаться за международной и межправительственной технической помощью в целях осуществления рекомендаций, приведенных в настоящих заключительных замечаниях, а также Повестки дня в области устойчивого развития на период до 2030 года.</w:t>
      </w:r>
      <w:r>
        <w:t xml:space="preserve"> </w:t>
      </w:r>
      <w:r>
        <w:rPr>
          <w:b/>
          <w:bCs/>
        </w:rPr>
        <w:t>Он рекомендует также государству-участнику продолжать сотрудничество со специализированными учреждениями и программами системы Организации Объединенных Наций.</w:t>
      </w:r>
    </w:p>
    <w:p w14:paraId="1602700D" w14:textId="77777777" w:rsidR="00D62714" w:rsidRPr="00DF494F" w:rsidRDefault="00D62714" w:rsidP="00D62714">
      <w:pPr>
        <w:pStyle w:val="H23G"/>
      </w:pPr>
      <w:r>
        <w:tab/>
      </w:r>
      <w:r>
        <w:tab/>
      </w:r>
      <w:r>
        <w:rPr>
          <w:bCs/>
        </w:rPr>
        <w:t>Последующая деятельность в связи с заключительными замечаниями</w:t>
      </w:r>
    </w:p>
    <w:p w14:paraId="76915FF0" w14:textId="5F84B7D9" w:rsidR="00D62714" w:rsidRPr="00DF494F" w:rsidRDefault="00D62714" w:rsidP="00D62714">
      <w:pPr>
        <w:pStyle w:val="SingleTxtG"/>
      </w:pPr>
      <w:r>
        <w:t>54.</w:t>
      </w:r>
      <w:r>
        <w:tab/>
      </w:r>
      <w:r>
        <w:rPr>
          <w:b/>
          <w:bCs/>
        </w:rPr>
        <w:t xml:space="preserve">Комитет просит государство-участник представить в течение двух лет </w:t>
      </w:r>
      <w:r w:rsidR="00CF00A3" w:rsidRPr="00CF00A3">
        <w:rPr>
          <w:b/>
          <w:bCs/>
        </w:rPr>
        <w:br/>
      </w:r>
      <w:r>
        <w:rPr>
          <w:b/>
          <w:bCs/>
        </w:rPr>
        <w:t>(т.</w:t>
      </w:r>
      <w:r w:rsidR="00CF00A3">
        <w:rPr>
          <w:b/>
          <w:bCs/>
          <w:lang w:val="en-US"/>
        </w:rPr>
        <w:t> </w:t>
      </w:r>
      <w:r>
        <w:rPr>
          <w:b/>
          <w:bCs/>
        </w:rPr>
        <w:t xml:space="preserve">е. к 1 января 2027 года) письменную информацию о выполнении рекомендаций, содержащихся в пунктах 51 о торговле людьми, 31 об убежище, </w:t>
      </w:r>
      <w:r w:rsidR="00CF00A3" w:rsidRPr="00CF00A3">
        <w:rPr>
          <w:b/>
          <w:bCs/>
        </w:rPr>
        <w:br/>
      </w:r>
      <w:r>
        <w:rPr>
          <w:b/>
          <w:bCs/>
        </w:rPr>
        <w:t>33 о Международной торговой зоне Сейшельских Островов, 36 о здравоохранении и 40 и 27 о безгражданстве.</w:t>
      </w:r>
    </w:p>
    <w:p w14:paraId="421A6363" w14:textId="77777777" w:rsidR="00D62714" w:rsidRPr="00DF494F" w:rsidRDefault="00D62714" w:rsidP="00D62714">
      <w:pPr>
        <w:pStyle w:val="H23G"/>
      </w:pPr>
      <w:r>
        <w:lastRenderedPageBreak/>
        <w:tab/>
      </w:r>
      <w:r>
        <w:tab/>
      </w:r>
      <w:r>
        <w:rPr>
          <w:bCs/>
        </w:rPr>
        <w:t>Следующий периодический доклад</w:t>
      </w:r>
    </w:p>
    <w:p w14:paraId="0963A7B5" w14:textId="694F82FF" w:rsidR="00D62714" w:rsidRPr="00CF00A3" w:rsidRDefault="00D62714" w:rsidP="00D62714">
      <w:pPr>
        <w:pStyle w:val="SingleTxtG"/>
      </w:pPr>
      <w:r>
        <w:t>55.</w:t>
      </w:r>
      <w:r>
        <w:tab/>
      </w:r>
      <w:r>
        <w:rPr>
          <w:b/>
          <w:bCs/>
        </w:rPr>
        <w:t>Третий периодический доклад государства-участника должен быть представлен к 1 января 2030 года.</w:t>
      </w:r>
      <w:r>
        <w:t xml:space="preserve"> </w:t>
      </w:r>
      <w:r>
        <w:rPr>
          <w:b/>
          <w:bCs/>
        </w:rPr>
        <w:t xml:space="preserve">Комитет утвердит перечень вопросов, направляемых до представления доклада, в соответствии с упрощенной процедурой представления докладов на одной из своих сессий, предшествующих этой дате, если только государство-участник </w:t>
      </w:r>
      <w:r w:rsidRPr="002F3135">
        <w:rPr>
          <w:b/>
          <w:bCs/>
        </w:rPr>
        <w:t xml:space="preserve">не сделает явного выбора в пользу традиционной процедуры представления докладов. </w:t>
      </w:r>
      <w:r>
        <w:rPr>
          <w:b/>
          <w:bCs/>
        </w:rPr>
        <w:t>Комитет обращает внимание государства-участника на свои согласованные руководящие принципы представления докладов согласно международным договорам</w:t>
      </w:r>
      <w:r w:rsidRPr="006B0E97">
        <w:rPr>
          <w:sz w:val="18"/>
          <w:vertAlign w:val="superscript"/>
        </w:rPr>
        <w:footnoteReference w:id="10"/>
      </w:r>
      <w:r w:rsidR="00CF00A3" w:rsidRPr="00CF00A3">
        <w:rPr>
          <w:b/>
          <w:bCs/>
        </w:rPr>
        <w:t>.</w:t>
      </w:r>
    </w:p>
    <w:p w14:paraId="4F257CF5" w14:textId="77777777" w:rsidR="00D62714" w:rsidRPr="00DF494F" w:rsidRDefault="00D62714" w:rsidP="00D62714">
      <w:pPr>
        <w:jc w:val="center"/>
        <w:rPr>
          <w:u w:val="single"/>
        </w:rPr>
      </w:pPr>
      <w:r w:rsidRPr="00DF494F">
        <w:rPr>
          <w:u w:val="single"/>
        </w:rPr>
        <w:tab/>
      </w:r>
      <w:r w:rsidRPr="00DF494F">
        <w:rPr>
          <w:u w:val="single"/>
        </w:rPr>
        <w:tab/>
      </w:r>
      <w:r w:rsidRPr="00DF494F">
        <w:rPr>
          <w:u w:val="single"/>
        </w:rPr>
        <w:tab/>
      </w:r>
    </w:p>
    <w:p w14:paraId="6C37914D" w14:textId="77777777" w:rsidR="00D62714" w:rsidRPr="00E07B31" w:rsidRDefault="00D62714" w:rsidP="00D62714"/>
    <w:p w14:paraId="3C686869" w14:textId="0FE87254" w:rsidR="006475D0" w:rsidRPr="00D62714" w:rsidRDefault="006475D0" w:rsidP="0093403D"/>
    <w:p w14:paraId="16B2B895" w14:textId="77777777" w:rsidR="00381C24" w:rsidRPr="00D62714" w:rsidRDefault="00381C24" w:rsidP="0093403D"/>
    <w:sectPr w:rsidR="00381C24" w:rsidRPr="00D62714" w:rsidSect="006475D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DA278" w14:textId="77777777" w:rsidR="007B23B8" w:rsidRPr="00A312BC" w:rsidRDefault="007B23B8" w:rsidP="00A312BC"/>
  </w:endnote>
  <w:endnote w:type="continuationSeparator" w:id="0">
    <w:p w14:paraId="358F4521" w14:textId="77777777" w:rsidR="007B23B8" w:rsidRPr="00A312BC" w:rsidRDefault="007B23B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D4C85" w14:textId="6E3F600C" w:rsidR="006475D0" w:rsidRPr="006475D0" w:rsidRDefault="006475D0">
    <w:pPr>
      <w:pStyle w:val="a8"/>
    </w:pPr>
    <w:r w:rsidRPr="006475D0">
      <w:rPr>
        <w:b/>
        <w:sz w:val="18"/>
      </w:rPr>
      <w:fldChar w:fldCharType="begin"/>
    </w:r>
    <w:r w:rsidRPr="006475D0">
      <w:rPr>
        <w:b/>
        <w:sz w:val="18"/>
      </w:rPr>
      <w:instrText xml:space="preserve"> PAGE  \* MERGEFORMAT </w:instrText>
    </w:r>
    <w:r w:rsidRPr="006475D0">
      <w:rPr>
        <w:b/>
        <w:sz w:val="18"/>
      </w:rPr>
      <w:fldChar w:fldCharType="separate"/>
    </w:r>
    <w:r w:rsidRPr="006475D0">
      <w:rPr>
        <w:b/>
        <w:noProof/>
        <w:sz w:val="18"/>
      </w:rPr>
      <w:t>2</w:t>
    </w:r>
    <w:r w:rsidRPr="006475D0">
      <w:rPr>
        <w:b/>
        <w:sz w:val="18"/>
      </w:rPr>
      <w:fldChar w:fldCharType="end"/>
    </w:r>
    <w:r>
      <w:rPr>
        <w:b/>
        <w:sz w:val="18"/>
      </w:rPr>
      <w:tab/>
    </w:r>
    <w:r>
      <w:t>GE.25-00170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D988" w14:textId="1813A23B" w:rsidR="006475D0" w:rsidRPr="006475D0" w:rsidRDefault="006475D0" w:rsidP="006475D0">
    <w:pPr>
      <w:pStyle w:val="a8"/>
      <w:tabs>
        <w:tab w:val="clear" w:pos="9639"/>
        <w:tab w:val="right" w:pos="9638"/>
      </w:tabs>
      <w:rPr>
        <w:b/>
        <w:sz w:val="18"/>
      </w:rPr>
    </w:pPr>
    <w:r>
      <w:t>GE.25-00170</w:t>
    </w:r>
    <w:r>
      <w:tab/>
    </w:r>
    <w:r w:rsidRPr="006475D0">
      <w:rPr>
        <w:b/>
        <w:sz w:val="18"/>
      </w:rPr>
      <w:fldChar w:fldCharType="begin"/>
    </w:r>
    <w:r w:rsidRPr="006475D0">
      <w:rPr>
        <w:b/>
        <w:sz w:val="18"/>
      </w:rPr>
      <w:instrText xml:space="preserve"> PAGE  \* MERGEFORMAT </w:instrText>
    </w:r>
    <w:r w:rsidRPr="006475D0">
      <w:rPr>
        <w:b/>
        <w:sz w:val="18"/>
      </w:rPr>
      <w:fldChar w:fldCharType="separate"/>
    </w:r>
    <w:r w:rsidRPr="006475D0">
      <w:rPr>
        <w:b/>
        <w:noProof/>
        <w:sz w:val="18"/>
      </w:rPr>
      <w:t>3</w:t>
    </w:r>
    <w:r w:rsidRPr="006475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04164" w14:textId="042C20BC" w:rsidR="00042B72" w:rsidRPr="006475D0" w:rsidRDefault="006475D0" w:rsidP="006475D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BF54D78" wp14:editId="1F41556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25-00170  (R)</w:t>
    </w:r>
    <w:r>
      <w:rPr>
        <w:noProof/>
      </w:rPr>
      <w:drawing>
        <wp:anchor distT="0" distB="0" distL="114300" distR="114300" simplePos="0" relativeHeight="251659264" behindDoc="0" locked="0" layoutInCell="1" allowOverlap="1" wp14:anchorId="50B77D43" wp14:editId="397C993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140225  180225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17DB5" w14:textId="77777777" w:rsidR="007B23B8" w:rsidRPr="001075E9" w:rsidRDefault="007B23B8" w:rsidP="001075E9">
      <w:pPr>
        <w:tabs>
          <w:tab w:val="right" w:pos="2155"/>
        </w:tabs>
        <w:spacing w:after="80" w:line="240" w:lineRule="auto"/>
        <w:ind w:left="680"/>
        <w:rPr>
          <w:u w:val="single"/>
        </w:rPr>
      </w:pPr>
      <w:r>
        <w:rPr>
          <w:u w:val="single"/>
        </w:rPr>
        <w:tab/>
      </w:r>
    </w:p>
  </w:footnote>
  <w:footnote w:type="continuationSeparator" w:id="0">
    <w:p w14:paraId="74785B4B" w14:textId="77777777" w:rsidR="007B23B8" w:rsidRDefault="007B23B8" w:rsidP="00407B78">
      <w:pPr>
        <w:tabs>
          <w:tab w:val="right" w:pos="2155"/>
        </w:tabs>
        <w:spacing w:after="80"/>
        <w:ind w:left="680"/>
        <w:rPr>
          <w:u w:val="single"/>
        </w:rPr>
      </w:pPr>
      <w:r>
        <w:rPr>
          <w:u w:val="single"/>
        </w:rPr>
        <w:tab/>
      </w:r>
    </w:p>
  </w:footnote>
  <w:footnote w:id="1">
    <w:p w14:paraId="2ACE300F" w14:textId="77777777" w:rsidR="00D62714" w:rsidRPr="00DF494F" w:rsidRDefault="00D62714" w:rsidP="00D62714">
      <w:pPr>
        <w:pStyle w:val="ad"/>
      </w:pPr>
      <w:r>
        <w:tab/>
        <w:t>*</w:t>
      </w:r>
      <w:r>
        <w:tab/>
        <w:t>Приняты Комитетом на его тридцать девятой сессии (2–13 декабря 2024 года).</w:t>
      </w:r>
    </w:p>
  </w:footnote>
  <w:footnote w:id="2">
    <w:p w14:paraId="4316774E" w14:textId="33305028" w:rsidR="00D62714" w:rsidRPr="00DF494F" w:rsidRDefault="00D62714" w:rsidP="00D62714">
      <w:pPr>
        <w:pStyle w:val="ad"/>
      </w:pPr>
      <w:r>
        <w:tab/>
      </w:r>
      <w:r w:rsidRPr="00B866BB">
        <w:rPr>
          <w:rStyle w:val="aa"/>
        </w:rPr>
        <w:footnoteRef/>
      </w:r>
      <w:r>
        <w:tab/>
      </w:r>
      <w:hyperlink r:id="rId1" w:history="1">
        <w:r w:rsidRPr="002F7490">
          <w:rPr>
            <w:rStyle w:val="af1"/>
          </w:rPr>
          <w:t>CMW/C/SYC/2</w:t>
        </w:r>
      </w:hyperlink>
      <w:r>
        <w:t>.</w:t>
      </w:r>
    </w:p>
  </w:footnote>
  <w:footnote w:id="3">
    <w:p w14:paraId="4FEBCC98" w14:textId="79A206E2" w:rsidR="00D62714" w:rsidRPr="00DF494F" w:rsidRDefault="00D62714" w:rsidP="00D62714">
      <w:pPr>
        <w:pStyle w:val="ad"/>
      </w:pPr>
      <w:r>
        <w:tab/>
      </w:r>
      <w:r>
        <w:rPr>
          <w:rStyle w:val="aa"/>
        </w:rPr>
        <w:footnoteRef/>
      </w:r>
      <w:r>
        <w:tab/>
        <w:t xml:space="preserve">См. </w:t>
      </w:r>
      <w:hyperlink r:id="rId2" w:history="1">
        <w:r w:rsidRPr="002F7490">
          <w:rPr>
            <w:rStyle w:val="af1"/>
          </w:rPr>
          <w:t>CMW/C/SR.578</w:t>
        </w:r>
      </w:hyperlink>
      <w:r>
        <w:t xml:space="preserve"> и </w:t>
      </w:r>
      <w:hyperlink r:id="rId3" w:history="1">
        <w:r w:rsidRPr="002F7490">
          <w:rPr>
            <w:rStyle w:val="af1"/>
          </w:rPr>
          <w:t>CMW/C/SR.579</w:t>
        </w:r>
      </w:hyperlink>
      <w:r>
        <w:t>.</w:t>
      </w:r>
    </w:p>
  </w:footnote>
  <w:footnote w:id="4">
    <w:p w14:paraId="2414B438" w14:textId="4A323482" w:rsidR="00D62714" w:rsidRPr="00D62714" w:rsidRDefault="00D62714" w:rsidP="00D62714">
      <w:pPr>
        <w:pStyle w:val="ad"/>
        <w:rPr>
          <w:lang w:val="en-US"/>
        </w:rPr>
      </w:pPr>
      <w:r w:rsidRPr="00C808BB">
        <w:tab/>
      </w:r>
      <w:r w:rsidRPr="00C808BB">
        <w:rPr>
          <w:rStyle w:val="aa"/>
        </w:rPr>
        <w:footnoteRef/>
      </w:r>
      <w:r w:rsidRPr="00DF494F">
        <w:rPr>
          <w:lang w:val="en-US"/>
        </w:rPr>
        <w:tab/>
      </w:r>
      <w:hyperlink r:id="rId4" w:history="1">
        <w:r w:rsidR="00141B08" w:rsidRPr="002F7490">
          <w:rPr>
            <w:rStyle w:val="af1"/>
            <w:lang w:val="en-US"/>
          </w:rPr>
          <w:t>CMW/C/SYC/QPR/2</w:t>
        </w:r>
      </w:hyperlink>
      <w:r w:rsidR="00141B08" w:rsidRPr="00DF494F">
        <w:rPr>
          <w:lang w:val="en-US"/>
        </w:rPr>
        <w:t>.</w:t>
      </w:r>
    </w:p>
  </w:footnote>
  <w:footnote w:id="5">
    <w:p w14:paraId="49528962" w14:textId="304E62D4" w:rsidR="00D62714" w:rsidRPr="00D62714" w:rsidRDefault="00D62714" w:rsidP="00D62714">
      <w:pPr>
        <w:pStyle w:val="ad"/>
        <w:rPr>
          <w:lang w:val="en-US"/>
        </w:rPr>
      </w:pPr>
      <w:r w:rsidRPr="00DF494F">
        <w:rPr>
          <w:lang w:val="en-US"/>
        </w:rPr>
        <w:tab/>
      </w:r>
      <w:r w:rsidRPr="00C808BB">
        <w:rPr>
          <w:rStyle w:val="aa"/>
        </w:rPr>
        <w:footnoteRef/>
      </w:r>
      <w:r w:rsidRPr="00DF494F">
        <w:rPr>
          <w:lang w:val="en-US"/>
        </w:rPr>
        <w:tab/>
      </w:r>
      <w:hyperlink r:id="rId5" w:history="1">
        <w:r w:rsidR="00141B08" w:rsidRPr="002F7490">
          <w:rPr>
            <w:rStyle w:val="af1"/>
            <w:lang w:val="en-US"/>
          </w:rPr>
          <w:t>CMW/C/SYC/CO/1/Add.1</w:t>
        </w:r>
      </w:hyperlink>
      <w:r w:rsidR="00141B08" w:rsidRPr="00DF494F">
        <w:rPr>
          <w:lang w:val="en-US"/>
        </w:rPr>
        <w:t>.</w:t>
      </w:r>
    </w:p>
  </w:footnote>
  <w:footnote w:id="6">
    <w:p w14:paraId="7E6D418D" w14:textId="10772B8A" w:rsidR="00D62714" w:rsidRPr="00D62714" w:rsidRDefault="00D62714" w:rsidP="00D62714">
      <w:pPr>
        <w:pStyle w:val="ad"/>
        <w:rPr>
          <w:lang w:val="en-US"/>
        </w:rPr>
      </w:pPr>
      <w:r w:rsidRPr="00DF494F">
        <w:rPr>
          <w:lang w:val="en-US"/>
        </w:rPr>
        <w:tab/>
      </w:r>
      <w:r>
        <w:rPr>
          <w:rStyle w:val="aa"/>
        </w:rPr>
        <w:footnoteRef/>
      </w:r>
      <w:r w:rsidRPr="00DF494F">
        <w:rPr>
          <w:lang w:val="en-US"/>
        </w:rPr>
        <w:tab/>
      </w:r>
      <w:hyperlink r:id="rId6" w:history="1">
        <w:r w:rsidRPr="002F7490">
          <w:rPr>
            <w:rStyle w:val="af1"/>
            <w:lang w:val="en-US"/>
          </w:rPr>
          <w:t>CMW/C/SYC/CO/1</w:t>
        </w:r>
      </w:hyperlink>
      <w:r w:rsidRPr="00DF494F">
        <w:rPr>
          <w:lang w:val="en-US"/>
        </w:rPr>
        <w:t xml:space="preserve">, </w:t>
      </w:r>
      <w:r>
        <w:t>п</w:t>
      </w:r>
      <w:r w:rsidRPr="00DF494F">
        <w:rPr>
          <w:lang w:val="en-US"/>
        </w:rPr>
        <w:t>. 10.</w:t>
      </w:r>
    </w:p>
  </w:footnote>
  <w:footnote w:id="7">
    <w:p w14:paraId="4078ACF8" w14:textId="4BB9A0EF" w:rsidR="00D62714" w:rsidRPr="00D62714" w:rsidRDefault="00D62714" w:rsidP="00D62714">
      <w:pPr>
        <w:pStyle w:val="ad"/>
        <w:rPr>
          <w:lang w:val="en-US"/>
        </w:rPr>
      </w:pPr>
      <w:r w:rsidRPr="00DF494F">
        <w:rPr>
          <w:lang w:val="en-US"/>
        </w:rPr>
        <w:tab/>
      </w:r>
      <w:r>
        <w:rPr>
          <w:rStyle w:val="aa"/>
        </w:rPr>
        <w:footnoteRef/>
      </w:r>
      <w:r w:rsidRPr="00DF494F">
        <w:rPr>
          <w:lang w:val="en-US"/>
        </w:rPr>
        <w:t xml:space="preserve"> </w:t>
      </w:r>
      <w:r w:rsidRPr="00DF494F">
        <w:rPr>
          <w:lang w:val="en-US"/>
        </w:rPr>
        <w:tab/>
      </w:r>
      <w:r w:rsidRPr="00DF494F">
        <w:rPr>
          <w:lang w:val="en-US"/>
        </w:rPr>
        <w:tab/>
      </w:r>
      <w:hyperlink r:id="rId7" w:history="1">
        <w:r w:rsidRPr="002F7490">
          <w:rPr>
            <w:rStyle w:val="af1"/>
            <w:lang w:val="en-US"/>
          </w:rPr>
          <w:t>CAT/C/SYC/CO/1</w:t>
        </w:r>
      </w:hyperlink>
      <w:r w:rsidRPr="00DF494F">
        <w:rPr>
          <w:lang w:val="en-US"/>
        </w:rPr>
        <w:t xml:space="preserve">, </w:t>
      </w:r>
      <w:r>
        <w:t>п</w:t>
      </w:r>
      <w:r w:rsidRPr="00DF494F">
        <w:rPr>
          <w:lang w:val="en-US"/>
        </w:rPr>
        <w:t>. 30.</w:t>
      </w:r>
    </w:p>
  </w:footnote>
  <w:footnote w:id="8">
    <w:p w14:paraId="70906B8D" w14:textId="234BBCDF" w:rsidR="00D62714" w:rsidRPr="00D62714" w:rsidRDefault="00D62714" w:rsidP="00D62714">
      <w:pPr>
        <w:pStyle w:val="ad"/>
        <w:widowControl w:val="0"/>
        <w:rPr>
          <w:szCs w:val="18"/>
          <w:lang w:val="en-US"/>
        </w:rPr>
      </w:pPr>
      <w:r w:rsidRPr="00DF494F">
        <w:rPr>
          <w:lang w:val="en-US"/>
        </w:rPr>
        <w:tab/>
      </w:r>
      <w:r>
        <w:rPr>
          <w:rStyle w:val="aa"/>
        </w:rPr>
        <w:footnoteRef/>
      </w:r>
      <w:r w:rsidRPr="00DF494F">
        <w:rPr>
          <w:lang w:val="en-US"/>
        </w:rPr>
        <w:tab/>
      </w:r>
      <w:hyperlink r:id="rId8" w:history="1">
        <w:r w:rsidRPr="002F7490">
          <w:rPr>
            <w:rStyle w:val="af1"/>
            <w:lang w:val="en-US"/>
          </w:rPr>
          <w:t>CMW/C/SYC/CO/1</w:t>
        </w:r>
      </w:hyperlink>
      <w:r w:rsidRPr="00DF494F">
        <w:rPr>
          <w:lang w:val="en-US"/>
        </w:rPr>
        <w:t xml:space="preserve">, </w:t>
      </w:r>
      <w:r>
        <w:t>п</w:t>
      </w:r>
      <w:r w:rsidRPr="00DF494F">
        <w:rPr>
          <w:lang w:val="en-US"/>
        </w:rPr>
        <w:t>. 27.</w:t>
      </w:r>
    </w:p>
  </w:footnote>
  <w:footnote w:id="9">
    <w:p w14:paraId="6F7AE8AC" w14:textId="77777777" w:rsidR="00D62714" w:rsidRPr="002F3135" w:rsidRDefault="00D62714" w:rsidP="00D62714">
      <w:pPr>
        <w:pStyle w:val="ad"/>
        <w:widowControl w:val="0"/>
        <w:rPr>
          <w:szCs w:val="18"/>
        </w:rPr>
      </w:pPr>
      <w:r w:rsidRPr="00DF494F">
        <w:rPr>
          <w:lang w:val="en-US"/>
        </w:rPr>
        <w:tab/>
      </w:r>
      <w:r>
        <w:rPr>
          <w:rStyle w:val="aa"/>
        </w:rPr>
        <w:footnoteRef/>
      </w:r>
      <w:r>
        <w:tab/>
        <w:t>Там же, п. 35.</w:t>
      </w:r>
    </w:p>
  </w:footnote>
  <w:footnote w:id="10">
    <w:p w14:paraId="593CF06A" w14:textId="6457F5B5" w:rsidR="00D62714" w:rsidRPr="002F3135" w:rsidRDefault="00D62714" w:rsidP="00D62714">
      <w:pPr>
        <w:pStyle w:val="ad"/>
      </w:pPr>
      <w:r w:rsidRPr="006B0E97">
        <w:tab/>
      </w:r>
      <w:r w:rsidRPr="00C808BB">
        <w:rPr>
          <w:rStyle w:val="aa"/>
        </w:rPr>
        <w:footnoteRef/>
      </w:r>
      <w:r>
        <w:tab/>
      </w:r>
      <w:hyperlink r:id="rId9" w:history="1">
        <w:r w:rsidRPr="002F7490">
          <w:rPr>
            <w:rStyle w:val="af1"/>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0746A" w14:textId="0C6B1C65" w:rsidR="006475D0" w:rsidRPr="006475D0" w:rsidRDefault="002F7490">
    <w:pPr>
      <w:pStyle w:val="a5"/>
    </w:pPr>
    <w:fldSimple w:instr=" TITLE  \* MERGEFORMAT ">
      <w:r>
        <w:t>CMW/C/SYC/CO/2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208D4" w14:textId="4EFDCEAE" w:rsidR="006475D0" w:rsidRPr="006475D0" w:rsidRDefault="002F7490" w:rsidP="006475D0">
    <w:pPr>
      <w:pStyle w:val="a5"/>
      <w:jc w:val="right"/>
    </w:pPr>
    <w:fldSimple w:instr=" TITLE  \* MERGEFORMAT ">
      <w:r>
        <w:t>CMW/C/SYC/CO/2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2366470">
    <w:abstractNumId w:val="16"/>
  </w:num>
  <w:num w:numId="2" w16cid:durableId="1839422100">
    <w:abstractNumId w:val="11"/>
  </w:num>
  <w:num w:numId="3" w16cid:durableId="253831111">
    <w:abstractNumId w:val="10"/>
  </w:num>
  <w:num w:numId="4" w16cid:durableId="768818950">
    <w:abstractNumId w:val="17"/>
  </w:num>
  <w:num w:numId="5" w16cid:durableId="1132483279">
    <w:abstractNumId w:val="13"/>
  </w:num>
  <w:num w:numId="6" w16cid:durableId="1093942144">
    <w:abstractNumId w:val="8"/>
  </w:num>
  <w:num w:numId="7" w16cid:durableId="1767723196">
    <w:abstractNumId w:val="3"/>
  </w:num>
  <w:num w:numId="8" w16cid:durableId="1469711370">
    <w:abstractNumId w:val="2"/>
  </w:num>
  <w:num w:numId="9" w16cid:durableId="302395079">
    <w:abstractNumId w:val="1"/>
  </w:num>
  <w:num w:numId="10" w16cid:durableId="304506337">
    <w:abstractNumId w:val="0"/>
  </w:num>
  <w:num w:numId="11" w16cid:durableId="642740588">
    <w:abstractNumId w:val="9"/>
  </w:num>
  <w:num w:numId="12" w16cid:durableId="539823342">
    <w:abstractNumId w:val="7"/>
  </w:num>
  <w:num w:numId="13" w16cid:durableId="1470510384">
    <w:abstractNumId w:val="6"/>
  </w:num>
  <w:num w:numId="14" w16cid:durableId="1867868000">
    <w:abstractNumId w:val="5"/>
  </w:num>
  <w:num w:numId="15" w16cid:durableId="904876396">
    <w:abstractNumId w:val="4"/>
  </w:num>
  <w:num w:numId="16" w16cid:durableId="913391575">
    <w:abstractNumId w:val="15"/>
  </w:num>
  <w:num w:numId="17" w16cid:durableId="393048093">
    <w:abstractNumId w:val="12"/>
  </w:num>
  <w:num w:numId="18" w16cid:durableId="1976834844">
    <w:abstractNumId w:val="14"/>
  </w:num>
  <w:num w:numId="19" w16cid:durableId="1924340798">
    <w:abstractNumId w:val="15"/>
  </w:num>
  <w:num w:numId="20" w16cid:durableId="330253182">
    <w:abstractNumId w:val="12"/>
  </w:num>
  <w:num w:numId="21" w16cid:durableId="203483766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3B8"/>
    <w:rsid w:val="00033EE1"/>
    <w:rsid w:val="00042B72"/>
    <w:rsid w:val="000558BD"/>
    <w:rsid w:val="000B57E7"/>
    <w:rsid w:val="000B6373"/>
    <w:rsid w:val="000E269B"/>
    <w:rsid w:val="000F09DF"/>
    <w:rsid w:val="000F61B2"/>
    <w:rsid w:val="001075E9"/>
    <w:rsid w:val="00141B08"/>
    <w:rsid w:val="00180183"/>
    <w:rsid w:val="0018024D"/>
    <w:rsid w:val="0018649F"/>
    <w:rsid w:val="00196389"/>
    <w:rsid w:val="001B3EF6"/>
    <w:rsid w:val="001C6847"/>
    <w:rsid w:val="001C7A89"/>
    <w:rsid w:val="002A2EFC"/>
    <w:rsid w:val="002A7005"/>
    <w:rsid w:val="002B74B1"/>
    <w:rsid w:val="002C0E18"/>
    <w:rsid w:val="002D5AAC"/>
    <w:rsid w:val="002E5067"/>
    <w:rsid w:val="002F405F"/>
    <w:rsid w:val="002F7490"/>
    <w:rsid w:val="002F7EEC"/>
    <w:rsid w:val="00301299"/>
    <w:rsid w:val="00305C08"/>
    <w:rsid w:val="00307FB6"/>
    <w:rsid w:val="00311A81"/>
    <w:rsid w:val="00317339"/>
    <w:rsid w:val="003209BB"/>
    <w:rsid w:val="00322004"/>
    <w:rsid w:val="003402C2"/>
    <w:rsid w:val="003414A1"/>
    <w:rsid w:val="00381C24"/>
    <w:rsid w:val="00385581"/>
    <w:rsid w:val="003958D0"/>
    <w:rsid w:val="003B00E5"/>
    <w:rsid w:val="00407B78"/>
    <w:rsid w:val="004102E9"/>
    <w:rsid w:val="00424203"/>
    <w:rsid w:val="00452493"/>
    <w:rsid w:val="00453318"/>
    <w:rsid w:val="00454E07"/>
    <w:rsid w:val="00472C5C"/>
    <w:rsid w:val="00495D21"/>
    <w:rsid w:val="004B3A26"/>
    <w:rsid w:val="0050108D"/>
    <w:rsid w:val="00513081"/>
    <w:rsid w:val="00517901"/>
    <w:rsid w:val="00526683"/>
    <w:rsid w:val="00556AC8"/>
    <w:rsid w:val="005709E0"/>
    <w:rsid w:val="00572E19"/>
    <w:rsid w:val="005961C8"/>
    <w:rsid w:val="005966F1"/>
    <w:rsid w:val="005D7914"/>
    <w:rsid w:val="005E1FCE"/>
    <w:rsid w:val="005E2B41"/>
    <w:rsid w:val="005F0B42"/>
    <w:rsid w:val="00636A7C"/>
    <w:rsid w:val="006475D0"/>
    <w:rsid w:val="00656E61"/>
    <w:rsid w:val="00681A10"/>
    <w:rsid w:val="00690B89"/>
    <w:rsid w:val="006A1ED8"/>
    <w:rsid w:val="006C2031"/>
    <w:rsid w:val="006C6846"/>
    <w:rsid w:val="006D461A"/>
    <w:rsid w:val="006D479F"/>
    <w:rsid w:val="006E6002"/>
    <w:rsid w:val="006F35EE"/>
    <w:rsid w:val="007021FF"/>
    <w:rsid w:val="00712895"/>
    <w:rsid w:val="00734ACB"/>
    <w:rsid w:val="00757357"/>
    <w:rsid w:val="007A2AE0"/>
    <w:rsid w:val="007B23B8"/>
    <w:rsid w:val="00806737"/>
    <w:rsid w:val="00825F8D"/>
    <w:rsid w:val="00834B71"/>
    <w:rsid w:val="00837F45"/>
    <w:rsid w:val="00842DD5"/>
    <w:rsid w:val="0086445C"/>
    <w:rsid w:val="00894693"/>
    <w:rsid w:val="008A08D7"/>
    <w:rsid w:val="008B6909"/>
    <w:rsid w:val="00900A96"/>
    <w:rsid w:val="00906890"/>
    <w:rsid w:val="00911BE4"/>
    <w:rsid w:val="0093403D"/>
    <w:rsid w:val="00951972"/>
    <w:rsid w:val="00953A1C"/>
    <w:rsid w:val="009608F3"/>
    <w:rsid w:val="0098262B"/>
    <w:rsid w:val="009A24AC"/>
    <w:rsid w:val="009D78CB"/>
    <w:rsid w:val="00A14DA8"/>
    <w:rsid w:val="00A312BC"/>
    <w:rsid w:val="00A543C6"/>
    <w:rsid w:val="00A81A6E"/>
    <w:rsid w:val="00A84021"/>
    <w:rsid w:val="00A84D35"/>
    <w:rsid w:val="00A917B3"/>
    <w:rsid w:val="00AB4B51"/>
    <w:rsid w:val="00B10CC7"/>
    <w:rsid w:val="00B36DF7"/>
    <w:rsid w:val="00B4670A"/>
    <w:rsid w:val="00B539E7"/>
    <w:rsid w:val="00B62458"/>
    <w:rsid w:val="00BC18B2"/>
    <w:rsid w:val="00BD33EE"/>
    <w:rsid w:val="00BD3AA6"/>
    <w:rsid w:val="00C106D6"/>
    <w:rsid w:val="00C60F0C"/>
    <w:rsid w:val="00C805C9"/>
    <w:rsid w:val="00C92939"/>
    <w:rsid w:val="00CA1679"/>
    <w:rsid w:val="00CB151C"/>
    <w:rsid w:val="00CE5A1A"/>
    <w:rsid w:val="00CF00A3"/>
    <w:rsid w:val="00CF55F6"/>
    <w:rsid w:val="00D33D63"/>
    <w:rsid w:val="00D40EFD"/>
    <w:rsid w:val="00D62714"/>
    <w:rsid w:val="00D90028"/>
    <w:rsid w:val="00D90138"/>
    <w:rsid w:val="00DA7285"/>
    <w:rsid w:val="00DD1D1E"/>
    <w:rsid w:val="00DD78D1"/>
    <w:rsid w:val="00DE32CD"/>
    <w:rsid w:val="00DF71B9"/>
    <w:rsid w:val="00E03239"/>
    <w:rsid w:val="00E73F76"/>
    <w:rsid w:val="00EA2C9F"/>
    <w:rsid w:val="00EA420E"/>
    <w:rsid w:val="00EA5E41"/>
    <w:rsid w:val="00ED0BDA"/>
    <w:rsid w:val="00EE7AC6"/>
    <w:rsid w:val="00EF1360"/>
    <w:rsid w:val="00EF3220"/>
    <w:rsid w:val="00F43903"/>
    <w:rsid w:val="00F93FFB"/>
    <w:rsid w:val="00F94155"/>
    <w:rsid w:val="00F9783F"/>
    <w:rsid w:val="00FC261C"/>
    <w:rsid w:val="00FD2EF7"/>
    <w:rsid w:val="00FE447E"/>
    <w:rsid w:val="00FE480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B7806"/>
  <w15:docId w15:val="{7992554D-3852-4597-8117-751ABBE3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D40EFD"/>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D40EFD"/>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C6846"/>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4_G"/>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5_G"/>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u w:val="none"/>
    </w:rPr>
  </w:style>
  <w:style w:type="character" w:styleId="af2">
    <w:name w:val="FollowedHyperlink"/>
    <w:basedOn w:val="a0"/>
    <w:rsid w:val="00D40EFD"/>
    <w:rPr>
      <w:color w:val="0000FF"/>
      <w:u w:val="none"/>
    </w:rPr>
  </w:style>
  <w:style w:type="character" w:customStyle="1" w:styleId="SingleTxtGChar">
    <w:name w:val="_ Single Txt_G Char"/>
    <w:link w:val="SingleTxtG"/>
    <w:locked/>
    <w:rsid w:val="00D62714"/>
    <w:rPr>
      <w:lang w:val="ru-RU" w:eastAsia="en-US"/>
    </w:rPr>
  </w:style>
  <w:style w:type="character" w:styleId="af3">
    <w:name w:val="Unresolved Mention"/>
    <w:basedOn w:val="a0"/>
    <w:uiPriority w:val="99"/>
    <w:semiHidden/>
    <w:unhideWhenUsed/>
    <w:rsid w:val="002F7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MW/C/SYC/CO/1" TargetMode="External"/><Relationship Id="rId3" Type="http://schemas.openxmlformats.org/officeDocument/2006/relationships/hyperlink" Target="http://undocs.org/ru/CMW/C/SR.579" TargetMode="External"/><Relationship Id="rId7" Type="http://schemas.openxmlformats.org/officeDocument/2006/relationships/hyperlink" Target="http://undocs.org/ru/CAT/C/SYC/CO/1" TargetMode="External"/><Relationship Id="rId2" Type="http://schemas.openxmlformats.org/officeDocument/2006/relationships/hyperlink" Target="http://undocs.org/ru/CMW/C/SR.578" TargetMode="External"/><Relationship Id="rId1" Type="http://schemas.openxmlformats.org/officeDocument/2006/relationships/hyperlink" Target="http://undocs.org/ru/CMW/C/SYC/2" TargetMode="External"/><Relationship Id="rId6" Type="http://schemas.openxmlformats.org/officeDocument/2006/relationships/hyperlink" Target="http://undocs.org/ru/CMW/C/SYC/CO/1" TargetMode="External"/><Relationship Id="rId5" Type="http://schemas.openxmlformats.org/officeDocument/2006/relationships/hyperlink" Target="http://undocs.org/ru/CMW/C/SYC/CO/1/Add.1" TargetMode="External"/><Relationship Id="rId4" Type="http://schemas.openxmlformats.org/officeDocument/2006/relationships/hyperlink" Target="http://undocs.org/ru/CMW/C/SYC/QPR/2" TargetMode="External"/><Relationship Id="rId9" Type="http://schemas.openxmlformats.org/officeDocument/2006/relationships/hyperlink" Target="http://undocs.org/ru/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11</Pages>
  <Words>3970</Words>
  <Characters>27625</Characters>
  <Application>Microsoft Office Word</Application>
  <DocSecurity>0</DocSecurity>
  <Lines>504</Lines>
  <Paragraphs>129</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CMW/C/SYC/CO/2</vt:lpstr>
      <vt:lpstr>A/</vt:lpstr>
      <vt:lpstr>A/</vt:lpstr>
      <vt:lpstr>A/</vt:lpstr>
    </vt:vector>
  </TitlesOfParts>
  <Company>DCM</Company>
  <LinksUpToDate>false</LinksUpToDate>
  <CharactersWithSpaces>31564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CMW/C/SYC/CO/2</dc:title>
  <dc:subject/>
  <dc:creator>Ekaterina SALYNSKAYA</dc:creator>
  <cp:keywords/>
  <cp:lastModifiedBy>Ekaterina Salynskaya</cp:lastModifiedBy>
  <cp:revision>2</cp:revision>
  <cp:lastPrinted>2025-02-17T13:29:00Z</cp:lastPrinted>
  <dcterms:created xsi:type="dcterms:W3CDTF">2025-02-18T08:37:00Z</dcterms:created>
  <dcterms:modified xsi:type="dcterms:W3CDTF">2025-02-18T08:37:00Z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