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7921" w:rsidRDefault="000C7921">
      <w:pPr>
        <w:spacing w:line="60" w:lineRule="exact"/>
        <w:rPr>
          <w:sz w:val="6"/>
        </w:rPr>
        <w:sectPr w:rsidR="000C7921">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C7921" w:rsidRDefault="000C7921">
      <w:pPr>
        <w:spacing w:line="60" w:lineRule="exact"/>
        <w:rPr>
          <w:sz w:val="6"/>
        </w:rPr>
      </w:pPr>
    </w:p>
    <w:p w:rsidR="000C7921" w:rsidRDefault="000C7921">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rPr>
          <w:rFonts w:hint="eastAsia"/>
        </w:rPr>
      </w:pPr>
      <w:r>
        <w:rPr>
          <w:rFonts w:hint="eastAsia"/>
        </w:rPr>
        <w:t>消除对妇女歧视委员会</w:t>
      </w:r>
    </w:p>
    <w:p w:rsidR="000C7921" w:rsidRDefault="000C792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rPr>
          <w:rFonts w:hint="eastAsia"/>
        </w:rPr>
      </w:pPr>
      <w:r>
        <w:rPr>
          <w:rFonts w:hint="eastAsia"/>
        </w:rPr>
        <w:t>会前工作组</w:t>
      </w:r>
    </w:p>
    <w:p w:rsidR="000C7921" w:rsidRDefault="000C7921">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rPr>
          <w:rFonts w:hint="eastAsia"/>
        </w:rPr>
      </w:pPr>
      <w:r>
        <w:rPr>
          <w:rFonts w:hint="eastAsia"/>
        </w:rPr>
        <w:t>第三十六届会议</w:t>
      </w:r>
    </w:p>
    <w:p w:rsidR="000C7921" w:rsidRDefault="000C7921">
      <w:pPr>
        <w:pStyle w:val="SingleTxt"/>
        <w:spacing w:after="60"/>
        <w:ind w:left="0"/>
        <w:rPr>
          <w:rFonts w:hint="eastAsia"/>
        </w:rPr>
      </w:pPr>
      <w:r>
        <w:rPr>
          <w:rFonts w:hint="eastAsia"/>
        </w:rPr>
        <w:t>2006年8月7日至25日</w:t>
      </w:r>
    </w:p>
    <w:p w:rsidR="000C7921" w:rsidRDefault="000C7921">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113A9" w:rsidRPr="000113A9" w:rsidRDefault="000113A9" w:rsidP="000113A9">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C7921" w:rsidRDefault="000C7921">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与审议定期报告有关的议题和问题清单</w:t>
      </w:r>
    </w:p>
    <w:p w:rsidR="000C7921" w:rsidRDefault="000C7921">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C7921" w:rsidRDefault="000C7921">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C7921" w:rsidRDefault="000C7921">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刚果民主共和国</w:t>
      </w:r>
    </w:p>
    <w:p w:rsidR="000C7921" w:rsidRDefault="000C7921">
      <w:pPr>
        <w:pStyle w:val="SingleTxt"/>
        <w:spacing w:after="0" w:line="120" w:lineRule="exact"/>
        <w:rPr>
          <w:rFonts w:hint="eastAsia"/>
          <w:sz w:val="10"/>
        </w:rPr>
      </w:pPr>
    </w:p>
    <w:p w:rsidR="000C7921" w:rsidRDefault="000C7921">
      <w:pPr>
        <w:pStyle w:val="SingleTxt"/>
        <w:spacing w:after="0" w:line="120" w:lineRule="exact"/>
        <w:rPr>
          <w:rFonts w:hint="eastAsia"/>
          <w:sz w:val="10"/>
        </w:rPr>
      </w:pPr>
    </w:p>
    <w:p w:rsidR="000C7921" w:rsidRDefault="000C7921">
      <w:pPr>
        <w:pStyle w:val="SingleTxt"/>
        <w:rPr>
          <w:rFonts w:hint="eastAsia"/>
        </w:rPr>
      </w:pPr>
      <w:r>
        <w:rPr>
          <w:rFonts w:hint="eastAsia"/>
        </w:rPr>
        <w:tab/>
        <w:t>会前工作组审查了刚果民主共和国第四和第五次合并定期报告（CEDAW/C/　COD/4-5）。</w:t>
      </w:r>
    </w:p>
    <w:p w:rsidR="000C7921" w:rsidRDefault="000C7921">
      <w:pPr>
        <w:pStyle w:val="SingleTxt"/>
        <w:rPr>
          <w:rFonts w:hint="eastAsia"/>
        </w:rPr>
      </w:pPr>
      <w:r>
        <w:rPr>
          <w:rFonts w:hint="eastAsia"/>
        </w:rPr>
        <w:t>1.</w:t>
      </w:r>
      <w:r>
        <w:rPr>
          <w:rFonts w:hint="eastAsia"/>
        </w:rPr>
        <w:tab/>
        <w:t>请提供资料，说明编写报告的过程，包括说明是否与非政府组织，特别是妇女组织进行过协商。</w:t>
      </w:r>
    </w:p>
    <w:p w:rsidR="000C7921" w:rsidRDefault="000C7921">
      <w:pPr>
        <w:pStyle w:val="SingleTxt"/>
        <w:rPr>
          <w:rFonts w:ascii="SimHei" w:eastAsia="SimHei" w:hint="eastAsia"/>
          <w:color w:val="FF0000"/>
        </w:rPr>
      </w:pPr>
      <w:r>
        <w:rPr>
          <w:rFonts w:ascii="SimHei" w:eastAsia="SimHei" w:hint="eastAsia"/>
          <w:color w:val="FF0000"/>
        </w:rPr>
        <w:t>概述</w:t>
      </w:r>
    </w:p>
    <w:p w:rsidR="000C7921" w:rsidRDefault="000C7921">
      <w:pPr>
        <w:pStyle w:val="SingleTxt"/>
        <w:rPr>
          <w:rFonts w:hint="eastAsia"/>
        </w:rPr>
      </w:pPr>
      <w:r>
        <w:rPr>
          <w:rFonts w:hint="eastAsia"/>
        </w:rPr>
        <w:t>2.</w:t>
      </w:r>
      <w:r>
        <w:rPr>
          <w:rFonts w:hint="eastAsia"/>
        </w:rPr>
        <w:tab/>
        <w:t>政府采取了哪些措施以确保促进两性平等和全力执行《公约》这两方面成为多年冲突后的国家重建工作的组成部分和优先目标？</w:t>
      </w:r>
    </w:p>
    <w:p w:rsidR="000C7921" w:rsidRDefault="000C7921">
      <w:pPr>
        <w:pStyle w:val="SingleTxt"/>
        <w:rPr>
          <w:rFonts w:hint="eastAsia"/>
        </w:rPr>
      </w:pPr>
      <w:r>
        <w:rPr>
          <w:rFonts w:hint="eastAsia"/>
        </w:rPr>
        <w:t>3.</w:t>
      </w:r>
      <w:r>
        <w:rPr>
          <w:rFonts w:hint="eastAsia"/>
        </w:rPr>
        <w:tab/>
        <w:t>请介绍《公约》各项规定如何反映于减贫战略文件和千年发展目标报告等国家发展战略和文件中。</w:t>
      </w:r>
    </w:p>
    <w:p w:rsidR="000C7921" w:rsidRDefault="000C7921">
      <w:pPr>
        <w:pStyle w:val="SingleTxt"/>
        <w:rPr>
          <w:rFonts w:ascii="SimHei" w:eastAsia="SimHei" w:hint="eastAsia"/>
          <w:color w:val="FF0000"/>
        </w:rPr>
      </w:pPr>
      <w:r>
        <w:rPr>
          <w:rFonts w:ascii="SimHei" w:eastAsia="SimHei" w:hint="eastAsia"/>
          <w:color w:val="FF0000"/>
        </w:rPr>
        <w:t>提高妇女地位的立法和国家机制</w:t>
      </w:r>
    </w:p>
    <w:p w:rsidR="000C7921" w:rsidRDefault="000C7921">
      <w:pPr>
        <w:pStyle w:val="SingleTxt"/>
        <w:rPr>
          <w:rFonts w:hint="eastAsia"/>
        </w:rPr>
      </w:pPr>
      <w:r>
        <w:rPr>
          <w:rFonts w:hint="eastAsia"/>
        </w:rPr>
        <w:t>4.</w:t>
      </w:r>
      <w:r>
        <w:rPr>
          <w:rFonts w:hint="eastAsia"/>
        </w:rPr>
        <w:tab/>
        <w:t>请说明政府全面审查法律和进行改革的计划和时间表，包括设立一个法律改革委员会，它将优先关注那些违背政府根据《公约》应承担的义务的歧视性法律的修订工作。</w:t>
      </w:r>
    </w:p>
    <w:p w:rsidR="000C7921" w:rsidRDefault="000C7921">
      <w:pPr>
        <w:pStyle w:val="SingleTxt"/>
        <w:rPr>
          <w:rFonts w:hint="eastAsia"/>
        </w:rPr>
      </w:pPr>
      <w:r>
        <w:rPr>
          <w:rFonts w:hint="eastAsia"/>
        </w:rPr>
        <w:t>5.</w:t>
      </w:r>
      <w:r>
        <w:rPr>
          <w:rFonts w:hint="eastAsia"/>
        </w:rPr>
        <w:tab/>
        <w:t>据报告（中文本第23页）所述，“一项关于家庭法的修改草案已经呈送妇女地位和家庭部，在将草案提交议会之前，将向全国征求对该草案的意见”。是否已在全国征求过意见？请提供详情。</w:t>
      </w:r>
    </w:p>
    <w:p w:rsidR="000C7921" w:rsidRDefault="000C7921">
      <w:pPr>
        <w:pStyle w:val="SingleTxt"/>
        <w:rPr>
          <w:rFonts w:hint="eastAsia"/>
        </w:rPr>
      </w:pPr>
      <w:r>
        <w:rPr>
          <w:rFonts w:hint="eastAsia"/>
        </w:rPr>
        <w:t>6.</w:t>
      </w:r>
      <w:r>
        <w:rPr>
          <w:rFonts w:hint="eastAsia"/>
        </w:rPr>
        <w:tab/>
        <w:t>报告（中文本第15页）指出，“在履行其职能的过程中，妇女地位和家庭部面临国家预算经费不足的问题……[虽说]经过妇女地位和家庭部的说服工作，2004年该部的预算总额已经从1％提高到6％......这点经费还是不足以实施[提高刚果妇女地位国家计划]”。2005年和2006年国家预算中分配给提高妇女地位国家机制的经费占多少百分比？政府是否寻求联合国开发计划署（开发计划署）的资金援助？如是，捐助金额有多少？</w:t>
      </w:r>
    </w:p>
    <w:p w:rsidR="000C7921" w:rsidRDefault="000C7921">
      <w:pPr>
        <w:pStyle w:val="SingleTxt"/>
        <w:rPr>
          <w:rFonts w:hint="eastAsia"/>
        </w:rPr>
      </w:pPr>
      <w:r>
        <w:rPr>
          <w:rFonts w:hint="eastAsia"/>
        </w:rPr>
        <w:t>7.</w:t>
      </w:r>
      <w:r>
        <w:rPr>
          <w:rFonts w:hint="eastAsia"/>
        </w:rPr>
        <w:tab/>
        <w:t>请介绍各部门部委，尤其是那些负责教育、卫生和经济工作的部委在实施提高刚果妇女地位国家计划方面的职责。</w:t>
      </w:r>
    </w:p>
    <w:p w:rsidR="000C7921" w:rsidRDefault="000C7921">
      <w:pPr>
        <w:pStyle w:val="SingleTxt"/>
        <w:rPr>
          <w:rFonts w:ascii="SimHei" w:eastAsia="SimHei" w:hint="eastAsia"/>
          <w:color w:val="FF0000"/>
        </w:rPr>
      </w:pPr>
      <w:r>
        <w:rPr>
          <w:rFonts w:ascii="SimHei" w:eastAsia="SimHei" w:hint="eastAsia"/>
          <w:color w:val="FF0000"/>
        </w:rPr>
        <w:t>对妇女的暴力行为</w:t>
      </w:r>
    </w:p>
    <w:p w:rsidR="000C7921" w:rsidRDefault="000C7921">
      <w:pPr>
        <w:pStyle w:val="SingleTxt"/>
        <w:rPr>
          <w:rFonts w:hint="eastAsia"/>
        </w:rPr>
      </w:pPr>
      <w:r>
        <w:rPr>
          <w:rFonts w:hint="eastAsia"/>
        </w:rPr>
        <w:t>8.</w:t>
      </w:r>
      <w:r>
        <w:rPr>
          <w:rFonts w:hint="eastAsia"/>
        </w:rPr>
        <w:tab/>
        <w:t>报告（中文本第51页）指出，“还没有固定的正式机构来研究[照顾暴力受害者]的问题”，而且，“……[所采取的措施的]效果还不明显”。政府打算如何更有效力地努力打击针对妇女和女孩的各种形式暴力行为，支持和援助暴力受害者，包括在武装冲突中遭受各种暴力的妇女和女孩？政府是否已寻求或考虑寻求联合国儿童基金会(儿童基金会)的技术和资金援助？</w:t>
      </w:r>
    </w:p>
    <w:p w:rsidR="000C7921" w:rsidRDefault="000C7921">
      <w:pPr>
        <w:pStyle w:val="SingleTxt"/>
        <w:rPr>
          <w:rFonts w:hint="eastAsia"/>
        </w:rPr>
      </w:pPr>
      <w:r>
        <w:rPr>
          <w:rFonts w:hint="eastAsia"/>
        </w:rPr>
        <w:t>9.</w:t>
      </w:r>
      <w:r>
        <w:rPr>
          <w:rFonts w:hint="eastAsia"/>
        </w:rPr>
        <w:tab/>
        <w:t>政府是否打算订立打击对妇女和女孩的暴力行为的国家方案？另外，政府是否打算利用一切媒体途径支持这样一个方案？是否已为此拟订了专项预算？请提供详情。</w:t>
      </w:r>
    </w:p>
    <w:p w:rsidR="000C7921" w:rsidRDefault="000C7921">
      <w:pPr>
        <w:pStyle w:val="SingleTxt"/>
        <w:rPr>
          <w:rFonts w:hint="eastAsia"/>
        </w:rPr>
      </w:pPr>
      <w:r>
        <w:rPr>
          <w:rFonts w:hint="eastAsia"/>
        </w:rPr>
        <w:t>10.</w:t>
      </w:r>
      <w:r>
        <w:rPr>
          <w:rFonts w:hint="eastAsia"/>
        </w:rPr>
        <w:tab/>
        <w:t>如秘书长关于联合国组织刚果民主共和国特派团 (联刚特派团)的第二十次报告（见S/2005/832，第61段）所述，于2005年11月在联刚特派团内成立了行为操守和纪律小组，目的之一是预防和处理联刚特派团人员剥削和虐待妇女和女孩的行为。政府如何与联刚特派团协作处理联合国工作人员和有关人员对妇女和女孩的性剥削和虐待行为？请提供详情。</w:t>
      </w:r>
    </w:p>
    <w:p w:rsidR="000C7921" w:rsidRDefault="000C7921">
      <w:pPr>
        <w:pStyle w:val="SingleTxt"/>
        <w:rPr>
          <w:rFonts w:hint="eastAsia"/>
        </w:rPr>
      </w:pPr>
      <w:r>
        <w:rPr>
          <w:rFonts w:hint="eastAsia"/>
        </w:rPr>
        <w:t>11.</w:t>
      </w:r>
      <w:r>
        <w:rPr>
          <w:rFonts w:hint="eastAsia"/>
        </w:rPr>
        <w:tab/>
        <w:t>根据报告（中文本第17页），关于劳动法的2002年10月16日第015/2002号法律规定，“性骚扰或精神骚扰（第73条和第74条）以及恫吓今后将被认为是雇主或劳动者的严重错误，并可以导致废除合同”。自该法生效以来已报的性骚扰和精神骚扰案件有多少、其中有多少已成功审理、判以何种惩处？</w:t>
      </w:r>
    </w:p>
    <w:p w:rsidR="000C7921" w:rsidRDefault="000C7921">
      <w:pPr>
        <w:pStyle w:val="SingleTxt"/>
        <w:rPr>
          <w:rFonts w:ascii="SimHei" w:eastAsia="SimHei" w:hint="eastAsia"/>
          <w:color w:val="FF0000"/>
        </w:rPr>
      </w:pPr>
      <w:r>
        <w:rPr>
          <w:rFonts w:ascii="SimHei" w:eastAsia="SimHei" w:hint="eastAsia"/>
          <w:color w:val="FF0000"/>
        </w:rPr>
        <w:t>利用妇女和女孩卖淫营利及贩运妇女和女孩</w:t>
      </w:r>
    </w:p>
    <w:p w:rsidR="000C7921" w:rsidRDefault="000C7921">
      <w:pPr>
        <w:pStyle w:val="SingleTxt"/>
        <w:rPr>
          <w:rFonts w:hint="eastAsia"/>
        </w:rPr>
      </w:pPr>
      <w:r>
        <w:rPr>
          <w:rFonts w:hint="eastAsia"/>
        </w:rPr>
        <w:t>12.</w:t>
      </w:r>
      <w:r>
        <w:rPr>
          <w:rFonts w:hint="eastAsia"/>
        </w:rPr>
        <w:tab/>
        <w:t>在此前的结论意见中，委员会表示关切卖淫问题的严重性，尤其是女童卖淫问题，建议颁布和实施相关法律，禁止女童卖淫，并采取适当措施帮助妓女在社会中改造新生，为妓女提供心理教育和保健服务。请提供资料，说明在为打击卖淫谋利而订立法律规定及帮助和改造妓女的措施等方面取得的进展。政府是否已寻求或考虑寻求世界卫生组织(卫生组织)的技术和资金援助？</w:t>
      </w:r>
    </w:p>
    <w:p w:rsidR="000C7921" w:rsidRDefault="000C7921">
      <w:pPr>
        <w:pStyle w:val="SingleTxt"/>
        <w:rPr>
          <w:rFonts w:hint="eastAsia"/>
        </w:rPr>
      </w:pPr>
      <w:r>
        <w:rPr>
          <w:rFonts w:hint="eastAsia"/>
        </w:rPr>
        <w:t>13.</w:t>
      </w:r>
      <w:r>
        <w:rPr>
          <w:rFonts w:hint="eastAsia"/>
        </w:rPr>
        <w:tab/>
        <w:t>报告（中文本第30页）指出，“在刚果民主共和国，贩卖妇女不是常见现象”。但人权委员会关于对妇女和女孩暴力行为问题特别报告员却指出，“贩运是个问题；该国是贩运妇女和儿童的一个渠道”（见E/CN.4/2003/75/Add.1，第196段）。政府是否已进行任何研究以评估贩运妇女和女孩问题的严重程度？</w:t>
      </w:r>
    </w:p>
    <w:p w:rsidR="000C7921" w:rsidRDefault="000C7921">
      <w:pPr>
        <w:pStyle w:val="SingleTxt"/>
        <w:rPr>
          <w:rFonts w:ascii="SimHei" w:eastAsia="SimHei" w:hint="eastAsia"/>
          <w:color w:val="FF0000"/>
        </w:rPr>
      </w:pPr>
      <w:r>
        <w:rPr>
          <w:rFonts w:ascii="SimHei" w:eastAsia="SimHei" w:hint="eastAsia"/>
          <w:color w:val="FF0000"/>
        </w:rPr>
        <w:t>保健</w:t>
      </w:r>
    </w:p>
    <w:p w:rsidR="000C7921" w:rsidRDefault="000C7921">
      <w:pPr>
        <w:pStyle w:val="SingleTxt"/>
        <w:rPr>
          <w:rFonts w:hint="eastAsia"/>
        </w:rPr>
      </w:pPr>
      <w:r>
        <w:rPr>
          <w:rFonts w:hint="eastAsia"/>
        </w:rPr>
        <w:t>14.</w:t>
      </w:r>
      <w:r>
        <w:rPr>
          <w:rFonts w:hint="eastAsia"/>
        </w:rPr>
        <w:tab/>
        <w:t>在此前的结论意见中，委员会深为关切地注意到妇幼死亡率高、避孕措施利用率低，尤其是在农村地区，以及卫生服务退步等问题。从报告中可以看出，这些领域的状况没有改善。请介绍正采取哪些举措以降低妇幼死亡率，改善女用和男用避孕方法，为年轻人提供性教育，并加强卫生服务。政府是否已寻求或考虑寻求卫生组织和联合国人口基金（人口基金）的援助，尤其是提供避孕药具？</w:t>
      </w:r>
    </w:p>
    <w:p w:rsidR="000C7921" w:rsidRDefault="000C7921">
      <w:pPr>
        <w:pStyle w:val="SingleTxt"/>
        <w:rPr>
          <w:rFonts w:hint="eastAsia"/>
        </w:rPr>
      </w:pPr>
      <w:r>
        <w:rPr>
          <w:rFonts w:hint="eastAsia"/>
        </w:rPr>
        <w:t>15.</w:t>
      </w:r>
      <w:r>
        <w:rPr>
          <w:rFonts w:hint="eastAsia"/>
        </w:rPr>
        <w:tab/>
        <w:t>据报告（中文本第39页）所述，2001年一项多指标类集调查显示，“只有10％的妇女对艾滋病的传染途径有正确的了解”。请介绍政府采取或支持了哪些举措以提高妇女和男子，包括年轻人，对艾滋病毒/艾滋病的认识。还请说明国家控制艾滋病毒/艾滋病方案是否融入了社会性别观点。政府是否已寻求或考虑寻求卫生组织的技术和资金援助？</w:t>
      </w:r>
    </w:p>
    <w:p w:rsidR="000C7921" w:rsidRDefault="000C7921">
      <w:pPr>
        <w:pStyle w:val="SingleTxt"/>
        <w:rPr>
          <w:rFonts w:hint="eastAsia"/>
        </w:rPr>
      </w:pPr>
      <w:r>
        <w:rPr>
          <w:rFonts w:hint="eastAsia"/>
        </w:rPr>
        <w:t>16.</w:t>
      </w:r>
      <w:r>
        <w:rPr>
          <w:rFonts w:hint="eastAsia"/>
        </w:rPr>
        <w:tab/>
        <w:t>请说明妇女艾滋病毒/艾滋病感染者是否能得到治疗，并介绍这方面工作的资金支助及来源。</w:t>
      </w:r>
    </w:p>
    <w:p w:rsidR="000C7921" w:rsidRDefault="000C7921">
      <w:pPr>
        <w:pStyle w:val="SingleTxt"/>
        <w:rPr>
          <w:rFonts w:ascii="SimHei" w:eastAsia="SimHei" w:hint="eastAsia"/>
          <w:color w:val="FF0000"/>
        </w:rPr>
      </w:pPr>
      <w:r>
        <w:rPr>
          <w:rFonts w:ascii="SimHei" w:eastAsia="SimHei" w:hint="eastAsia"/>
          <w:color w:val="FF0000"/>
        </w:rPr>
        <w:t>教育和陈规定型观念</w:t>
      </w:r>
    </w:p>
    <w:p w:rsidR="000C7921" w:rsidRDefault="000C7921">
      <w:pPr>
        <w:pStyle w:val="SingleTxt"/>
        <w:rPr>
          <w:rFonts w:hint="eastAsia"/>
        </w:rPr>
      </w:pPr>
      <w:r>
        <w:rPr>
          <w:rFonts w:hint="eastAsia"/>
        </w:rPr>
        <w:t>17.</w:t>
      </w:r>
      <w:r>
        <w:rPr>
          <w:rFonts w:hint="eastAsia"/>
        </w:rPr>
        <w:tab/>
        <w:t>据报告（中文本第35页）所述，6岁至11岁儿童的净入学率不断下降，1995年是56%，到了2001年只有52%。同样，辍学率非常高：100名上小学一年级的孩子到了五年级，只剩下25名学生。报告还指出，女童受影响最大。而且，有二分之一的妇女是文盲。政府正在订立哪些方案，以期高度优先地促进女孩上学、降低辍学率和提高女性识字率？请说明国家从不同渠道为教育、特别是女孩和妇女的教育和识字得到的财政资源。政府是否已寻求或考虑寻求联合国教育、科学及文化组织(教科文组织)的技术和资金援助？</w:t>
      </w:r>
    </w:p>
    <w:p w:rsidR="000C7921" w:rsidRDefault="000C7921">
      <w:pPr>
        <w:pStyle w:val="SingleTxt"/>
        <w:rPr>
          <w:rFonts w:hint="eastAsia"/>
        </w:rPr>
      </w:pPr>
      <w:r>
        <w:rPr>
          <w:rFonts w:hint="eastAsia"/>
        </w:rPr>
        <w:t>18.</w:t>
      </w:r>
      <w:r>
        <w:rPr>
          <w:rFonts w:hint="eastAsia"/>
        </w:rPr>
        <w:tab/>
        <w:t>报告（中文本第37页）指出，“相当一部分居民认为，男孩子上学比女孩子上学更重要”，“还必须进行宣传，以引起对男孩与女孩的教育问题的重视”。在此方面采取了哪些措施？</w:t>
      </w:r>
    </w:p>
    <w:p w:rsidR="000C7921" w:rsidRDefault="000C7921">
      <w:pPr>
        <w:pStyle w:val="SingleTxt"/>
        <w:rPr>
          <w:rFonts w:hint="eastAsia"/>
        </w:rPr>
      </w:pPr>
      <w:r>
        <w:rPr>
          <w:rFonts w:hint="eastAsia"/>
        </w:rPr>
        <w:t>19.</w:t>
      </w:r>
      <w:r>
        <w:rPr>
          <w:rFonts w:hint="eastAsia"/>
        </w:rPr>
        <w:tab/>
        <w:t>报告（中文本第30页）指出，消除基于性别的陈规定型观念的方法之一是要“家长在男女平等问题上负起教育责任来”。政府正实施哪些方案以增强家长促进男女平等的能力？</w:t>
      </w:r>
    </w:p>
    <w:p w:rsidR="000C7921" w:rsidRDefault="000C7921">
      <w:pPr>
        <w:pStyle w:val="SingleTxt"/>
        <w:rPr>
          <w:rFonts w:hint="eastAsia"/>
        </w:rPr>
      </w:pPr>
      <w:r>
        <w:rPr>
          <w:rFonts w:hint="eastAsia"/>
        </w:rPr>
        <w:t>20.</w:t>
      </w:r>
      <w:r>
        <w:rPr>
          <w:rFonts w:hint="eastAsia"/>
        </w:rPr>
        <w:tab/>
        <w:t>委员会在此前的结论意见中建议颁布法律并开展宣传和提高认识活动，以期制止那些侵犯妇女人权的传统习俗和做法，如嫁妆、娶寡嫂制、一夫多妻制、逼婚、寡妇的继承和切割女性生殖器官。请说明就这些方面采取了哪些后续措施。</w:t>
      </w:r>
    </w:p>
    <w:p w:rsidR="000C7921" w:rsidRDefault="000C7921">
      <w:pPr>
        <w:pStyle w:val="SingleTxt"/>
        <w:spacing w:after="120" w:line="300" w:lineRule="exact"/>
        <w:rPr>
          <w:rFonts w:ascii="SimHei" w:eastAsia="SimHei" w:hint="eastAsia"/>
          <w:color w:val="FF0000"/>
        </w:rPr>
      </w:pPr>
      <w:r>
        <w:rPr>
          <w:rFonts w:ascii="SimHei" w:eastAsia="SimHei"/>
          <w:color w:val="FF0000"/>
        </w:rPr>
        <w:br w:type="page"/>
      </w:r>
      <w:r>
        <w:rPr>
          <w:rFonts w:ascii="SimHei" w:eastAsia="SimHei" w:hint="eastAsia"/>
          <w:color w:val="FF0000"/>
        </w:rPr>
        <w:t>参与决策</w:t>
      </w:r>
    </w:p>
    <w:p w:rsidR="000C7921" w:rsidRDefault="000C7921">
      <w:pPr>
        <w:pStyle w:val="SingleTxt"/>
        <w:spacing w:after="120" w:line="300" w:lineRule="exact"/>
        <w:rPr>
          <w:rFonts w:hint="eastAsia"/>
        </w:rPr>
      </w:pPr>
      <w:r>
        <w:rPr>
          <w:rFonts w:hint="eastAsia"/>
        </w:rPr>
        <w:t>21.</w:t>
      </w:r>
      <w:r>
        <w:rPr>
          <w:rFonts w:hint="eastAsia"/>
        </w:rPr>
        <w:tab/>
        <w:t>如报告所述，公共生活中的妇女代表比例，包括在刚果人对话后建立的过渡机构中担任决策职务的比例仍然低下。请提供资料，说明政府已采取或计划采取哪些措施以确保妇女在多年冲突后的重建阶段充分参与政治和公共生活，包括通过《公约》第四条第1款所述的暂行特别措施和委员会一般性建议第25条。</w:t>
      </w:r>
    </w:p>
    <w:p w:rsidR="000C7921" w:rsidRDefault="000C7921">
      <w:pPr>
        <w:pStyle w:val="SingleTxt"/>
        <w:spacing w:after="120" w:line="300" w:lineRule="exact"/>
        <w:rPr>
          <w:rFonts w:ascii="SimHei" w:eastAsia="SimHei" w:hint="eastAsia"/>
          <w:color w:val="FF0000"/>
        </w:rPr>
      </w:pPr>
      <w:r>
        <w:rPr>
          <w:rFonts w:ascii="SimHei" w:eastAsia="SimHei" w:hint="eastAsia"/>
          <w:color w:val="FF0000"/>
        </w:rPr>
        <w:t>就业和经济权力</w:t>
      </w:r>
    </w:p>
    <w:p w:rsidR="000C7921" w:rsidRDefault="000C7921">
      <w:pPr>
        <w:pStyle w:val="SingleTxt"/>
        <w:spacing w:after="120" w:line="300" w:lineRule="exact"/>
        <w:rPr>
          <w:rFonts w:hint="eastAsia"/>
        </w:rPr>
      </w:pPr>
      <w:r>
        <w:rPr>
          <w:rFonts w:hint="eastAsia"/>
        </w:rPr>
        <w:t>22.</w:t>
      </w:r>
      <w:r>
        <w:rPr>
          <w:rFonts w:hint="eastAsia"/>
        </w:rPr>
        <w:tab/>
        <w:t>报告（中文本第43页）指出，“只有8%的妇女进入企业界——通常都是些非正规的企业”，“目前，只有5%的正规企业由妇女管理”。报告（中文本第41页）还指出，妇女不易获得金融贷款，她们不掌握会计知识，也不会做会计账册。请介绍目前正采取或设想采取哪些举措以便利妇女获得信贷及参与国家经济生活。</w:t>
      </w:r>
    </w:p>
    <w:p w:rsidR="000C7921" w:rsidRDefault="000C7921">
      <w:pPr>
        <w:pStyle w:val="SingleTxt"/>
        <w:spacing w:after="120" w:line="300" w:lineRule="exact"/>
        <w:rPr>
          <w:rFonts w:hint="eastAsia"/>
        </w:rPr>
      </w:pPr>
      <w:r>
        <w:rPr>
          <w:rFonts w:hint="eastAsia"/>
        </w:rPr>
        <w:t>23.</w:t>
      </w:r>
      <w:r>
        <w:rPr>
          <w:rFonts w:hint="eastAsia"/>
        </w:rPr>
        <w:tab/>
        <w:t>政府是否打算修订新《劳动法》中禁止在国营或私人工业企业中让妇女上夜班的第124条（中文本第25页）？</w:t>
      </w:r>
    </w:p>
    <w:p w:rsidR="000C7921" w:rsidRDefault="000C7921">
      <w:pPr>
        <w:pStyle w:val="SingleTxt"/>
        <w:spacing w:after="120" w:line="300" w:lineRule="exact"/>
        <w:rPr>
          <w:rFonts w:ascii="SimHei" w:eastAsia="SimHei" w:hint="eastAsia"/>
          <w:color w:val="FF0000"/>
        </w:rPr>
      </w:pPr>
      <w:r>
        <w:rPr>
          <w:rFonts w:ascii="SimHei" w:eastAsia="SimHei" w:hint="eastAsia"/>
          <w:color w:val="FF0000"/>
        </w:rPr>
        <w:t>婚姻和家庭关系</w:t>
      </w:r>
    </w:p>
    <w:p w:rsidR="000C7921" w:rsidRDefault="000C7921">
      <w:pPr>
        <w:pStyle w:val="SingleTxt"/>
        <w:spacing w:after="120" w:line="300" w:lineRule="exact"/>
        <w:rPr>
          <w:rFonts w:hint="eastAsia"/>
        </w:rPr>
      </w:pPr>
      <w:r>
        <w:rPr>
          <w:rFonts w:hint="eastAsia"/>
        </w:rPr>
        <w:t>24.</w:t>
      </w:r>
      <w:r>
        <w:rPr>
          <w:rFonts w:hint="eastAsia"/>
        </w:rPr>
        <w:tab/>
        <w:t>报告（中文本第19页）指出，法律规定的缔结婚约能力年龄为女孩15岁、男孩18岁。政府是否打算修订此条有违《公约》第十六条和《儿童权利公约》的歧视性法律？</w:t>
      </w:r>
    </w:p>
    <w:p w:rsidR="000C7921" w:rsidRDefault="000C7921">
      <w:pPr>
        <w:pStyle w:val="SingleTxt"/>
        <w:spacing w:after="120" w:line="300" w:lineRule="exact"/>
        <w:rPr>
          <w:rFonts w:hint="eastAsia"/>
        </w:rPr>
      </w:pPr>
      <w:r>
        <w:rPr>
          <w:rFonts w:hint="eastAsia"/>
        </w:rPr>
        <w:t>25.</w:t>
      </w:r>
      <w:r>
        <w:rPr>
          <w:rFonts w:hint="eastAsia"/>
        </w:rPr>
        <w:tab/>
        <w:t>据报告（中文本第46页）所述，“出于无知，有些妇女仅仅因为拿到了彩礼或举行了婚礼的宗教仪式就接受了事实上的婚姻……[不确保]婚姻登记”。除了2001年在教科文组织支持下开展的提高认识运动，妇女地位和家庭部还采取了哪些其他措施以确保婚姻登记？</w:t>
      </w:r>
    </w:p>
    <w:p w:rsidR="000C7921" w:rsidRDefault="000C7921">
      <w:pPr>
        <w:pStyle w:val="SingleTxt"/>
        <w:spacing w:after="120" w:line="300" w:lineRule="exact"/>
        <w:rPr>
          <w:rFonts w:ascii="SimHei" w:eastAsia="SimHei" w:hint="eastAsia"/>
          <w:color w:val="FF0000"/>
        </w:rPr>
      </w:pPr>
      <w:r>
        <w:rPr>
          <w:rFonts w:ascii="SimHei" w:eastAsia="SimHei" w:hint="eastAsia"/>
          <w:color w:val="FF0000"/>
        </w:rPr>
        <w:t>财产获得</w:t>
      </w:r>
    </w:p>
    <w:p w:rsidR="000C7921" w:rsidRDefault="000C7921">
      <w:pPr>
        <w:pStyle w:val="SingleTxt"/>
        <w:spacing w:after="120" w:line="300" w:lineRule="exact"/>
        <w:rPr>
          <w:rFonts w:hint="eastAsia"/>
        </w:rPr>
      </w:pPr>
      <w:r>
        <w:rPr>
          <w:rFonts w:hint="eastAsia"/>
        </w:rPr>
        <w:t>26.</w:t>
      </w:r>
      <w:r>
        <w:rPr>
          <w:rFonts w:hint="eastAsia"/>
        </w:rPr>
        <w:tab/>
        <w:t>报告（中文本第21页）指出，“1973年7月20日颁布的第73-021号关于一般财产制度、土地和不动产制度以及保险制度的法律经过修改和补充没有歧视性条款”。但报告又指出，“当一名妇女去争取一块土地的转让权时，她首先必须得到丈夫的同意”。请说明是否已或将要修订要求妇女在争取土地转让权时首先征得丈夫同意的规定。</w:t>
      </w:r>
    </w:p>
    <w:p w:rsidR="000C7921" w:rsidRDefault="000C7921">
      <w:pPr>
        <w:pStyle w:val="SingleTxt"/>
        <w:spacing w:after="120" w:line="300" w:lineRule="exact"/>
        <w:rPr>
          <w:rFonts w:ascii="SimHei" w:eastAsia="SimHei" w:hint="eastAsia"/>
          <w:color w:val="FF0000"/>
        </w:rPr>
      </w:pPr>
      <w:r>
        <w:rPr>
          <w:rFonts w:ascii="SimHei" w:eastAsia="SimHei" w:hint="eastAsia"/>
          <w:color w:val="FF0000"/>
        </w:rPr>
        <w:t>农村妇女</w:t>
      </w:r>
    </w:p>
    <w:p w:rsidR="000C7921" w:rsidRDefault="000C7921">
      <w:pPr>
        <w:pStyle w:val="SingleTxt"/>
        <w:spacing w:after="120" w:line="300" w:lineRule="exact"/>
        <w:rPr>
          <w:rFonts w:hint="eastAsia"/>
        </w:rPr>
      </w:pPr>
      <w:r>
        <w:rPr>
          <w:rFonts w:hint="eastAsia"/>
        </w:rPr>
        <w:t>27.</w:t>
      </w:r>
      <w:r>
        <w:rPr>
          <w:rFonts w:hint="eastAsia"/>
        </w:rPr>
        <w:tab/>
        <w:t>在此前的结论意见中，委员会表示关切农村妇女状况，敦促政府确保农村妇女受益于各个领域实施的政策和方案，确保农村妇女平等参与决策、获得保健服务和信贷。委员会还建议对农村妇女状况进行更多调查研究，收集更多的统计数据，以便为该领域的方针政策提供依据。请介绍政府已采取或计划采取哪些措施来落实委员会的建议。</w:t>
      </w:r>
    </w:p>
    <w:p w:rsidR="000C7921" w:rsidRDefault="000C7921">
      <w:pPr>
        <w:pStyle w:val="SingleTxt"/>
        <w:spacing w:after="120" w:line="300" w:lineRule="exact"/>
        <w:rPr>
          <w:rFonts w:ascii="SimHei" w:eastAsia="SimHei" w:hint="eastAsia"/>
          <w:color w:val="FF0000"/>
        </w:rPr>
      </w:pPr>
      <w:r>
        <w:rPr>
          <w:rFonts w:ascii="SimHei" w:eastAsia="SimHei" w:hint="eastAsia"/>
          <w:color w:val="FF0000"/>
        </w:rPr>
        <w:t>任择议定书</w:t>
      </w:r>
    </w:p>
    <w:p w:rsidR="000C7921" w:rsidRDefault="000C7921">
      <w:pPr>
        <w:pStyle w:val="SingleTxt"/>
        <w:spacing w:after="120" w:line="300" w:lineRule="exact"/>
        <w:rPr>
          <w:rFonts w:hint="eastAsia"/>
        </w:rPr>
      </w:pPr>
      <w:r>
        <w:rPr>
          <w:rFonts w:hint="eastAsia"/>
        </w:rPr>
        <w:t>28.</w:t>
      </w:r>
      <w:r>
        <w:rPr>
          <w:rFonts w:hint="eastAsia"/>
        </w:rPr>
        <w:tab/>
        <w:t>请说明《消除对妇女一切形式歧视公约任择议定书》的批准方面有何进展。</w:t>
      </w:r>
    </w:p>
    <w:p w:rsidR="000C7921" w:rsidRDefault="000C7921">
      <w:pPr>
        <w:pStyle w:val="SingleTxt"/>
        <w:spacing w:after="0" w:line="240" w:lineRule="auto"/>
        <w:rPr>
          <w:rFonts w:hint="eastAsia"/>
          <w:sz w:val="20"/>
        </w:rPr>
      </w:pPr>
      <w:r>
        <w:rPr>
          <w:noProof/>
          <w:sz w:val="20"/>
        </w:rPr>
        <w:pict>
          <v:line id="_x0000_s2050" style="position:absolute;left:0;text-align:left;z-index:1;mso-position-horizontal:center" from="0,30pt" to="1in,30pt" strokeweight=".25pt"/>
        </w:pict>
      </w:r>
    </w:p>
    <w:sectPr w:rsidR="000C7921">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C7921" w:rsidRDefault="000C7921">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NO&gt;&gt;N0624917C&lt;&lt;ODS JOB NO&gt;&gt;</w:t>
      </w:r>
    </w:p>
    <w:p w:rsidR="000C7921" w:rsidRDefault="000C7921">
      <w:pPr>
        <w:pStyle w:val="CommentText"/>
      </w:pPr>
      <w:r>
        <w:t>&lt;&lt;ODS DOC SYMBOL1&gt;&gt;CEDAW/C/COD/Q/5&lt;&lt;ODS DOC SYMBOL1&gt;&gt;</w:t>
      </w:r>
    </w:p>
    <w:p w:rsidR="000C7921" w:rsidRDefault="000C792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2160" w:rsidRDefault="002D2160">
      <w:r>
        <w:separator/>
      </w:r>
    </w:p>
  </w:endnote>
  <w:endnote w:type="continuationSeparator" w:id="0">
    <w:p w:rsidR="002D2160" w:rsidRDefault="002D21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C7921">
      <w:tblPrEx>
        <w:tblCellMar>
          <w:top w:w="0" w:type="dxa"/>
          <w:bottom w:w="0" w:type="dxa"/>
        </w:tblCellMar>
      </w:tblPrEx>
      <w:tc>
        <w:tcPr>
          <w:tcW w:w="5034" w:type="dxa"/>
          <w:vAlign w:val="bottom"/>
        </w:tcPr>
        <w:p w:rsidR="000C7921" w:rsidRDefault="000C7921">
          <w:pPr>
            <w:pStyle w:val="Footer"/>
          </w:pPr>
          <w:r>
            <w:fldChar w:fldCharType="begin"/>
          </w:r>
          <w:r>
            <w:instrText xml:space="preserve"> PAGE  \* MERGEFORMAT </w:instrText>
          </w:r>
          <w:r>
            <w:fldChar w:fldCharType="separate"/>
          </w:r>
          <w:r w:rsidR="0080693A">
            <w:t>2</w:t>
          </w:r>
          <w:r>
            <w:fldChar w:fldCharType="end"/>
          </w:r>
        </w:p>
      </w:tc>
      <w:tc>
        <w:tcPr>
          <w:tcW w:w="5034" w:type="dxa"/>
          <w:vAlign w:val="bottom"/>
        </w:tcPr>
        <w:p w:rsidR="000C7921" w:rsidRDefault="000C7921">
          <w:pPr>
            <w:pStyle w:val="Footer"/>
            <w:jc w:val="right"/>
          </w:pPr>
        </w:p>
      </w:tc>
    </w:tr>
  </w:tbl>
  <w:p w:rsidR="000C7921" w:rsidRDefault="000C792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C7921">
      <w:tblPrEx>
        <w:tblCellMar>
          <w:top w:w="0" w:type="dxa"/>
          <w:bottom w:w="0" w:type="dxa"/>
        </w:tblCellMar>
      </w:tblPrEx>
      <w:tc>
        <w:tcPr>
          <w:tcW w:w="5034" w:type="dxa"/>
          <w:vAlign w:val="bottom"/>
        </w:tcPr>
        <w:p w:rsidR="000C7921" w:rsidRDefault="000C7921">
          <w:pPr>
            <w:pStyle w:val="Footer"/>
          </w:pPr>
        </w:p>
      </w:tc>
      <w:tc>
        <w:tcPr>
          <w:tcW w:w="5034" w:type="dxa"/>
          <w:vAlign w:val="bottom"/>
        </w:tcPr>
        <w:p w:rsidR="000C7921" w:rsidRDefault="000C7921">
          <w:pPr>
            <w:pStyle w:val="Footer"/>
            <w:jc w:val="right"/>
          </w:pPr>
          <w:r>
            <w:fldChar w:fldCharType="begin"/>
          </w:r>
          <w:r>
            <w:instrText xml:space="preserve"> PAGE  \* MERGEFORMAT </w:instrText>
          </w:r>
          <w:r>
            <w:fldChar w:fldCharType="separate"/>
          </w:r>
          <w:r w:rsidR="0080693A">
            <w:t>3</w:t>
          </w:r>
          <w:r>
            <w:fldChar w:fldCharType="end"/>
          </w:r>
        </w:p>
      </w:tc>
    </w:tr>
  </w:tbl>
  <w:p w:rsidR="000C7921" w:rsidRDefault="000C792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921" w:rsidRDefault="000C7921">
    <w:pPr>
      <w:pStyle w:val="Footer"/>
      <w:rPr>
        <w:b w:val="0"/>
        <w:sz w:val="21"/>
      </w:rPr>
    </w:pPr>
    <w:r>
      <w:rPr>
        <w:b w:val="0"/>
        <w:sz w:val="21"/>
      </w:rPr>
      <w:t>06-24917 (C)    030306    0</w:t>
    </w:r>
    <w:r w:rsidR="000113A9">
      <w:rPr>
        <w:rFonts w:hint="eastAsia"/>
        <w:b w:val="0"/>
        <w:sz w:val="21"/>
      </w:rPr>
      <w:t>6</w:t>
    </w:r>
    <w:r>
      <w:rPr>
        <w:b w:val="0"/>
        <w:sz w:val="21"/>
      </w:rPr>
      <w:t>0306</w:t>
    </w:r>
  </w:p>
  <w:p w:rsidR="000C7921" w:rsidRDefault="000C7921">
    <w:pPr>
      <w:spacing w:before="60" w:line="200" w:lineRule="exact"/>
      <w:rPr>
        <w:rFonts w:ascii="Barcode 3 of 9 by request" w:hAnsi="Barcode 3 of 9 by request"/>
        <w:b/>
      </w:rPr>
    </w:pPr>
    <w:r>
      <w:rPr>
        <w:rFonts w:ascii="Barcode 3 of 9 by request" w:hAnsi="Barcode 3 of 9 by request"/>
        <w:b/>
      </w:rPr>
      <w:t>*0624917*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2160" w:rsidRDefault="002D2160">
      <w:r>
        <w:separator/>
      </w:r>
    </w:p>
  </w:footnote>
  <w:footnote w:type="continuationSeparator" w:id="0">
    <w:p w:rsidR="002D2160" w:rsidRDefault="002D21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921" w:rsidRDefault="000C7921">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C7921">
                  <w:tblPrEx>
                    <w:tblCellMar>
                      <w:top w:w="0" w:type="dxa"/>
                      <w:bottom w:w="0" w:type="dxa"/>
                    </w:tblCellMar>
                  </w:tblPrEx>
                  <w:trPr>
                    <w:trHeight w:hRule="exact" w:val="864"/>
                  </w:trPr>
                  <w:tc>
                    <w:tcPr>
                      <w:tcW w:w="4838" w:type="dxa"/>
                      <w:vAlign w:val="bottom"/>
                    </w:tcPr>
                    <w:p w:rsidR="000C7921" w:rsidRDefault="000C7921">
                      <w:pPr>
                        <w:pStyle w:val="Header"/>
                        <w:spacing w:after="80"/>
                        <w:rPr>
                          <w:b/>
                          <w:sz w:val="17"/>
                        </w:rPr>
                      </w:pPr>
                      <w:r>
                        <w:rPr>
                          <w:b/>
                          <w:sz w:val="17"/>
                        </w:rPr>
                        <w:t>CEDAW/C/COD/Q/5</w:t>
                      </w:r>
                    </w:p>
                  </w:tc>
                  <w:tc>
                    <w:tcPr>
                      <w:tcW w:w="5048" w:type="dxa"/>
                      <w:vAlign w:val="bottom"/>
                    </w:tcPr>
                    <w:p w:rsidR="000C7921" w:rsidRDefault="000C7921">
                      <w:pPr>
                        <w:pStyle w:val="Header"/>
                      </w:pPr>
                    </w:p>
                  </w:tc>
                </w:tr>
              </w:tbl>
              <w:p w:rsidR="000C7921" w:rsidRDefault="000C7921"/>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921" w:rsidRDefault="000C7921">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C7921">
                  <w:tblPrEx>
                    <w:tblCellMar>
                      <w:top w:w="0" w:type="dxa"/>
                      <w:bottom w:w="0" w:type="dxa"/>
                    </w:tblCellMar>
                  </w:tblPrEx>
                  <w:trPr>
                    <w:trHeight w:hRule="exact" w:val="864"/>
                  </w:trPr>
                  <w:tc>
                    <w:tcPr>
                      <w:tcW w:w="4838" w:type="dxa"/>
                      <w:vAlign w:val="bottom"/>
                    </w:tcPr>
                    <w:p w:rsidR="000C7921" w:rsidRDefault="000C7921">
                      <w:pPr>
                        <w:pStyle w:val="Header"/>
                      </w:pPr>
                    </w:p>
                  </w:tc>
                  <w:tc>
                    <w:tcPr>
                      <w:tcW w:w="5048" w:type="dxa"/>
                      <w:vAlign w:val="bottom"/>
                    </w:tcPr>
                    <w:p w:rsidR="000C7921" w:rsidRDefault="000C7921">
                      <w:pPr>
                        <w:pStyle w:val="Header"/>
                        <w:spacing w:after="80"/>
                        <w:jc w:val="right"/>
                        <w:rPr>
                          <w:b/>
                          <w:sz w:val="17"/>
                        </w:rPr>
                      </w:pPr>
                      <w:r>
                        <w:rPr>
                          <w:b/>
                          <w:sz w:val="17"/>
                        </w:rPr>
                        <w:t>CEDAW/C/COD/Q/5</w:t>
                      </w:r>
                    </w:p>
                  </w:tc>
                </w:tr>
              </w:tbl>
              <w:p w:rsidR="000C7921" w:rsidRDefault="000C7921"/>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C7921">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C7921" w:rsidRDefault="000C7921">
          <w:pPr>
            <w:pStyle w:val="Header"/>
            <w:spacing w:after="120"/>
          </w:pPr>
        </w:p>
      </w:tc>
      <w:tc>
        <w:tcPr>
          <w:tcW w:w="1872" w:type="dxa"/>
          <w:tcBorders>
            <w:top w:val="nil"/>
            <w:left w:val="nil"/>
            <w:bottom w:val="single" w:sz="4" w:space="0" w:color="auto"/>
            <w:right w:val="nil"/>
          </w:tcBorders>
          <w:vAlign w:val="bottom"/>
        </w:tcPr>
        <w:p w:rsidR="000C7921" w:rsidRDefault="000C7921">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C7921" w:rsidRDefault="000C7921">
          <w:pPr>
            <w:pStyle w:val="Header"/>
            <w:spacing w:after="120"/>
          </w:pPr>
        </w:p>
      </w:tc>
      <w:tc>
        <w:tcPr>
          <w:tcW w:w="6523" w:type="dxa"/>
          <w:gridSpan w:val="3"/>
          <w:tcBorders>
            <w:top w:val="nil"/>
            <w:left w:val="nil"/>
            <w:bottom w:val="single" w:sz="4" w:space="0" w:color="auto"/>
            <w:right w:val="nil"/>
          </w:tcBorders>
          <w:vAlign w:val="bottom"/>
        </w:tcPr>
        <w:p w:rsidR="000C7921" w:rsidRDefault="000C7921">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/C/COD/Q/5</w:t>
          </w:r>
        </w:p>
      </w:tc>
    </w:tr>
    <w:tr w:rsidR="000C7921">
      <w:tblPrEx>
        <w:tblCellMar>
          <w:top w:w="0" w:type="dxa"/>
          <w:bottom w:w="0" w:type="dxa"/>
        </w:tblCellMar>
      </w:tblPrEx>
      <w:trPr>
        <w:trHeight w:hRule="exact" w:val="2880"/>
      </w:trPr>
      <w:tc>
        <w:tcPr>
          <w:tcW w:w="1267" w:type="dxa"/>
          <w:tcBorders>
            <w:left w:val="nil"/>
            <w:bottom w:val="single" w:sz="12" w:space="0" w:color="auto"/>
            <w:right w:val="nil"/>
          </w:tcBorders>
        </w:tcPr>
        <w:p w:rsidR="000C7921" w:rsidRDefault="000C7921">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C7921" w:rsidRDefault="000C7921">
          <w:pPr>
            <w:pStyle w:val="Header"/>
            <w:spacing w:before="109"/>
            <w:ind w:left="-72"/>
          </w:pPr>
        </w:p>
      </w:tc>
      <w:tc>
        <w:tcPr>
          <w:tcW w:w="5227" w:type="dxa"/>
          <w:gridSpan w:val="3"/>
          <w:tcBorders>
            <w:left w:val="nil"/>
            <w:bottom w:val="single" w:sz="12" w:space="0" w:color="auto"/>
            <w:right w:val="nil"/>
          </w:tcBorders>
        </w:tcPr>
        <w:p w:rsidR="000C7921" w:rsidRDefault="000C7921">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C7921" w:rsidRDefault="000C7921">
          <w:pPr>
            <w:pStyle w:val="Header"/>
            <w:spacing w:before="109"/>
          </w:pPr>
        </w:p>
      </w:tc>
      <w:tc>
        <w:tcPr>
          <w:tcW w:w="3180" w:type="dxa"/>
          <w:gridSpan w:val="2"/>
          <w:tcBorders>
            <w:left w:val="nil"/>
            <w:bottom w:val="single" w:sz="12" w:space="0" w:color="auto"/>
            <w:right w:val="nil"/>
          </w:tcBorders>
        </w:tcPr>
        <w:p w:rsidR="000C7921" w:rsidRDefault="000C7921">
          <w:pPr>
            <w:spacing w:before="240" w:line="240" w:lineRule="exact"/>
            <w:rPr>
              <w:rFonts w:ascii="Times New Roman"/>
            </w:rPr>
          </w:pPr>
          <w:r>
            <w:rPr>
              <w:rFonts w:ascii="Times New Roman"/>
            </w:rPr>
            <w:t>Distr.: General</w:t>
          </w:r>
        </w:p>
        <w:p w:rsidR="000C7921" w:rsidRDefault="000C7921">
          <w:pPr>
            <w:spacing w:line="240" w:lineRule="exact"/>
            <w:rPr>
              <w:rFonts w:ascii="Times New Roman"/>
            </w:rPr>
          </w:pPr>
          <w:r>
            <w:rPr>
              <w:rFonts w:ascii="Times New Roman"/>
            </w:rPr>
            <w:t>14 February 2006</w:t>
          </w:r>
        </w:p>
        <w:p w:rsidR="000C7921" w:rsidRDefault="000C7921">
          <w:pPr>
            <w:spacing w:line="240" w:lineRule="exact"/>
            <w:rPr>
              <w:rFonts w:ascii="Times New Roman"/>
            </w:rPr>
          </w:pPr>
          <w:r>
            <w:rPr>
              <w:rFonts w:ascii="Times New Roman"/>
            </w:rPr>
            <w:t>Chinese</w:t>
          </w:r>
        </w:p>
        <w:p w:rsidR="000C7921" w:rsidRDefault="000C7921">
          <w:pPr>
            <w:spacing w:line="240" w:lineRule="exact"/>
            <w:rPr>
              <w:rFonts w:ascii="Times New Roman"/>
            </w:rPr>
          </w:pPr>
          <w:r>
            <w:rPr>
              <w:rFonts w:ascii="Times New Roman"/>
            </w:rPr>
            <w:t>Original: English</w:t>
          </w:r>
        </w:p>
      </w:tc>
    </w:tr>
  </w:tbl>
  <w:p w:rsidR="000C7921" w:rsidRDefault="000C792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3/2006 15:17:00"/>
    <w:docVar w:name="DocCategory" w:val="Doc"/>
    <w:docVar w:name="DocType" w:val="Final"/>
    <w:docVar w:name="JobNo" w:val="0624917C"/>
    <w:docVar w:name="OandT" w:val=" "/>
    <w:docVar w:name="Symbol1" w:val="CEDAW/C/COD/Q/5"/>
    <w:docVar w:name="Symbol2" w:val="-"/>
  </w:docVars>
  <w:rsids>
    <w:rsidRoot w:val="000113A9"/>
    <w:rsid w:val="000113A9"/>
    <w:rsid w:val="000C7921"/>
    <w:rsid w:val="002D2160"/>
    <w:rsid w:val="0080693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SingleTxt"/>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0113A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1</Pages>
  <Words>521</Words>
  <Characters>2976</Characters>
  <Application>Microsoft Office Word</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QingQuan.Hua</dc:creator>
  <cp:keywords/>
  <dc:description/>
  <cp:lastModifiedBy>Yung-chuan.Wei</cp:lastModifiedBy>
  <cp:revision>10</cp:revision>
  <cp:lastPrinted>2006-03-06T13:29:00Z</cp:lastPrinted>
  <dcterms:created xsi:type="dcterms:W3CDTF">2006-03-03T14:18:00Z</dcterms:created>
  <dcterms:modified xsi:type="dcterms:W3CDTF">2006-03-06T13:29:00Z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CEDAW/C/COD/Q/5</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0624917C</vt:lpwstr>
  </property>
</Properties>
</file>