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Layout w:type="fixed"/>
        <w:tblCellMar>
          <w:left w:w="0" w:type="dxa"/>
          <w:right w:w="0" w:type="dxa"/>
        </w:tblCellMar>
        <w:tblLook w:val="0000" w:firstRow="0" w:lastRow="0" w:firstColumn="0" w:lastColumn="0" w:noHBand="0" w:noVBand="0"/>
      </w:tblPr>
      <w:tblGrid>
        <w:gridCol w:w="1851"/>
        <w:gridCol w:w="2863"/>
        <w:gridCol w:w="1390"/>
        <w:gridCol w:w="3324"/>
      </w:tblGrid>
      <w:tr w:rsidR="00000000">
        <w:tblPrEx>
          <w:tblCellMar>
            <w:top w:w="0" w:type="dxa"/>
            <w:bottom w:w="0" w:type="dxa"/>
          </w:tblCellMar>
        </w:tblPrEx>
        <w:trPr>
          <w:jc w:val="center"/>
        </w:trPr>
        <w:tc>
          <w:tcPr>
            <w:tcW w:w="4714" w:type="dxa"/>
            <w:gridSpan w:val="2"/>
            <w:tcBorders>
              <w:bottom w:val="single" w:sz="4" w:space="0" w:color="auto"/>
            </w:tcBorders>
          </w:tcPr>
          <w:p w:rsidR="00000000" w:rsidRDefault="00000000">
            <w:pPr>
              <w:tabs>
                <w:tab w:val="clear" w:pos="720"/>
              </w:tabs>
              <w:rPr>
                <w:b/>
                <w:sz w:val="24"/>
                <w:lang w:val="en-GB"/>
              </w:rPr>
            </w:pPr>
            <w:r>
              <w:rPr>
                <w:rFonts w:ascii="Univers" w:hAnsi="Univers"/>
                <w:b/>
                <w:sz w:val="28"/>
                <w:lang w:val="en-GB"/>
              </w:rPr>
              <w:t>UNITED</w:t>
            </w:r>
          </w:p>
          <w:p w:rsidR="00000000" w:rsidRDefault="00000000">
            <w:pPr>
              <w:tabs>
                <w:tab w:val="clear" w:pos="720"/>
              </w:tabs>
              <w:rPr>
                <w:sz w:val="24"/>
                <w:lang w:val="en-GB"/>
              </w:rPr>
            </w:pPr>
            <w:r>
              <w:rPr>
                <w:rFonts w:ascii="Univers" w:hAnsi="Univers"/>
                <w:b/>
                <w:sz w:val="28"/>
                <w:lang w:val="en-GB"/>
              </w:rPr>
              <w:t>NATIONS</w:t>
            </w:r>
          </w:p>
        </w:tc>
        <w:tc>
          <w:tcPr>
            <w:tcW w:w="4714" w:type="dxa"/>
            <w:gridSpan w:val="2"/>
            <w:tcBorders>
              <w:bottom w:val="single" w:sz="4" w:space="0" w:color="auto"/>
            </w:tcBorders>
          </w:tcPr>
          <w:p w:rsidR="00000000" w:rsidRDefault="00000000">
            <w:pPr>
              <w:pStyle w:val="Heading8"/>
              <w:tabs>
                <w:tab w:val="clear" w:pos="720"/>
              </w:tabs>
              <w:rPr>
                <w:bCs/>
                <w:sz w:val="24"/>
                <w:lang w:val="en-GB"/>
              </w:rPr>
            </w:pPr>
            <w:r>
              <w:rPr>
                <w:rFonts w:ascii="Univers" w:hAnsi="Univers"/>
                <w:bCs/>
                <w:sz w:val="72"/>
                <w:lang w:val="en-GB"/>
              </w:rPr>
              <w:t>CRC</w:t>
            </w:r>
          </w:p>
        </w:tc>
      </w:tr>
      <w:bookmarkStart w:id="0" w:name="_MON_992683145"/>
      <w:bookmarkStart w:id="1" w:name="_MON_1114341189"/>
      <w:bookmarkStart w:id="2" w:name="_MON_1157286162"/>
      <w:bookmarkStart w:id="3" w:name="_MON_1157370033"/>
      <w:bookmarkEnd w:id="0"/>
      <w:bookmarkEnd w:id="1"/>
      <w:bookmarkEnd w:id="2"/>
      <w:bookmarkEnd w:id="3"/>
      <w:tr w:rsidR="00000000">
        <w:tblPrEx>
          <w:tblCellMar>
            <w:top w:w="0" w:type="dxa"/>
            <w:bottom w:w="0" w:type="dxa"/>
          </w:tblCellMar>
        </w:tblPrEx>
        <w:trPr>
          <w:cantSplit/>
          <w:jc w:val="center"/>
        </w:trPr>
        <w:tc>
          <w:tcPr>
            <w:tcW w:w="1851" w:type="dxa"/>
          </w:tcPr>
          <w:p w:rsidR="00000000" w:rsidRDefault="00000000">
            <w:pPr>
              <w:tabs>
                <w:tab w:val="clear" w:pos="720"/>
              </w:tabs>
              <w:ind w:left="170"/>
              <w:jc w:val="left"/>
              <w:rPr>
                <w:b/>
                <w:sz w:val="24"/>
                <w:lang w:val="fr-CH"/>
              </w:rPr>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39979" r:id="rId8"/>
              </w:object>
            </w:r>
          </w:p>
        </w:tc>
        <w:tc>
          <w:tcPr>
            <w:tcW w:w="4253" w:type="dxa"/>
            <w:gridSpan w:val="2"/>
          </w:tcPr>
          <w:p w:rsidR="00000000" w:rsidRDefault="00000000">
            <w:pPr>
              <w:tabs>
                <w:tab w:val="clear" w:pos="720"/>
              </w:tabs>
              <w:spacing w:before="240"/>
              <w:jc w:val="left"/>
              <w:rPr>
                <w:b/>
                <w:sz w:val="24"/>
                <w:lang w:val="en-GB"/>
              </w:rPr>
            </w:pPr>
            <w:r>
              <w:rPr>
                <w:rFonts w:ascii="Univers" w:hAnsi="Univers"/>
                <w:b/>
                <w:sz w:val="30"/>
                <w:lang w:val="en-GB"/>
              </w:rPr>
              <w:t>Convention</w:t>
            </w:r>
            <w:r>
              <w:rPr>
                <w:sz w:val="24"/>
                <w:lang w:val="en-GB"/>
              </w:rPr>
              <w:t xml:space="preserve"> </w:t>
            </w:r>
            <w:r>
              <w:rPr>
                <w:rFonts w:ascii="Univers" w:hAnsi="Univers"/>
                <w:b/>
                <w:sz w:val="30"/>
                <w:lang w:val="en-GB"/>
              </w:rPr>
              <w:t>on the</w:t>
            </w:r>
            <w:r>
              <w:rPr>
                <w:rFonts w:ascii="Univers" w:hAnsi="Univers"/>
                <w:b/>
                <w:sz w:val="30"/>
                <w:lang w:val="en-GB"/>
              </w:rPr>
              <w:br/>
              <w:t>Rights of the Child</w:t>
            </w:r>
          </w:p>
        </w:tc>
        <w:tc>
          <w:tcPr>
            <w:tcW w:w="3324" w:type="dxa"/>
          </w:tcPr>
          <w:p w:rsidR="00000000" w:rsidRDefault="00000000">
            <w:pPr>
              <w:tabs>
                <w:tab w:val="clear" w:pos="720"/>
              </w:tabs>
              <w:spacing w:before="120"/>
              <w:ind w:left="737"/>
              <w:rPr>
                <w:sz w:val="24"/>
                <w:lang w:val="en-GB"/>
              </w:rPr>
            </w:pPr>
            <w:r>
              <w:rPr>
                <w:sz w:val="24"/>
                <w:lang w:val="en-GB"/>
              </w:rPr>
              <w:t>Distr.</w:t>
            </w:r>
          </w:p>
          <w:p w:rsidR="00000000" w:rsidRDefault="00000000">
            <w:pPr>
              <w:tabs>
                <w:tab w:val="clear" w:pos="720"/>
              </w:tabs>
              <w:ind w:left="737"/>
              <w:rPr>
                <w:sz w:val="24"/>
                <w:lang w:val="en-GB"/>
              </w:rPr>
            </w:pPr>
            <w:r>
              <w:rPr>
                <w:sz w:val="24"/>
                <w:lang w:val="en-GB"/>
              </w:rPr>
              <w:t>GENERAL</w:t>
            </w:r>
          </w:p>
          <w:p w:rsidR="00000000" w:rsidRDefault="00000000">
            <w:pPr>
              <w:tabs>
                <w:tab w:val="clear" w:pos="720"/>
              </w:tabs>
              <w:ind w:left="737"/>
              <w:rPr>
                <w:sz w:val="24"/>
                <w:lang w:val="en-GB"/>
              </w:rPr>
            </w:pPr>
          </w:p>
          <w:p w:rsidR="00000000" w:rsidRDefault="00000000">
            <w:pPr>
              <w:tabs>
                <w:tab w:val="clear" w:pos="720"/>
              </w:tabs>
              <w:ind w:left="737"/>
              <w:rPr>
                <w:sz w:val="24"/>
                <w:lang w:val="en-GB"/>
              </w:rPr>
            </w:pPr>
            <w:r>
              <w:rPr>
                <w:sz w:val="24"/>
                <w:lang w:val="en-GB"/>
              </w:rPr>
              <w:t>CRC/C/125/Add.6</w:t>
            </w:r>
          </w:p>
          <w:p w:rsidR="00000000" w:rsidRDefault="00000000">
            <w:pPr>
              <w:tabs>
                <w:tab w:val="clear" w:pos="720"/>
              </w:tabs>
              <w:ind w:left="737"/>
              <w:rPr>
                <w:sz w:val="24"/>
                <w:lang w:val="en-GB"/>
              </w:rPr>
            </w:pPr>
            <w:r>
              <w:rPr>
                <w:sz w:val="24"/>
                <w:lang w:val="en-GB"/>
              </w:rPr>
              <w:t>24 May 2005</w:t>
            </w:r>
          </w:p>
          <w:p w:rsidR="00000000" w:rsidRDefault="00000000">
            <w:pPr>
              <w:tabs>
                <w:tab w:val="clear" w:pos="720"/>
              </w:tabs>
              <w:ind w:left="737"/>
              <w:rPr>
                <w:sz w:val="24"/>
                <w:lang w:val="en-GB"/>
              </w:rPr>
            </w:pPr>
          </w:p>
          <w:p w:rsidR="00000000" w:rsidRDefault="00000000">
            <w:pPr>
              <w:tabs>
                <w:tab w:val="clear" w:pos="720"/>
              </w:tabs>
              <w:ind w:left="737"/>
              <w:rPr>
                <w:sz w:val="24"/>
                <w:lang w:val="en-GB"/>
              </w:rPr>
            </w:pPr>
            <w:r>
              <w:rPr>
                <w:sz w:val="24"/>
                <w:lang w:val="en-GB"/>
              </w:rPr>
              <w:t>ENGLISH</w:t>
            </w:r>
          </w:p>
          <w:p w:rsidR="00000000" w:rsidRDefault="00000000">
            <w:pPr>
              <w:tabs>
                <w:tab w:val="clear" w:pos="720"/>
              </w:tabs>
              <w:ind w:left="737"/>
              <w:rPr>
                <w:sz w:val="24"/>
                <w:lang w:val="en-GB"/>
              </w:rPr>
            </w:pPr>
            <w:r>
              <w:rPr>
                <w:sz w:val="24"/>
                <w:lang w:val="en-GB"/>
              </w:rPr>
              <w:t>Original: SPANISH</w:t>
            </w:r>
          </w:p>
        </w:tc>
      </w:tr>
    </w:tbl>
    <w:p w:rsidR="00000000" w:rsidRDefault="00000000">
      <w:pPr>
        <w:pBdr>
          <w:bottom w:val="single" w:sz="36" w:space="1" w:color="auto"/>
        </w:pBdr>
        <w:tabs>
          <w:tab w:val="clear" w:pos="720"/>
        </w:tabs>
        <w:rPr>
          <w:b/>
          <w:sz w:val="10"/>
          <w:lang w:val="en-GB"/>
        </w:rPr>
      </w:pPr>
    </w:p>
    <w:p w:rsidR="00000000" w:rsidRDefault="00000000">
      <w:pPr>
        <w:pStyle w:val="TOAHeading"/>
        <w:tabs>
          <w:tab w:val="clear" w:pos="720"/>
        </w:tabs>
        <w:rPr>
          <w:sz w:val="24"/>
          <w:lang w:val="en-GB"/>
        </w:rPr>
      </w:pPr>
    </w:p>
    <w:p w:rsidR="00000000" w:rsidRDefault="00000000">
      <w:pPr>
        <w:tabs>
          <w:tab w:val="clear" w:pos="720"/>
        </w:tabs>
        <w:rPr>
          <w:lang w:val="en-GB"/>
        </w:rPr>
      </w:pPr>
    </w:p>
    <w:p w:rsidR="00000000" w:rsidRDefault="00000000">
      <w:pPr>
        <w:tabs>
          <w:tab w:val="clear" w:pos="720"/>
        </w:tabs>
        <w:jc w:val="center"/>
        <w:rPr>
          <w:b/>
          <w:bCs/>
          <w:sz w:val="24"/>
          <w:lang w:val="en-GB"/>
        </w:rPr>
      </w:pPr>
      <w:r>
        <w:rPr>
          <w:b/>
          <w:bCs/>
          <w:sz w:val="24"/>
          <w:lang w:val="en-GB"/>
        </w:rPr>
        <w:t>COMMITTEE ON THE RIGHTS OF THE CHILD</w:t>
      </w:r>
    </w:p>
    <w:p w:rsidR="00000000" w:rsidRDefault="00000000">
      <w:pPr>
        <w:tabs>
          <w:tab w:val="clear" w:pos="720"/>
        </w:tabs>
        <w:jc w:val="center"/>
        <w:rPr>
          <w:sz w:val="24"/>
          <w:lang w:val="en-GB"/>
        </w:rPr>
      </w:pPr>
    </w:p>
    <w:p w:rsidR="00000000" w:rsidRDefault="00000000">
      <w:pPr>
        <w:tabs>
          <w:tab w:val="clear" w:pos="720"/>
        </w:tabs>
        <w:jc w:val="center"/>
        <w:rPr>
          <w:sz w:val="24"/>
          <w:lang w:val="en-GB"/>
        </w:rPr>
      </w:pPr>
    </w:p>
    <w:p w:rsidR="00000000" w:rsidRDefault="00000000">
      <w:pPr>
        <w:tabs>
          <w:tab w:val="clear" w:pos="720"/>
        </w:tabs>
        <w:jc w:val="center"/>
        <w:rPr>
          <w:sz w:val="24"/>
          <w:lang w:val="en-GB"/>
        </w:rPr>
      </w:pPr>
    </w:p>
    <w:p w:rsidR="00000000" w:rsidRDefault="00000000">
      <w:pPr>
        <w:tabs>
          <w:tab w:val="clear" w:pos="720"/>
        </w:tabs>
        <w:jc w:val="center"/>
        <w:rPr>
          <w:b/>
          <w:bCs/>
          <w:sz w:val="24"/>
          <w:lang w:val="en-GB"/>
        </w:rPr>
      </w:pPr>
      <w:r>
        <w:rPr>
          <w:b/>
          <w:bCs/>
          <w:sz w:val="24"/>
          <w:lang w:val="en-GB"/>
        </w:rPr>
        <w:t>CONSIDERATION OF REPORTS SUBMITTED BY STATES PARTIES</w:t>
      </w:r>
    </w:p>
    <w:p w:rsidR="00000000" w:rsidRDefault="00000000">
      <w:pPr>
        <w:tabs>
          <w:tab w:val="clear" w:pos="720"/>
        </w:tabs>
        <w:jc w:val="center"/>
        <w:rPr>
          <w:b/>
          <w:bCs/>
          <w:sz w:val="24"/>
          <w:lang w:val="en-GB"/>
        </w:rPr>
      </w:pPr>
      <w:r>
        <w:rPr>
          <w:b/>
          <w:bCs/>
          <w:sz w:val="24"/>
          <w:lang w:val="en-GB"/>
        </w:rPr>
        <w:t>UNDER ARTICLE 44 OF THE CONVENTION</w:t>
      </w:r>
    </w:p>
    <w:p w:rsidR="00000000" w:rsidRDefault="00000000">
      <w:pPr>
        <w:tabs>
          <w:tab w:val="clear" w:pos="720"/>
        </w:tabs>
        <w:jc w:val="center"/>
        <w:rPr>
          <w:b/>
          <w:bCs/>
          <w:sz w:val="24"/>
          <w:lang w:val="en-GB"/>
        </w:rPr>
      </w:pPr>
    </w:p>
    <w:p w:rsidR="00000000" w:rsidRDefault="00000000">
      <w:pPr>
        <w:tabs>
          <w:tab w:val="clear" w:pos="720"/>
        </w:tabs>
        <w:jc w:val="center"/>
        <w:rPr>
          <w:b/>
          <w:bCs/>
          <w:sz w:val="24"/>
          <w:lang w:val="en-GB"/>
        </w:rPr>
      </w:pPr>
    </w:p>
    <w:p w:rsidR="00000000" w:rsidRDefault="00000000">
      <w:pPr>
        <w:tabs>
          <w:tab w:val="clear" w:pos="720"/>
        </w:tabs>
        <w:jc w:val="center"/>
        <w:rPr>
          <w:b/>
          <w:bCs/>
          <w:sz w:val="24"/>
          <w:lang w:val="en-GB"/>
        </w:rPr>
      </w:pPr>
      <w:r>
        <w:rPr>
          <w:b/>
          <w:bCs/>
          <w:sz w:val="24"/>
          <w:lang w:val="en-GB"/>
        </w:rPr>
        <w:t>Third periodic reports of States parties due in 2004</w:t>
      </w:r>
    </w:p>
    <w:p w:rsidR="00000000" w:rsidRDefault="00000000">
      <w:pPr>
        <w:tabs>
          <w:tab w:val="clear" w:pos="720"/>
        </w:tabs>
        <w:jc w:val="center"/>
        <w:rPr>
          <w:b/>
          <w:bCs/>
          <w:sz w:val="24"/>
          <w:lang w:val="en-GB"/>
        </w:rPr>
      </w:pPr>
    </w:p>
    <w:p w:rsidR="00000000" w:rsidRDefault="00000000">
      <w:pPr>
        <w:tabs>
          <w:tab w:val="clear" w:pos="720"/>
        </w:tabs>
        <w:jc w:val="center"/>
        <w:rPr>
          <w:b/>
          <w:bCs/>
          <w:sz w:val="24"/>
          <w:lang w:val="en-GB"/>
        </w:rPr>
      </w:pPr>
    </w:p>
    <w:p w:rsidR="00000000" w:rsidRDefault="00000000">
      <w:pPr>
        <w:tabs>
          <w:tab w:val="clear" w:pos="720"/>
        </w:tabs>
        <w:jc w:val="center"/>
        <w:rPr>
          <w:b/>
          <w:bCs/>
          <w:sz w:val="24"/>
          <w:lang w:val="en-GB"/>
        </w:rPr>
      </w:pPr>
      <w:r>
        <w:rPr>
          <w:b/>
          <w:bCs/>
          <w:sz w:val="24"/>
          <w:lang w:val="en-GB"/>
        </w:rPr>
        <w:t>PERU*  **</w:t>
      </w:r>
    </w:p>
    <w:p w:rsidR="00000000" w:rsidRDefault="00000000">
      <w:pPr>
        <w:tabs>
          <w:tab w:val="clear" w:pos="720"/>
        </w:tabs>
        <w:jc w:val="center"/>
        <w:rPr>
          <w:b/>
          <w:bCs/>
          <w:sz w:val="24"/>
          <w:lang w:val="en-GB"/>
        </w:rPr>
      </w:pPr>
    </w:p>
    <w:p w:rsidR="00000000" w:rsidRDefault="00000000">
      <w:pPr>
        <w:tabs>
          <w:tab w:val="clear" w:pos="720"/>
        </w:tabs>
        <w:jc w:val="right"/>
        <w:rPr>
          <w:sz w:val="24"/>
          <w:lang w:val="en-GB"/>
        </w:rPr>
      </w:pPr>
      <w:r>
        <w:rPr>
          <w:sz w:val="24"/>
          <w:lang w:val="en-GB"/>
        </w:rPr>
        <w:t xml:space="preserve"> [28 January 2004]</w:t>
      </w:r>
    </w:p>
    <w:p w:rsidR="00000000" w:rsidRDefault="00000000">
      <w:pPr>
        <w:tabs>
          <w:tab w:val="clear" w:pos="720"/>
        </w:tabs>
        <w:rPr>
          <w:sz w:val="24"/>
          <w:lang w:val="en-GB"/>
        </w:rPr>
      </w:pPr>
    </w:p>
    <w:p w:rsidR="00000000" w:rsidRDefault="00000000">
      <w:pPr>
        <w:tabs>
          <w:tab w:val="clear" w:pos="720"/>
        </w:tabs>
        <w:rPr>
          <w:sz w:val="24"/>
          <w:lang w:val="en-GB"/>
        </w:rPr>
      </w:pPr>
    </w:p>
    <w:p w:rsidR="00000000" w:rsidRDefault="00000000">
      <w:pPr>
        <w:tabs>
          <w:tab w:val="clear" w:pos="720"/>
        </w:tabs>
        <w:rPr>
          <w:sz w:val="24"/>
          <w:lang w:val="en-GB"/>
        </w:rPr>
      </w:pPr>
    </w:p>
    <w:p w:rsidR="00000000" w:rsidRDefault="00000000">
      <w:pPr>
        <w:tabs>
          <w:tab w:val="clear" w:pos="720"/>
        </w:tabs>
        <w:rPr>
          <w:sz w:val="24"/>
          <w:lang w:val="en-GB"/>
        </w:rPr>
      </w:pPr>
    </w:p>
    <w:p w:rsidR="00000000" w:rsidRDefault="00000000">
      <w:pPr>
        <w:tabs>
          <w:tab w:val="clear" w:pos="720"/>
        </w:tabs>
        <w:rPr>
          <w:sz w:val="24"/>
          <w:lang w:val="en-GB"/>
        </w:rPr>
      </w:pPr>
    </w:p>
    <w:p w:rsidR="00000000" w:rsidRDefault="00000000">
      <w:pPr>
        <w:tabs>
          <w:tab w:val="clear" w:pos="720"/>
        </w:tabs>
        <w:rPr>
          <w:sz w:val="24"/>
          <w:lang w:val="en-GB"/>
        </w:rPr>
      </w:pPr>
    </w:p>
    <w:p w:rsidR="00000000" w:rsidRDefault="00000000">
      <w:pPr>
        <w:tabs>
          <w:tab w:val="clear" w:pos="720"/>
        </w:tabs>
        <w:rPr>
          <w:sz w:val="24"/>
          <w:lang w:val="en-GB"/>
        </w:rPr>
      </w:pPr>
    </w:p>
    <w:p w:rsidR="00000000" w:rsidRDefault="00000000">
      <w:pPr>
        <w:tabs>
          <w:tab w:val="clear" w:pos="720"/>
        </w:tabs>
        <w:rPr>
          <w:sz w:val="24"/>
          <w:lang w:val="en-GB"/>
        </w:rPr>
      </w:pPr>
    </w:p>
    <w:p w:rsidR="00000000" w:rsidRDefault="00000000">
      <w:pPr>
        <w:tabs>
          <w:tab w:val="clear" w:pos="720"/>
        </w:tabs>
        <w:rPr>
          <w:sz w:val="24"/>
          <w:lang w:val="en-GB"/>
        </w:rPr>
      </w:pPr>
    </w:p>
    <w:p w:rsidR="00000000" w:rsidRDefault="00000000">
      <w:pPr>
        <w:tabs>
          <w:tab w:val="clear" w:pos="720"/>
        </w:tabs>
        <w:rPr>
          <w:sz w:val="24"/>
          <w:lang w:val="en-GB"/>
        </w:rPr>
      </w:pPr>
    </w:p>
    <w:p w:rsidR="00000000" w:rsidRDefault="00000000">
      <w:pPr>
        <w:tabs>
          <w:tab w:val="clear" w:pos="720"/>
        </w:tabs>
        <w:rPr>
          <w:sz w:val="24"/>
          <w:lang w:val="en-GB"/>
        </w:rPr>
      </w:pPr>
    </w:p>
    <w:p w:rsidR="00000000" w:rsidRDefault="00000000">
      <w:pPr>
        <w:tabs>
          <w:tab w:val="clear" w:pos="720"/>
        </w:tabs>
        <w:rPr>
          <w:sz w:val="24"/>
          <w:lang w:val="en-GB"/>
        </w:rPr>
      </w:pPr>
    </w:p>
    <w:p w:rsidR="00000000" w:rsidRDefault="00000000">
      <w:pPr>
        <w:tabs>
          <w:tab w:val="clear" w:pos="720"/>
        </w:tabs>
        <w:rPr>
          <w:sz w:val="24"/>
          <w:lang w:val="en-GB"/>
        </w:rPr>
      </w:pPr>
    </w:p>
    <w:p w:rsidR="00000000" w:rsidRDefault="00000000">
      <w:pPr>
        <w:tabs>
          <w:tab w:val="clear" w:pos="720"/>
        </w:tabs>
        <w:spacing w:after="120"/>
        <w:rPr>
          <w:sz w:val="24"/>
          <w:u w:val="single"/>
          <w:lang w:val="en-GB"/>
        </w:rPr>
      </w:pPr>
      <w:r>
        <w:rPr>
          <w:sz w:val="24"/>
          <w:u w:val="single"/>
          <w:lang w:val="en-GB"/>
        </w:rPr>
        <w:tab/>
      </w:r>
      <w:r>
        <w:rPr>
          <w:sz w:val="24"/>
          <w:u w:val="single"/>
          <w:lang w:val="en-GB"/>
        </w:rPr>
        <w:tab/>
      </w:r>
      <w:r>
        <w:rPr>
          <w:sz w:val="24"/>
          <w:u w:val="single"/>
          <w:lang w:val="en-GB"/>
        </w:rPr>
        <w:tab/>
      </w:r>
    </w:p>
    <w:p w:rsidR="00000000" w:rsidRDefault="00000000">
      <w:pPr>
        <w:tabs>
          <w:tab w:val="clear" w:pos="720"/>
        </w:tabs>
        <w:ind w:firstLine="567"/>
        <w:jc w:val="left"/>
        <w:rPr>
          <w:sz w:val="24"/>
          <w:lang w:val="en-GB"/>
        </w:rPr>
      </w:pPr>
      <w:r>
        <w:rPr>
          <w:sz w:val="24"/>
          <w:lang w:val="en-GB"/>
        </w:rPr>
        <w:t>*  For the second report submitted by the Government of Peru, see document CRC/C/65/Add.8.  For its consideration by the Committee on 21 January 2000, see documents CRC/C/SR.605 and 606 and CRC/C/15/Add.120.</w:t>
      </w:r>
    </w:p>
    <w:p w:rsidR="00000000" w:rsidRDefault="00000000">
      <w:pPr>
        <w:tabs>
          <w:tab w:val="clear" w:pos="720"/>
        </w:tabs>
        <w:rPr>
          <w:sz w:val="24"/>
          <w:lang w:val="en-GB"/>
        </w:rPr>
      </w:pPr>
    </w:p>
    <w:p w:rsidR="00000000" w:rsidRDefault="00000000">
      <w:pPr>
        <w:tabs>
          <w:tab w:val="clear" w:pos="720"/>
        </w:tabs>
        <w:jc w:val="left"/>
        <w:rPr>
          <w:sz w:val="24"/>
          <w:lang w:val="en-GB"/>
        </w:rPr>
      </w:pPr>
      <w:r>
        <w:rPr>
          <w:sz w:val="24"/>
          <w:lang w:val="en-GB"/>
        </w:rPr>
        <w:tab/>
        <w:t>**  In accordance with the information transmitted to States parties concerning the processing of their reports, the present document was not formally edited before being sent to the United Nations translation services.</w:t>
      </w:r>
    </w:p>
    <w:p w:rsidR="00000000" w:rsidRDefault="00000000">
      <w:pPr>
        <w:tabs>
          <w:tab w:val="clear" w:pos="720"/>
        </w:tabs>
        <w:rPr>
          <w:sz w:val="24"/>
          <w:lang w:val="en-GB"/>
        </w:rPr>
      </w:pPr>
    </w:p>
    <w:p w:rsidR="00000000" w:rsidRDefault="00000000">
      <w:pPr>
        <w:tabs>
          <w:tab w:val="clear" w:pos="720"/>
        </w:tabs>
        <w:rPr>
          <w:sz w:val="24"/>
          <w:lang w:val="en-GB"/>
        </w:rPr>
      </w:pPr>
    </w:p>
    <w:p w:rsidR="00000000" w:rsidRDefault="00000000">
      <w:pPr>
        <w:tabs>
          <w:tab w:val="clear" w:pos="720"/>
        </w:tabs>
        <w:rPr>
          <w:sz w:val="24"/>
        </w:rPr>
      </w:pPr>
      <w:r>
        <w:rPr>
          <w:sz w:val="24"/>
        </w:rPr>
        <w:t>GE 05-42009  (EXT)</w:t>
      </w:r>
    </w:p>
    <w:p w:rsidR="00000000" w:rsidRDefault="00000000">
      <w:pPr>
        <w:tabs>
          <w:tab w:val="clear" w:pos="720"/>
        </w:tabs>
        <w:jc w:val="center"/>
        <w:rPr>
          <w:sz w:val="24"/>
        </w:rPr>
      </w:pPr>
      <w:r>
        <w:rPr>
          <w:sz w:val="24"/>
        </w:rPr>
        <w:t>CONTENTS</w:t>
      </w:r>
    </w:p>
    <w:p w:rsidR="00000000" w:rsidRDefault="00000000">
      <w:pPr>
        <w:tabs>
          <w:tab w:val="clear" w:pos="720"/>
          <w:tab w:val="right" w:pos="397"/>
          <w:tab w:val="left" w:pos="737"/>
          <w:tab w:val="left" w:pos="1191"/>
          <w:tab w:val="left" w:leader="dot" w:pos="7144"/>
          <w:tab w:val="center" w:pos="7995"/>
          <w:tab w:val="right" w:pos="9412"/>
        </w:tabs>
        <w:rPr>
          <w:sz w:val="20"/>
        </w:rPr>
      </w:pPr>
    </w:p>
    <w:p w:rsidR="00000000" w:rsidRDefault="00000000">
      <w:pPr>
        <w:tabs>
          <w:tab w:val="clear" w:pos="720"/>
          <w:tab w:val="center" w:pos="7995"/>
          <w:tab w:val="right" w:pos="9412"/>
        </w:tabs>
        <w:rPr>
          <w:i/>
          <w:sz w:val="20"/>
          <w:lang w:val="en-GB"/>
        </w:rPr>
      </w:pPr>
      <w:r>
        <w:rPr>
          <w:i/>
          <w:sz w:val="24"/>
          <w:lang w:val="en-GB"/>
        </w:rPr>
        <w:tab/>
      </w:r>
      <w:r>
        <w:rPr>
          <w:i/>
          <w:sz w:val="20"/>
          <w:lang w:val="en-GB"/>
        </w:rPr>
        <w:t>Paragraphs</w:t>
      </w:r>
      <w:r>
        <w:rPr>
          <w:i/>
          <w:sz w:val="20"/>
          <w:lang w:val="en-GB"/>
        </w:rPr>
        <w:tab/>
        <w:t>Page</w:t>
      </w:r>
    </w:p>
    <w:p w:rsidR="00000000" w:rsidRDefault="00000000">
      <w:pPr>
        <w:tabs>
          <w:tab w:val="clear" w:pos="720"/>
          <w:tab w:val="right" w:pos="397"/>
          <w:tab w:val="left" w:pos="737"/>
          <w:tab w:val="left" w:pos="1191"/>
          <w:tab w:val="left" w:leader="dot" w:pos="7144"/>
          <w:tab w:val="center" w:pos="7995"/>
          <w:tab w:val="right" w:pos="9412"/>
        </w:tabs>
        <w:rPr>
          <w:sz w:val="24"/>
          <w:lang w:val="en-GB"/>
        </w:rPr>
      </w:pPr>
    </w:p>
    <w:p w:rsidR="00000000" w:rsidRDefault="00000000">
      <w:pPr>
        <w:tabs>
          <w:tab w:val="clear" w:pos="720"/>
          <w:tab w:val="right" w:pos="397"/>
          <w:tab w:val="left" w:pos="737"/>
          <w:tab w:val="left" w:pos="1191"/>
          <w:tab w:val="left" w:leader="dot" w:pos="7144"/>
          <w:tab w:val="center" w:pos="7995"/>
          <w:tab w:val="right" w:pos="9412"/>
        </w:tabs>
        <w:jc w:val="left"/>
        <w:rPr>
          <w:sz w:val="24"/>
          <w:lang w:val="en-GB"/>
        </w:rPr>
      </w:pPr>
      <w:r>
        <w:rPr>
          <w:sz w:val="24"/>
          <w:lang w:val="en-GB"/>
        </w:rPr>
        <w:t>Acronyms</w:t>
      </w:r>
      <w:r>
        <w:rPr>
          <w:sz w:val="24"/>
          <w:lang w:val="en-GB"/>
        </w:rPr>
        <w:tab/>
      </w:r>
      <w:r>
        <w:rPr>
          <w:sz w:val="24"/>
          <w:lang w:val="en-GB"/>
        </w:rPr>
        <w:tab/>
      </w:r>
      <w:r>
        <w:rPr>
          <w:sz w:val="24"/>
          <w:lang w:val="en-GB"/>
        </w:rPr>
        <w:tab/>
      </w:r>
      <w:r>
        <w:rPr>
          <w:sz w:val="24"/>
          <w:lang w:val="en-GB"/>
        </w:rPr>
        <w:tab/>
        <w:t>4</w:t>
      </w:r>
    </w:p>
    <w:p w:rsidR="00000000" w:rsidRDefault="00000000">
      <w:pPr>
        <w:tabs>
          <w:tab w:val="clear" w:pos="720"/>
          <w:tab w:val="right" w:pos="397"/>
          <w:tab w:val="left" w:pos="737"/>
          <w:tab w:val="left" w:pos="1191"/>
          <w:tab w:val="left" w:leader="dot" w:pos="7144"/>
          <w:tab w:val="center" w:pos="7995"/>
          <w:tab w:val="right" w:pos="9412"/>
        </w:tabs>
        <w:jc w:val="left"/>
        <w:rPr>
          <w:sz w:val="20"/>
          <w:lang w:val="en-GB"/>
        </w:rPr>
      </w:pPr>
    </w:p>
    <w:p w:rsidR="00000000" w:rsidRDefault="00000000">
      <w:pPr>
        <w:tabs>
          <w:tab w:val="clear" w:pos="720"/>
          <w:tab w:val="right" w:pos="397"/>
          <w:tab w:val="left" w:pos="737"/>
          <w:tab w:val="left" w:pos="1191"/>
          <w:tab w:val="left" w:leader="dot" w:pos="7144"/>
          <w:tab w:val="center" w:pos="7995"/>
          <w:tab w:val="right" w:pos="9412"/>
        </w:tabs>
        <w:jc w:val="left"/>
        <w:rPr>
          <w:sz w:val="24"/>
          <w:lang w:val="en-GB"/>
        </w:rPr>
      </w:pPr>
      <w:r>
        <w:rPr>
          <w:smallCaps/>
          <w:sz w:val="24"/>
          <w:lang w:val="en-GB"/>
        </w:rPr>
        <w:t>Introduction</w:t>
      </w:r>
      <w:r>
        <w:rPr>
          <w:smallCaps/>
          <w:sz w:val="24"/>
          <w:lang w:val="en-GB"/>
        </w:rPr>
        <w:tab/>
      </w:r>
      <w:r>
        <w:rPr>
          <w:smallCaps/>
          <w:sz w:val="24"/>
          <w:lang w:val="en-GB"/>
        </w:rPr>
        <w:tab/>
      </w:r>
      <w:r>
        <w:rPr>
          <w:sz w:val="24"/>
          <w:lang w:val="en-GB"/>
        </w:rPr>
        <w:t>1 – 2</w:t>
      </w:r>
      <w:r>
        <w:rPr>
          <w:sz w:val="24"/>
          <w:lang w:val="en-GB"/>
        </w:rPr>
        <w:tab/>
        <w:t>5</w:t>
      </w:r>
    </w:p>
    <w:p w:rsidR="00000000" w:rsidRDefault="00000000">
      <w:pPr>
        <w:tabs>
          <w:tab w:val="clear" w:pos="720"/>
          <w:tab w:val="right" w:pos="397"/>
          <w:tab w:val="left" w:pos="737"/>
          <w:tab w:val="left" w:pos="1191"/>
          <w:tab w:val="left" w:leader="dot" w:pos="7144"/>
          <w:tab w:val="center" w:pos="7995"/>
          <w:tab w:val="right" w:pos="9412"/>
        </w:tabs>
        <w:jc w:val="left"/>
        <w:rPr>
          <w:sz w:val="24"/>
          <w:lang w:val="en-GB"/>
        </w:rPr>
      </w:pPr>
    </w:p>
    <w:p w:rsidR="00000000" w:rsidRDefault="00000000">
      <w:pPr>
        <w:tabs>
          <w:tab w:val="clear" w:pos="720"/>
          <w:tab w:val="right" w:pos="397"/>
          <w:tab w:val="left" w:pos="737"/>
          <w:tab w:val="left" w:pos="1191"/>
          <w:tab w:val="left" w:leader="dot" w:pos="7144"/>
          <w:tab w:val="center" w:pos="7995"/>
          <w:tab w:val="right" w:pos="9412"/>
        </w:tabs>
        <w:spacing w:after="120"/>
        <w:jc w:val="left"/>
        <w:rPr>
          <w:sz w:val="24"/>
          <w:lang w:val="en-GB"/>
        </w:rPr>
      </w:pPr>
      <w:r>
        <w:rPr>
          <w:sz w:val="24"/>
          <w:lang w:val="en-GB"/>
        </w:rPr>
        <w:tab/>
        <w:t>I.</w:t>
      </w:r>
      <w:r>
        <w:rPr>
          <w:sz w:val="24"/>
          <w:lang w:val="en-GB"/>
        </w:rPr>
        <w:tab/>
      </w:r>
      <w:r>
        <w:rPr>
          <w:smallCaps/>
          <w:sz w:val="24"/>
          <w:lang w:val="en-GB"/>
        </w:rPr>
        <w:t>Situation and prospects</w:t>
      </w:r>
      <w:r>
        <w:rPr>
          <w:sz w:val="24"/>
          <w:lang w:val="en-GB"/>
        </w:rPr>
        <w:tab/>
      </w:r>
      <w:r>
        <w:rPr>
          <w:sz w:val="24"/>
          <w:lang w:val="en-GB"/>
        </w:rPr>
        <w:tab/>
        <w:t>3 – 51</w:t>
      </w:r>
      <w:r>
        <w:rPr>
          <w:sz w:val="24"/>
          <w:lang w:val="en-GB"/>
        </w:rPr>
        <w:tab/>
        <w:t>5</w:t>
      </w:r>
    </w:p>
    <w:p w:rsidR="00000000" w:rsidRDefault="00000000">
      <w:pPr>
        <w:tabs>
          <w:tab w:val="clear" w:pos="720"/>
          <w:tab w:val="right" w:pos="397"/>
          <w:tab w:val="left" w:pos="737"/>
          <w:tab w:val="left" w:pos="1191"/>
          <w:tab w:val="left" w:leader="dot" w:pos="7144"/>
          <w:tab w:val="center" w:pos="7995"/>
          <w:tab w:val="right" w:pos="9412"/>
        </w:tabs>
        <w:spacing w:after="120"/>
        <w:jc w:val="left"/>
        <w:rPr>
          <w:sz w:val="24"/>
          <w:lang w:val="en-GB"/>
        </w:rPr>
      </w:pPr>
      <w:r>
        <w:rPr>
          <w:sz w:val="24"/>
          <w:lang w:val="en-GB"/>
        </w:rPr>
        <w:tab/>
      </w:r>
      <w:r>
        <w:rPr>
          <w:sz w:val="24"/>
          <w:lang w:val="en-GB"/>
        </w:rPr>
        <w:tab/>
        <w:t>A.</w:t>
      </w:r>
      <w:r>
        <w:rPr>
          <w:sz w:val="24"/>
          <w:lang w:val="en-GB"/>
        </w:rPr>
        <w:tab/>
        <w:t>Socio - demographic indicators and living standards</w:t>
      </w:r>
      <w:r>
        <w:rPr>
          <w:sz w:val="24"/>
          <w:lang w:val="en-GB"/>
        </w:rPr>
        <w:tab/>
      </w:r>
      <w:r>
        <w:rPr>
          <w:sz w:val="24"/>
          <w:lang w:val="en-GB"/>
        </w:rPr>
        <w:tab/>
        <w:t>13 – 25</w:t>
      </w:r>
      <w:r>
        <w:rPr>
          <w:sz w:val="24"/>
          <w:lang w:val="en-GB"/>
        </w:rPr>
        <w:tab/>
        <w:t>8</w:t>
      </w:r>
    </w:p>
    <w:p w:rsidR="00000000" w:rsidRDefault="00000000">
      <w:pPr>
        <w:tabs>
          <w:tab w:val="clear" w:pos="720"/>
          <w:tab w:val="right" w:pos="397"/>
          <w:tab w:val="left" w:pos="737"/>
          <w:tab w:val="left" w:pos="1191"/>
          <w:tab w:val="left" w:leader="dot" w:pos="7144"/>
          <w:tab w:val="center" w:pos="7995"/>
          <w:tab w:val="right" w:pos="9412"/>
        </w:tabs>
        <w:spacing w:after="120"/>
        <w:jc w:val="left"/>
        <w:rPr>
          <w:sz w:val="24"/>
          <w:lang w:val="en-GB"/>
        </w:rPr>
      </w:pPr>
      <w:r>
        <w:rPr>
          <w:sz w:val="24"/>
          <w:lang w:val="en-GB"/>
        </w:rPr>
        <w:tab/>
      </w:r>
      <w:r>
        <w:rPr>
          <w:sz w:val="24"/>
          <w:lang w:val="en-GB"/>
        </w:rPr>
        <w:tab/>
        <w:t>B.</w:t>
      </w:r>
      <w:r>
        <w:rPr>
          <w:sz w:val="24"/>
          <w:lang w:val="en-GB"/>
        </w:rPr>
        <w:tab/>
        <w:t>Sustained economic growth and regional development</w:t>
      </w:r>
      <w:r>
        <w:rPr>
          <w:sz w:val="24"/>
          <w:lang w:val="en-GB"/>
        </w:rPr>
        <w:tab/>
      </w:r>
      <w:r>
        <w:rPr>
          <w:sz w:val="24"/>
          <w:lang w:val="en-GB"/>
        </w:rPr>
        <w:tab/>
        <w:t>26 – 34</w:t>
      </w:r>
      <w:r>
        <w:rPr>
          <w:sz w:val="24"/>
          <w:lang w:val="en-GB"/>
        </w:rPr>
        <w:tab/>
        <w:t>11</w:t>
      </w:r>
    </w:p>
    <w:p w:rsidR="00000000" w:rsidRDefault="00000000">
      <w:pPr>
        <w:tabs>
          <w:tab w:val="clear" w:pos="720"/>
          <w:tab w:val="right" w:pos="397"/>
          <w:tab w:val="left" w:pos="737"/>
          <w:tab w:val="left" w:pos="1191"/>
          <w:tab w:val="left" w:leader="dot" w:pos="7144"/>
          <w:tab w:val="center" w:pos="7995"/>
          <w:tab w:val="right" w:pos="9412"/>
        </w:tabs>
        <w:spacing w:after="120"/>
        <w:jc w:val="left"/>
        <w:rPr>
          <w:sz w:val="24"/>
          <w:lang w:val="en-GB"/>
        </w:rPr>
      </w:pPr>
      <w:r>
        <w:rPr>
          <w:sz w:val="24"/>
          <w:lang w:val="en-GB"/>
        </w:rPr>
        <w:tab/>
      </w:r>
      <w:r>
        <w:rPr>
          <w:sz w:val="24"/>
          <w:lang w:val="en-GB"/>
        </w:rPr>
        <w:tab/>
        <w:t>C.</w:t>
      </w:r>
      <w:r>
        <w:rPr>
          <w:sz w:val="24"/>
          <w:lang w:val="en-GB"/>
        </w:rPr>
        <w:tab/>
        <w:t>Education</w:t>
      </w:r>
      <w:r>
        <w:rPr>
          <w:sz w:val="24"/>
          <w:lang w:val="en-GB"/>
        </w:rPr>
        <w:tab/>
      </w:r>
      <w:r>
        <w:rPr>
          <w:sz w:val="24"/>
          <w:lang w:val="en-GB"/>
        </w:rPr>
        <w:tab/>
        <w:t>35 – 43</w:t>
      </w:r>
      <w:r>
        <w:rPr>
          <w:sz w:val="24"/>
          <w:lang w:val="en-GB"/>
        </w:rPr>
        <w:tab/>
        <w:t>13</w:t>
      </w:r>
    </w:p>
    <w:p w:rsidR="00000000" w:rsidRDefault="00000000">
      <w:pPr>
        <w:tabs>
          <w:tab w:val="clear" w:pos="720"/>
          <w:tab w:val="right" w:pos="397"/>
          <w:tab w:val="left" w:pos="737"/>
          <w:tab w:val="left" w:pos="1191"/>
          <w:tab w:val="left" w:leader="dot" w:pos="7144"/>
          <w:tab w:val="center" w:pos="7995"/>
          <w:tab w:val="right" w:pos="9412"/>
        </w:tabs>
        <w:spacing w:after="120"/>
        <w:jc w:val="left"/>
        <w:rPr>
          <w:sz w:val="24"/>
          <w:lang w:val="en-GB"/>
        </w:rPr>
      </w:pPr>
      <w:r>
        <w:rPr>
          <w:sz w:val="24"/>
          <w:lang w:val="en-GB"/>
        </w:rPr>
        <w:tab/>
      </w:r>
      <w:r>
        <w:rPr>
          <w:sz w:val="24"/>
          <w:lang w:val="en-GB"/>
        </w:rPr>
        <w:tab/>
        <w:t>D.</w:t>
      </w:r>
      <w:r>
        <w:rPr>
          <w:sz w:val="24"/>
          <w:lang w:val="en-GB"/>
        </w:rPr>
        <w:tab/>
        <w:t>Health</w:t>
      </w:r>
      <w:r>
        <w:rPr>
          <w:sz w:val="24"/>
          <w:lang w:val="en-GB"/>
        </w:rPr>
        <w:tab/>
      </w:r>
      <w:r>
        <w:rPr>
          <w:sz w:val="24"/>
          <w:lang w:val="en-GB"/>
        </w:rPr>
        <w:tab/>
        <w:t>44 – 51</w:t>
      </w:r>
      <w:r>
        <w:rPr>
          <w:sz w:val="24"/>
          <w:lang w:val="en-GB"/>
        </w:rPr>
        <w:tab/>
        <w:t>14</w:t>
      </w:r>
    </w:p>
    <w:p w:rsidR="00000000" w:rsidRDefault="00000000">
      <w:pPr>
        <w:tabs>
          <w:tab w:val="clear" w:pos="720"/>
          <w:tab w:val="right" w:pos="397"/>
          <w:tab w:val="left" w:pos="737"/>
          <w:tab w:val="left" w:pos="1191"/>
          <w:tab w:val="left" w:leader="dot" w:pos="7144"/>
          <w:tab w:val="center" w:pos="7995"/>
          <w:tab w:val="right" w:pos="9412"/>
        </w:tabs>
        <w:jc w:val="left"/>
        <w:rPr>
          <w:sz w:val="20"/>
          <w:lang w:val="en-GB"/>
        </w:rPr>
      </w:pPr>
    </w:p>
    <w:p w:rsidR="00000000" w:rsidRDefault="00000000">
      <w:pPr>
        <w:tabs>
          <w:tab w:val="clear" w:pos="720"/>
          <w:tab w:val="right" w:pos="397"/>
          <w:tab w:val="left" w:pos="737"/>
          <w:tab w:val="left" w:pos="1191"/>
          <w:tab w:val="left" w:leader="dot" w:pos="7144"/>
          <w:tab w:val="center" w:pos="7995"/>
          <w:tab w:val="right" w:pos="9412"/>
        </w:tabs>
        <w:spacing w:after="120"/>
        <w:ind w:left="737" w:hanging="737"/>
        <w:jc w:val="left"/>
        <w:rPr>
          <w:sz w:val="24"/>
          <w:lang w:val="en-GB"/>
        </w:rPr>
      </w:pPr>
      <w:r>
        <w:rPr>
          <w:sz w:val="24"/>
          <w:lang w:val="en-GB"/>
        </w:rPr>
        <w:tab/>
        <w:t>II.</w:t>
      </w:r>
      <w:r>
        <w:rPr>
          <w:sz w:val="24"/>
          <w:lang w:val="en-GB"/>
        </w:rPr>
        <w:tab/>
      </w:r>
      <w:r>
        <w:rPr>
          <w:smallCaps/>
          <w:sz w:val="24"/>
          <w:lang w:val="en-GB"/>
        </w:rPr>
        <w:t>Executive summary of the National Plan of  Action for</w:t>
      </w:r>
      <w:r>
        <w:rPr>
          <w:smallCaps/>
          <w:sz w:val="24"/>
          <w:lang w:val="en-GB"/>
        </w:rPr>
        <w:br/>
        <w:t>Children and Adolescents 2002 - 2010</w:t>
      </w:r>
      <w:r>
        <w:rPr>
          <w:sz w:val="24"/>
          <w:lang w:val="en-GB"/>
        </w:rPr>
        <w:tab/>
      </w:r>
      <w:r>
        <w:rPr>
          <w:sz w:val="24"/>
          <w:lang w:val="en-GB"/>
        </w:rPr>
        <w:tab/>
        <w:t>52 – 66</w:t>
      </w:r>
      <w:r>
        <w:rPr>
          <w:sz w:val="24"/>
          <w:lang w:val="en-GB"/>
        </w:rPr>
        <w:tab/>
        <w:t>15</w:t>
      </w:r>
    </w:p>
    <w:p w:rsidR="00000000" w:rsidRDefault="00000000">
      <w:pPr>
        <w:tabs>
          <w:tab w:val="clear" w:pos="720"/>
          <w:tab w:val="right" w:pos="397"/>
          <w:tab w:val="left" w:pos="737"/>
          <w:tab w:val="left" w:pos="1191"/>
          <w:tab w:val="left" w:leader="dot" w:pos="7144"/>
          <w:tab w:val="center" w:pos="7995"/>
          <w:tab w:val="right" w:pos="9412"/>
        </w:tabs>
        <w:spacing w:after="120"/>
        <w:jc w:val="left"/>
        <w:rPr>
          <w:sz w:val="24"/>
          <w:lang w:val="en-GB"/>
        </w:rPr>
      </w:pPr>
      <w:r>
        <w:rPr>
          <w:sz w:val="24"/>
          <w:lang w:val="en-GB"/>
        </w:rPr>
        <w:tab/>
      </w:r>
      <w:r>
        <w:rPr>
          <w:sz w:val="24"/>
          <w:lang w:val="en-GB"/>
        </w:rPr>
        <w:tab/>
        <w:t>A.</w:t>
      </w:r>
      <w:r>
        <w:rPr>
          <w:sz w:val="24"/>
          <w:lang w:val="en-GB"/>
        </w:rPr>
        <w:tab/>
        <w:t>Guiding principles of the PNAI</w:t>
      </w:r>
      <w:r>
        <w:rPr>
          <w:sz w:val="24"/>
          <w:lang w:val="en-GB"/>
        </w:rPr>
        <w:tab/>
      </w:r>
      <w:r>
        <w:rPr>
          <w:sz w:val="24"/>
          <w:lang w:val="en-GB"/>
        </w:rPr>
        <w:tab/>
        <w:t>57 – 66</w:t>
      </w:r>
      <w:r>
        <w:rPr>
          <w:sz w:val="24"/>
          <w:lang w:val="en-GB"/>
        </w:rPr>
        <w:tab/>
        <w:t>17</w:t>
      </w:r>
    </w:p>
    <w:p w:rsidR="00000000" w:rsidRDefault="00000000">
      <w:pPr>
        <w:tabs>
          <w:tab w:val="clear" w:pos="720"/>
          <w:tab w:val="right" w:pos="397"/>
          <w:tab w:val="left" w:pos="737"/>
          <w:tab w:val="left" w:pos="1191"/>
          <w:tab w:val="left" w:pos="1644"/>
          <w:tab w:val="left" w:pos="2098"/>
          <w:tab w:val="left" w:leader="dot" w:pos="7144"/>
          <w:tab w:val="center" w:pos="7995"/>
          <w:tab w:val="right" w:pos="9412"/>
        </w:tabs>
        <w:spacing w:after="120"/>
        <w:jc w:val="left"/>
        <w:rPr>
          <w:sz w:val="24"/>
          <w:lang w:val="en-GB"/>
        </w:rPr>
      </w:pPr>
      <w:r>
        <w:rPr>
          <w:sz w:val="24"/>
          <w:lang w:val="en-GB"/>
        </w:rPr>
        <w:tab/>
      </w:r>
      <w:r>
        <w:rPr>
          <w:sz w:val="24"/>
          <w:lang w:val="en-GB"/>
        </w:rPr>
        <w:tab/>
      </w:r>
      <w:r>
        <w:rPr>
          <w:sz w:val="24"/>
          <w:lang w:val="en-GB"/>
        </w:rPr>
        <w:tab/>
        <w:t>1.</w:t>
      </w:r>
      <w:r>
        <w:rPr>
          <w:sz w:val="24"/>
          <w:lang w:val="en-GB"/>
        </w:rPr>
        <w:tab/>
        <w:t>Equal opportunities for all</w:t>
      </w:r>
      <w:r>
        <w:rPr>
          <w:sz w:val="24"/>
          <w:lang w:val="en-GB"/>
        </w:rPr>
        <w:tab/>
      </w:r>
      <w:r>
        <w:rPr>
          <w:sz w:val="24"/>
          <w:lang w:val="en-GB"/>
        </w:rPr>
        <w:tab/>
        <w:t>57 – 66</w:t>
      </w:r>
      <w:r>
        <w:rPr>
          <w:sz w:val="24"/>
          <w:lang w:val="en-GB"/>
        </w:rPr>
        <w:tab/>
        <w:t>17</w:t>
      </w:r>
    </w:p>
    <w:p w:rsidR="00000000" w:rsidRDefault="00000000">
      <w:pPr>
        <w:tabs>
          <w:tab w:val="clear" w:pos="720"/>
          <w:tab w:val="right" w:pos="397"/>
          <w:tab w:val="left" w:pos="737"/>
          <w:tab w:val="left" w:pos="1191"/>
          <w:tab w:val="left" w:pos="1644"/>
          <w:tab w:val="left" w:pos="2098"/>
          <w:tab w:val="left" w:leader="dot" w:pos="7144"/>
          <w:tab w:val="center" w:pos="7995"/>
          <w:tab w:val="right" w:pos="9412"/>
        </w:tabs>
        <w:spacing w:after="120"/>
        <w:ind w:left="1644" w:hanging="1644"/>
        <w:jc w:val="left"/>
        <w:rPr>
          <w:sz w:val="24"/>
          <w:lang w:val="en-GB"/>
        </w:rPr>
      </w:pPr>
      <w:r>
        <w:rPr>
          <w:sz w:val="24"/>
          <w:lang w:val="en-GB"/>
        </w:rPr>
        <w:tab/>
      </w:r>
      <w:r>
        <w:rPr>
          <w:sz w:val="24"/>
          <w:lang w:val="en-GB"/>
        </w:rPr>
        <w:tab/>
      </w:r>
      <w:r>
        <w:rPr>
          <w:sz w:val="24"/>
          <w:lang w:val="en-GB"/>
        </w:rPr>
        <w:tab/>
        <w:t>2.</w:t>
      </w:r>
      <w:r>
        <w:rPr>
          <w:sz w:val="24"/>
          <w:lang w:val="en-GB"/>
        </w:rPr>
        <w:tab/>
        <w:t>Priority for children as subjects of rights and the</w:t>
      </w:r>
      <w:r>
        <w:rPr>
          <w:sz w:val="24"/>
          <w:lang w:val="en-GB"/>
        </w:rPr>
        <w:br/>
        <w:t>foundation of development</w:t>
      </w:r>
      <w:r>
        <w:rPr>
          <w:sz w:val="24"/>
          <w:lang w:val="en-GB"/>
        </w:rPr>
        <w:tab/>
      </w:r>
      <w:r>
        <w:rPr>
          <w:sz w:val="24"/>
          <w:lang w:val="en-GB"/>
        </w:rPr>
        <w:tab/>
        <w:t>59 – 61</w:t>
      </w:r>
      <w:r>
        <w:rPr>
          <w:sz w:val="24"/>
          <w:lang w:val="en-GB"/>
        </w:rPr>
        <w:tab/>
        <w:t>17</w:t>
      </w:r>
    </w:p>
    <w:p w:rsidR="00000000" w:rsidRDefault="00000000">
      <w:pPr>
        <w:tabs>
          <w:tab w:val="clear" w:pos="720"/>
          <w:tab w:val="right" w:pos="397"/>
          <w:tab w:val="left" w:pos="737"/>
          <w:tab w:val="left" w:pos="1191"/>
          <w:tab w:val="left" w:pos="1644"/>
          <w:tab w:val="left" w:pos="2098"/>
          <w:tab w:val="left" w:leader="dot" w:pos="7144"/>
          <w:tab w:val="center" w:pos="7995"/>
          <w:tab w:val="right" w:pos="9412"/>
        </w:tabs>
        <w:spacing w:after="120"/>
        <w:jc w:val="left"/>
        <w:rPr>
          <w:sz w:val="24"/>
          <w:lang w:val="en-GB"/>
        </w:rPr>
      </w:pPr>
      <w:r>
        <w:rPr>
          <w:sz w:val="24"/>
          <w:lang w:val="en-GB"/>
        </w:rPr>
        <w:tab/>
      </w:r>
      <w:r>
        <w:rPr>
          <w:sz w:val="24"/>
          <w:lang w:val="en-GB"/>
        </w:rPr>
        <w:tab/>
      </w:r>
      <w:r>
        <w:rPr>
          <w:sz w:val="24"/>
          <w:lang w:val="en-GB"/>
        </w:rPr>
        <w:tab/>
        <w:t>3.</w:t>
      </w:r>
      <w:r>
        <w:rPr>
          <w:sz w:val="24"/>
          <w:lang w:val="en-GB"/>
        </w:rPr>
        <w:tab/>
        <w:t>The best interests of the child and the right to participate</w:t>
      </w:r>
      <w:r>
        <w:rPr>
          <w:sz w:val="24"/>
          <w:lang w:val="en-GB"/>
        </w:rPr>
        <w:tab/>
      </w:r>
      <w:r>
        <w:rPr>
          <w:sz w:val="24"/>
          <w:lang w:val="en-GB"/>
        </w:rPr>
        <w:tab/>
        <w:t>62 – 63</w:t>
      </w:r>
      <w:r>
        <w:rPr>
          <w:sz w:val="24"/>
          <w:lang w:val="en-GB"/>
        </w:rPr>
        <w:tab/>
        <w:t>17</w:t>
      </w:r>
    </w:p>
    <w:p w:rsidR="00000000" w:rsidRDefault="00000000">
      <w:pPr>
        <w:tabs>
          <w:tab w:val="clear" w:pos="720"/>
          <w:tab w:val="right" w:pos="397"/>
          <w:tab w:val="left" w:pos="737"/>
          <w:tab w:val="left" w:pos="1191"/>
          <w:tab w:val="left" w:pos="1644"/>
          <w:tab w:val="left" w:pos="2098"/>
          <w:tab w:val="left" w:leader="dot" w:pos="7144"/>
          <w:tab w:val="center" w:pos="7995"/>
          <w:tab w:val="right" w:pos="9412"/>
        </w:tabs>
        <w:spacing w:after="120"/>
        <w:ind w:left="1644" w:hanging="1644"/>
        <w:jc w:val="left"/>
        <w:rPr>
          <w:sz w:val="24"/>
          <w:lang w:val="en-GB"/>
        </w:rPr>
      </w:pPr>
      <w:r>
        <w:rPr>
          <w:sz w:val="24"/>
          <w:lang w:val="en-GB"/>
        </w:rPr>
        <w:tab/>
      </w:r>
      <w:r>
        <w:rPr>
          <w:sz w:val="24"/>
          <w:lang w:val="en-GB"/>
        </w:rPr>
        <w:tab/>
      </w:r>
      <w:r>
        <w:rPr>
          <w:sz w:val="24"/>
          <w:lang w:val="en-GB"/>
        </w:rPr>
        <w:tab/>
        <w:t>4.</w:t>
      </w:r>
      <w:r>
        <w:rPr>
          <w:sz w:val="24"/>
          <w:lang w:val="en-GB"/>
        </w:rPr>
        <w:tab/>
        <w:t>The family as the fundamental institution for the</w:t>
      </w:r>
      <w:r>
        <w:rPr>
          <w:sz w:val="24"/>
          <w:lang w:val="en-GB"/>
        </w:rPr>
        <w:br/>
        <w:t>development of the human person</w:t>
      </w:r>
      <w:r>
        <w:rPr>
          <w:sz w:val="24"/>
          <w:lang w:val="en-GB"/>
        </w:rPr>
        <w:tab/>
      </w:r>
      <w:r>
        <w:rPr>
          <w:sz w:val="24"/>
          <w:lang w:val="en-GB"/>
        </w:rPr>
        <w:tab/>
        <w:t>64 – 66</w:t>
      </w:r>
      <w:r>
        <w:rPr>
          <w:sz w:val="24"/>
          <w:lang w:val="en-GB"/>
        </w:rPr>
        <w:tab/>
        <w:t>17</w:t>
      </w:r>
    </w:p>
    <w:p w:rsidR="00000000" w:rsidRDefault="00000000">
      <w:pPr>
        <w:tabs>
          <w:tab w:val="clear" w:pos="720"/>
          <w:tab w:val="right" w:pos="397"/>
          <w:tab w:val="left" w:pos="737"/>
          <w:tab w:val="left" w:pos="1191"/>
          <w:tab w:val="left" w:leader="dot" w:pos="7144"/>
          <w:tab w:val="center" w:pos="7995"/>
          <w:tab w:val="right" w:pos="9412"/>
        </w:tabs>
        <w:jc w:val="left"/>
        <w:rPr>
          <w:sz w:val="20"/>
          <w:lang w:val="en-GB"/>
        </w:rPr>
      </w:pPr>
    </w:p>
    <w:p w:rsidR="00000000" w:rsidRDefault="00000000">
      <w:pPr>
        <w:tabs>
          <w:tab w:val="clear" w:pos="720"/>
          <w:tab w:val="right" w:pos="397"/>
          <w:tab w:val="left" w:pos="737"/>
          <w:tab w:val="left" w:pos="1191"/>
          <w:tab w:val="left" w:leader="dot" w:pos="7144"/>
          <w:tab w:val="center" w:pos="7995"/>
          <w:tab w:val="right" w:pos="9412"/>
        </w:tabs>
        <w:spacing w:after="120"/>
        <w:jc w:val="left"/>
        <w:rPr>
          <w:sz w:val="24"/>
          <w:lang w:val="en-GB"/>
        </w:rPr>
      </w:pPr>
      <w:r>
        <w:rPr>
          <w:sz w:val="24"/>
          <w:lang w:val="en-GB"/>
        </w:rPr>
        <w:tab/>
        <w:t>III.</w:t>
      </w:r>
      <w:r>
        <w:rPr>
          <w:sz w:val="24"/>
          <w:lang w:val="en-GB"/>
        </w:rPr>
        <w:tab/>
        <w:t>C</w:t>
      </w:r>
      <w:r>
        <w:rPr>
          <w:smallCaps/>
          <w:sz w:val="24"/>
          <w:lang w:val="en-GB"/>
        </w:rPr>
        <w:t>urrent situation of the rights of the child</w:t>
      </w:r>
      <w:r>
        <w:rPr>
          <w:smallCaps/>
          <w:sz w:val="24"/>
          <w:lang w:val="en-GB"/>
        </w:rPr>
        <w:tab/>
      </w:r>
      <w:r>
        <w:rPr>
          <w:smallCaps/>
          <w:sz w:val="24"/>
          <w:lang w:val="en-GB"/>
        </w:rPr>
        <w:tab/>
      </w:r>
      <w:r>
        <w:rPr>
          <w:sz w:val="24"/>
          <w:lang w:val="en-GB"/>
        </w:rPr>
        <w:t>67 – 218</w:t>
      </w:r>
      <w:r>
        <w:rPr>
          <w:sz w:val="24"/>
          <w:lang w:val="en-GB"/>
        </w:rPr>
        <w:tab/>
        <w:t>20</w:t>
      </w:r>
    </w:p>
    <w:p w:rsidR="00000000" w:rsidRDefault="00000000">
      <w:pPr>
        <w:tabs>
          <w:tab w:val="clear" w:pos="720"/>
          <w:tab w:val="right" w:pos="397"/>
          <w:tab w:val="left" w:pos="737"/>
          <w:tab w:val="left" w:pos="1191"/>
          <w:tab w:val="left" w:leader="dot" w:pos="7144"/>
          <w:tab w:val="center" w:pos="7995"/>
          <w:tab w:val="right" w:pos="9412"/>
        </w:tabs>
        <w:spacing w:after="120"/>
        <w:jc w:val="left"/>
        <w:rPr>
          <w:sz w:val="24"/>
          <w:lang w:val="en-GB"/>
        </w:rPr>
      </w:pPr>
      <w:r>
        <w:rPr>
          <w:sz w:val="24"/>
          <w:lang w:val="en-GB"/>
        </w:rPr>
        <w:tab/>
      </w:r>
      <w:r>
        <w:rPr>
          <w:sz w:val="24"/>
          <w:lang w:val="en-GB"/>
        </w:rPr>
        <w:tab/>
        <w:t>A.</w:t>
      </w:r>
      <w:r>
        <w:rPr>
          <w:sz w:val="24"/>
          <w:lang w:val="en-GB"/>
        </w:rPr>
        <w:tab/>
        <w:t>Exclusion at an early age</w:t>
      </w:r>
      <w:r>
        <w:rPr>
          <w:sz w:val="24"/>
          <w:lang w:val="en-GB"/>
        </w:rPr>
        <w:tab/>
      </w:r>
      <w:r>
        <w:rPr>
          <w:sz w:val="24"/>
          <w:lang w:val="en-GB"/>
        </w:rPr>
        <w:tab/>
        <w:t>68 – 70</w:t>
      </w:r>
      <w:r>
        <w:rPr>
          <w:sz w:val="24"/>
          <w:lang w:val="en-GB"/>
        </w:rPr>
        <w:tab/>
        <w:t>20</w:t>
      </w:r>
    </w:p>
    <w:p w:rsidR="00000000" w:rsidRDefault="00000000">
      <w:pPr>
        <w:tabs>
          <w:tab w:val="clear" w:pos="720"/>
          <w:tab w:val="right" w:pos="397"/>
          <w:tab w:val="left" w:pos="737"/>
          <w:tab w:val="left" w:pos="1191"/>
          <w:tab w:val="left" w:leader="dot" w:pos="7144"/>
          <w:tab w:val="center" w:pos="7995"/>
          <w:tab w:val="right" w:pos="9412"/>
        </w:tabs>
        <w:spacing w:after="120"/>
        <w:jc w:val="left"/>
        <w:rPr>
          <w:sz w:val="24"/>
          <w:lang w:val="en-GB"/>
        </w:rPr>
      </w:pPr>
      <w:r>
        <w:rPr>
          <w:sz w:val="24"/>
          <w:lang w:val="en-GB"/>
        </w:rPr>
        <w:tab/>
      </w:r>
      <w:r>
        <w:rPr>
          <w:sz w:val="24"/>
          <w:lang w:val="en-GB"/>
        </w:rPr>
        <w:tab/>
        <w:t>B.</w:t>
      </w:r>
      <w:r>
        <w:rPr>
          <w:sz w:val="24"/>
          <w:lang w:val="en-GB"/>
        </w:rPr>
        <w:tab/>
        <w:t>Development in early childhood (0 - 5 years)</w:t>
      </w:r>
      <w:r>
        <w:rPr>
          <w:sz w:val="24"/>
          <w:lang w:val="en-GB"/>
        </w:rPr>
        <w:tab/>
      </w:r>
      <w:r>
        <w:rPr>
          <w:sz w:val="24"/>
          <w:lang w:val="en-GB"/>
        </w:rPr>
        <w:tab/>
        <w:t>71 – 107</w:t>
      </w:r>
      <w:r>
        <w:rPr>
          <w:sz w:val="24"/>
          <w:lang w:val="en-GB"/>
        </w:rPr>
        <w:tab/>
        <w:t>21</w:t>
      </w:r>
    </w:p>
    <w:p w:rsidR="00000000" w:rsidRDefault="00000000">
      <w:pPr>
        <w:tabs>
          <w:tab w:val="clear" w:pos="720"/>
          <w:tab w:val="right" w:pos="397"/>
          <w:tab w:val="left" w:pos="737"/>
          <w:tab w:val="left" w:pos="1191"/>
          <w:tab w:val="left" w:pos="1644"/>
          <w:tab w:val="left" w:pos="2098"/>
          <w:tab w:val="left" w:leader="dot" w:pos="7144"/>
          <w:tab w:val="center" w:pos="7995"/>
          <w:tab w:val="right" w:pos="9412"/>
        </w:tabs>
        <w:spacing w:after="120"/>
        <w:jc w:val="left"/>
        <w:rPr>
          <w:sz w:val="24"/>
          <w:lang w:val="en-GB"/>
        </w:rPr>
      </w:pPr>
      <w:r>
        <w:rPr>
          <w:sz w:val="24"/>
          <w:lang w:val="en-GB"/>
        </w:rPr>
        <w:tab/>
      </w:r>
      <w:r>
        <w:rPr>
          <w:sz w:val="24"/>
          <w:lang w:val="en-GB"/>
        </w:rPr>
        <w:tab/>
      </w:r>
      <w:r>
        <w:rPr>
          <w:sz w:val="24"/>
          <w:lang w:val="en-GB"/>
        </w:rPr>
        <w:tab/>
        <w:t>1.</w:t>
      </w:r>
      <w:r>
        <w:rPr>
          <w:sz w:val="24"/>
          <w:lang w:val="en-GB"/>
        </w:rPr>
        <w:tab/>
        <w:t>The beginning of life</w:t>
      </w:r>
      <w:r>
        <w:rPr>
          <w:sz w:val="24"/>
          <w:lang w:val="en-GB"/>
        </w:rPr>
        <w:tab/>
      </w:r>
      <w:r>
        <w:rPr>
          <w:sz w:val="24"/>
          <w:lang w:val="en-GB"/>
        </w:rPr>
        <w:tab/>
        <w:t>73 – 86</w:t>
      </w:r>
      <w:r>
        <w:rPr>
          <w:sz w:val="24"/>
          <w:lang w:val="en-GB"/>
        </w:rPr>
        <w:tab/>
        <w:t>21</w:t>
      </w:r>
    </w:p>
    <w:p w:rsidR="00000000" w:rsidRDefault="00000000">
      <w:pPr>
        <w:tabs>
          <w:tab w:val="clear" w:pos="720"/>
          <w:tab w:val="right" w:pos="397"/>
          <w:tab w:val="left" w:pos="737"/>
          <w:tab w:val="left" w:pos="1191"/>
          <w:tab w:val="left" w:pos="1644"/>
          <w:tab w:val="left" w:pos="2098"/>
          <w:tab w:val="left" w:leader="dot" w:pos="7144"/>
          <w:tab w:val="center" w:pos="7995"/>
          <w:tab w:val="right" w:pos="9412"/>
        </w:tabs>
        <w:spacing w:after="120"/>
        <w:jc w:val="left"/>
        <w:rPr>
          <w:sz w:val="24"/>
          <w:lang w:val="en-GB"/>
        </w:rPr>
      </w:pPr>
      <w:r>
        <w:rPr>
          <w:sz w:val="24"/>
          <w:lang w:val="en-GB"/>
        </w:rPr>
        <w:tab/>
      </w:r>
      <w:r>
        <w:rPr>
          <w:sz w:val="24"/>
          <w:lang w:val="en-GB"/>
        </w:rPr>
        <w:tab/>
      </w:r>
      <w:r>
        <w:rPr>
          <w:sz w:val="24"/>
          <w:lang w:val="en-GB"/>
        </w:rPr>
        <w:tab/>
        <w:t>2.</w:t>
      </w:r>
      <w:r>
        <w:rPr>
          <w:sz w:val="24"/>
          <w:lang w:val="en-GB"/>
        </w:rPr>
        <w:tab/>
        <w:t>Nutrition</w:t>
      </w:r>
      <w:r>
        <w:rPr>
          <w:sz w:val="24"/>
          <w:lang w:val="en-GB"/>
        </w:rPr>
        <w:tab/>
      </w:r>
      <w:r>
        <w:rPr>
          <w:sz w:val="24"/>
          <w:lang w:val="en-GB"/>
        </w:rPr>
        <w:tab/>
        <w:t>87 – 98</w:t>
      </w:r>
      <w:r>
        <w:rPr>
          <w:sz w:val="24"/>
          <w:lang w:val="en-GB"/>
        </w:rPr>
        <w:tab/>
        <w:t>25</w:t>
      </w:r>
    </w:p>
    <w:p w:rsidR="00000000" w:rsidRDefault="00000000">
      <w:pPr>
        <w:tabs>
          <w:tab w:val="clear" w:pos="720"/>
          <w:tab w:val="right" w:pos="397"/>
          <w:tab w:val="left" w:pos="737"/>
          <w:tab w:val="left" w:pos="1191"/>
          <w:tab w:val="left" w:pos="1644"/>
          <w:tab w:val="left" w:pos="2098"/>
          <w:tab w:val="left" w:leader="dot" w:pos="7144"/>
          <w:tab w:val="center" w:pos="7995"/>
          <w:tab w:val="right" w:pos="9412"/>
        </w:tabs>
        <w:spacing w:after="120"/>
        <w:jc w:val="left"/>
        <w:rPr>
          <w:sz w:val="24"/>
          <w:lang w:val="en-GB"/>
        </w:rPr>
      </w:pPr>
      <w:r>
        <w:rPr>
          <w:sz w:val="24"/>
          <w:lang w:val="en-GB"/>
        </w:rPr>
        <w:tab/>
      </w:r>
      <w:r>
        <w:rPr>
          <w:sz w:val="24"/>
          <w:lang w:val="en-GB"/>
        </w:rPr>
        <w:tab/>
      </w:r>
      <w:r>
        <w:rPr>
          <w:sz w:val="24"/>
          <w:lang w:val="en-GB"/>
        </w:rPr>
        <w:tab/>
        <w:t>3.</w:t>
      </w:r>
      <w:r>
        <w:rPr>
          <w:sz w:val="24"/>
          <w:lang w:val="en-GB"/>
        </w:rPr>
        <w:tab/>
        <w:t>Initial education</w:t>
      </w:r>
      <w:r>
        <w:rPr>
          <w:sz w:val="24"/>
          <w:lang w:val="en-GB"/>
        </w:rPr>
        <w:tab/>
      </w:r>
      <w:r>
        <w:rPr>
          <w:sz w:val="24"/>
          <w:lang w:val="en-GB"/>
        </w:rPr>
        <w:tab/>
        <w:t>99 – 102</w:t>
      </w:r>
      <w:r>
        <w:rPr>
          <w:sz w:val="24"/>
          <w:lang w:val="en-GB"/>
        </w:rPr>
        <w:tab/>
        <w:t>27</w:t>
      </w:r>
    </w:p>
    <w:p w:rsidR="00000000" w:rsidRDefault="00000000">
      <w:pPr>
        <w:tabs>
          <w:tab w:val="clear" w:pos="720"/>
          <w:tab w:val="right" w:pos="397"/>
          <w:tab w:val="left" w:pos="737"/>
          <w:tab w:val="left" w:pos="1191"/>
          <w:tab w:val="left" w:pos="1644"/>
          <w:tab w:val="left" w:pos="2098"/>
          <w:tab w:val="left" w:leader="dot" w:pos="7144"/>
          <w:tab w:val="center" w:pos="7995"/>
          <w:tab w:val="right" w:pos="9412"/>
        </w:tabs>
        <w:spacing w:after="120"/>
        <w:jc w:val="left"/>
        <w:rPr>
          <w:sz w:val="24"/>
          <w:lang w:val="en-GB"/>
        </w:rPr>
      </w:pPr>
      <w:r>
        <w:rPr>
          <w:sz w:val="24"/>
          <w:lang w:val="en-GB"/>
        </w:rPr>
        <w:tab/>
      </w:r>
      <w:r>
        <w:rPr>
          <w:sz w:val="24"/>
          <w:lang w:val="en-GB"/>
        </w:rPr>
        <w:tab/>
      </w:r>
      <w:r>
        <w:rPr>
          <w:sz w:val="24"/>
          <w:lang w:val="en-GB"/>
        </w:rPr>
        <w:tab/>
        <w:t>4.</w:t>
      </w:r>
      <w:r>
        <w:rPr>
          <w:sz w:val="24"/>
          <w:lang w:val="en-GB"/>
        </w:rPr>
        <w:tab/>
        <w:t>The right to a name</w:t>
      </w:r>
      <w:r>
        <w:rPr>
          <w:sz w:val="24"/>
          <w:lang w:val="en-GB"/>
        </w:rPr>
        <w:tab/>
      </w:r>
      <w:r>
        <w:rPr>
          <w:sz w:val="24"/>
          <w:lang w:val="en-GB"/>
        </w:rPr>
        <w:tab/>
        <w:t>103 – 107</w:t>
      </w:r>
      <w:r>
        <w:rPr>
          <w:sz w:val="24"/>
          <w:lang w:val="en-GB"/>
        </w:rPr>
        <w:tab/>
        <w:t>29</w:t>
      </w:r>
    </w:p>
    <w:p w:rsidR="00000000" w:rsidRDefault="00000000">
      <w:pPr>
        <w:tabs>
          <w:tab w:val="clear" w:pos="720"/>
          <w:tab w:val="right" w:pos="397"/>
          <w:tab w:val="left" w:pos="737"/>
          <w:tab w:val="left" w:pos="1191"/>
          <w:tab w:val="left" w:leader="dot" w:pos="7144"/>
          <w:tab w:val="center" w:pos="7995"/>
          <w:tab w:val="right" w:pos="9412"/>
        </w:tabs>
        <w:spacing w:after="120"/>
        <w:jc w:val="left"/>
        <w:rPr>
          <w:sz w:val="24"/>
          <w:lang w:val="en-GB"/>
        </w:rPr>
      </w:pPr>
      <w:r>
        <w:rPr>
          <w:sz w:val="24"/>
          <w:lang w:val="en-GB"/>
        </w:rPr>
        <w:tab/>
      </w:r>
      <w:r>
        <w:rPr>
          <w:sz w:val="24"/>
          <w:lang w:val="en-GB"/>
        </w:rPr>
        <w:tab/>
        <w:t>C.</w:t>
      </w:r>
      <w:r>
        <w:rPr>
          <w:sz w:val="24"/>
          <w:lang w:val="en-GB"/>
        </w:rPr>
        <w:tab/>
        <w:t>Children and primary school (6 - 11 years)</w:t>
      </w:r>
      <w:r>
        <w:rPr>
          <w:sz w:val="24"/>
          <w:lang w:val="en-GB"/>
        </w:rPr>
        <w:tab/>
      </w:r>
      <w:r>
        <w:rPr>
          <w:sz w:val="24"/>
          <w:lang w:val="en-GB"/>
        </w:rPr>
        <w:tab/>
        <w:t>108 – 122</w:t>
      </w:r>
      <w:r>
        <w:rPr>
          <w:sz w:val="24"/>
          <w:lang w:val="en-GB"/>
        </w:rPr>
        <w:tab/>
        <w:t>30</w:t>
      </w:r>
    </w:p>
    <w:p w:rsidR="00000000" w:rsidRDefault="00000000">
      <w:pPr>
        <w:tabs>
          <w:tab w:val="clear" w:pos="720"/>
          <w:tab w:val="right" w:pos="397"/>
          <w:tab w:val="left" w:pos="737"/>
          <w:tab w:val="left" w:pos="1191"/>
          <w:tab w:val="left" w:pos="1644"/>
          <w:tab w:val="left" w:pos="2098"/>
          <w:tab w:val="left" w:leader="dot" w:pos="7144"/>
          <w:tab w:val="center" w:pos="7995"/>
          <w:tab w:val="right" w:pos="9412"/>
        </w:tabs>
        <w:spacing w:after="120"/>
        <w:jc w:val="left"/>
        <w:rPr>
          <w:sz w:val="24"/>
          <w:lang w:val="en-GB"/>
        </w:rPr>
      </w:pPr>
      <w:r>
        <w:rPr>
          <w:sz w:val="24"/>
          <w:lang w:val="en-GB"/>
        </w:rPr>
        <w:tab/>
      </w:r>
      <w:r>
        <w:rPr>
          <w:sz w:val="24"/>
          <w:lang w:val="en-GB"/>
        </w:rPr>
        <w:tab/>
      </w:r>
      <w:r>
        <w:rPr>
          <w:sz w:val="24"/>
          <w:lang w:val="en-GB"/>
        </w:rPr>
        <w:tab/>
        <w:t>1.</w:t>
      </w:r>
      <w:r>
        <w:rPr>
          <w:sz w:val="24"/>
          <w:lang w:val="en-GB"/>
        </w:rPr>
        <w:tab/>
        <w:t>School attendance and learning</w:t>
      </w:r>
      <w:r>
        <w:rPr>
          <w:sz w:val="24"/>
          <w:lang w:val="en-GB"/>
        </w:rPr>
        <w:tab/>
      </w:r>
      <w:r>
        <w:rPr>
          <w:sz w:val="24"/>
          <w:lang w:val="en-GB"/>
        </w:rPr>
        <w:tab/>
        <w:t>109 – 115</w:t>
      </w:r>
      <w:r>
        <w:rPr>
          <w:sz w:val="24"/>
          <w:lang w:val="en-GB"/>
        </w:rPr>
        <w:tab/>
        <w:t>30</w:t>
      </w:r>
    </w:p>
    <w:p w:rsidR="00000000" w:rsidRDefault="00000000">
      <w:pPr>
        <w:tabs>
          <w:tab w:val="clear" w:pos="720"/>
          <w:tab w:val="right" w:pos="397"/>
          <w:tab w:val="left" w:pos="737"/>
          <w:tab w:val="left" w:pos="1191"/>
          <w:tab w:val="left" w:pos="1644"/>
          <w:tab w:val="left" w:pos="2098"/>
          <w:tab w:val="left" w:leader="dot" w:pos="7144"/>
          <w:tab w:val="center" w:pos="7995"/>
          <w:tab w:val="right" w:pos="9412"/>
        </w:tabs>
        <w:spacing w:after="120"/>
        <w:jc w:val="left"/>
        <w:rPr>
          <w:sz w:val="24"/>
          <w:lang w:val="en-GB"/>
        </w:rPr>
      </w:pPr>
      <w:r>
        <w:rPr>
          <w:sz w:val="24"/>
          <w:lang w:val="en-GB"/>
        </w:rPr>
        <w:tab/>
      </w:r>
      <w:r>
        <w:rPr>
          <w:sz w:val="24"/>
          <w:lang w:val="en-GB"/>
        </w:rPr>
        <w:tab/>
      </w:r>
      <w:r>
        <w:rPr>
          <w:sz w:val="24"/>
          <w:lang w:val="en-GB"/>
        </w:rPr>
        <w:tab/>
        <w:t>2.</w:t>
      </w:r>
      <w:r>
        <w:rPr>
          <w:sz w:val="24"/>
          <w:lang w:val="en-GB"/>
        </w:rPr>
        <w:tab/>
        <w:t>Education of rural girls</w:t>
      </w:r>
      <w:r>
        <w:rPr>
          <w:sz w:val="24"/>
          <w:lang w:val="en-GB"/>
        </w:rPr>
        <w:tab/>
      </w:r>
      <w:r>
        <w:rPr>
          <w:sz w:val="24"/>
          <w:lang w:val="en-GB"/>
        </w:rPr>
        <w:tab/>
        <w:t>116 – 122</w:t>
      </w:r>
      <w:r>
        <w:rPr>
          <w:sz w:val="24"/>
          <w:lang w:val="en-GB"/>
        </w:rPr>
        <w:tab/>
        <w:t>31</w:t>
      </w:r>
    </w:p>
    <w:p w:rsidR="00000000" w:rsidRDefault="00000000">
      <w:pPr>
        <w:tabs>
          <w:tab w:val="clear" w:pos="720"/>
          <w:tab w:val="right" w:pos="397"/>
          <w:tab w:val="left" w:pos="737"/>
          <w:tab w:val="left" w:pos="1191"/>
          <w:tab w:val="left" w:pos="1644"/>
          <w:tab w:val="left" w:pos="2098"/>
          <w:tab w:val="left" w:leader="dot" w:pos="7144"/>
          <w:tab w:val="center" w:pos="7995"/>
          <w:tab w:val="right" w:pos="9412"/>
        </w:tabs>
        <w:spacing w:after="120"/>
        <w:jc w:val="left"/>
        <w:rPr>
          <w:sz w:val="24"/>
          <w:lang w:val="en-GB"/>
        </w:rPr>
      </w:pPr>
      <w:r>
        <w:rPr>
          <w:sz w:val="24"/>
          <w:lang w:val="en-GB"/>
        </w:rPr>
        <w:tab/>
      </w:r>
      <w:r>
        <w:rPr>
          <w:sz w:val="24"/>
          <w:lang w:val="en-GB"/>
        </w:rPr>
        <w:tab/>
        <w:t>D.</w:t>
      </w:r>
      <w:r>
        <w:rPr>
          <w:sz w:val="24"/>
          <w:lang w:val="en-GB"/>
        </w:rPr>
        <w:tab/>
        <w:t>Adolescents (12 - 17 years)</w:t>
      </w:r>
      <w:r>
        <w:rPr>
          <w:sz w:val="24"/>
          <w:lang w:val="en-GB"/>
        </w:rPr>
        <w:tab/>
      </w:r>
      <w:r>
        <w:rPr>
          <w:sz w:val="24"/>
          <w:lang w:val="en-GB"/>
        </w:rPr>
        <w:tab/>
        <w:t>123 – 143</w:t>
      </w:r>
      <w:r>
        <w:rPr>
          <w:sz w:val="24"/>
          <w:lang w:val="en-GB"/>
        </w:rPr>
        <w:tab/>
        <w:t>32</w:t>
      </w:r>
    </w:p>
    <w:p w:rsidR="00000000" w:rsidRDefault="00000000">
      <w:pPr>
        <w:tabs>
          <w:tab w:val="clear" w:pos="720"/>
          <w:tab w:val="right" w:pos="397"/>
          <w:tab w:val="left" w:pos="737"/>
          <w:tab w:val="left" w:pos="1191"/>
          <w:tab w:val="left" w:pos="1644"/>
          <w:tab w:val="left" w:pos="2098"/>
          <w:tab w:val="left" w:leader="dot" w:pos="7144"/>
          <w:tab w:val="center" w:pos="7995"/>
          <w:tab w:val="right" w:pos="9412"/>
        </w:tabs>
        <w:spacing w:after="120"/>
        <w:jc w:val="left"/>
        <w:rPr>
          <w:sz w:val="24"/>
          <w:lang w:val="en-GB"/>
        </w:rPr>
      </w:pPr>
      <w:r>
        <w:rPr>
          <w:sz w:val="24"/>
          <w:lang w:val="en-GB"/>
        </w:rPr>
        <w:tab/>
      </w:r>
      <w:r>
        <w:rPr>
          <w:sz w:val="24"/>
          <w:lang w:val="en-GB"/>
        </w:rPr>
        <w:tab/>
      </w:r>
      <w:r>
        <w:rPr>
          <w:sz w:val="24"/>
          <w:lang w:val="en-GB"/>
        </w:rPr>
        <w:tab/>
        <w:t>1.</w:t>
      </w:r>
      <w:r>
        <w:rPr>
          <w:sz w:val="24"/>
          <w:lang w:val="en-GB"/>
        </w:rPr>
        <w:tab/>
        <w:t>Access to education and health services</w:t>
      </w:r>
      <w:r>
        <w:rPr>
          <w:sz w:val="24"/>
          <w:lang w:val="en-GB"/>
        </w:rPr>
        <w:tab/>
      </w:r>
      <w:r>
        <w:rPr>
          <w:sz w:val="24"/>
          <w:lang w:val="en-GB"/>
        </w:rPr>
        <w:tab/>
        <w:t>126 – 129</w:t>
      </w:r>
      <w:r>
        <w:rPr>
          <w:sz w:val="24"/>
          <w:lang w:val="en-GB"/>
        </w:rPr>
        <w:tab/>
        <w:t>33</w:t>
      </w:r>
    </w:p>
    <w:p w:rsidR="00000000" w:rsidRDefault="00000000">
      <w:pPr>
        <w:tabs>
          <w:tab w:val="clear" w:pos="720"/>
          <w:tab w:val="right" w:pos="397"/>
          <w:tab w:val="left" w:pos="737"/>
          <w:tab w:val="left" w:pos="1191"/>
          <w:tab w:val="left" w:pos="1644"/>
          <w:tab w:val="left" w:pos="2098"/>
          <w:tab w:val="left" w:leader="dot" w:pos="7144"/>
          <w:tab w:val="center" w:pos="7995"/>
          <w:tab w:val="right" w:pos="9412"/>
        </w:tabs>
        <w:spacing w:after="120"/>
        <w:jc w:val="left"/>
        <w:rPr>
          <w:sz w:val="24"/>
          <w:lang w:val="en-GB"/>
        </w:rPr>
      </w:pPr>
      <w:r>
        <w:rPr>
          <w:sz w:val="24"/>
          <w:lang w:val="en-GB"/>
        </w:rPr>
        <w:tab/>
      </w:r>
      <w:r>
        <w:rPr>
          <w:sz w:val="24"/>
          <w:lang w:val="en-GB"/>
        </w:rPr>
        <w:tab/>
      </w:r>
      <w:r>
        <w:rPr>
          <w:sz w:val="24"/>
          <w:lang w:val="en-GB"/>
        </w:rPr>
        <w:tab/>
        <w:t>2.</w:t>
      </w:r>
      <w:r>
        <w:rPr>
          <w:sz w:val="24"/>
          <w:lang w:val="en-GB"/>
        </w:rPr>
        <w:tab/>
        <w:t>Opportunities for participation by adolescents</w:t>
      </w:r>
      <w:r>
        <w:rPr>
          <w:sz w:val="24"/>
          <w:lang w:val="en-GB"/>
        </w:rPr>
        <w:tab/>
      </w:r>
      <w:r>
        <w:rPr>
          <w:sz w:val="24"/>
          <w:lang w:val="en-GB"/>
        </w:rPr>
        <w:tab/>
        <w:t>130 – 131</w:t>
      </w:r>
      <w:r>
        <w:rPr>
          <w:sz w:val="24"/>
          <w:lang w:val="en-GB"/>
        </w:rPr>
        <w:tab/>
        <w:t>34</w:t>
      </w:r>
    </w:p>
    <w:p w:rsidR="00000000" w:rsidRDefault="00000000">
      <w:pPr>
        <w:tabs>
          <w:tab w:val="clear" w:pos="720"/>
          <w:tab w:val="right" w:pos="397"/>
          <w:tab w:val="left" w:pos="737"/>
          <w:tab w:val="left" w:pos="1191"/>
          <w:tab w:val="left" w:pos="1644"/>
          <w:tab w:val="left" w:pos="2098"/>
          <w:tab w:val="left" w:leader="dot" w:pos="7144"/>
          <w:tab w:val="center" w:pos="7995"/>
          <w:tab w:val="right" w:pos="9412"/>
        </w:tabs>
        <w:spacing w:after="120"/>
        <w:jc w:val="left"/>
        <w:rPr>
          <w:sz w:val="24"/>
          <w:lang w:val="en-GB"/>
        </w:rPr>
      </w:pPr>
      <w:r>
        <w:rPr>
          <w:sz w:val="24"/>
          <w:lang w:val="en-GB"/>
        </w:rPr>
        <w:tab/>
      </w:r>
      <w:r>
        <w:rPr>
          <w:sz w:val="24"/>
          <w:lang w:val="en-GB"/>
        </w:rPr>
        <w:tab/>
      </w:r>
      <w:r>
        <w:rPr>
          <w:sz w:val="24"/>
          <w:lang w:val="en-GB"/>
        </w:rPr>
        <w:tab/>
        <w:t>3.</w:t>
      </w:r>
      <w:r>
        <w:rPr>
          <w:sz w:val="24"/>
          <w:lang w:val="en-GB"/>
        </w:rPr>
        <w:tab/>
        <w:t>Sex and reproduction counselling</w:t>
      </w:r>
      <w:r>
        <w:rPr>
          <w:sz w:val="24"/>
          <w:lang w:val="en-GB"/>
        </w:rPr>
        <w:tab/>
      </w:r>
      <w:r>
        <w:rPr>
          <w:sz w:val="24"/>
          <w:lang w:val="en-GB"/>
        </w:rPr>
        <w:tab/>
        <w:t>132 – 136</w:t>
      </w:r>
      <w:r>
        <w:rPr>
          <w:sz w:val="24"/>
          <w:lang w:val="en-GB"/>
        </w:rPr>
        <w:tab/>
        <w:t>34</w:t>
      </w:r>
    </w:p>
    <w:p w:rsidR="00000000" w:rsidRDefault="00000000">
      <w:pPr>
        <w:tabs>
          <w:tab w:val="clear" w:pos="720"/>
          <w:tab w:val="right" w:pos="397"/>
          <w:tab w:val="left" w:pos="737"/>
          <w:tab w:val="left" w:pos="1191"/>
          <w:tab w:val="left" w:pos="1644"/>
          <w:tab w:val="left" w:pos="2098"/>
          <w:tab w:val="left" w:leader="dot" w:pos="7144"/>
          <w:tab w:val="center" w:pos="7995"/>
          <w:tab w:val="right" w:pos="9412"/>
        </w:tabs>
        <w:spacing w:after="120"/>
        <w:jc w:val="left"/>
        <w:rPr>
          <w:sz w:val="24"/>
          <w:lang w:val="en-GB"/>
        </w:rPr>
      </w:pPr>
      <w:r>
        <w:rPr>
          <w:sz w:val="24"/>
          <w:lang w:val="en-GB"/>
        </w:rPr>
        <w:tab/>
      </w:r>
      <w:r>
        <w:rPr>
          <w:sz w:val="24"/>
          <w:lang w:val="en-GB"/>
        </w:rPr>
        <w:tab/>
      </w:r>
      <w:r>
        <w:rPr>
          <w:sz w:val="24"/>
          <w:lang w:val="en-GB"/>
        </w:rPr>
        <w:tab/>
        <w:t>4.</w:t>
      </w:r>
      <w:r>
        <w:rPr>
          <w:sz w:val="24"/>
          <w:lang w:val="en-GB"/>
        </w:rPr>
        <w:tab/>
        <w:t>Addictive behaviour and drug abuse</w:t>
      </w:r>
      <w:r>
        <w:rPr>
          <w:sz w:val="24"/>
          <w:lang w:val="en-GB"/>
        </w:rPr>
        <w:tab/>
      </w:r>
      <w:r>
        <w:rPr>
          <w:sz w:val="24"/>
          <w:lang w:val="en-GB"/>
        </w:rPr>
        <w:tab/>
        <w:t>137 – 143</w:t>
      </w:r>
      <w:r>
        <w:rPr>
          <w:sz w:val="24"/>
          <w:lang w:val="en-GB"/>
        </w:rPr>
        <w:tab/>
        <w:t>35</w:t>
      </w:r>
    </w:p>
    <w:p w:rsidR="00000000" w:rsidRDefault="00000000">
      <w:pPr>
        <w:tabs>
          <w:tab w:val="center" w:pos="7995"/>
          <w:tab w:val="right" w:pos="9412"/>
        </w:tabs>
        <w:jc w:val="left"/>
        <w:rPr>
          <w:i/>
          <w:sz w:val="20"/>
          <w:lang w:val="en-GB"/>
        </w:rPr>
      </w:pPr>
      <w:r>
        <w:rPr>
          <w:i/>
          <w:sz w:val="20"/>
          <w:lang w:val="en-GB"/>
        </w:rPr>
        <w:tab/>
      </w:r>
      <w:r>
        <w:rPr>
          <w:i/>
          <w:sz w:val="20"/>
          <w:lang w:val="en-GB"/>
        </w:rPr>
        <w:tab/>
        <w:t>Paragraphs</w:t>
      </w:r>
      <w:r>
        <w:rPr>
          <w:i/>
          <w:sz w:val="20"/>
          <w:lang w:val="en-GB"/>
        </w:rPr>
        <w:tab/>
        <w:t>Page</w:t>
      </w:r>
    </w:p>
    <w:p w:rsidR="00000000" w:rsidRDefault="00000000">
      <w:pPr>
        <w:tabs>
          <w:tab w:val="clear" w:pos="720"/>
          <w:tab w:val="right" w:pos="397"/>
          <w:tab w:val="left" w:pos="737"/>
          <w:tab w:val="left" w:pos="1191"/>
          <w:tab w:val="left" w:pos="1644"/>
          <w:tab w:val="left" w:pos="2098"/>
          <w:tab w:val="left" w:leader="dot" w:pos="7144"/>
          <w:tab w:val="center" w:pos="7995"/>
          <w:tab w:val="right" w:pos="9412"/>
        </w:tabs>
        <w:spacing w:after="120"/>
        <w:jc w:val="left"/>
        <w:rPr>
          <w:sz w:val="24"/>
          <w:lang w:val="en-GB"/>
        </w:rPr>
      </w:pPr>
    </w:p>
    <w:p w:rsidR="00000000" w:rsidRDefault="00000000">
      <w:pPr>
        <w:tabs>
          <w:tab w:val="clear" w:pos="720"/>
          <w:tab w:val="right" w:pos="397"/>
          <w:tab w:val="left" w:pos="737"/>
          <w:tab w:val="left" w:pos="1191"/>
          <w:tab w:val="left" w:pos="1644"/>
          <w:tab w:val="left" w:pos="2098"/>
          <w:tab w:val="left" w:leader="dot" w:pos="7144"/>
          <w:tab w:val="center" w:pos="7995"/>
          <w:tab w:val="right" w:pos="9412"/>
        </w:tabs>
        <w:spacing w:after="120"/>
        <w:jc w:val="left"/>
        <w:rPr>
          <w:sz w:val="24"/>
          <w:lang w:val="en-GB"/>
        </w:rPr>
      </w:pPr>
      <w:r>
        <w:rPr>
          <w:sz w:val="24"/>
          <w:lang w:val="en-GB"/>
        </w:rPr>
        <w:tab/>
      </w:r>
      <w:r>
        <w:rPr>
          <w:sz w:val="24"/>
          <w:lang w:val="en-GB"/>
        </w:rPr>
        <w:tab/>
        <w:t>E.</w:t>
      </w:r>
      <w:r>
        <w:rPr>
          <w:sz w:val="24"/>
          <w:lang w:val="en-GB"/>
        </w:rPr>
        <w:tab/>
        <w:t>Rights for the whole of childhood</w:t>
      </w:r>
      <w:r>
        <w:rPr>
          <w:sz w:val="24"/>
          <w:lang w:val="en-GB"/>
        </w:rPr>
        <w:tab/>
      </w:r>
      <w:r>
        <w:rPr>
          <w:sz w:val="24"/>
          <w:lang w:val="en-GB"/>
        </w:rPr>
        <w:tab/>
        <w:t>144 – 204</w:t>
      </w:r>
      <w:r>
        <w:rPr>
          <w:sz w:val="24"/>
          <w:lang w:val="en-GB"/>
        </w:rPr>
        <w:tab/>
        <w:t>37</w:t>
      </w:r>
    </w:p>
    <w:p w:rsidR="00000000" w:rsidRDefault="00000000">
      <w:pPr>
        <w:tabs>
          <w:tab w:val="clear" w:pos="720"/>
          <w:tab w:val="right" w:pos="397"/>
          <w:tab w:val="left" w:pos="737"/>
          <w:tab w:val="left" w:pos="1191"/>
          <w:tab w:val="left" w:pos="1644"/>
          <w:tab w:val="left" w:pos="2098"/>
          <w:tab w:val="left" w:leader="dot" w:pos="7144"/>
          <w:tab w:val="center" w:pos="7995"/>
          <w:tab w:val="right" w:pos="9412"/>
        </w:tabs>
        <w:spacing w:after="120"/>
        <w:jc w:val="left"/>
        <w:rPr>
          <w:sz w:val="24"/>
          <w:lang w:val="en-GB"/>
        </w:rPr>
      </w:pPr>
      <w:r>
        <w:rPr>
          <w:sz w:val="24"/>
          <w:lang w:val="en-GB"/>
        </w:rPr>
        <w:tab/>
      </w:r>
      <w:r>
        <w:rPr>
          <w:sz w:val="24"/>
          <w:lang w:val="en-GB"/>
        </w:rPr>
        <w:tab/>
      </w:r>
      <w:r>
        <w:rPr>
          <w:sz w:val="24"/>
          <w:lang w:val="en-GB"/>
        </w:rPr>
        <w:tab/>
        <w:t>1.</w:t>
      </w:r>
      <w:r>
        <w:rPr>
          <w:sz w:val="24"/>
          <w:lang w:val="en-GB"/>
        </w:rPr>
        <w:tab/>
        <w:t>Children in need of special protection</w:t>
      </w:r>
      <w:r>
        <w:rPr>
          <w:sz w:val="24"/>
          <w:lang w:val="en-GB"/>
        </w:rPr>
        <w:tab/>
      </w:r>
      <w:r>
        <w:rPr>
          <w:sz w:val="24"/>
          <w:lang w:val="en-GB"/>
        </w:rPr>
        <w:tab/>
        <w:t>144 – 192</w:t>
      </w:r>
      <w:r>
        <w:rPr>
          <w:sz w:val="24"/>
          <w:lang w:val="en-GB"/>
        </w:rPr>
        <w:tab/>
        <w:t>37</w:t>
      </w:r>
    </w:p>
    <w:p w:rsidR="00000000" w:rsidRDefault="00000000">
      <w:pPr>
        <w:tabs>
          <w:tab w:val="clear" w:pos="720"/>
          <w:tab w:val="right" w:pos="397"/>
          <w:tab w:val="left" w:pos="737"/>
          <w:tab w:val="left" w:pos="1191"/>
          <w:tab w:val="left" w:pos="1644"/>
          <w:tab w:val="left" w:pos="2098"/>
          <w:tab w:val="left" w:leader="dot" w:pos="7144"/>
          <w:tab w:val="center" w:pos="7995"/>
          <w:tab w:val="right" w:pos="9412"/>
        </w:tabs>
        <w:spacing w:after="120"/>
        <w:jc w:val="left"/>
        <w:rPr>
          <w:sz w:val="24"/>
          <w:lang w:val="en-GB"/>
        </w:rPr>
      </w:pPr>
      <w:r>
        <w:rPr>
          <w:sz w:val="24"/>
          <w:lang w:val="en-GB"/>
        </w:rPr>
        <w:tab/>
      </w:r>
      <w:r>
        <w:rPr>
          <w:sz w:val="24"/>
          <w:lang w:val="en-GB"/>
        </w:rPr>
        <w:tab/>
      </w:r>
      <w:r>
        <w:rPr>
          <w:sz w:val="24"/>
          <w:lang w:val="en-GB"/>
        </w:rPr>
        <w:tab/>
        <w:t>2.</w:t>
      </w:r>
      <w:r>
        <w:rPr>
          <w:sz w:val="24"/>
          <w:lang w:val="en-GB"/>
        </w:rPr>
        <w:tab/>
        <w:t>The right to participate</w:t>
      </w:r>
      <w:r>
        <w:rPr>
          <w:sz w:val="24"/>
          <w:lang w:val="en-GB"/>
        </w:rPr>
        <w:tab/>
      </w:r>
      <w:r>
        <w:rPr>
          <w:sz w:val="24"/>
          <w:lang w:val="en-GB"/>
        </w:rPr>
        <w:tab/>
        <w:t>193 – 194</w:t>
      </w:r>
      <w:r>
        <w:rPr>
          <w:sz w:val="24"/>
          <w:lang w:val="en-GB"/>
        </w:rPr>
        <w:tab/>
        <w:t>50</w:t>
      </w:r>
    </w:p>
    <w:p w:rsidR="00000000" w:rsidRDefault="00000000">
      <w:pPr>
        <w:tabs>
          <w:tab w:val="clear" w:pos="720"/>
          <w:tab w:val="right" w:pos="397"/>
          <w:tab w:val="left" w:pos="737"/>
          <w:tab w:val="left" w:pos="1191"/>
          <w:tab w:val="left" w:pos="1644"/>
          <w:tab w:val="left" w:pos="2098"/>
          <w:tab w:val="left" w:leader="dot" w:pos="7144"/>
          <w:tab w:val="center" w:pos="7995"/>
          <w:tab w:val="right" w:pos="9412"/>
        </w:tabs>
        <w:spacing w:after="120"/>
        <w:jc w:val="left"/>
        <w:rPr>
          <w:sz w:val="24"/>
          <w:lang w:val="en-GB"/>
        </w:rPr>
      </w:pPr>
      <w:r>
        <w:rPr>
          <w:sz w:val="24"/>
          <w:lang w:val="en-GB"/>
        </w:rPr>
        <w:tab/>
      </w:r>
      <w:r>
        <w:rPr>
          <w:sz w:val="24"/>
          <w:lang w:val="en-GB"/>
        </w:rPr>
        <w:tab/>
      </w:r>
      <w:r>
        <w:rPr>
          <w:sz w:val="24"/>
          <w:lang w:val="en-GB"/>
        </w:rPr>
        <w:tab/>
        <w:t>3.</w:t>
      </w:r>
      <w:r>
        <w:rPr>
          <w:sz w:val="24"/>
          <w:lang w:val="en-GB"/>
        </w:rPr>
        <w:tab/>
        <w:t>The children’s ombudsmen</w:t>
      </w:r>
      <w:r>
        <w:rPr>
          <w:sz w:val="24"/>
          <w:lang w:val="en-GB"/>
        </w:rPr>
        <w:tab/>
      </w:r>
      <w:r>
        <w:rPr>
          <w:sz w:val="24"/>
          <w:lang w:val="en-GB"/>
        </w:rPr>
        <w:tab/>
        <w:t>195 – 204</w:t>
      </w:r>
      <w:r>
        <w:rPr>
          <w:sz w:val="24"/>
          <w:lang w:val="en-GB"/>
        </w:rPr>
        <w:tab/>
        <w:t>51</w:t>
      </w:r>
    </w:p>
    <w:p w:rsidR="00000000" w:rsidRDefault="00000000">
      <w:pPr>
        <w:tabs>
          <w:tab w:val="clear" w:pos="720"/>
          <w:tab w:val="right" w:pos="397"/>
          <w:tab w:val="left" w:pos="737"/>
          <w:tab w:val="left" w:pos="1191"/>
          <w:tab w:val="left" w:pos="1644"/>
          <w:tab w:val="left" w:pos="2098"/>
          <w:tab w:val="left" w:leader="dot" w:pos="7144"/>
          <w:tab w:val="center" w:pos="7995"/>
          <w:tab w:val="right" w:pos="9412"/>
        </w:tabs>
        <w:spacing w:after="120"/>
        <w:jc w:val="left"/>
        <w:rPr>
          <w:sz w:val="24"/>
          <w:lang w:val="en-GB"/>
        </w:rPr>
      </w:pPr>
      <w:r>
        <w:rPr>
          <w:sz w:val="24"/>
          <w:lang w:val="en-GB"/>
        </w:rPr>
        <w:tab/>
      </w:r>
      <w:r>
        <w:rPr>
          <w:sz w:val="24"/>
          <w:lang w:val="en-GB"/>
        </w:rPr>
        <w:tab/>
        <w:t>F.</w:t>
      </w:r>
      <w:r>
        <w:rPr>
          <w:sz w:val="24"/>
          <w:lang w:val="en-GB"/>
        </w:rPr>
        <w:tab/>
        <w:t>Special legislation and justice</w:t>
      </w:r>
      <w:r>
        <w:rPr>
          <w:sz w:val="24"/>
          <w:lang w:val="en-GB"/>
        </w:rPr>
        <w:tab/>
      </w:r>
      <w:r>
        <w:rPr>
          <w:sz w:val="24"/>
          <w:lang w:val="en-GB"/>
        </w:rPr>
        <w:tab/>
        <w:t>205 – 218</w:t>
      </w:r>
      <w:r>
        <w:rPr>
          <w:sz w:val="24"/>
          <w:lang w:val="en-GB"/>
        </w:rPr>
        <w:tab/>
        <w:t>55</w:t>
      </w:r>
    </w:p>
    <w:p w:rsidR="00000000" w:rsidRDefault="00000000">
      <w:pPr>
        <w:tabs>
          <w:tab w:val="clear" w:pos="720"/>
          <w:tab w:val="right" w:pos="397"/>
          <w:tab w:val="left" w:pos="737"/>
          <w:tab w:val="left" w:pos="1191"/>
          <w:tab w:val="left" w:pos="1644"/>
          <w:tab w:val="left" w:pos="2098"/>
          <w:tab w:val="left" w:leader="dot" w:pos="7144"/>
          <w:tab w:val="center" w:pos="7995"/>
          <w:tab w:val="right" w:pos="9412"/>
        </w:tabs>
        <w:spacing w:after="120"/>
        <w:ind w:left="1644" w:hanging="1644"/>
        <w:jc w:val="left"/>
        <w:rPr>
          <w:sz w:val="24"/>
          <w:lang w:val="en-GB"/>
        </w:rPr>
      </w:pPr>
      <w:r>
        <w:rPr>
          <w:sz w:val="24"/>
          <w:lang w:val="en-GB"/>
        </w:rPr>
        <w:tab/>
      </w:r>
      <w:r>
        <w:rPr>
          <w:sz w:val="24"/>
          <w:lang w:val="en-GB"/>
        </w:rPr>
        <w:tab/>
      </w:r>
      <w:r>
        <w:rPr>
          <w:sz w:val="24"/>
          <w:lang w:val="en-GB"/>
        </w:rPr>
        <w:tab/>
        <w:t>1.</w:t>
      </w:r>
      <w:r>
        <w:rPr>
          <w:sz w:val="24"/>
          <w:lang w:val="en-GB"/>
        </w:rPr>
        <w:tab/>
        <w:t>Progress in the incorporation of international treaties into</w:t>
      </w:r>
      <w:r>
        <w:rPr>
          <w:sz w:val="24"/>
          <w:lang w:val="en-GB"/>
        </w:rPr>
        <w:br/>
        <w:t>national law</w:t>
      </w:r>
      <w:r>
        <w:rPr>
          <w:sz w:val="24"/>
          <w:lang w:val="en-GB"/>
        </w:rPr>
        <w:tab/>
      </w:r>
      <w:r>
        <w:rPr>
          <w:sz w:val="24"/>
          <w:lang w:val="en-GB"/>
        </w:rPr>
        <w:tab/>
        <w:t>205 – 206</w:t>
      </w:r>
      <w:r>
        <w:rPr>
          <w:sz w:val="24"/>
          <w:lang w:val="en-GB"/>
        </w:rPr>
        <w:tab/>
        <w:t>55</w:t>
      </w:r>
    </w:p>
    <w:p w:rsidR="00000000" w:rsidRDefault="00000000">
      <w:pPr>
        <w:tabs>
          <w:tab w:val="clear" w:pos="720"/>
          <w:tab w:val="right" w:pos="397"/>
          <w:tab w:val="left" w:pos="737"/>
          <w:tab w:val="left" w:pos="1191"/>
          <w:tab w:val="left" w:pos="1644"/>
          <w:tab w:val="left" w:pos="2098"/>
          <w:tab w:val="left" w:leader="dot" w:pos="7144"/>
          <w:tab w:val="center" w:pos="7995"/>
          <w:tab w:val="right" w:pos="9412"/>
        </w:tabs>
        <w:spacing w:after="120"/>
        <w:jc w:val="left"/>
        <w:rPr>
          <w:sz w:val="24"/>
          <w:lang w:val="en-GB"/>
        </w:rPr>
      </w:pPr>
      <w:r>
        <w:rPr>
          <w:sz w:val="24"/>
          <w:lang w:val="en-GB"/>
        </w:rPr>
        <w:tab/>
      </w:r>
      <w:r>
        <w:rPr>
          <w:sz w:val="24"/>
          <w:lang w:val="en-GB"/>
        </w:rPr>
        <w:tab/>
      </w:r>
      <w:r>
        <w:rPr>
          <w:sz w:val="24"/>
          <w:lang w:val="en-GB"/>
        </w:rPr>
        <w:tab/>
        <w:t>2.</w:t>
      </w:r>
      <w:r>
        <w:rPr>
          <w:sz w:val="24"/>
          <w:lang w:val="en-GB"/>
        </w:rPr>
        <w:tab/>
        <w:t>The Children’s and Adolescents’ Code</w:t>
      </w:r>
      <w:r>
        <w:rPr>
          <w:sz w:val="24"/>
          <w:lang w:val="en-GB"/>
        </w:rPr>
        <w:tab/>
      </w:r>
      <w:r>
        <w:rPr>
          <w:sz w:val="24"/>
          <w:lang w:val="en-GB"/>
        </w:rPr>
        <w:tab/>
        <w:t>207 – 209</w:t>
      </w:r>
      <w:r>
        <w:rPr>
          <w:sz w:val="24"/>
          <w:lang w:val="en-GB"/>
        </w:rPr>
        <w:tab/>
        <w:t>57</w:t>
      </w:r>
    </w:p>
    <w:p w:rsidR="00000000" w:rsidRDefault="00000000">
      <w:pPr>
        <w:tabs>
          <w:tab w:val="clear" w:pos="720"/>
          <w:tab w:val="right" w:pos="397"/>
          <w:tab w:val="left" w:pos="737"/>
          <w:tab w:val="left" w:pos="1191"/>
          <w:tab w:val="left" w:pos="1644"/>
          <w:tab w:val="left" w:pos="2098"/>
          <w:tab w:val="left" w:leader="dot" w:pos="7144"/>
          <w:tab w:val="center" w:pos="7995"/>
          <w:tab w:val="right" w:pos="9412"/>
        </w:tabs>
        <w:spacing w:after="120"/>
        <w:jc w:val="left"/>
        <w:rPr>
          <w:sz w:val="24"/>
          <w:lang w:val="en-GB"/>
        </w:rPr>
      </w:pPr>
      <w:r>
        <w:rPr>
          <w:sz w:val="24"/>
          <w:lang w:val="en-GB"/>
        </w:rPr>
        <w:tab/>
      </w:r>
      <w:r>
        <w:rPr>
          <w:sz w:val="24"/>
          <w:lang w:val="en-GB"/>
        </w:rPr>
        <w:tab/>
      </w:r>
      <w:r>
        <w:rPr>
          <w:sz w:val="24"/>
          <w:lang w:val="en-GB"/>
        </w:rPr>
        <w:tab/>
        <w:t>3.</w:t>
      </w:r>
      <w:r>
        <w:rPr>
          <w:sz w:val="24"/>
          <w:lang w:val="en-GB"/>
        </w:rPr>
        <w:tab/>
        <w:t>Juvenile offenders</w:t>
      </w:r>
      <w:r>
        <w:rPr>
          <w:sz w:val="24"/>
          <w:lang w:val="en-GB"/>
        </w:rPr>
        <w:tab/>
      </w:r>
      <w:r>
        <w:rPr>
          <w:sz w:val="24"/>
          <w:lang w:val="en-GB"/>
        </w:rPr>
        <w:tab/>
        <w:t>210 – 215</w:t>
      </w:r>
      <w:r>
        <w:rPr>
          <w:sz w:val="24"/>
          <w:lang w:val="en-GB"/>
        </w:rPr>
        <w:tab/>
        <w:t>58</w:t>
      </w:r>
    </w:p>
    <w:p w:rsidR="00000000" w:rsidRDefault="00000000">
      <w:pPr>
        <w:tabs>
          <w:tab w:val="clear" w:pos="720"/>
          <w:tab w:val="right" w:pos="397"/>
          <w:tab w:val="left" w:pos="737"/>
          <w:tab w:val="left" w:pos="1191"/>
          <w:tab w:val="left" w:pos="1644"/>
          <w:tab w:val="left" w:pos="2098"/>
          <w:tab w:val="left" w:leader="dot" w:pos="7144"/>
          <w:tab w:val="center" w:pos="7995"/>
          <w:tab w:val="right" w:pos="9412"/>
        </w:tabs>
        <w:spacing w:after="120"/>
        <w:jc w:val="left"/>
        <w:rPr>
          <w:sz w:val="24"/>
          <w:lang w:val="en-GB"/>
        </w:rPr>
      </w:pPr>
      <w:r>
        <w:rPr>
          <w:sz w:val="24"/>
          <w:lang w:val="en-GB"/>
        </w:rPr>
        <w:tab/>
      </w:r>
      <w:r>
        <w:rPr>
          <w:sz w:val="24"/>
          <w:lang w:val="en-GB"/>
        </w:rPr>
        <w:tab/>
      </w:r>
      <w:r>
        <w:rPr>
          <w:sz w:val="24"/>
          <w:lang w:val="en-GB"/>
        </w:rPr>
        <w:tab/>
        <w:t>4.</w:t>
      </w:r>
      <w:r>
        <w:rPr>
          <w:sz w:val="24"/>
          <w:lang w:val="en-GB"/>
        </w:rPr>
        <w:tab/>
        <w:t>Gang violence</w:t>
      </w:r>
      <w:r>
        <w:rPr>
          <w:sz w:val="24"/>
          <w:lang w:val="en-GB"/>
        </w:rPr>
        <w:tab/>
      </w:r>
      <w:r>
        <w:rPr>
          <w:sz w:val="24"/>
          <w:lang w:val="en-GB"/>
        </w:rPr>
        <w:tab/>
        <w:t>216 – 218</w:t>
      </w:r>
      <w:r>
        <w:rPr>
          <w:sz w:val="24"/>
          <w:lang w:val="en-GB"/>
        </w:rPr>
        <w:tab/>
        <w:t>59</w:t>
      </w:r>
    </w:p>
    <w:p w:rsidR="00000000" w:rsidRDefault="00000000">
      <w:pPr>
        <w:tabs>
          <w:tab w:val="clear" w:pos="720"/>
          <w:tab w:val="right" w:pos="397"/>
          <w:tab w:val="left" w:pos="737"/>
          <w:tab w:val="left" w:pos="1191"/>
          <w:tab w:val="left" w:leader="dot" w:pos="7144"/>
          <w:tab w:val="center" w:pos="7995"/>
          <w:tab w:val="right" w:pos="9412"/>
        </w:tabs>
        <w:ind w:left="737" w:hanging="737"/>
        <w:jc w:val="left"/>
        <w:rPr>
          <w:sz w:val="24"/>
          <w:lang w:val="en-GB"/>
        </w:rPr>
      </w:pPr>
    </w:p>
    <w:p w:rsidR="00000000" w:rsidRDefault="00000000">
      <w:pPr>
        <w:tabs>
          <w:tab w:val="clear" w:pos="720"/>
          <w:tab w:val="right" w:pos="397"/>
          <w:tab w:val="left" w:pos="737"/>
          <w:tab w:val="left" w:pos="1191"/>
          <w:tab w:val="left" w:leader="dot" w:pos="7144"/>
          <w:tab w:val="center" w:pos="7995"/>
          <w:tab w:val="right" w:pos="9412"/>
        </w:tabs>
        <w:ind w:left="737" w:hanging="737"/>
        <w:jc w:val="left"/>
        <w:rPr>
          <w:sz w:val="24"/>
          <w:lang w:val="en-GB"/>
        </w:rPr>
      </w:pPr>
      <w:r>
        <w:rPr>
          <w:sz w:val="24"/>
          <w:lang w:val="en-GB"/>
        </w:rPr>
        <w:tab/>
        <w:t>IV.</w:t>
      </w:r>
      <w:r>
        <w:rPr>
          <w:sz w:val="24"/>
          <w:lang w:val="en-GB"/>
        </w:rPr>
        <w:tab/>
        <w:t>M</w:t>
      </w:r>
      <w:r>
        <w:rPr>
          <w:smallCaps/>
          <w:sz w:val="24"/>
          <w:lang w:val="en-GB"/>
        </w:rPr>
        <w:t>atrix of the rights of the child incorporated with the</w:t>
      </w:r>
      <w:r>
        <w:rPr>
          <w:smallCaps/>
          <w:sz w:val="24"/>
          <w:lang w:val="en-GB"/>
        </w:rPr>
        <w:br/>
      </w:r>
      <w:r>
        <w:rPr>
          <w:sz w:val="24"/>
          <w:lang w:val="en-GB"/>
        </w:rPr>
        <w:t>PNAI 2002 - 2010</w:t>
      </w:r>
      <w:r>
        <w:rPr>
          <w:sz w:val="24"/>
          <w:lang w:val="en-GB"/>
        </w:rPr>
        <w:tab/>
      </w:r>
      <w:r>
        <w:rPr>
          <w:sz w:val="24"/>
          <w:lang w:val="en-GB"/>
        </w:rPr>
        <w:tab/>
        <w:t>219 – 221</w:t>
      </w:r>
      <w:r>
        <w:rPr>
          <w:sz w:val="24"/>
          <w:lang w:val="en-GB"/>
        </w:rPr>
        <w:tab/>
        <w:t>59</w:t>
      </w:r>
    </w:p>
    <w:p w:rsidR="00000000" w:rsidRDefault="00000000">
      <w:pPr>
        <w:tabs>
          <w:tab w:val="clear" w:pos="720"/>
          <w:tab w:val="right" w:pos="397"/>
          <w:tab w:val="left" w:pos="737"/>
          <w:tab w:val="left" w:pos="1191"/>
          <w:tab w:val="left" w:leader="dot" w:pos="7144"/>
          <w:tab w:val="center" w:pos="7995"/>
          <w:tab w:val="right" w:pos="9412"/>
        </w:tabs>
        <w:jc w:val="left"/>
        <w:rPr>
          <w:sz w:val="24"/>
          <w:lang w:val="en-GB"/>
        </w:rPr>
      </w:pPr>
    </w:p>
    <w:p w:rsidR="00000000" w:rsidRDefault="00000000">
      <w:pPr>
        <w:tabs>
          <w:tab w:val="clear" w:pos="720"/>
          <w:tab w:val="right" w:pos="397"/>
          <w:tab w:val="left" w:pos="737"/>
          <w:tab w:val="left" w:pos="1191"/>
          <w:tab w:val="left" w:leader="dot" w:pos="7144"/>
          <w:tab w:val="center" w:pos="7995"/>
          <w:tab w:val="right" w:pos="9412"/>
        </w:tabs>
        <w:jc w:val="left"/>
        <w:rPr>
          <w:sz w:val="24"/>
          <w:lang w:val="en-GB"/>
        </w:rPr>
      </w:pPr>
      <w:r>
        <w:rPr>
          <w:sz w:val="24"/>
          <w:lang w:val="en-GB"/>
        </w:rPr>
        <w:tab/>
        <w:t>V.</w:t>
      </w:r>
      <w:r>
        <w:rPr>
          <w:sz w:val="24"/>
          <w:lang w:val="en-GB"/>
        </w:rPr>
        <w:tab/>
        <w:t>C</w:t>
      </w:r>
      <w:r>
        <w:rPr>
          <w:smallCaps/>
          <w:sz w:val="24"/>
          <w:lang w:val="en-GB"/>
        </w:rPr>
        <w:t>onclusions</w:t>
      </w:r>
      <w:r>
        <w:rPr>
          <w:sz w:val="24"/>
          <w:lang w:val="en-GB"/>
        </w:rPr>
        <w:tab/>
      </w:r>
      <w:r>
        <w:rPr>
          <w:sz w:val="24"/>
          <w:lang w:val="en-GB"/>
        </w:rPr>
        <w:tab/>
        <w:t>222 – 229</w:t>
      </w:r>
      <w:r>
        <w:rPr>
          <w:sz w:val="24"/>
          <w:lang w:val="en-GB"/>
        </w:rPr>
        <w:tab/>
        <w:t>95</w:t>
      </w:r>
    </w:p>
    <w:p w:rsidR="00000000" w:rsidRDefault="00000000">
      <w:pPr>
        <w:tabs>
          <w:tab w:val="clear" w:pos="720"/>
        </w:tabs>
        <w:jc w:val="center"/>
        <w:rPr>
          <w:sz w:val="24"/>
          <w:lang w:val="en-GB"/>
        </w:rPr>
      </w:pPr>
      <w:r>
        <w:rPr>
          <w:sz w:val="24"/>
          <w:lang w:val="en-GB"/>
        </w:rPr>
        <w:br w:type="page"/>
        <w:t>ACRONYMS AND ABBREVIATIONS</w:t>
      </w:r>
    </w:p>
    <w:p w:rsidR="00000000" w:rsidRDefault="00000000">
      <w:pPr>
        <w:tabs>
          <w:tab w:val="clear" w:pos="720"/>
        </w:tabs>
        <w:rPr>
          <w:sz w:val="24"/>
          <w:lang w:val="en-GB"/>
        </w:rPr>
      </w:pPr>
    </w:p>
    <w:p w:rsidR="00000000" w:rsidRDefault="00000000">
      <w:pPr>
        <w:tabs>
          <w:tab w:val="clear" w:pos="720"/>
          <w:tab w:val="left" w:pos="2268"/>
        </w:tabs>
        <w:spacing w:after="80"/>
        <w:jc w:val="left"/>
        <w:rPr>
          <w:sz w:val="24"/>
          <w:lang w:val="en-GB"/>
        </w:rPr>
      </w:pPr>
      <w:r>
        <w:rPr>
          <w:sz w:val="24"/>
          <w:lang w:val="en-GB"/>
        </w:rPr>
        <w:t>CONADIS</w:t>
      </w:r>
      <w:r>
        <w:rPr>
          <w:sz w:val="24"/>
          <w:lang w:val="en-GB"/>
        </w:rPr>
        <w:tab/>
        <w:t>National Council for the Integration of Disabled Persons</w:t>
      </w:r>
    </w:p>
    <w:p w:rsidR="00000000" w:rsidRDefault="00000000">
      <w:pPr>
        <w:tabs>
          <w:tab w:val="clear" w:pos="720"/>
          <w:tab w:val="left" w:pos="2268"/>
        </w:tabs>
        <w:spacing w:after="80"/>
        <w:jc w:val="left"/>
        <w:rPr>
          <w:sz w:val="24"/>
          <w:lang w:val="en-GB"/>
        </w:rPr>
      </w:pPr>
      <w:r>
        <w:rPr>
          <w:sz w:val="24"/>
          <w:lang w:val="en-GB"/>
        </w:rPr>
        <w:t>CONAM</w:t>
      </w:r>
      <w:r>
        <w:rPr>
          <w:sz w:val="24"/>
          <w:lang w:val="en-GB"/>
        </w:rPr>
        <w:tab/>
        <w:t>National Environmental Council</w:t>
      </w:r>
    </w:p>
    <w:p w:rsidR="00000000" w:rsidRDefault="00000000">
      <w:pPr>
        <w:tabs>
          <w:tab w:val="clear" w:pos="720"/>
          <w:tab w:val="left" w:pos="2268"/>
        </w:tabs>
        <w:spacing w:after="80"/>
        <w:jc w:val="left"/>
        <w:rPr>
          <w:sz w:val="24"/>
          <w:lang w:val="en-GB"/>
        </w:rPr>
      </w:pPr>
      <w:r>
        <w:rPr>
          <w:sz w:val="24"/>
          <w:lang w:val="en-GB"/>
        </w:rPr>
        <w:t>CONFIEP</w:t>
      </w:r>
      <w:r>
        <w:rPr>
          <w:sz w:val="24"/>
          <w:lang w:val="en-GB"/>
        </w:rPr>
        <w:tab/>
        <w:t>Intersectoral Confederation of Private Enterprises</w:t>
      </w:r>
    </w:p>
    <w:p w:rsidR="00000000" w:rsidRDefault="00000000">
      <w:pPr>
        <w:tabs>
          <w:tab w:val="clear" w:pos="720"/>
          <w:tab w:val="left" w:pos="2268"/>
        </w:tabs>
        <w:spacing w:after="80"/>
        <w:jc w:val="left"/>
        <w:rPr>
          <w:sz w:val="24"/>
          <w:lang w:val="en-GB"/>
        </w:rPr>
      </w:pPr>
      <w:r>
        <w:rPr>
          <w:sz w:val="24"/>
          <w:lang w:val="en-GB"/>
        </w:rPr>
        <w:t>CONTRADROGAS</w:t>
      </w:r>
      <w:r>
        <w:rPr>
          <w:sz w:val="24"/>
          <w:lang w:val="en-GB"/>
        </w:rPr>
        <w:tab/>
        <w:t>Commission to Combat Drug Use</w:t>
      </w:r>
    </w:p>
    <w:p w:rsidR="00000000" w:rsidRDefault="00000000">
      <w:pPr>
        <w:tabs>
          <w:tab w:val="clear" w:pos="720"/>
          <w:tab w:val="left" w:pos="2268"/>
        </w:tabs>
        <w:spacing w:after="80"/>
        <w:jc w:val="left"/>
        <w:rPr>
          <w:sz w:val="24"/>
          <w:lang w:val="en-GB"/>
        </w:rPr>
      </w:pPr>
      <w:r>
        <w:rPr>
          <w:sz w:val="24"/>
          <w:lang w:val="en-GB"/>
        </w:rPr>
        <w:t>COOPOP</w:t>
      </w:r>
      <w:r>
        <w:rPr>
          <w:sz w:val="24"/>
          <w:lang w:val="en-GB"/>
        </w:rPr>
        <w:tab/>
        <w:t>Office for Grass-roots Cooperation</w:t>
      </w:r>
    </w:p>
    <w:p w:rsidR="00000000" w:rsidRDefault="00000000">
      <w:pPr>
        <w:tabs>
          <w:tab w:val="clear" w:pos="720"/>
          <w:tab w:val="left" w:pos="2268"/>
        </w:tabs>
        <w:spacing w:after="80"/>
        <w:jc w:val="left"/>
        <w:rPr>
          <w:sz w:val="24"/>
          <w:lang w:val="en-GB"/>
        </w:rPr>
      </w:pPr>
      <w:r>
        <w:rPr>
          <w:sz w:val="24"/>
          <w:lang w:val="en-GB"/>
        </w:rPr>
        <w:t>DEVIDA</w:t>
      </w:r>
      <w:r>
        <w:rPr>
          <w:sz w:val="24"/>
          <w:lang w:val="en-GB"/>
        </w:rPr>
        <w:tab/>
        <w:t>National Commission for Development and Life without Drugs</w:t>
      </w:r>
    </w:p>
    <w:p w:rsidR="00000000" w:rsidRDefault="00000000">
      <w:pPr>
        <w:tabs>
          <w:tab w:val="clear" w:pos="720"/>
          <w:tab w:val="left" w:pos="2268"/>
        </w:tabs>
        <w:spacing w:after="80"/>
        <w:jc w:val="left"/>
        <w:rPr>
          <w:sz w:val="24"/>
          <w:lang w:val="en-GB"/>
        </w:rPr>
      </w:pPr>
      <w:r>
        <w:rPr>
          <w:sz w:val="24"/>
          <w:lang w:val="en-GB"/>
        </w:rPr>
        <w:t>ENAHO</w:t>
      </w:r>
      <w:r>
        <w:rPr>
          <w:sz w:val="24"/>
          <w:lang w:val="en-GB"/>
        </w:rPr>
        <w:tab/>
        <w:t>National Household Survey</w:t>
      </w:r>
    </w:p>
    <w:p w:rsidR="00000000" w:rsidRDefault="00000000">
      <w:pPr>
        <w:tabs>
          <w:tab w:val="clear" w:pos="720"/>
          <w:tab w:val="left" w:pos="2268"/>
        </w:tabs>
        <w:spacing w:after="80"/>
        <w:jc w:val="left"/>
        <w:rPr>
          <w:sz w:val="24"/>
          <w:lang w:val="en-GB"/>
        </w:rPr>
      </w:pPr>
      <w:r>
        <w:rPr>
          <w:sz w:val="24"/>
          <w:lang w:val="en-GB"/>
        </w:rPr>
        <w:t>ENNIV</w:t>
      </w:r>
      <w:r>
        <w:rPr>
          <w:sz w:val="24"/>
          <w:lang w:val="en-GB"/>
        </w:rPr>
        <w:tab/>
        <w:t>National Survey for the Measurement of Living Standards</w:t>
      </w:r>
    </w:p>
    <w:p w:rsidR="00000000" w:rsidRDefault="00000000">
      <w:pPr>
        <w:tabs>
          <w:tab w:val="clear" w:pos="720"/>
          <w:tab w:val="left" w:pos="2268"/>
        </w:tabs>
        <w:spacing w:after="80"/>
        <w:jc w:val="left"/>
        <w:rPr>
          <w:sz w:val="24"/>
          <w:lang w:val="en-GB"/>
        </w:rPr>
      </w:pPr>
      <w:r>
        <w:rPr>
          <w:sz w:val="24"/>
          <w:lang w:val="en-GB"/>
        </w:rPr>
        <w:t>FONCODES</w:t>
      </w:r>
      <w:r>
        <w:rPr>
          <w:sz w:val="24"/>
          <w:lang w:val="en-GB"/>
        </w:rPr>
        <w:tab/>
        <w:t>National Compensation and Development Fund</w:t>
      </w:r>
    </w:p>
    <w:p w:rsidR="00000000" w:rsidRDefault="00000000">
      <w:pPr>
        <w:tabs>
          <w:tab w:val="clear" w:pos="720"/>
          <w:tab w:val="left" w:pos="2268"/>
        </w:tabs>
        <w:spacing w:after="80"/>
        <w:jc w:val="left"/>
        <w:rPr>
          <w:sz w:val="24"/>
          <w:lang w:val="en-GB"/>
        </w:rPr>
      </w:pPr>
      <w:r>
        <w:rPr>
          <w:sz w:val="24"/>
          <w:lang w:val="en-GB"/>
        </w:rPr>
        <w:t>INABIF</w:t>
      </w:r>
      <w:r>
        <w:rPr>
          <w:sz w:val="24"/>
          <w:lang w:val="en-GB"/>
        </w:rPr>
        <w:tab/>
        <w:t>National Family Welfare Institute</w:t>
      </w:r>
    </w:p>
    <w:p w:rsidR="00000000" w:rsidRDefault="00000000">
      <w:pPr>
        <w:tabs>
          <w:tab w:val="clear" w:pos="720"/>
          <w:tab w:val="left" w:pos="2268"/>
        </w:tabs>
        <w:spacing w:after="80"/>
        <w:jc w:val="left"/>
        <w:rPr>
          <w:sz w:val="24"/>
          <w:lang w:val="en-GB"/>
        </w:rPr>
      </w:pPr>
      <w:r>
        <w:rPr>
          <w:sz w:val="24"/>
          <w:lang w:val="en-GB"/>
        </w:rPr>
        <w:t>INEI</w:t>
      </w:r>
      <w:r>
        <w:rPr>
          <w:sz w:val="24"/>
          <w:lang w:val="en-GB"/>
        </w:rPr>
        <w:tab/>
        <w:t>National Institute for Statistics and Information</w:t>
      </w:r>
    </w:p>
    <w:p w:rsidR="00000000" w:rsidRDefault="00000000">
      <w:pPr>
        <w:tabs>
          <w:tab w:val="clear" w:pos="720"/>
          <w:tab w:val="left" w:pos="2268"/>
        </w:tabs>
        <w:spacing w:after="80"/>
        <w:jc w:val="left"/>
        <w:rPr>
          <w:sz w:val="24"/>
          <w:lang w:val="en-GB"/>
        </w:rPr>
      </w:pPr>
      <w:r>
        <w:rPr>
          <w:sz w:val="24"/>
          <w:lang w:val="en-GB"/>
        </w:rPr>
        <w:t>INS</w:t>
      </w:r>
      <w:r>
        <w:rPr>
          <w:sz w:val="24"/>
          <w:lang w:val="en-GB"/>
        </w:rPr>
        <w:tab/>
        <w:t>National Health Institute</w:t>
      </w:r>
    </w:p>
    <w:p w:rsidR="00000000" w:rsidRDefault="00000000">
      <w:pPr>
        <w:tabs>
          <w:tab w:val="clear" w:pos="720"/>
          <w:tab w:val="left" w:pos="2268"/>
        </w:tabs>
        <w:spacing w:after="80"/>
        <w:jc w:val="left"/>
        <w:rPr>
          <w:sz w:val="24"/>
          <w:lang w:val="en-GB"/>
        </w:rPr>
      </w:pPr>
      <w:r>
        <w:rPr>
          <w:sz w:val="24"/>
          <w:lang w:val="en-GB"/>
        </w:rPr>
        <w:t>MCLPC</w:t>
      </w:r>
      <w:r>
        <w:rPr>
          <w:sz w:val="24"/>
          <w:lang w:val="en-GB"/>
        </w:rPr>
        <w:tab/>
        <w:t>Forums against Poverty</w:t>
      </w:r>
    </w:p>
    <w:p w:rsidR="00000000" w:rsidRDefault="00000000">
      <w:pPr>
        <w:tabs>
          <w:tab w:val="clear" w:pos="720"/>
          <w:tab w:val="left" w:pos="2268"/>
        </w:tabs>
        <w:spacing w:after="80"/>
        <w:jc w:val="left"/>
        <w:rPr>
          <w:sz w:val="24"/>
          <w:lang w:val="en-GB"/>
        </w:rPr>
      </w:pPr>
      <w:r>
        <w:rPr>
          <w:sz w:val="24"/>
          <w:lang w:val="en-GB"/>
        </w:rPr>
        <w:t>MEF</w:t>
      </w:r>
      <w:r>
        <w:rPr>
          <w:sz w:val="24"/>
          <w:lang w:val="en-GB"/>
        </w:rPr>
        <w:tab/>
        <w:t>Ministry of the Economy and Finance</w:t>
      </w:r>
    </w:p>
    <w:p w:rsidR="00000000" w:rsidRDefault="00000000">
      <w:pPr>
        <w:tabs>
          <w:tab w:val="clear" w:pos="720"/>
          <w:tab w:val="left" w:pos="2268"/>
        </w:tabs>
        <w:spacing w:after="80"/>
        <w:jc w:val="left"/>
        <w:rPr>
          <w:sz w:val="24"/>
          <w:lang w:val="en-GB"/>
        </w:rPr>
      </w:pPr>
      <w:r>
        <w:rPr>
          <w:sz w:val="24"/>
          <w:lang w:val="en-GB"/>
        </w:rPr>
        <w:t>MIMDES</w:t>
      </w:r>
      <w:r>
        <w:rPr>
          <w:sz w:val="24"/>
          <w:lang w:val="en-GB"/>
        </w:rPr>
        <w:tab/>
        <w:t>Ministry for Women and Social Development</w:t>
      </w:r>
    </w:p>
    <w:p w:rsidR="00000000" w:rsidRDefault="00000000">
      <w:pPr>
        <w:tabs>
          <w:tab w:val="clear" w:pos="720"/>
          <w:tab w:val="left" w:pos="2268"/>
        </w:tabs>
        <w:spacing w:after="80"/>
        <w:jc w:val="left"/>
        <w:rPr>
          <w:sz w:val="24"/>
          <w:lang w:val="en-GB"/>
        </w:rPr>
      </w:pPr>
      <w:r>
        <w:rPr>
          <w:sz w:val="24"/>
          <w:lang w:val="en-GB"/>
        </w:rPr>
        <w:t>MINEDU</w:t>
      </w:r>
      <w:r>
        <w:rPr>
          <w:sz w:val="24"/>
          <w:lang w:val="en-GB"/>
        </w:rPr>
        <w:tab/>
        <w:t>Ministry of Education</w:t>
      </w:r>
    </w:p>
    <w:p w:rsidR="00000000" w:rsidRDefault="00000000">
      <w:pPr>
        <w:tabs>
          <w:tab w:val="clear" w:pos="720"/>
          <w:tab w:val="left" w:pos="2268"/>
        </w:tabs>
        <w:spacing w:after="80"/>
        <w:jc w:val="left"/>
        <w:rPr>
          <w:sz w:val="24"/>
          <w:lang w:val="en-GB"/>
        </w:rPr>
      </w:pPr>
      <w:r>
        <w:rPr>
          <w:sz w:val="24"/>
          <w:lang w:val="en-GB"/>
        </w:rPr>
        <w:t>MINJUS</w:t>
      </w:r>
      <w:r>
        <w:rPr>
          <w:sz w:val="24"/>
          <w:lang w:val="en-GB"/>
        </w:rPr>
        <w:tab/>
        <w:t>Ministry of Justice</w:t>
      </w:r>
    </w:p>
    <w:p w:rsidR="00000000" w:rsidRDefault="00000000">
      <w:pPr>
        <w:tabs>
          <w:tab w:val="clear" w:pos="720"/>
          <w:tab w:val="left" w:pos="2268"/>
        </w:tabs>
        <w:spacing w:after="80"/>
        <w:jc w:val="left"/>
        <w:rPr>
          <w:sz w:val="24"/>
          <w:lang w:val="en-GB"/>
        </w:rPr>
      </w:pPr>
      <w:r>
        <w:rPr>
          <w:sz w:val="24"/>
          <w:lang w:val="en-GB"/>
        </w:rPr>
        <w:t>MINSA</w:t>
      </w:r>
      <w:r>
        <w:rPr>
          <w:sz w:val="24"/>
          <w:lang w:val="en-GB"/>
        </w:rPr>
        <w:tab/>
        <w:t>Ministry of Health</w:t>
      </w:r>
    </w:p>
    <w:p w:rsidR="00000000" w:rsidRDefault="00000000">
      <w:pPr>
        <w:tabs>
          <w:tab w:val="clear" w:pos="720"/>
          <w:tab w:val="left" w:pos="2268"/>
        </w:tabs>
        <w:spacing w:after="80"/>
        <w:jc w:val="left"/>
        <w:rPr>
          <w:sz w:val="24"/>
          <w:lang w:val="en-GB"/>
        </w:rPr>
      </w:pPr>
      <w:r>
        <w:rPr>
          <w:sz w:val="24"/>
          <w:lang w:val="en-GB"/>
        </w:rPr>
        <w:t>MTPE</w:t>
      </w:r>
      <w:r>
        <w:rPr>
          <w:sz w:val="24"/>
          <w:lang w:val="en-GB"/>
        </w:rPr>
        <w:tab/>
        <w:t>Ministry of Labour and Employment</w:t>
      </w:r>
    </w:p>
    <w:p w:rsidR="00000000" w:rsidRDefault="00000000">
      <w:pPr>
        <w:tabs>
          <w:tab w:val="clear" w:pos="720"/>
          <w:tab w:val="left" w:pos="2268"/>
        </w:tabs>
        <w:spacing w:after="80"/>
        <w:jc w:val="left"/>
        <w:rPr>
          <w:sz w:val="24"/>
          <w:lang w:val="en-GB"/>
        </w:rPr>
      </w:pPr>
      <w:r>
        <w:rPr>
          <w:sz w:val="24"/>
          <w:lang w:val="en-GB"/>
        </w:rPr>
        <w:t>NGO</w:t>
      </w:r>
      <w:r>
        <w:rPr>
          <w:sz w:val="24"/>
          <w:lang w:val="en-GB"/>
        </w:rPr>
        <w:tab/>
        <w:t>Non-governmental organization</w:t>
      </w:r>
    </w:p>
    <w:p w:rsidR="00000000" w:rsidRDefault="00000000">
      <w:pPr>
        <w:tabs>
          <w:tab w:val="clear" w:pos="720"/>
          <w:tab w:val="left" w:pos="2268"/>
        </w:tabs>
        <w:spacing w:after="80"/>
        <w:jc w:val="left"/>
        <w:rPr>
          <w:sz w:val="24"/>
          <w:lang w:val="en-GB"/>
        </w:rPr>
      </w:pPr>
      <w:r>
        <w:rPr>
          <w:sz w:val="24"/>
          <w:lang w:val="en-GB"/>
        </w:rPr>
        <w:t>PAHO</w:t>
      </w:r>
      <w:r>
        <w:rPr>
          <w:sz w:val="24"/>
          <w:lang w:val="en-GB"/>
        </w:rPr>
        <w:tab/>
        <w:t>Pan-American Health Organization</w:t>
      </w:r>
    </w:p>
    <w:p w:rsidR="00000000" w:rsidRDefault="00000000">
      <w:pPr>
        <w:tabs>
          <w:tab w:val="clear" w:pos="720"/>
          <w:tab w:val="left" w:pos="2268"/>
        </w:tabs>
        <w:spacing w:after="80"/>
        <w:ind w:left="2268" w:hanging="2268"/>
        <w:jc w:val="left"/>
        <w:rPr>
          <w:sz w:val="24"/>
          <w:lang w:val="en-GB"/>
        </w:rPr>
      </w:pPr>
      <w:r>
        <w:rPr>
          <w:sz w:val="24"/>
          <w:lang w:val="en-GB"/>
        </w:rPr>
        <w:t>PAR</w:t>
      </w:r>
      <w:r>
        <w:rPr>
          <w:sz w:val="24"/>
          <w:lang w:val="en-GB"/>
        </w:rPr>
        <w:tab/>
        <w:t>Programme of Support for the Resettlement and Development of Emergency Zones</w:t>
      </w:r>
    </w:p>
    <w:p w:rsidR="00000000" w:rsidRDefault="00000000">
      <w:pPr>
        <w:tabs>
          <w:tab w:val="clear" w:pos="720"/>
          <w:tab w:val="left" w:pos="2268"/>
        </w:tabs>
        <w:spacing w:after="80"/>
        <w:jc w:val="left"/>
        <w:rPr>
          <w:sz w:val="24"/>
          <w:lang w:val="pt-BR"/>
        </w:rPr>
      </w:pPr>
      <w:r>
        <w:rPr>
          <w:sz w:val="24"/>
          <w:lang w:val="pt-BR"/>
        </w:rPr>
        <w:t>PATPAL</w:t>
      </w:r>
      <w:r>
        <w:rPr>
          <w:sz w:val="24"/>
          <w:lang w:val="pt-BR"/>
        </w:rPr>
        <w:tab/>
      </w:r>
      <w:r>
        <w:rPr>
          <w:i/>
          <w:sz w:val="24"/>
          <w:lang w:val="pt-BR"/>
        </w:rPr>
        <w:t>Parque de las Leyendas</w:t>
      </w:r>
      <w:r>
        <w:rPr>
          <w:sz w:val="24"/>
          <w:lang w:val="pt-BR"/>
        </w:rPr>
        <w:t xml:space="preserve"> Board</w:t>
      </w:r>
    </w:p>
    <w:p w:rsidR="00000000" w:rsidRDefault="00000000">
      <w:pPr>
        <w:tabs>
          <w:tab w:val="clear" w:pos="720"/>
          <w:tab w:val="left" w:pos="2268"/>
        </w:tabs>
        <w:spacing w:after="80"/>
        <w:jc w:val="left"/>
        <w:rPr>
          <w:sz w:val="24"/>
          <w:lang w:val="en-GB"/>
        </w:rPr>
      </w:pPr>
      <w:r>
        <w:rPr>
          <w:sz w:val="24"/>
          <w:lang w:val="en-GB"/>
        </w:rPr>
        <w:t>PNCVFS</w:t>
      </w:r>
      <w:r>
        <w:rPr>
          <w:sz w:val="24"/>
          <w:lang w:val="en-GB"/>
        </w:rPr>
        <w:tab/>
        <w:t>National Programme to Combat Domestic and Sexual Violence</w:t>
      </w:r>
    </w:p>
    <w:p w:rsidR="00000000" w:rsidRDefault="00000000">
      <w:pPr>
        <w:tabs>
          <w:tab w:val="clear" w:pos="720"/>
          <w:tab w:val="left" w:pos="2268"/>
        </w:tabs>
        <w:spacing w:after="80"/>
        <w:jc w:val="left"/>
        <w:rPr>
          <w:sz w:val="24"/>
          <w:lang w:val="en-GB"/>
        </w:rPr>
      </w:pPr>
      <w:r>
        <w:rPr>
          <w:sz w:val="24"/>
          <w:lang w:val="en-GB"/>
        </w:rPr>
        <w:t>PROMUDEH</w:t>
      </w:r>
      <w:r>
        <w:rPr>
          <w:sz w:val="24"/>
          <w:lang w:val="en-GB"/>
        </w:rPr>
        <w:tab/>
        <w:t>Ministry for the Advancement of Women and Human Development</w:t>
      </w:r>
    </w:p>
    <w:p w:rsidR="00000000" w:rsidRDefault="00000000">
      <w:pPr>
        <w:tabs>
          <w:tab w:val="clear" w:pos="720"/>
          <w:tab w:val="left" w:pos="2268"/>
        </w:tabs>
        <w:spacing w:after="80"/>
        <w:jc w:val="left"/>
        <w:rPr>
          <w:sz w:val="24"/>
          <w:lang w:val="en-GB"/>
        </w:rPr>
      </w:pPr>
      <w:r>
        <w:rPr>
          <w:sz w:val="24"/>
          <w:lang w:val="en-GB"/>
        </w:rPr>
        <w:t>PRONAA</w:t>
      </w:r>
      <w:r>
        <w:rPr>
          <w:sz w:val="24"/>
          <w:lang w:val="en-GB"/>
        </w:rPr>
        <w:tab/>
        <w:t>National Food Aid Programme</w:t>
      </w:r>
    </w:p>
    <w:p w:rsidR="00000000" w:rsidRDefault="00000000">
      <w:pPr>
        <w:tabs>
          <w:tab w:val="clear" w:pos="720"/>
          <w:tab w:val="left" w:pos="2268"/>
        </w:tabs>
        <w:spacing w:after="80"/>
        <w:jc w:val="left"/>
        <w:rPr>
          <w:sz w:val="24"/>
          <w:lang w:val="en-GB"/>
        </w:rPr>
      </w:pPr>
      <w:r>
        <w:rPr>
          <w:sz w:val="24"/>
          <w:lang w:val="en-GB"/>
        </w:rPr>
        <w:t>RENIEC</w:t>
      </w:r>
      <w:r>
        <w:rPr>
          <w:sz w:val="24"/>
          <w:lang w:val="en-GB"/>
        </w:rPr>
        <w:tab/>
        <w:t>National Register of Identity and Civil Status</w:t>
      </w:r>
    </w:p>
    <w:p w:rsidR="00000000" w:rsidRDefault="00000000">
      <w:pPr>
        <w:tabs>
          <w:tab w:val="clear" w:pos="720"/>
        </w:tabs>
        <w:jc w:val="left"/>
        <w:rPr>
          <w:sz w:val="24"/>
          <w:lang w:val="en-GB"/>
        </w:rPr>
      </w:pPr>
    </w:p>
    <w:p w:rsidR="00000000" w:rsidRDefault="00000000">
      <w:pPr>
        <w:tabs>
          <w:tab w:val="clear" w:pos="720"/>
        </w:tabs>
        <w:jc w:val="center"/>
        <w:rPr>
          <w:sz w:val="24"/>
          <w:lang w:val="en-GB"/>
        </w:rPr>
      </w:pPr>
      <w:r>
        <w:rPr>
          <w:sz w:val="24"/>
          <w:lang w:val="en-GB"/>
        </w:rPr>
        <w:br w:type="page"/>
      </w:r>
      <w:r>
        <w:rPr>
          <w:b/>
          <w:sz w:val="24"/>
          <w:lang w:val="en-GB"/>
        </w:rPr>
        <w:t>INTRODUCTION</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w:t>
      </w:r>
      <w:r>
        <w:rPr>
          <w:sz w:val="24"/>
          <w:lang w:val="en-GB"/>
        </w:rPr>
        <w:tab/>
        <w:t>This third national report has been prepared pursuant to article 44 of the Convention on the Rights of the Child.  It seeks to show the present situation and the progress made in the exercise of the rights recognized in the Convention.</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2.</w:t>
      </w:r>
      <w:r>
        <w:rPr>
          <w:sz w:val="24"/>
          <w:lang w:val="en-GB"/>
        </w:rPr>
        <w:tab/>
        <w:t>Attention must be drawn to the inclusion in the report of the National Plan of Action for Children and Adolescents 2002-2010 (PNAI),</w:t>
      </w:r>
      <w:r>
        <w:rPr>
          <w:rStyle w:val="FootnoteReference"/>
          <w:b/>
          <w:sz w:val="24"/>
          <w:lang w:val="en-GB"/>
        </w:rPr>
        <w:footnoteReference w:customMarkFollows="1" w:id="1"/>
        <w:t>*</w:t>
      </w:r>
      <w:r>
        <w:rPr>
          <w:sz w:val="24"/>
          <w:lang w:val="en-GB"/>
        </w:rPr>
        <w:t xml:space="preserve"> the start-up of which constitutes the most important challenge for the effective exercise of rights and for sustainable development in Peru.</w:t>
      </w:r>
    </w:p>
    <w:p w:rsidR="00000000" w:rsidRDefault="00000000">
      <w:pPr>
        <w:tabs>
          <w:tab w:val="clear" w:pos="720"/>
        </w:tabs>
        <w:jc w:val="left"/>
        <w:rPr>
          <w:sz w:val="24"/>
          <w:lang w:val="en-GB"/>
        </w:rPr>
      </w:pPr>
    </w:p>
    <w:p w:rsidR="00000000" w:rsidRDefault="00000000">
      <w:pPr>
        <w:tabs>
          <w:tab w:val="clear" w:pos="720"/>
        </w:tabs>
        <w:jc w:val="center"/>
        <w:rPr>
          <w:sz w:val="24"/>
          <w:lang w:val="en-GB"/>
        </w:rPr>
      </w:pPr>
      <w:r>
        <w:rPr>
          <w:b/>
          <w:sz w:val="24"/>
          <w:lang w:val="en-GB"/>
        </w:rPr>
        <w:t>I.  SITUATION AND PROSPECTS</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3.</w:t>
      </w:r>
      <w:r>
        <w:rPr>
          <w:sz w:val="24"/>
          <w:lang w:val="en-GB"/>
        </w:rPr>
        <w:tab/>
        <w:t>In an analysis of the application of the Convention it is first necessary to describe the political and legal situation in Peru in the 1990s.  From the social point of view that decade was characterized by the corruption of the Government, the break-down of the institutions of society, and excessive authoritarianism on the part of the Executive.  In legal terms there was a crisis of the rule of law, a loss of confidence in the Judiciary, and want of a culture of legality in all the sectors of society.</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4.</w:t>
      </w:r>
      <w:r>
        <w:rPr>
          <w:sz w:val="24"/>
          <w:lang w:val="en-GB"/>
        </w:rPr>
        <w:tab/>
        <w:t>Furthermore, the violation of fundamental rights was characteristic of a situation which Peru is still trying to understand today.</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5.</w:t>
      </w:r>
      <w:r>
        <w:rPr>
          <w:sz w:val="24"/>
          <w:lang w:val="en-GB"/>
        </w:rPr>
        <w:tab/>
        <w:t>The moral crisis must be singled out as a fundamental problem (one which inevitably undermined the country’s institutions).  Accordingly, if one feature characterized the 1990s it was the culture of corruption.</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6.</w:t>
      </w:r>
      <w:r>
        <w:rPr>
          <w:sz w:val="24"/>
          <w:lang w:val="en-GB"/>
        </w:rPr>
        <w:tab/>
        <w:t>In November 2000 Dr. Valentín Paniagua assumed office as President of the Republic and took up the great challenge of reconstructing, with his transitional Government, a Peruvian State in which respect for human rights, consolidation of the institutions of society, and reorganization of the structure of power would be the principal governmental policies.</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7.</w:t>
      </w:r>
      <w:r>
        <w:rPr>
          <w:sz w:val="24"/>
          <w:lang w:val="en-GB"/>
        </w:rPr>
        <w:tab/>
        <w:t>Later, the Government of Dr. Alejandro Toledo took over the task of rebuilding the State through the democratization of power, decentralization of State control, and unrestricted respect for human rights.</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8.</w:t>
      </w:r>
      <w:r>
        <w:rPr>
          <w:sz w:val="24"/>
          <w:lang w:val="en-GB"/>
        </w:rPr>
        <w:tab/>
        <w:t>Against this background the Government has been carrying out national policies to solve the problems described above.  Accordingly, the fight against extreme poverty is becoming a basic focus of the State’s action in terms of the priority given to measures to help the poorest people and to build and develop capacities.</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9.</w:t>
      </w:r>
      <w:r>
        <w:rPr>
          <w:sz w:val="24"/>
          <w:lang w:val="en-GB"/>
        </w:rPr>
        <w:tab/>
        <w:t>The Government has also given priority to promoting negotiation as a mechanism of dialogue.  In this connection it signed the National Accord on State Policies, an unprecedented arrangement in Peru’s history, under which the different social and political forces have undertaken to work for the success of the proposals contained in that document.  These proposals include various measures for the benefit of children,</w:t>
      </w:r>
      <w:r>
        <w:rPr>
          <w:rStyle w:val="FootnoteReference"/>
          <w:b/>
          <w:bCs/>
          <w:sz w:val="24"/>
        </w:rPr>
        <w:footnoteReference w:id="2"/>
      </w:r>
      <w:r>
        <w:rPr>
          <w:sz w:val="24"/>
          <w:lang w:val="en-GB"/>
        </w:rPr>
        <w:t xml:space="preserve"> such as:</w:t>
      </w:r>
    </w:p>
    <w:p w:rsidR="00000000" w:rsidRDefault="00000000">
      <w:pPr>
        <w:tabs>
          <w:tab w:val="clear" w:pos="720"/>
        </w:tabs>
        <w:jc w:val="left"/>
        <w:rPr>
          <w:sz w:val="24"/>
          <w:lang w:val="en-GB"/>
        </w:rPr>
      </w:pPr>
    </w:p>
    <w:p w:rsidR="00000000" w:rsidRDefault="00000000">
      <w:pPr>
        <w:numPr>
          <w:ilvl w:val="0"/>
          <w:numId w:val="143"/>
        </w:numPr>
        <w:tabs>
          <w:tab w:val="clear" w:pos="720"/>
          <w:tab w:val="clear" w:pos="1134"/>
        </w:tabs>
        <w:spacing w:after="240"/>
        <w:jc w:val="left"/>
        <w:rPr>
          <w:sz w:val="24"/>
          <w:lang w:val="en-GB"/>
        </w:rPr>
      </w:pPr>
      <w:r>
        <w:rPr>
          <w:sz w:val="24"/>
          <w:lang w:val="en-GB"/>
        </w:rPr>
        <w:t>State Policy No. 7, which provides that “... to this end the State ... (c) Shall place special emphasis on extending the legal mechanisms for combating ingrained violent practices such as domestic violence and violation of the physical and mental integrity of children, old people and women ...”;</w:t>
      </w:r>
    </w:p>
    <w:p w:rsidR="00000000" w:rsidRDefault="00000000">
      <w:pPr>
        <w:numPr>
          <w:ilvl w:val="0"/>
          <w:numId w:val="143"/>
        </w:numPr>
        <w:tabs>
          <w:tab w:val="clear" w:pos="720"/>
          <w:tab w:val="clear" w:pos="1134"/>
        </w:tabs>
        <w:spacing w:after="240"/>
        <w:jc w:val="left"/>
        <w:rPr>
          <w:sz w:val="24"/>
          <w:lang w:val="en-GB"/>
        </w:rPr>
      </w:pPr>
      <w:r>
        <w:rPr>
          <w:sz w:val="24"/>
          <w:lang w:val="en-GB"/>
        </w:rPr>
        <w:t>State Policy No. 11, which refers to the promotion of equality of opportunity without discrimination: “ ... the State ... shall develop systems for the protection of children ...”;</w:t>
      </w:r>
    </w:p>
    <w:p w:rsidR="00000000" w:rsidRDefault="00000000">
      <w:pPr>
        <w:numPr>
          <w:ilvl w:val="0"/>
          <w:numId w:val="143"/>
        </w:numPr>
        <w:tabs>
          <w:tab w:val="clear" w:pos="720"/>
          <w:tab w:val="clear" w:pos="1134"/>
        </w:tabs>
        <w:spacing w:after="240"/>
        <w:jc w:val="left"/>
        <w:rPr>
          <w:sz w:val="24"/>
          <w:lang w:val="en-GB"/>
        </w:rPr>
      </w:pPr>
      <w:r>
        <w:rPr>
          <w:sz w:val="24"/>
          <w:lang w:val="en-GB"/>
        </w:rPr>
        <w:t>State Policy No 12, which posits “Universal access to free State education of good quality and the promotion and protection of culture and sports”;</w:t>
      </w:r>
    </w:p>
    <w:p w:rsidR="00000000" w:rsidRDefault="00000000">
      <w:pPr>
        <w:numPr>
          <w:ilvl w:val="0"/>
          <w:numId w:val="143"/>
        </w:numPr>
        <w:tabs>
          <w:tab w:val="clear" w:pos="720"/>
          <w:tab w:val="clear" w:pos="1134"/>
        </w:tabs>
        <w:spacing w:after="240"/>
        <w:jc w:val="left"/>
        <w:rPr>
          <w:sz w:val="24"/>
          <w:lang w:val="en-GB"/>
        </w:rPr>
      </w:pPr>
      <w:r>
        <w:rPr>
          <w:sz w:val="24"/>
          <w:lang w:val="en-GB"/>
        </w:rPr>
        <w:t>State Policy No. 13, which provides for “Universal access to the health services and social security”;</w:t>
      </w:r>
    </w:p>
    <w:p w:rsidR="00000000" w:rsidRDefault="00000000">
      <w:pPr>
        <w:numPr>
          <w:ilvl w:val="0"/>
          <w:numId w:val="143"/>
        </w:numPr>
        <w:tabs>
          <w:tab w:val="clear" w:pos="720"/>
          <w:tab w:val="clear" w:pos="1134"/>
        </w:tabs>
        <w:jc w:val="left"/>
        <w:rPr>
          <w:sz w:val="24"/>
          <w:lang w:val="en-GB"/>
        </w:rPr>
      </w:pPr>
      <w:r>
        <w:rPr>
          <w:sz w:val="24"/>
          <w:lang w:val="en-GB"/>
        </w:rPr>
        <w:t>State Policy No. 16, which is concerned with “ ... strengthening the family, protecting and fostering the development of children and young people” and states as an important component of this policy that the State “ ... shall strengthen the lead agency of the system for the care of children ...”.</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10.</w:t>
      </w:r>
      <w:r>
        <w:rPr>
          <w:sz w:val="24"/>
          <w:lang w:val="en-GB"/>
        </w:rPr>
        <w:tab/>
        <w:t>As already pointed out, one of the most important challenges facing Peruvian society and the entire political class today is to restore the country to full governability in order to facilitate the strengthening of democracy and the construction of a collective future of prosperity and social justice.</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11.</w:t>
      </w:r>
      <w:r>
        <w:rPr>
          <w:sz w:val="24"/>
          <w:lang w:val="en-GB"/>
        </w:rPr>
        <w:tab/>
        <w:t>The common approach to be built by joint efforts can be described in terms of the following convergent and interdependent paths:</w:t>
      </w:r>
    </w:p>
    <w:p w:rsidR="00000000" w:rsidRDefault="00000000">
      <w:pPr>
        <w:tabs>
          <w:tab w:val="clear" w:pos="720"/>
        </w:tabs>
        <w:jc w:val="left"/>
        <w:rPr>
          <w:sz w:val="24"/>
          <w:lang w:val="en-GB"/>
        </w:rPr>
      </w:pPr>
    </w:p>
    <w:p w:rsidR="00000000" w:rsidRDefault="00000000">
      <w:pPr>
        <w:tabs>
          <w:tab w:val="clear" w:pos="720"/>
        </w:tabs>
        <w:ind w:left="1134" w:hanging="1134"/>
        <w:jc w:val="left"/>
        <w:rPr>
          <w:sz w:val="24"/>
          <w:lang w:val="en-GB"/>
        </w:rPr>
      </w:pPr>
      <w:r>
        <w:rPr>
          <w:sz w:val="24"/>
          <w:lang w:val="en-GB"/>
        </w:rPr>
        <w:tab/>
        <w:t>(a)</w:t>
      </w:r>
      <w:r>
        <w:rPr>
          <w:sz w:val="24"/>
          <w:lang w:val="en-GB"/>
        </w:rPr>
        <w:tab/>
      </w:r>
      <w:r>
        <w:rPr>
          <w:b/>
          <w:sz w:val="24"/>
          <w:lang w:val="en-GB"/>
        </w:rPr>
        <w:t>First</w:t>
      </w:r>
      <w:r>
        <w:rPr>
          <w:sz w:val="24"/>
          <w:lang w:val="en-GB"/>
        </w:rPr>
        <w:t>, to ensure the effective delivery of human rights in general by establishing public policies for the comprehensive protection of children in particular.  This will require the components of society and the State to harmonize their efforts in a joint approach in which respect for the equality of human beings is the basis for mutually supportive, efficient and sustainable social development;</w:t>
      </w:r>
    </w:p>
    <w:p w:rsidR="00000000" w:rsidRDefault="00000000">
      <w:pPr>
        <w:tabs>
          <w:tab w:val="clear" w:pos="720"/>
        </w:tabs>
        <w:ind w:left="1134" w:hanging="1134"/>
        <w:jc w:val="left"/>
        <w:rPr>
          <w:sz w:val="24"/>
          <w:lang w:val="en-GB"/>
        </w:rPr>
      </w:pPr>
    </w:p>
    <w:p w:rsidR="00000000" w:rsidRDefault="00000000">
      <w:pPr>
        <w:tabs>
          <w:tab w:val="clear" w:pos="720"/>
        </w:tabs>
        <w:ind w:left="1134" w:hanging="1134"/>
        <w:jc w:val="left"/>
        <w:rPr>
          <w:sz w:val="24"/>
          <w:lang w:val="en-GB"/>
        </w:rPr>
      </w:pPr>
      <w:r>
        <w:rPr>
          <w:sz w:val="24"/>
          <w:lang w:val="en-GB"/>
        </w:rPr>
        <w:tab/>
        <w:t>(b)</w:t>
      </w:r>
      <w:r>
        <w:rPr>
          <w:sz w:val="24"/>
          <w:lang w:val="en-GB"/>
        </w:rPr>
        <w:tab/>
      </w:r>
      <w:r>
        <w:rPr>
          <w:b/>
          <w:sz w:val="24"/>
          <w:lang w:val="en-GB"/>
        </w:rPr>
        <w:t>Second</w:t>
      </w:r>
      <w:r>
        <w:rPr>
          <w:sz w:val="24"/>
          <w:lang w:val="en-GB"/>
        </w:rPr>
        <w:t>, to secure the sustained economic growth and genuine development of the regions to facilitate a geographical redistribution of the production of goods and of access to them; this will be sought chiefly by means of decentralization of decision-making as the basis for true democracy, so that the peoples of Peru will cease to be passive actors and become protagonists of their destiny and history;</w:t>
      </w:r>
      <w:r>
        <w:rPr>
          <w:rStyle w:val="FootnoteReference"/>
          <w:b/>
          <w:bCs/>
          <w:sz w:val="24"/>
        </w:rPr>
        <w:footnoteReference w:id="3"/>
      </w:r>
    </w:p>
    <w:p w:rsidR="00000000" w:rsidRDefault="00000000">
      <w:pPr>
        <w:tabs>
          <w:tab w:val="clear" w:pos="720"/>
        </w:tabs>
        <w:jc w:val="left"/>
        <w:rPr>
          <w:sz w:val="24"/>
          <w:lang w:val="en-GB"/>
        </w:rPr>
      </w:pPr>
    </w:p>
    <w:p w:rsidR="00000000" w:rsidRDefault="00000000">
      <w:pPr>
        <w:tabs>
          <w:tab w:val="clear" w:pos="720"/>
        </w:tabs>
        <w:ind w:left="1134" w:hanging="1134"/>
        <w:jc w:val="left"/>
        <w:rPr>
          <w:sz w:val="24"/>
          <w:lang w:val="en-GB"/>
        </w:rPr>
      </w:pPr>
      <w:r>
        <w:rPr>
          <w:sz w:val="24"/>
          <w:lang w:val="en-GB"/>
        </w:rPr>
        <w:tab/>
        <w:t>(c)</w:t>
      </w:r>
      <w:r>
        <w:rPr>
          <w:sz w:val="24"/>
          <w:lang w:val="en-GB"/>
        </w:rPr>
        <w:tab/>
      </w:r>
      <w:r>
        <w:rPr>
          <w:b/>
          <w:sz w:val="24"/>
          <w:lang w:val="en-GB"/>
        </w:rPr>
        <w:t>Third</w:t>
      </w:r>
      <w:r>
        <w:rPr>
          <w:sz w:val="24"/>
          <w:lang w:val="en-GB"/>
        </w:rPr>
        <w:t>, to make substantial changes in the structure, functions and management of the State as fundamental steps in the process of placing the State in the service of society and thus making it into a powerful tool of equity;</w:t>
      </w:r>
    </w:p>
    <w:p w:rsidR="00000000" w:rsidRDefault="00000000">
      <w:pPr>
        <w:tabs>
          <w:tab w:val="clear" w:pos="720"/>
        </w:tabs>
        <w:ind w:left="1134" w:hanging="1134"/>
        <w:jc w:val="left"/>
        <w:rPr>
          <w:sz w:val="24"/>
          <w:lang w:val="en-GB"/>
        </w:rPr>
      </w:pPr>
    </w:p>
    <w:p w:rsidR="00000000" w:rsidRDefault="00000000">
      <w:pPr>
        <w:tabs>
          <w:tab w:val="clear" w:pos="720"/>
        </w:tabs>
        <w:ind w:left="1134" w:hanging="1134"/>
        <w:jc w:val="left"/>
        <w:rPr>
          <w:sz w:val="24"/>
          <w:lang w:val="en-GB"/>
        </w:rPr>
      </w:pPr>
      <w:r>
        <w:rPr>
          <w:sz w:val="24"/>
          <w:lang w:val="en-GB"/>
        </w:rPr>
        <w:tab/>
        <w:t>(d)</w:t>
      </w:r>
      <w:r>
        <w:rPr>
          <w:sz w:val="24"/>
          <w:lang w:val="en-GB"/>
        </w:rPr>
        <w:tab/>
      </w:r>
      <w:r>
        <w:rPr>
          <w:b/>
          <w:sz w:val="24"/>
          <w:lang w:val="en-GB"/>
        </w:rPr>
        <w:t>Fourth</w:t>
      </w:r>
      <w:r>
        <w:rPr>
          <w:sz w:val="24"/>
          <w:lang w:val="en-GB"/>
        </w:rPr>
        <w:t>, to implement a social development policy in which the State ceases to produce programmes weighed down with a social-assistance approach and instead promotes the development of human capacities, so that the nation’s social capital becomes the foundation of its authentic growth;</w:t>
      </w:r>
    </w:p>
    <w:p w:rsidR="00000000" w:rsidRDefault="00000000">
      <w:pPr>
        <w:tabs>
          <w:tab w:val="clear" w:pos="720"/>
        </w:tabs>
        <w:ind w:left="1134" w:hanging="1134"/>
        <w:jc w:val="left"/>
        <w:rPr>
          <w:sz w:val="24"/>
          <w:lang w:val="en-GB"/>
        </w:rPr>
      </w:pPr>
    </w:p>
    <w:p w:rsidR="00000000" w:rsidRDefault="00000000">
      <w:pPr>
        <w:tabs>
          <w:tab w:val="clear" w:pos="720"/>
        </w:tabs>
        <w:ind w:left="1134" w:hanging="1134"/>
        <w:jc w:val="left"/>
        <w:rPr>
          <w:sz w:val="24"/>
          <w:lang w:val="en-GB"/>
        </w:rPr>
      </w:pPr>
      <w:r>
        <w:rPr>
          <w:sz w:val="24"/>
          <w:lang w:val="en-GB"/>
        </w:rPr>
        <w:tab/>
        <w:t>(e)</w:t>
      </w:r>
      <w:r>
        <w:rPr>
          <w:sz w:val="24"/>
          <w:lang w:val="en-GB"/>
        </w:rPr>
        <w:tab/>
      </w:r>
      <w:r>
        <w:rPr>
          <w:b/>
          <w:sz w:val="24"/>
          <w:lang w:val="en-GB"/>
        </w:rPr>
        <w:t>Fifth</w:t>
      </w:r>
      <w:r>
        <w:rPr>
          <w:sz w:val="24"/>
          <w:lang w:val="en-GB"/>
        </w:rPr>
        <w:t>, to drive forward the historical process of the nation’s acknowledgement of the facts of the violations of human rights in the 1980s and 1990s; the Truth Commission was established for this purpose;</w:t>
      </w:r>
      <w:r>
        <w:rPr>
          <w:rStyle w:val="FootnoteReference"/>
          <w:b/>
          <w:bCs/>
          <w:sz w:val="24"/>
        </w:rPr>
        <w:footnoteReference w:id="4"/>
      </w:r>
    </w:p>
    <w:p w:rsidR="00000000" w:rsidRDefault="00000000">
      <w:pPr>
        <w:tabs>
          <w:tab w:val="clear" w:pos="720"/>
        </w:tabs>
        <w:ind w:left="1134" w:hanging="1134"/>
        <w:jc w:val="left"/>
        <w:rPr>
          <w:sz w:val="24"/>
          <w:lang w:val="en-GB"/>
        </w:rPr>
      </w:pPr>
      <w:r>
        <w:rPr>
          <w:sz w:val="24"/>
          <w:lang w:val="en-GB"/>
        </w:rPr>
        <w:tab/>
        <w:t>(f)</w:t>
      </w:r>
      <w:r>
        <w:rPr>
          <w:sz w:val="24"/>
          <w:lang w:val="en-GB"/>
        </w:rPr>
        <w:tab/>
      </w:r>
      <w:r>
        <w:rPr>
          <w:b/>
          <w:sz w:val="24"/>
          <w:lang w:val="en-GB"/>
        </w:rPr>
        <w:t>Sixth</w:t>
      </w:r>
      <w:r>
        <w:rPr>
          <w:sz w:val="24"/>
          <w:lang w:val="en-GB"/>
        </w:rPr>
        <w:t>, to consolidate the National System for the Comprehensive Care of Children and Adolescents through the National Plan of Action for Children and Adolescents 2000-2010 (PNAI) and the strengthening of the Ministry for Women and Social Development (MIMDES) as the System’s lead agency;</w:t>
      </w:r>
    </w:p>
    <w:p w:rsidR="00000000" w:rsidRDefault="00000000">
      <w:pPr>
        <w:tabs>
          <w:tab w:val="clear" w:pos="720"/>
        </w:tabs>
        <w:ind w:left="1134" w:hanging="1134"/>
        <w:jc w:val="left"/>
        <w:rPr>
          <w:sz w:val="24"/>
          <w:lang w:val="en-GB"/>
        </w:rPr>
      </w:pPr>
    </w:p>
    <w:p w:rsidR="00000000" w:rsidRDefault="00000000">
      <w:pPr>
        <w:tabs>
          <w:tab w:val="clear" w:pos="720"/>
        </w:tabs>
        <w:ind w:left="1134" w:hanging="1134"/>
        <w:jc w:val="left"/>
        <w:rPr>
          <w:sz w:val="24"/>
          <w:lang w:val="en-GB"/>
        </w:rPr>
      </w:pPr>
      <w:r>
        <w:rPr>
          <w:sz w:val="24"/>
          <w:lang w:val="en-GB"/>
        </w:rPr>
        <w:tab/>
        <w:t>(g)</w:t>
      </w:r>
      <w:r>
        <w:rPr>
          <w:sz w:val="24"/>
          <w:lang w:val="en-GB"/>
        </w:rPr>
        <w:tab/>
      </w:r>
      <w:r>
        <w:rPr>
          <w:b/>
          <w:sz w:val="24"/>
          <w:lang w:val="en-GB"/>
        </w:rPr>
        <w:t>Seventh</w:t>
      </w:r>
      <w:r>
        <w:rPr>
          <w:sz w:val="24"/>
          <w:lang w:val="en-GB"/>
        </w:rPr>
        <w:t>, to build an ethical society founded on the quest for the good, in which solidarity is the natural kind of relationship between Peruvians, with a view to the gradual creation of a culture of mutual respect.</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12.</w:t>
      </w:r>
      <w:r>
        <w:rPr>
          <w:sz w:val="24"/>
          <w:lang w:val="en-GB"/>
        </w:rPr>
        <w:tab/>
        <w:t>It would be idle to think of building authentic democracy and social justice and a State devoted to the service of the people unless they are to be founded on the values of justice, the common good and solidarity.</w:t>
      </w:r>
    </w:p>
    <w:p w:rsidR="00000000" w:rsidRDefault="00000000">
      <w:pPr>
        <w:tabs>
          <w:tab w:val="clear" w:pos="720"/>
        </w:tabs>
        <w:jc w:val="left"/>
        <w:rPr>
          <w:sz w:val="24"/>
          <w:lang w:val="en-GB"/>
        </w:rPr>
      </w:pPr>
    </w:p>
    <w:p w:rsidR="00000000" w:rsidRDefault="00000000">
      <w:pPr>
        <w:tabs>
          <w:tab w:val="clear" w:pos="720"/>
        </w:tabs>
        <w:jc w:val="center"/>
        <w:rPr>
          <w:sz w:val="24"/>
          <w:lang w:val="en-GB"/>
        </w:rPr>
      </w:pPr>
      <w:r>
        <w:rPr>
          <w:b/>
          <w:sz w:val="24"/>
          <w:lang w:val="en-GB"/>
        </w:rPr>
        <w:t>A.  Socio-demographic indicators and living standards</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13.</w:t>
      </w:r>
      <w:r>
        <w:rPr>
          <w:sz w:val="24"/>
          <w:lang w:val="en-GB"/>
        </w:rPr>
        <w:tab/>
        <w:t>In general terms, recent years have seen advances in the most important social indicators, but they have been insufficient and fragmented and below the Latin American averages.</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14.</w:t>
      </w:r>
      <w:r>
        <w:rPr>
          <w:sz w:val="24"/>
          <w:lang w:val="en-GB"/>
        </w:rPr>
        <w:tab/>
        <w:t>Peru’s estimated population</w:t>
      </w:r>
      <w:r>
        <w:rPr>
          <w:rStyle w:val="FootnoteReference"/>
          <w:b/>
          <w:sz w:val="24"/>
        </w:rPr>
        <w:footnoteReference w:id="5"/>
      </w:r>
      <w:r>
        <w:rPr>
          <w:sz w:val="24"/>
          <w:lang w:val="en-GB"/>
        </w:rPr>
        <w:t xml:space="preserve"> for the current year is 26,749,00, with an annual growth rate of 1.5 per cent.  Of this total, 72 per cent live in urban areas and 28 per cent in rural areas, defined as settlements having fewer than 100 dwellings grouped together.  Fifty-one per cent of the population lives at the coast, 35 per cent in the mountains, and 14 per cent in the forest.</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15.</w:t>
      </w:r>
      <w:r>
        <w:rPr>
          <w:sz w:val="24"/>
          <w:lang w:val="en-GB"/>
        </w:rPr>
        <w:tab/>
        <w:t>Of Peru’s total population, 54.8 per cent (14,609,000 inhabitants)</w:t>
      </w:r>
      <w:r>
        <w:rPr>
          <w:rStyle w:val="FootnoteReference"/>
          <w:b/>
          <w:sz w:val="24"/>
        </w:rPr>
        <w:footnoteReference w:id="6"/>
      </w:r>
      <w:r>
        <w:rPr>
          <w:sz w:val="24"/>
          <w:lang w:val="en-GB"/>
        </w:rPr>
        <w:t xml:space="preserve"> live in poverty and 24.4 per cent (6,513,000) in extreme poverty.</w:t>
      </w:r>
    </w:p>
    <w:p w:rsidR="00000000" w:rsidRDefault="00000000">
      <w:pPr>
        <w:tabs>
          <w:tab w:val="clear" w:pos="720"/>
        </w:tabs>
        <w:jc w:val="left"/>
        <w:rPr>
          <w:sz w:val="24"/>
          <w:lang w:val="en-GB"/>
        </w:rPr>
      </w:pPr>
    </w:p>
    <w:p w:rsidR="00000000" w:rsidRDefault="00000000">
      <w:pPr>
        <w:tabs>
          <w:tab w:val="clear" w:pos="720"/>
        </w:tabs>
        <w:jc w:val="center"/>
        <w:rPr>
          <w:b/>
          <w:bCs/>
          <w:sz w:val="20"/>
          <w:lang w:val="en-GB"/>
        </w:rPr>
      </w:pPr>
      <w:r>
        <w:rPr>
          <w:b/>
          <w:bCs/>
          <w:sz w:val="20"/>
          <w:lang w:val="en-GB"/>
        </w:rPr>
        <w:t>Population of Peru 2001-2002</w:t>
      </w:r>
    </w:p>
    <w:p w:rsidR="00000000" w:rsidRDefault="00000000">
      <w:pPr>
        <w:tabs>
          <w:tab w:val="clear" w:pos="720"/>
        </w:tabs>
        <w:spacing w:after="120"/>
        <w:jc w:val="center"/>
        <w:rPr>
          <w:i/>
          <w:iCs/>
          <w:sz w:val="20"/>
          <w:lang w:val="en-GB"/>
        </w:rPr>
      </w:pPr>
      <w:r>
        <w:rPr>
          <w:i/>
          <w:iCs/>
          <w:sz w:val="20"/>
          <w:lang w:val="en-GB"/>
        </w:rPr>
        <w:t>(thousands)</w:t>
      </w:r>
    </w:p>
    <w:p w:rsidR="00000000" w:rsidRDefault="00000000">
      <w:pPr>
        <w:tabs>
          <w:tab w:val="clear" w:pos="720"/>
        </w:tabs>
        <w:jc w:val="center"/>
        <w:rPr>
          <w:sz w:val="24"/>
          <w:lang w:val="en-GB"/>
        </w:rPr>
      </w:pPr>
      <w:r>
        <w:rPr>
          <w:noProof/>
          <w:sz w:val="20"/>
          <w:lang w:eastAsia="fr-FR"/>
        </w:rPr>
        <w:pict>
          <v:shapetype id="_x0000_t202" coordsize="21600,21600" o:spt="202" path="m,l,21600r21600,l21600,xe">
            <v:stroke joinstyle="miter"/>
            <v:path gradientshapeok="t" o:connecttype="rect"/>
          </v:shapetype>
          <v:shape id="_x0000_s1045" type="#_x0000_t202" style="position:absolute;left:0;text-align:left;margin-left:198.95pt;margin-top:79.95pt;width:1in;height:36pt;z-index:1" fillcolor="silver" strokecolor="silver">
            <v:textbox inset="0,0,0,0">
              <w:txbxContent>
                <w:p w:rsidR="00000000" w:rsidRDefault="00000000">
                  <w:pPr>
                    <w:jc w:val="center"/>
                    <w:rPr>
                      <w:b/>
                      <w:bCs/>
                      <w:color w:val="000000"/>
                      <w:sz w:val="20"/>
                      <w:lang w:val="en-GB"/>
                    </w:rPr>
                  </w:pPr>
                  <w:r>
                    <w:rPr>
                      <w:b/>
                      <w:bCs/>
                      <w:color w:val="000000"/>
                      <w:sz w:val="20"/>
                      <w:lang w:val="en-GB"/>
                    </w:rPr>
                    <w:t>1.53 %</w:t>
                  </w:r>
                </w:p>
                <w:p w:rsidR="00000000" w:rsidRDefault="00000000">
                  <w:pPr>
                    <w:jc w:val="center"/>
                    <w:rPr>
                      <w:b/>
                      <w:bCs/>
                      <w:color w:val="000000"/>
                      <w:sz w:val="20"/>
                      <w:lang w:val="en-GB"/>
                    </w:rPr>
                  </w:pPr>
                  <w:r>
                    <w:rPr>
                      <w:b/>
                      <w:bCs/>
                      <w:color w:val="000000"/>
                      <w:sz w:val="20"/>
                      <w:lang w:val="en-GB"/>
                    </w:rPr>
                    <w:t>annual rate</w:t>
                  </w:r>
                </w:p>
              </w:txbxContent>
            </v:textbox>
          </v:shape>
        </w:pict>
      </w:r>
      <w:r>
        <w:pict>
          <v:shape id="_x0000_i1026" type="#_x0000_t75" style="width:228pt;height:123.75pt" o:allowoverlap="f">
            <v:imagedata r:id="rId9" o:title="" croptop="12901f" cropbottom="7740f" grayscale="t"/>
          </v:shape>
        </w:pict>
      </w:r>
    </w:p>
    <w:p w:rsidR="00000000" w:rsidRDefault="00000000">
      <w:pPr>
        <w:tabs>
          <w:tab w:val="clear" w:pos="720"/>
        </w:tabs>
        <w:jc w:val="center"/>
        <w:rPr>
          <w:b/>
          <w:bCs/>
          <w:sz w:val="20"/>
          <w:lang w:val="en-GB"/>
        </w:rPr>
      </w:pPr>
      <w:r>
        <w:rPr>
          <w:b/>
          <w:bCs/>
          <w:sz w:val="20"/>
          <w:lang w:val="en-GB"/>
        </w:rPr>
        <w:t>Daily growth rate = 1,101 persons</w:t>
      </w:r>
    </w:p>
    <w:p w:rsidR="00000000" w:rsidRDefault="00000000">
      <w:pPr>
        <w:tabs>
          <w:tab w:val="clear" w:pos="720"/>
        </w:tabs>
        <w:jc w:val="center"/>
        <w:rPr>
          <w:sz w:val="20"/>
          <w:lang w:val="en-GB"/>
        </w:rPr>
      </w:pPr>
      <w:r>
        <w:rPr>
          <w:i/>
          <w:sz w:val="20"/>
          <w:lang w:val="en-GB"/>
        </w:rPr>
        <w:t>Source</w:t>
      </w:r>
      <w:r>
        <w:rPr>
          <w:b/>
          <w:sz w:val="20"/>
          <w:lang w:val="en-GB"/>
        </w:rPr>
        <w:t>:</w:t>
      </w:r>
      <w:r>
        <w:rPr>
          <w:sz w:val="20"/>
          <w:lang w:val="en-GB"/>
        </w:rPr>
        <w:t xml:space="preserve"> INEI</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p>
    <w:p w:rsidR="00000000" w:rsidRDefault="00000000">
      <w:pPr>
        <w:tabs>
          <w:tab w:val="clear" w:pos="720"/>
        </w:tabs>
        <w:jc w:val="left"/>
        <w:rPr>
          <w:sz w:val="24"/>
          <w:lang w:val="en-GB"/>
        </w:rPr>
      </w:pPr>
    </w:p>
    <w:p w:rsidR="00000000" w:rsidRDefault="00000000">
      <w:pPr>
        <w:tabs>
          <w:tab w:val="clear" w:pos="720"/>
        </w:tabs>
        <w:jc w:val="left"/>
        <w:rPr>
          <w:sz w:val="24"/>
          <w:lang w:val="en-GB"/>
        </w:rPr>
      </w:pPr>
    </w:p>
    <w:p w:rsidR="00000000" w:rsidRDefault="00000000">
      <w:pPr>
        <w:tabs>
          <w:tab w:val="clear" w:pos="720"/>
        </w:tabs>
        <w:jc w:val="left"/>
        <w:rPr>
          <w:sz w:val="24"/>
          <w:lang w:val="en-GB"/>
        </w:rPr>
      </w:pPr>
    </w:p>
    <w:p w:rsidR="00000000" w:rsidRDefault="00000000">
      <w:pPr>
        <w:keepNext/>
        <w:tabs>
          <w:tab w:val="clear" w:pos="720"/>
        </w:tabs>
        <w:jc w:val="center"/>
        <w:rPr>
          <w:sz w:val="20"/>
          <w:lang w:val="en-GB"/>
        </w:rPr>
      </w:pPr>
      <w:r>
        <w:rPr>
          <w:b/>
          <w:sz w:val="20"/>
          <w:lang w:val="en-GB"/>
        </w:rPr>
        <w:t>Poverty rates, 2001</w:t>
      </w:r>
      <w:r>
        <w:rPr>
          <w:rStyle w:val="FootnoteReference"/>
          <w:b/>
          <w:bCs/>
          <w:sz w:val="24"/>
        </w:rPr>
        <w:footnoteReference w:id="7"/>
      </w:r>
    </w:p>
    <w:p w:rsidR="00000000" w:rsidRDefault="00000000">
      <w:pPr>
        <w:tabs>
          <w:tab w:val="clear" w:pos="720"/>
        </w:tabs>
        <w:spacing w:after="200"/>
        <w:jc w:val="center"/>
        <w:rPr>
          <w:i/>
          <w:iCs/>
          <w:sz w:val="20"/>
          <w:lang w:val="en-GB"/>
        </w:rPr>
      </w:pPr>
      <w:r>
        <w:rPr>
          <w:i/>
          <w:iCs/>
          <w:sz w:val="20"/>
          <w:lang w:val="en-GB"/>
        </w:rPr>
        <w:t>(percentages)</w:t>
      </w:r>
    </w:p>
    <w:tbl>
      <w:tblPr>
        <w:tblW w:w="0" w:type="auto"/>
        <w:jc w:val="center"/>
        <w:tblLayout w:type="fixed"/>
        <w:tblCellMar>
          <w:left w:w="70" w:type="dxa"/>
          <w:right w:w="70" w:type="dxa"/>
        </w:tblCellMar>
        <w:tblLook w:val="0000" w:firstRow="0" w:lastRow="0" w:firstColumn="0" w:lastColumn="0" w:noHBand="0" w:noVBand="0"/>
      </w:tblPr>
      <w:tblGrid>
        <w:gridCol w:w="2439"/>
        <w:gridCol w:w="1644"/>
        <w:gridCol w:w="1644"/>
      </w:tblGrid>
      <w:tr w:rsidR="00000000">
        <w:tblPrEx>
          <w:tblCellMar>
            <w:top w:w="0" w:type="dxa"/>
            <w:bottom w:w="0" w:type="dxa"/>
          </w:tblCellMar>
        </w:tblPrEx>
        <w:trPr>
          <w:trHeight w:val="20"/>
          <w:tblHeader/>
          <w:jc w:val="center"/>
        </w:trPr>
        <w:tc>
          <w:tcPr>
            <w:tcW w:w="2439" w:type="dxa"/>
            <w:tcBorders>
              <w:top w:val="single" w:sz="4" w:space="0" w:color="auto"/>
              <w:bottom w:val="single" w:sz="4" w:space="0" w:color="auto"/>
            </w:tcBorders>
            <w:vAlign w:val="center"/>
          </w:tcPr>
          <w:p w:rsidR="00000000" w:rsidRDefault="00000000">
            <w:pPr>
              <w:spacing w:before="60" w:after="60"/>
              <w:jc w:val="center"/>
              <w:rPr>
                <w:bCs/>
                <w:i/>
                <w:iCs/>
                <w:sz w:val="20"/>
                <w:lang w:val="en-GB"/>
              </w:rPr>
            </w:pPr>
            <w:r>
              <w:rPr>
                <w:bCs/>
                <w:i/>
                <w:iCs/>
                <w:sz w:val="20"/>
                <w:lang w:val="en-GB"/>
              </w:rPr>
              <w:t>Areas</w:t>
            </w:r>
          </w:p>
        </w:tc>
        <w:tc>
          <w:tcPr>
            <w:tcW w:w="1644" w:type="dxa"/>
            <w:tcBorders>
              <w:top w:val="single" w:sz="4" w:space="0" w:color="auto"/>
              <w:bottom w:val="single" w:sz="4" w:space="0" w:color="auto"/>
            </w:tcBorders>
            <w:vAlign w:val="center"/>
          </w:tcPr>
          <w:p w:rsidR="00000000" w:rsidRDefault="00000000">
            <w:pPr>
              <w:spacing w:before="60" w:after="60"/>
              <w:jc w:val="center"/>
              <w:rPr>
                <w:bCs/>
                <w:i/>
                <w:iCs/>
                <w:sz w:val="20"/>
                <w:lang w:val="en-GB"/>
              </w:rPr>
            </w:pPr>
            <w:r>
              <w:rPr>
                <w:bCs/>
                <w:i/>
                <w:iCs/>
                <w:sz w:val="20"/>
                <w:lang w:val="en-GB"/>
              </w:rPr>
              <w:t>Total poverty</w:t>
            </w:r>
          </w:p>
        </w:tc>
        <w:tc>
          <w:tcPr>
            <w:tcW w:w="1644" w:type="dxa"/>
            <w:tcBorders>
              <w:top w:val="single" w:sz="4" w:space="0" w:color="auto"/>
              <w:bottom w:val="single" w:sz="4" w:space="0" w:color="auto"/>
            </w:tcBorders>
            <w:vAlign w:val="center"/>
          </w:tcPr>
          <w:p w:rsidR="00000000" w:rsidRDefault="00000000">
            <w:pPr>
              <w:spacing w:before="60" w:after="60"/>
              <w:jc w:val="center"/>
              <w:rPr>
                <w:bCs/>
                <w:i/>
                <w:iCs/>
                <w:sz w:val="20"/>
                <w:lang w:val="en-GB"/>
              </w:rPr>
            </w:pPr>
            <w:r>
              <w:rPr>
                <w:bCs/>
                <w:i/>
                <w:iCs/>
                <w:sz w:val="20"/>
                <w:lang w:val="en-GB"/>
              </w:rPr>
              <w:t>Extreme poverty</w:t>
            </w:r>
          </w:p>
        </w:tc>
      </w:tr>
      <w:tr w:rsidR="00000000">
        <w:tblPrEx>
          <w:tblCellMar>
            <w:top w:w="0" w:type="dxa"/>
            <w:bottom w:w="0" w:type="dxa"/>
          </w:tblCellMar>
        </w:tblPrEx>
        <w:trPr>
          <w:trHeight w:val="20"/>
          <w:jc w:val="center"/>
        </w:trPr>
        <w:tc>
          <w:tcPr>
            <w:tcW w:w="2439" w:type="dxa"/>
            <w:tcBorders>
              <w:top w:val="single" w:sz="4" w:space="0" w:color="auto"/>
            </w:tcBorders>
          </w:tcPr>
          <w:p w:rsidR="00000000" w:rsidRDefault="00000000">
            <w:pPr>
              <w:spacing w:before="60" w:after="60"/>
              <w:rPr>
                <w:sz w:val="20"/>
                <w:lang w:val="en-GB"/>
              </w:rPr>
            </w:pPr>
            <w:r>
              <w:rPr>
                <w:b/>
                <w:sz w:val="20"/>
                <w:lang w:val="en-GB"/>
              </w:rPr>
              <w:t>National areas</w:t>
            </w:r>
          </w:p>
        </w:tc>
        <w:tc>
          <w:tcPr>
            <w:tcW w:w="1644" w:type="dxa"/>
            <w:tcBorders>
              <w:top w:val="single" w:sz="4" w:space="0" w:color="auto"/>
            </w:tcBorders>
          </w:tcPr>
          <w:p w:rsidR="00000000" w:rsidRDefault="00000000">
            <w:pPr>
              <w:tabs>
                <w:tab w:val="decimal" w:pos="780"/>
              </w:tabs>
              <w:spacing w:before="60" w:after="60"/>
              <w:ind w:right="567"/>
              <w:jc w:val="right"/>
              <w:rPr>
                <w:sz w:val="20"/>
                <w:lang w:val="pt-BR"/>
              </w:rPr>
            </w:pPr>
            <w:r>
              <w:rPr>
                <w:sz w:val="20"/>
                <w:lang w:val="pt-BR"/>
              </w:rPr>
              <w:t>54.8</w:t>
            </w:r>
          </w:p>
        </w:tc>
        <w:tc>
          <w:tcPr>
            <w:tcW w:w="1644" w:type="dxa"/>
            <w:tcBorders>
              <w:top w:val="single" w:sz="4" w:space="0" w:color="auto"/>
            </w:tcBorders>
          </w:tcPr>
          <w:p w:rsidR="00000000" w:rsidRDefault="00000000">
            <w:pPr>
              <w:tabs>
                <w:tab w:val="decimal" w:pos="780"/>
              </w:tabs>
              <w:spacing w:before="60" w:after="60"/>
              <w:ind w:right="567"/>
              <w:jc w:val="right"/>
              <w:rPr>
                <w:sz w:val="20"/>
                <w:lang w:val="pt-BR"/>
              </w:rPr>
            </w:pPr>
            <w:r>
              <w:rPr>
                <w:sz w:val="20"/>
                <w:lang w:val="pt-BR"/>
              </w:rPr>
              <w:t>24.4</w:t>
            </w:r>
          </w:p>
        </w:tc>
      </w:tr>
      <w:tr w:rsidR="00000000">
        <w:tblPrEx>
          <w:tblCellMar>
            <w:top w:w="0" w:type="dxa"/>
            <w:bottom w:w="0" w:type="dxa"/>
          </w:tblCellMar>
        </w:tblPrEx>
        <w:trPr>
          <w:trHeight w:val="20"/>
          <w:jc w:val="center"/>
        </w:trPr>
        <w:tc>
          <w:tcPr>
            <w:tcW w:w="2439" w:type="dxa"/>
          </w:tcPr>
          <w:p w:rsidR="00000000" w:rsidRDefault="00000000">
            <w:pPr>
              <w:spacing w:before="60" w:after="60"/>
              <w:rPr>
                <w:i/>
                <w:iCs/>
                <w:sz w:val="20"/>
                <w:lang w:val="pt-BR"/>
              </w:rPr>
            </w:pPr>
            <w:r>
              <w:rPr>
                <w:i/>
                <w:iCs/>
                <w:sz w:val="20"/>
                <w:lang w:val="pt-BR"/>
              </w:rPr>
              <w:t>Áreas</w:t>
            </w:r>
          </w:p>
        </w:tc>
        <w:tc>
          <w:tcPr>
            <w:tcW w:w="1644" w:type="dxa"/>
          </w:tcPr>
          <w:p w:rsidR="00000000" w:rsidRDefault="00000000">
            <w:pPr>
              <w:tabs>
                <w:tab w:val="decimal" w:pos="780"/>
              </w:tabs>
              <w:spacing w:before="60" w:after="60"/>
              <w:ind w:right="567"/>
              <w:jc w:val="right"/>
              <w:rPr>
                <w:sz w:val="20"/>
                <w:lang w:val="pt-BR"/>
              </w:rPr>
            </w:pPr>
          </w:p>
        </w:tc>
        <w:tc>
          <w:tcPr>
            <w:tcW w:w="1644" w:type="dxa"/>
          </w:tcPr>
          <w:p w:rsidR="00000000" w:rsidRDefault="00000000">
            <w:pPr>
              <w:tabs>
                <w:tab w:val="decimal" w:pos="780"/>
              </w:tabs>
              <w:spacing w:before="60" w:after="60"/>
              <w:ind w:right="567"/>
              <w:jc w:val="right"/>
              <w:rPr>
                <w:sz w:val="20"/>
                <w:lang w:val="pt-BR"/>
              </w:rPr>
            </w:pPr>
          </w:p>
        </w:tc>
      </w:tr>
      <w:tr w:rsidR="00000000">
        <w:tblPrEx>
          <w:tblCellMar>
            <w:top w:w="0" w:type="dxa"/>
            <w:bottom w:w="0" w:type="dxa"/>
          </w:tblCellMar>
        </w:tblPrEx>
        <w:trPr>
          <w:trHeight w:val="20"/>
          <w:jc w:val="center"/>
        </w:trPr>
        <w:tc>
          <w:tcPr>
            <w:tcW w:w="2439" w:type="dxa"/>
          </w:tcPr>
          <w:p w:rsidR="00000000" w:rsidRDefault="00000000">
            <w:pPr>
              <w:spacing w:before="60" w:after="60"/>
              <w:ind w:firstLine="243"/>
              <w:rPr>
                <w:sz w:val="20"/>
                <w:lang w:val="pt-BR"/>
              </w:rPr>
            </w:pPr>
            <w:r>
              <w:rPr>
                <w:sz w:val="20"/>
                <w:lang w:val="pt-BR"/>
              </w:rPr>
              <w:t>Urban</w:t>
            </w:r>
          </w:p>
        </w:tc>
        <w:tc>
          <w:tcPr>
            <w:tcW w:w="1644" w:type="dxa"/>
          </w:tcPr>
          <w:p w:rsidR="00000000" w:rsidRDefault="00000000">
            <w:pPr>
              <w:tabs>
                <w:tab w:val="decimal" w:pos="780"/>
              </w:tabs>
              <w:spacing w:before="60" w:after="60"/>
              <w:ind w:right="567"/>
              <w:jc w:val="right"/>
              <w:rPr>
                <w:sz w:val="20"/>
                <w:lang w:val="pt-BR"/>
              </w:rPr>
            </w:pPr>
            <w:r>
              <w:rPr>
                <w:sz w:val="20"/>
                <w:lang w:val="pt-BR"/>
              </w:rPr>
              <w:t>42.0</w:t>
            </w:r>
          </w:p>
        </w:tc>
        <w:tc>
          <w:tcPr>
            <w:tcW w:w="1644" w:type="dxa"/>
          </w:tcPr>
          <w:p w:rsidR="00000000" w:rsidRDefault="00000000">
            <w:pPr>
              <w:tabs>
                <w:tab w:val="decimal" w:pos="780"/>
              </w:tabs>
              <w:spacing w:before="60" w:after="60"/>
              <w:ind w:right="567"/>
              <w:jc w:val="right"/>
              <w:rPr>
                <w:sz w:val="20"/>
                <w:lang w:val="pt-BR"/>
              </w:rPr>
            </w:pPr>
            <w:r>
              <w:rPr>
                <w:sz w:val="20"/>
                <w:lang w:val="pt-BR"/>
              </w:rPr>
              <w:t>9.9</w:t>
            </w:r>
          </w:p>
        </w:tc>
      </w:tr>
      <w:tr w:rsidR="00000000">
        <w:tblPrEx>
          <w:tblCellMar>
            <w:top w:w="0" w:type="dxa"/>
            <w:bottom w:w="0" w:type="dxa"/>
          </w:tblCellMar>
        </w:tblPrEx>
        <w:trPr>
          <w:trHeight w:val="20"/>
          <w:jc w:val="center"/>
        </w:trPr>
        <w:tc>
          <w:tcPr>
            <w:tcW w:w="2439" w:type="dxa"/>
          </w:tcPr>
          <w:p w:rsidR="00000000" w:rsidRDefault="00000000">
            <w:pPr>
              <w:spacing w:before="60" w:after="60"/>
              <w:ind w:firstLine="243"/>
              <w:rPr>
                <w:sz w:val="20"/>
                <w:lang w:val="pt-BR"/>
              </w:rPr>
            </w:pPr>
            <w:r>
              <w:rPr>
                <w:sz w:val="20"/>
                <w:lang w:val="pt-BR"/>
              </w:rPr>
              <w:t>Rural</w:t>
            </w:r>
          </w:p>
        </w:tc>
        <w:tc>
          <w:tcPr>
            <w:tcW w:w="1644" w:type="dxa"/>
          </w:tcPr>
          <w:p w:rsidR="00000000" w:rsidRDefault="00000000">
            <w:pPr>
              <w:tabs>
                <w:tab w:val="decimal" w:pos="780"/>
              </w:tabs>
              <w:spacing w:before="60" w:after="60"/>
              <w:ind w:right="567"/>
              <w:jc w:val="right"/>
              <w:rPr>
                <w:sz w:val="20"/>
                <w:lang w:val="en-GB"/>
              </w:rPr>
            </w:pPr>
            <w:r>
              <w:rPr>
                <w:sz w:val="20"/>
                <w:lang w:val="en-GB"/>
              </w:rPr>
              <w:t>78.4</w:t>
            </w:r>
          </w:p>
        </w:tc>
        <w:tc>
          <w:tcPr>
            <w:tcW w:w="1644" w:type="dxa"/>
          </w:tcPr>
          <w:p w:rsidR="00000000" w:rsidRDefault="00000000">
            <w:pPr>
              <w:tabs>
                <w:tab w:val="decimal" w:pos="780"/>
              </w:tabs>
              <w:spacing w:before="60" w:after="60"/>
              <w:ind w:right="567"/>
              <w:jc w:val="right"/>
              <w:rPr>
                <w:sz w:val="20"/>
                <w:lang w:val="en-GB"/>
              </w:rPr>
            </w:pPr>
            <w:r>
              <w:rPr>
                <w:sz w:val="20"/>
                <w:lang w:val="en-GB"/>
              </w:rPr>
              <w:t>51.3</w:t>
            </w:r>
          </w:p>
        </w:tc>
      </w:tr>
      <w:tr w:rsidR="00000000">
        <w:tblPrEx>
          <w:tblCellMar>
            <w:top w:w="0" w:type="dxa"/>
            <w:bottom w:w="0" w:type="dxa"/>
          </w:tblCellMar>
        </w:tblPrEx>
        <w:trPr>
          <w:trHeight w:val="20"/>
          <w:jc w:val="center"/>
        </w:trPr>
        <w:tc>
          <w:tcPr>
            <w:tcW w:w="2439" w:type="dxa"/>
          </w:tcPr>
          <w:p w:rsidR="00000000" w:rsidRDefault="00000000">
            <w:pPr>
              <w:spacing w:before="60" w:after="60"/>
              <w:rPr>
                <w:i/>
                <w:iCs/>
                <w:sz w:val="20"/>
                <w:lang w:val="en-GB"/>
              </w:rPr>
            </w:pPr>
            <w:r>
              <w:rPr>
                <w:b/>
                <w:sz w:val="20"/>
                <w:lang w:val="en-GB"/>
              </w:rPr>
              <w:t>Natural regions</w:t>
            </w:r>
          </w:p>
        </w:tc>
        <w:tc>
          <w:tcPr>
            <w:tcW w:w="1644" w:type="dxa"/>
          </w:tcPr>
          <w:p w:rsidR="00000000" w:rsidRDefault="00000000">
            <w:pPr>
              <w:tabs>
                <w:tab w:val="decimal" w:pos="780"/>
              </w:tabs>
              <w:spacing w:before="60" w:after="60"/>
              <w:ind w:right="567"/>
              <w:jc w:val="right"/>
              <w:rPr>
                <w:sz w:val="20"/>
                <w:lang w:val="en-GB"/>
              </w:rPr>
            </w:pPr>
          </w:p>
        </w:tc>
        <w:tc>
          <w:tcPr>
            <w:tcW w:w="1644" w:type="dxa"/>
          </w:tcPr>
          <w:p w:rsidR="00000000" w:rsidRDefault="00000000">
            <w:pPr>
              <w:tabs>
                <w:tab w:val="decimal" w:pos="780"/>
              </w:tabs>
              <w:spacing w:before="60" w:after="60"/>
              <w:ind w:right="567"/>
              <w:jc w:val="right"/>
              <w:rPr>
                <w:sz w:val="20"/>
                <w:lang w:val="en-GB"/>
              </w:rPr>
            </w:pPr>
          </w:p>
        </w:tc>
      </w:tr>
      <w:tr w:rsidR="00000000">
        <w:tblPrEx>
          <w:tblCellMar>
            <w:top w:w="0" w:type="dxa"/>
            <w:bottom w:w="0" w:type="dxa"/>
          </w:tblCellMar>
        </w:tblPrEx>
        <w:trPr>
          <w:trHeight w:val="20"/>
          <w:jc w:val="center"/>
        </w:trPr>
        <w:tc>
          <w:tcPr>
            <w:tcW w:w="2439" w:type="dxa"/>
          </w:tcPr>
          <w:p w:rsidR="00000000" w:rsidRDefault="00000000">
            <w:pPr>
              <w:spacing w:before="60" w:after="60"/>
              <w:ind w:firstLine="243"/>
              <w:rPr>
                <w:sz w:val="20"/>
                <w:lang w:val="es-ES"/>
              </w:rPr>
            </w:pPr>
            <w:r>
              <w:rPr>
                <w:sz w:val="20"/>
                <w:lang w:val="en-GB"/>
              </w:rPr>
              <w:t>Coast</w:t>
            </w:r>
          </w:p>
        </w:tc>
        <w:tc>
          <w:tcPr>
            <w:tcW w:w="1644" w:type="dxa"/>
          </w:tcPr>
          <w:p w:rsidR="00000000" w:rsidRDefault="00000000">
            <w:pPr>
              <w:tabs>
                <w:tab w:val="decimal" w:pos="780"/>
              </w:tabs>
              <w:spacing w:before="60" w:after="60"/>
              <w:ind w:right="567"/>
              <w:jc w:val="right"/>
              <w:rPr>
                <w:sz w:val="20"/>
                <w:lang w:val="en-GB"/>
              </w:rPr>
            </w:pPr>
            <w:r>
              <w:rPr>
                <w:sz w:val="20"/>
                <w:lang w:val="en-GB"/>
              </w:rPr>
              <w:t>39.3</w:t>
            </w:r>
          </w:p>
        </w:tc>
        <w:tc>
          <w:tcPr>
            <w:tcW w:w="1644" w:type="dxa"/>
          </w:tcPr>
          <w:p w:rsidR="00000000" w:rsidRDefault="00000000">
            <w:pPr>
              <w:tabs>
                <w:tab w:val="decimal" w:pos="780"/>
              </w:tabs>
              <w:spacing w:before="60" w:after="60"/>
              <w:ind w:right="567"/>
              <w:jc w:val="right"/>
              <w:rPr>
                <w:sz w:val="20"/>
                <w:lang w:val="en-GB"/>
              </w:rPr>
            </w:pPr>
            <w:r>
              <w:rPr>
                <w:sz w:val="20"/>
                <w:lang w:val="en-GB"/>
              </w:rPr>
              <w:t>5.8</w:t>
            </w:r>
          </w:p>
        </w:tc>
      </w:tr>
      <w:tr w:rsidR="00000000">
        <w:tblPrEx>
          <w:tblCellMar>
            <w:top w:w="0" w:type="dxa"/>
            <w:bottom w:w="0" w:type="dxa"/>
          </w:tblCellMar>
        </w:tblPrEx>
        <w:trPr>
          <w:trHeight w:val="20"/>
          <w:jc w:val="center"/>
        </w:trPr>
        <w:tc>
          <w:tcPr>
            <w:tcW w:w="2439" w:type="dxa"/>
          </w:tcPr>
          <w:p w:rsidR="00000000" w:rsidRDefault="00000000">
            <w:pPr>
              <w:spacing w:before="60" w:after="60"/>
              <w:ind w:firstLine="243"/>
              <w:rPr>
                <w:sz w:val="20"/>
                <w:lang w:val="en-GB"/>
              </w:rPr>
            </w:pPr>
            <w:r>
              <w:rPr>
                <w:sz w:val="20"/>
                <w:lang w:val="en-GB"/>
              </w:rPr>
              <w:t>Mountains</w:t>
            </w:r>
          </w:p>
        </w:tc>
        <w:tc>
          <w:tcPr>
            <w:tcW w:w="1644" w:type="dxa"/>
          </w:tcPr>
          <w:p w:rsidR="00000000" w:rsidRDefault="00000000">
            <w:pPr>
              <w:tabs>
                <w:tab w:val="decimal" w:pos="780"/>
              </w:tabs>
              <w:spacing w:before="60" w:after="60"/>
              <w:ind w:right="567"/>
              <w:jc w:val="right"/>
              <w:rPr>
                <w:sz w:val="20"/>
                <w:lang w:val="en-GB"/>
              </w:rPr>
            </w:pPr>
            <w:r>
              <w:rPr>
                <w:sz w:val="20"/>
                <w:lang w:val="en-GB"/>
              </w:rPr>
              <w:t>72.0</w:t>
            </w:r>
          </w:p>
        </w:tc>
        <w:tc>
          <w:tcPr>
            <w:tcW w:w="1644" w:type="dxa"/>
          </w:tcPr>
          <w:p w:rsidR="00000000" w:rsidRDefault="00000000">
            <w:pPr>
              <w:tabs>
                <w:tab w:val="decimal" w:pos="780"/>
              </w:tabs>
              <w:spacing w:before="60" w:after="60"/>
              <w:ind w:right="567"/>
              <w:jc w:val="right"/>
              <w:rPr>
                <w:sz w:val="20"/>
                <w:lang w:val="en-GB"/>
              </w:rPr>
            </w:pPr>
            <w:r>
              <w:rPr>
                <w:sz w:val="20"/>
                <w:lang w:val="en-GB"/>
              </w:rPr>
              <w:t>45.6</w:t>
            </w:r>
          </w:p>
        </w:tc>
      </w:tr>
      <w:tr w:rsidR="00000000">
        <w:tblPrEx>
          <w:tblCellMar>
            <w:top w:w="0" w:type="dxa"/>
            <w:bottom w:w="0" w:type="dxa"/>
          </w:tblCellMar>
        </w:tblPrEx>
        <w:trPr>
          <w:trHeight w:val="20"/>
          <w:jc w:val="center"/>
        </w:trPr>
        <w:tc>
          <w:tcPr>
            <w:tcW w:w="2439" w:type="dxa"/>
          </w:tcPr>
          <w:p w:rsidR="00000000" w:rsidRDefault="00000000">
            <w:pPr>
              <w:spacing w:before="60" w:after="60"/>
              <w:ind w:firstLine="243"/>
              <w:rPr>
                <w:sz w:val="20"/>
                <w:lang w:val="en-GB"/>
              </w:rPr>
            </w:pPr>
            <w:r>
              <w:rPr>
                <w:sz w:val="20"/>
                <w:lang w:val="en-GB"/>
              </w:rPr>
              <w:t>Forest</w:t>
            </w:r>
          </w:p>
        </w:tc>
        <w:tc>
          <w:tcPr>
            <w:tcW w:w="1644" w:type="dxa"/>
          </w:tcPr>
          <w:p w:rsidR="00000000" w:rsidRDefault="00000000">
            <w:pPr>
              <w:tabs>
                <w:tab w:val="decimal" w:pos="780"/>
              </w:tabs>
              <w:spacing w:before="60" w:after="60"/>
              <w:ind w:right="567"/>
              <w:jc w:val="right"/>
              <w:rPr>
                <w:sz w:val="20"/>
                <w:lang w:val="en-GB"/>
              </w:rPr>
            </w:pPr>
            <w:r>
              <w:rPr>
                <w:sz w:val="20"/>
                <w:lang w:val="en-GB"/>
              </w:rPr>
              <w:t>68.7</w:t>
            </w:r>
          </w:p>
        </w:tc>
        <w:tc>
          <w:tcPr>
            <w:tcW w:w="1644" w:type="dxa"/>
          </w:tcPr>
          <w:p w:rsidR="00000000" w:rsidRDefault="00000000">
            <w:pPr>
              <w:tabs>
                <w:tab w:val="decimal" w:pos="780"/>
              </w:tabs>
              <w:spacing w:before="60" w:after="60"/>
              <w:ind w:right="567"/>
              <w:jc w:val="right"/>
              <w:rPr>
                <w:sz w:val="20"/>
                <w:lang w:val="en-GB"/>
              </w:rPr>
            </w:pPr>
            <w:r>
              <w:rPr>
                <w:sz w:val="20"/>
                <w:lang w:val="en-GB"/>
              </w:rPr>
              <w:t>39.7</w:t>
            </w:r>
          </w:p>
        </w:tc>
      </w:tr>
      <w:tr w:rsidR="00000000">
        <w:tblPrEx>
          <w:tblCellMar>
            <w:top w:w="0" w:type="dxa"/>
            <w:bottom w:w="0" w:type="dxa"/>
          </w:tblCellMar>
        </w:tblPrEx>
        <w:trPr>
          <w:trHeight w:val="20"/>
          <w:jc w:val="center"/>
        </w:trPr>
        <w:tc>
          <w:tcPr>
            <w:tcW w:w="2439" w:type="dxa"/>
          </w:tcPr>
          <w:p w:rsidR="00000000" w:rsidRDefault="00000000">
            <w:pPr>
              <w:spacing w:before="60" w:after="60"/>
              <w:rPr>
                <w:i/>
                <w:iCs/>
                <w:sz w:val="20"/>
                <w:lang w:val="en-GB"/>
              </w:rPr>
            </w:pPr>
            <w:r>
              <w:rPr>
                <w:b/>
                <w:sz w:val="20"/>
                <w:lang w:val="en-GB"/>
              </w:rPr>
              <w:t>Domains</w:t>
            </w:r>
          </w:p>
        </w:tc>
        <w:tc>
          <w:tcPr>
            <w:tcW w:w="1644" w:type="dxa"/>
          </w:tcPr>
          <w:p w:rsidR="00000000" w:rsidRDefault="00000000">
            <w:pPr>
              <w:tabs>
                <w:tab w:val="decimal" w:pos="780"/>
              </w:tabs>
              <w:spacing w:before="60" w:after="60"/>
              <w:ind w:right="567"/>
              <w:jc w:val="right"/>
              <w:rPr>
                <w:sz w:val="20"/>
                <w:lang w:val="en-GB"/>
              </w:rPr>
            </w:pPr>
          </w:p>
        </w:tc>
        <w:tc>
          <w:tcPr>
            <w:tcW w:w="1644" w:type="dxa"/>
          </w:tcPr>
          <w:p w:rsidR="00000000" w:rsidRDefault="00000000">
            <w:pPr>
              <w:tabs>
                <w:tab w:val="decimal" w:pos="780"/>
              </w:tabs>
              <w:spacing w:before="60" w:after="60"/>
              <w:ind w:right="567"/>
              <w:jc w:val="right"/>
              <w:rPr>
                <w:sz w:val="20"/>
                <w:lang w:val="en-GB"/>
              </w:rPr>
            </w:pPr>
          </w:p>
        </w:tc>
      </w:tr>
      <w:tr w:rsidR="00000000">
        <w:tblPrEx>
          <w:tblCellMar>
            <w:top w:w="0" w:type="dxa"/>
            <w:bottom w:w="0" w:type="dxa"/>
          </w:tblCellMar>
        </w:tblPrEx>
        <w:trPr>
          <w:trHeight w:val="20"/>
          <w:jc w:val="center"/>
        </w:trPr>
        <w:tc>
          <w:tcPr>
            <w:tcW w:w="2439" w:type="dxa"/>
          </w:tcPr>
          <w:p w:rsidR="00000000" w:rsidRDefault="00000000">
            <w:pPr>
              <w:spacing w:before="60" w:after="60"/>
              <w:ind w:firstLine="243"/>
              <w:rPr>
                <w:sz w:val="20"/>
                <w:lang w:val="en-GB"/>
              </w:rPr>
            </w:pPr>
            <w:r>
              <w:rPr>
                <w:sz w:val="20"/>
                <w:lang w:val="en-GB"/>
              </w:rPr>
              <w:t>Urban coast</w:t>
            </w:r>
          </w:p>
        </w:tc>
        <w:tc>
          <w:tcPr>
            <w:tcW w:w="1644" w:type="dxa"/>
          </w:tcPr>
          <w:p w:rsidR="00000000" w:rsidRDefault="00000000">
            <w:pPr>
              <w:tabs>
                <w:tab w:val="decimal" w:pos="780"/>
              </w:tabs>
              <w:spacing w:before="60" w:after="60"/>
              <w:ind w:right="567"/>
              <w:jc w:val="right"/>
              <w:rPr>
                <w:sz w:val="20"/>
                <w:lang w:val="en-GB"/>
              </w:rPr>
            </w:pPr>
            <w:r>
              <w:rPr>
                <w:sz w:val="20"/>
                <w:lang w:val="en-GB"/>
              </w:rPr>
              <w:t>44.6</w:t>
            </w:r>
          </w:p>
        </w:tc>
        <w:tc>
          <w:tcPr>
            <w:tcW w:w="1644" w:type="dxa"/>
          </w:tcPr>
          <w:p w:rsidR="00000000" w:rsidRDefault="00000000">
            <w:pPr>
              <w:tabs>
                <w:tab w:val="decimal" w:pos="780"/>
              </w:tabs>
              <w:spacing w:before="60" w:after="60"/>
              <w:ind w:right="567"/>
              <w:jc w:val="right"/>
              <w:rPr>
                <w:sz w:val="20"/>
                <w:lang w:val="en-GB"/>
              </w:rPr>
            </w:pPr>
            <w:r>
              <w:rPr>
                <w:sz w:val="20"/>
                <w:lang w:val="en-GB"/>
              </w:rPr>
              <w:t>7.6</w:t>
            </w:r>
          </w:p>
        </w:tc>
      </w:tr>
      <w:tr w:rsidR="00000000">
        <w:tblPrEx>
          <w:tblCellMar>
            <w:top w:w="0" w:type="dxa"/>
            <w:bottom w:w="0" w:type="dxa"/>
          </w:tblCellMar>
        </w:tblPrEx>
        <w:trPr>
          <w:trHeight w:val="20"/>
          <w:jc w:val="center"/>
        </w:trPr>
        <w:tc>
          <w:tcPr>
            <w:tcW w:w="2439" w:type="dxa"/>
          </w:tcPr>
          <w:p w:rsidR="00000000" w:rsidRDefault="00000000">
            <w:pPr>
              <w:spacing w:before="60" w:after="60"/>
              <w:ind w:firstLine="243"/>
              <w:rPr>
                <w:sz w:val="20"/>
                <w:lang w:val="en-GB"/>
              </w:rPr>
            </w:pPr>
            <w:r>
              <w:rPr>
                <w:sz w:val="20"/>
                <w:lang w:val="en-GB"/>
              </w:rPr>
              <w:t>Rural coast</w:t>
            </w:r>
          </w:p>
        </w:tc>
        <w:tc>
          <w:tcPr>
            <w:tcW w:w="1644" w:type="dxa"/>
          </w:tcPr>
          <w:p w:rsidR="00000000" w:rsidRDefault="00000000">
            <w:pPr>
              <w:tabs>
                <w:tab w:val="decimal" w:pos="780"/>
              </w:tabs>
              <w:spacing w:before="60" w:after="60"/>
              <w:ind w:right="567"/>
              <w:jc w:val="right"/>
              <w:rPr>
                <w:sz w:val="20"/>
                <w:lang w:val="en-US"/>
              </w:rPr>
            </w:pPr>
            <w:r>
              <w:rPr>
                <w:sz w:val="20"/>
                <w:lang w:val="en-US"/>
              </w:rPr>
              <w:t>62.7</w:t>
            </w:r>
          </w:p>
        </w:tc>
        <w:tc>
          <w:tcPr>
            <w:tcW w:w="1644" w:type="dxa"/>
          </w:tcPr>
          <w:p w:rsidR="00000000" w:rsidRDefault="00000000">
            <w:pPr>
              <w:tabs>
                <w:tab w:val="decimal" w:pos="780"/>
              </w:tabs>
              <w:spacing w:before="60" w:after="60"/>
              <w:ind w:right="567"/>
              <w:jc w:val="right"/>
              <w:rPr>
                <w:sz w:val="20"/>
                <w:lang w:val="en-US"/>
              </w:rPr>
            </w:pPr>
            <w:r>
              <w:rPr>
                <w:sz w:val="20"/>
                <w:lang w:val="en-US"/>
              </w:rPr>
              <w:t>19.7</w:t>
            </w:r>
          </w:p>
        </w:tc>
      </w:tr>
      <w:tr w:rsidR="00000000">
        <w:tblPrEx>
          <w:tblCellMar>
            <w:top w:w="0" w:type="dxa"/>
            <w:bottom w:w="0" w:type="dxa"/>
          </w:tblCellMar>
        </w:tblPrEx>
        <w:trPr>
          <w:trHeight w:val="20"/>
          <w:jc w:val="center"/>
        </w:trPr>
        <w:tc>
          <w:tcPr>
            <w:tcW w:w="2439" w:type="dxa"/>
          </w:tcPr>
          <w:p w:rsidR="00000000" w:rsidRDefault="00000000">
            <w:pPr>
              <w:spacing w:before="60" w:after="60"/>
              <w:ind w:firstLine="243"/>
              <w:rPr>
                <w:sz w:val="20"/>
                <w:lang w:val="en-US"/>
              </w:rPr>
            </w:pPr>
            <w:r>
              <w:rPr>
                <w:sz w:val="20"/>
                <w:lang w:val="en-GB"/>
              </w:rPr>
              <w:t>Urban mountains</w:t>
            </w:r>
          </w:p>
        </w:tc>
        <w:tc>
          <w:tcPr>
            <w:tcW w:w="1644" w:type="dxa"/>
          </w:tcPr>
          <w:p w:rsidR="00000000" w:rsidRDefault="00000000">
            <w:pPr>
              <w:tabs>
                <w:tab w:val="decimal" w:pos="780"/>
              </w:tabs>
              <w:spacing w:before="60" w:after="60"/>
              <w:ind w:right="567"/>
              <w:jc w:val="right"/>
              <w:rPr>
                <w:sz w:val="20"/>
                <w:lang w:val="en-US"/>
              </w:rPr>
            </w:pPr>
            <w:r>
              <w:rPr>
                <w:sz w:val="20"/>
                <w:lang w:val="en-US"/>
              </w:rPr>
              <w:t>51.6</w:t>
            </w:r>
          </w:p>
        </w:tc>
        <w:tc>
          <w:tcPr>
            <w:tcW w:w="1644" w:type="dxa"/>
          </w:tcPr>
          <w:p w:rsidR="00000000" w:rsidRDefault="00000000">
            <w:pPr>
              <w:tabs>
                <w:tab w:val="decimal" w:pos="780"/>
              </w:tabs>
              <w:spacing w:before="60" w:after="60"/>
              <w:ind w:right="567"/>
              <w:jc w:val="right"/>
              <w:rPr>
                <w:sz w:val="20"/>
                <w:lang w:val="en-US"/>
              </w:rPr>
            </w:pPr>
            <w:r>
              <w:rPr>
                <w:sz w:val="20"/>
                <w:lang w:val="en-US"/>
              </w:rPr>
              <w:t>18.3</w:t>
            </w:r>
          </w:p>
        </w:tc>
      </w:tr>
      <w:tr w:rsidR="00000000">
        <w:tblPrEx>
          <w:tblCellMar>
            <w:top w:w="0" w:type="dxa"/>
            <w:bottom w:w="0" w:type="dxa"/>
          </w:tblCellMar>
        </w:tblPrEx>
        <w:trPr>
          <w:trHeight w:val="20"/>
          <w:jc w:val="center"/>
        </w:trPr>
        <w:tc>
          <w:tcPr>
            <w:tcW w:w="2439" w:type="dxa"/>
          </w:tcPr>
          <w:p w:rsidR="00000000" w:rsidRDefault="00000000">
            <w:pPr>
              <w:spacing w:before="60" w:after="60"/>
              <w:ind w:firstLine="243"/>
              <w:rPr>
                <w:sz w:val="20"/>
                <w:lang w:val="en-US"/>
              </w:rPr>
            </w:pPr>
            <w:r>
              <w:rPr>
                <w:sz w:val="20"/>
                <w:lang w:val="en-GB"/>
              </w:rPr>
              <w:t>Rural mountains</w:t>
            </w:r>
          </w:p>
        </w:tc>
        <w:tc>
          <w:tcPr>
            <w:tcW w:w="1644" w:type="dxa"/>
          </w:tcPr>
          <w:p w:rsidR="00000000" w:rsidRDefault="00000000">
            <w:pPr>
              <w:tabs>
                <w:tab w:val="decimal" w:pos="780"/>
              </w:tabs>
              <w:spacing w:before="60" w:after="60"/>
              <w:ind w:right="567"/>
              <w:jc w:val="right"/>
              <w:rPr>
                <w:sz w:val="20"/>
                <w:lang w:val="en-US"/>
              </w:rPr>
            </w:pPr>
            <w:r>
              <w:rPr>
                <w:sz w:val="20"/>
                <w:lang w:val="en-US"/>
              </w:rPr>
              <w:t>83.4</w:t>
            </w:r>
          </w:p>
        </w:tc>
        <w:tc>
          <w:tcPr>
            <w:tcW w:w="1644" w:type="dxa"/>
          </w:tcPr>
          <w:p w:rsidR="00000000" w:rsidRDefault="00000000">
            <w:pPr>
              <w:tabs>
                <w:tab w:val="decimal" w:pos="780"/>
              </w:tabs>
              <w:spacing w:before="60" w:after="60"/>
              <w:ind w:right="567"/>
              <w:jc w:val="right"/>
              <w:rPr>
                <w:sz w:val="20"/>
                <w:lang w:val="en-US"/>
              </w:rPr>
            </w:pPr>
            <w:r>
              <w:rPr>
                <w:sz w:val="20"/>
                <w:lang w:val="en-US"/>
              </w:rPr>
              <w:t>60.8</w:t>
            </w:r>
          </w:p>
        </w:tc>
      </w:tr>
      <w:tr w:rsidR="00000000">
        <w:tblPrEx>
          <w:tblCellMar>
            <w:top w:w="0" w:type="dxa"/>
            <w:bottom w:w="0" w:type="dxa"/>
          </w:tblCellMar>
        </w:tblPrEx>
        <w:trPr>
          <w:trHeight w:val="20"/>
          <w:jc w:val="center"/>
        </w:trPr>
        <w:tc>
          <w:tcPr>
            <w:tcW w:w="2439" w:type="dxa"/>
          </w:tcPr>
          <w:p w:rsidR="00000000" w:rsidRDefault="00000000">
            <w:pPr>
              <w:spacing w:before="60" w:after="60"/>
              <w:ind w:firstLine="243"/>
              <w:rPr>
                <w:sz w:val="20"/>
                <w:lang w:val="en-US"/>
              </w:rPr>
            </w:pPr>
            <w:r>
              <w:rPr>
                <w:sz w:val="20"/>
                <w:lang w:val="en-GB"/>
              </w:rPr>
              <w:t>Urban forest</w:t>
            </w:r>
          </w:p>
        </w:tc>
        <w:tc>
          <w:tcPr>
            <w:tcW w:w="1644" w:type="dxa"/>
          </w:tcPr>
          <w:p w:rsidR="00000000" w:rsidRDefault="00000000">
            <w:pPr>
              <w:tabs>
                <w:tab w:val="decimal" w:pos="780"/>
              </w:tabs>
              <w:spacing w:before="60" w:after="60"/>
              <w:ind w:right="567"/>
              <w:jc w:val="right"/>
              <w:rPr>
                <w:sz w:val="20"/>
                <w:lang w:val="en-US"/>
              </w:rPr>
            </w:pPr>
            <w:r>
              <w:rPr>
                <w:sz w:val="20"/>
                <w:lang w:val="en-US"/>
              </w:rPr>
              <w:t>62.4</w:t>
            </w:r>
          </w:p>
        </w:tc>
        <w:tc>
          <w:tcPr>
            <w:tcW w:w="1644" w:type="dxa"/>
          </w:tcPr>
          <w:p w:rsidR="00000000" w:rsidRDefault="00000000">
            <w:pPr>
              <w:tabs>
                <w:tab w:val="decimal" w:pos="780"/>
              </w:tabs>
              <w:spacing w:before="60" w:after="60"/>
              <w:ind w:right="567"/>
              <w:jc w:val="right"/>
              <w:rPr>
                <w:sz w:val="20"/>
                <w:lang w:val="en-US"/>
              </w:rPr>
            </w:pPr>
            <w:r>
              <w:rPr>
                <w:sz w:val="20"/>
                <w:lang w:val="en-US"/>
              </w:rPr>
              <w:t>34.9</w:t>
            </w:r>
          </w:p>
        </w:tc>
      </w:tr>
      <w:tr w:rsidR="00000000">
        <w:tblPrEx>
          <w:tblCellMar>
            <w:top w:w="0" w:type="dxa"/>
            <w:bottom w:w="0" w:type="dxa"/>
          </w:tblCellMar>
        </w:tblPrEx>
        <w:trPr>
          <w:trHeight w:val="20"/>
          <w:jc w:val="center"/>
        </w:trPr>
        <w:tc>
          <w:tcPr>
            <w:tcW w:w="2439" w:type="dxa"/>
          </w:tcPr>
          <w:p w:rsidR="00000000" w:rsidRDefault="00000000">
            <w:pPr>
              <w:spacing w:before="60" w:after="60"/>
              <w:ind w:firstLine="243"/>
              <w:rPr>
                <w:sz w:val="20"/>
                <w:lang w:val="en-US"/>
              </w:rPr>
            </w:pPr>
            <w:r>
              <w:rPr>
                <w:sz w:val="20"/>
                <w:lang w:val="en-GB"/>
              </w:rPr>
              <w:t>Rural forest</w:t>
            </w:r>
          </w:p>
        </w:tc>
        <w:tc>
          <w:tcPr>
            <w:tcW w:w="1644" w:type="dxa"/>
          </w:tcPr>
          <w:p w:rsidR="00000000" w:rsidRDefault="00000000">
            <w:pPr>
              <w:tabs>
                <w:tab w:val="decimal" w:pos="780"/>
              </w:tabs>
              <w:spacing w:before="60" w:after="60"/>
              <w:ind w:right="567"/>
              <w:jc w:val="right"/>
              <w:rPr>
                <w:sz w:val="20"/>
                <w:lang w:val="en-GB"/>
              </w:rPr>
            </w:pPr>
            <w:r>
              <w:rPr>
                <w:sz w:val="20"/>
                <w:lang w:val="en-GB"/>
              </w:rPr>
              <w:t>74.0</w:t>
            </w:r>
          </w:p>
        </w:tc>
        <w:tc>
          <w:tcPr>
            <w:tcW w:w="1644" w:type="dxa"/>
          </w:tcPr>
          <w:p w:rsidR="00000000" w:rsidRDefault="00000000">
            <w:pPr>
              <w:tabs>
                <w:tab w:val="decimal" w:pos="780"/>
              </w:tabs>
              <w:spacing w:before="60" w:after="60"/>
              <w:ind w:right="567"/>
              <w:jc w:val="right"/>
              <w:rPr>
                <w:sz w:val="20"/>
                <w:lang w:val="en-GB"/>
              </w:rPr>
            </w:pPr>
            <w:r>
              <w:rPr>
                <w:sz w:val="20"/>
                <w:lang w:val="en-GB"/>
              </w:rPr>
              <w:t>43.7</w:t>
            </w:r>
          </w:p>
        </w:tc>
      </w:tr>
      <w:tr w:rsidR="00000000">
        <w:tblPrEx>
          <w:tblCellMar>
            <w:top w:w="0" w:type="dxa"/>
            <w:bottom w:w="0" w:type="dxa"/>
          </w:tblCellMar>
        </w:tblPrEx>
        <w:trPr>
          <w:trHeight w:val="20"/>
          <w:jc w:val="center"/>
        </w:trPr>
        <w:tc>
          <w:tcPr>
            <w:tcW w:w="2439" w:type="dxa"/>
            <w:tcBorders>
              <w:bottom w:val="single" w:sz="4" w:space="0" w:color="auto"/>
            </w:tcBorders>
          </w:tcPr>
          <w:p w:rsidR="00000000" w:rsidRDefault="00000000">
            <w:pPr>
              <w:spacing w:before="60" w:after="60"/>
              <w:ind w:firstLine="243"/>
              <w:rPr>
                <w:sz w:val="20"/>
                <w:lang w:val="es-PE"/>
              </w:rPr>
            </w:pPr>
            <w:r>
              <w:rPr>
                <w:sz w:val="20"/>
                <w:lang w:val="en-GB"/>
              </w:rPr>
              <w:t>Metropolitan Lima</w:t>
            </w:r>
          </w:p>
        </w:tc>
        <w:tc>
          <w:tcPr>
            <w:tcW w:w="1644" w:type="dxa"/>
            <w:tcBorders>
              <w:bottom w:val="single" w:sz="4" w:space="0" w:color="auto"/>
            </w:tcBorders>
          </w:tcPr>
          <w:p w:rsidR="00000000" w:rsidRDefault="00000000">
            <w:pPr>
              <w:tabs>
                <w:tab w:val="decimal" w:pos="780"/>
              </w:tabs>
              <w:spacing w:before="60" w:after="60"/>
              <w:ind w:right="567"/>
              <w:jc w:val="right"/>
              <w:rPr>
                <w:sz w:val="20"/>
                <w:lang w:val="en-GB"/>
              </w:rPr>
            </w:pPr>
            <w:r>
              <w:rPr>
                <w:sz w:val="20"/>
                <w:lang w:val="en-GB"/>
              </w:rPr>
              <w:t>31.9</w:t>
            </w:r>
          </w:p>
        </w:tc>
        <w:tc>
          <w:tcPr>
            <w:tcW w:w="1644" w:type="dxa"/>
            <w:tcBorders>
              <w:bottom w:val="single" w:sz="4" w:space="0" w:color="auto"/>
            </w:tcBorders>
          </w:tcPr>
          <w:p w:rsidR="00000000" w:rsidRDefault="00000000">
            <w:pPr>
              <w:tabs>
                <w:tab w:val="decimal" w:pos="780"/>
              </w:tabs>
              <w:spacing w:before="60" w:after="60"/>
              <w:ind w:right="567"/>
              <w:jc w:val="right"/>
              <w:rPr>
                <w:sz w:val="20"/>
                <w:lang w:val="en-GB"/>
              </w:rPr>
            </w:pPr>
            <w:r>
              <w:rPr>
                <w:sz w:val="20"/>
                <w:lang w:val="en-GB"/>
              </w:rPr>
              <w:t>2.3</w:t>
            </w:r>
          </w:p>
        </w:tc>
      </w:tr>
    </w:tbl>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16.</w:t>
      </w:r>
      <w:r>
        <w:rPr>
          <w:sz w:val="24"/>
          <w:lang w:val="en-GB"/>
        </w:rPr>
        <w:tab/>
        <w:t>In 2001 total poverty was up by 1.4 per cent over 2000 and by 7.1 per cent over 1997.  Similarly, extreme poverty in 2001 was 4.5 per cent higher than 2000 and 1.3 per cent higher than in 1997.</w:t>
      </w:r>
      <w:r>
        <w:rPr>
          <w:rStyle w:val="FootnoteReference"/>
          <w:b/>
          <w:sz w:val="24"/>
        </w:rPr>
        <w:footnoteReference w:id="8"/>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17.</w:t>
      </w:r>
      <w:r>
        <w:rPr>
          <w:sz w:val="24"/>
          <w:lang w:val="en-GB"/>
        </w:rPr>
        <w:tab/>
        <w:t>The difference between the current estimate of the poverty rate of 54.8 per cent and the 48.4 per cent published for 2000 (6.4 points) is due to the combined effect of methodological improvements (5 points) and the increase in the rate itself (1.4 points).  The growth of extreme poverty between 2000 and 2001 from 15 to 24.4 per cent (9.4 points) is due to methodological improvements (4.9 points) and the increase in the rate itself (4.5 points).</w:t>
      </w:r>
      <w:r>
        <w:rPr>
          <w:rStyle w:val="FootnoteReference"/>
          <w:b/>
          <w:bCs/>
          <w:sz w:val="24"/>
        </w:rPr>
        <w:footnoteReference w:id="9"/>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18.</w:t>
      </w:r>
      <w:r>
        <w:rPr>
          <w:sz w:val="24"/>
          <w:lang w:val="en-GB"/>
        </w:rPr>
        <w:tab/>
        <w:t>The following information is available on employment in Peru:</w:t>
      </w:r>
    </w:p>
    <w:p w:rsidR="00000000" w:rsidRDefault="00000000">
      <w:pPr>
        <w:tabs>
          <w:tab w:val="clear" w:pos="720"/>
        </w:tabs>
        <w:jc w:val="left"/>
        <w:rPr>
          <w:sz w:val="24"/>
          <w:lang w:val="en-GB"/>
        </w:rPr>
      </w:pPr>
    </w:p>
    <w:p w:rsidR="00000000" w:rsidRDefault="00000000">
      <w:pPr>
        <w:tabs>
          <w:tab w:val="clear" w:pos="720"/>
        </w:tabs>
        <w:jc w:val="left"/>
        <w:rPr>
          <w:b/>
          <w:sz w:val="24"/>
          <w:lang w:val="en-GB"/>
        </w:rPr>
      </w:pPr>
    </w:p>
    <w:p w:rsidR="00000000" w:rsidRDefault="00000000">
      <w:pPr>
        <w:tabs>
          <w:tab w:val="clear" w:pos="720"/>
        </w:tabs>
        <w:jc w:val="left"/>
        <w:rPr>
          <w:b/>
          <w:sz w:val="24"/>
          <w:lang w:val="en-GB"/>
        </w:rPr>
      </w:pPr>
    </w:p>
    <w:p w:rsidR="00000000" w:rsidRDefault="00000000">
      <w:pPr>
        <w:tabs>
          <w:tab w:val="clear" w:pos="720"/>
        </w:tabs>
        <w:jc w:val="left"/>
        <w:rPr>
          <w:b/>
          <w:sz w:val="24"/>
          <w:lang w:val="en-GB"/>
        </w:rPr>
      </w:pPr>
    </w:p>
    <w:p w:rsidR="00000000" w:rsidRDefault="00000000">
      <w:pPr>
        <w:tabs>
          <w:tab w:val="clear" w:pos="720"/>
        </w:tabs>
        <w:jc w:val="left"/>
        <w:rPr>
          <w:b/>
          <w:sz w:val="24"/>
          <w:lang w:val="en-GB"/>
        </w:rPr>
      </w:pPr>
    </w:p>
    <w:p w:rsidR="00000000" w:rsidRDefault="00000000">
      <w:pPr>
        <w:tabs>
          <w:tab w:val="clear" w:pos="720"/>
        </w:tabs>
        <w:jc w:val="left"/>
        <w:rPr>
          <w:b/>
          <w:sz w:val="24"/>
          <w:lang w:val="en-GB"/>
        </w:rPr>
      </w:pPr>
    </w:p>
    <w:p w:rsidR="00000000" w:rsidRDefault="00000000">
      <w:pPr>
        <w:tabs>
          <w:tab w:val="clear" w:pos="720"/>
        </w:tabs>
        <w:jc w:val="left"/>
        <w:rPr>
          <w:b/>
          <w:sz w:val="24"/>
          <w:lang w:val="en-GB"/>
        </w:rPr>
      </w:pPr>
    </w:p>
    <w:p w:rsidR="00000000" w:rsidRDefault="00000000">
      <w:pPr>
        <w:tabs>
          <w:tab w:val="clear" w:pos="720"/>
        </w:tabs>
        <w:spacing w:after="200"/>
        <w:jc w:val="center"/>
        <w:rPr>
          <w:b/>
          <w:sz w:val="24"/>
          <w:lang w:val="en-GB"/>
        </w:rPr>
      </w:pPr>
      <w:r>
        <w:rPr>
          <w:b/>
          <w:sz w:val="20"/>
          <w:lang w:val="en-GB"/>
        </w:rPr>
        <w:t>Peru: Employed population aged six years and older, by age group (thousands)</w:t>
      </w:r>
      <w:r>
        <w:rPr>
          <w:rStyle w:val="FootnoteReference"/>
          <w:b/>
          <w:sz w:val="24"/>
          <w:lang w:val="en-GB"/>
        </w:rPr>
        <w:footnoteReference w:customMarkFollows="1" w:id="10"/>
        <w:t>9</w:t>
      </w:r>
    </w:p>
    <w:tbl>
      <w:tblPr>
        <w:tblW w:w="0" w:type="auto"/>
        <w:jc w:val="center"/>
        <w:tblInd w:w="23" w:type="dxa"/>
        <w:tblLayout w:type="fixed"/>
        <w:tblCellMar>
          <w:left w:w="15" w:type="dxa"/>
          <w:right w:w="15" w:type="dxa"/>
        </w:tblCellMar>
        <w:tblLook w:val="0000" w:firstRow="0" w:lastRow="0" w:firstColumn="0" w:lastColumn="0" w:noHBand="0" w:noVBand="0"/>
      </w:tblPr>
      <w:tblGrid>
        <w:gridCol w:w="2340"/>
        <w:gridCol w:w="1800"/>
        <w:gridCol w:w="2160"/>
        <w:gridCol w:w="2160"/>
      </w:tblGrid>
      <w:tr w:rsidR="00000000">
        <w:tblPrEx>
          <w:tblCellMar>
            <w:top w:w="0" w:type="dxa"/>
            <w:bottom w:w="0" w:type="dxa"/>
          </w:tblCellMar>
        </w:tblPrEx>
        <w:trPr>
          <w:cantSplit/>
          <w:trHeight w:val="285"/>
          <w:jc w:val="center"/>
        </w:trPr>
        <w:tc>
          <w:tcPr>
            <w:tcW w:w="2340" w:type="dxa"/>
            <w:vMerge w:val="restart"/>
            <w:tcBorders>
              <w:top w:val="single" w:sz="4" w:space="0" w:color="auto"/>
            </w:tcBorders>
            <w:vAlign w:val="center"/>
          </w:tcPr>
          <w:p w:rsidR="00000000" w:rsidRDefault="00000000">
            <w:pPr>
              <w:spacing w:before="60" w:after="60"/>
              <w:jc w:val="center"/>
              <w:rPr>
                <w:bCs/>
                <w:i/>
                <w:iCs/>
                <w:sz w:val="20"/>
                <w:lang w:val="en-GB"/>
              </w:rPr>
            </w:pPr>
            <w:r>
              <w:rPr>
                <w:bCs/>
                <w:i/>
                <w:iCs/>
                <w:sz w:val="20"/>
                <w:lang w:val="en-GB"/>
              </w:rPr>
              <w:t>Sex and age</w:t>
            </w:r>
          </w:p>
        </w:tc>
        <w:tc>
          <w:tcPr>
            <w:tcW w:w="1800" w:type="dxa"/>
            <w:vMerge w:val="restart"/>
            <w:tcBorders>
              <w:top w:val="single" w:sz="4" w:space="0" w:color="auto"/>
            </w:tcBorders>
            <w:vAlign w:val="center"/>
          </w:tcPr>
          <w:p w:rsidR="00000000" w:rsidRDefault="00000000">
            <w:pPr>
              <w:spacing w:before="60" w:after="60"/>
              <w:jc w:val="center"/>
              <w:rPr>
                <w:bCs/>
                <w:i/>
                <w:iCs/>
                <w:sz w:val="20"/>
                <w:lang w:val="en-GB"/>
              </w:rPr>
            </w:pPr>
            <w:r>
              <w:rPr>
                <w:bCs/>
                <w:i/>
                <w:iCs/>
                <w:sz w:val="20"/>
                <w:lang w:val="en-GB"/>
              </w:rPr>
              <w:t>Total EAP</w:t>
            </w:r>
          </w:p>
        </w:tc>
        <w:tc>
          <w:tcPr>
            <w:tcW w:w="4320" w:type="dxa"/>
            <w:gridSpan w:val="2"/>
            <w:tcBorders>
              <w:top w:val="single" w:sz="4" w:space="0" w:color="auto"/>
              <w:bottom w:val="single" w:sz="4" w:space="0" w:color="auto"/>
            </w:tcBorders>
            <w:vAlign w:val="center"/>
          </w:tcPr>
          <w:p w:rsidR="00000000" w:rsidRDefault="00000000">
            <w:pPr>
              <w:spacing w:before="60" w:after="60"/>
              <w:jc w:val="center"/>
              <w:rPr>
                <w:bCs/>
                <w:i/>
                <w:iCs/>
                <w:sz w:val="20"/>
                <w:lang w:val="en-GB"/>
              </w:rPr>
            </w:pPr>
            <w:r>
              <w:rPr>
                <w:bCs/>
                <w:i/>
                <w:iCs/>
                <w:sz w:val="20"/>
                <w:lang w:val="en-GB"/>
              </w:rPr>
              <w:t>EAP</w:t>
            </w:r>
          </w:p>
        </w:tc>
      </w:tr>
      <w:tr w:rsidR="00000000">
        <w:tblPrEx>
          <w:tblCellMar>
            <w:top w:w="0" w:type="dxa"/>
            <w:bottom w:w="0" w:type="dxa"/>
          </w:tblCellMar>
        </w:tblPrEx>
        <w:trPr>
          <w:cantSplit/>
          <w:jc w:val="center"/>
        </w:trPr>
        <w:tc>
          <w:tcPr>
            <w:tcW w:w="2340" w:type="dxa"/>
            <w:vMerge/>
            <w:tcBorders>
              <w:bottom w:val="single" w:sz="4" w:space="0" w:color="auto"/>
            </w:tcBorders>
            <w:vAlign w:val="center"/>
          </w:tcPr>
          <w:p w:rsidR="00000000" w:rsidRDefault="00000000">
            <w:pPr>
              <w:spacing w:before="60" w:after="60"/>
              <w:jc w:val="center"/>
              <w:rPr>
                <w:bCs/>
                <w:i/>
                <w:iCs/>
                <w:sz w:val="20"/>
                <w:lang w:val="en-GB"/>
              </w:rPr>
            </w:pPr>
          </w:p>
        </w:tc>
        <w:tc>
          <w:tcPr>
            <w:tcW w:w="1800" w:type="dxa"/>
            <w:vMerge/>
            <w:tcBorders>
              <w:bottom w:val="single" w:sz="4" w:space="0" w:color="auto"/>
            </w:tcBorders>
            <w:vAlign w:val="center"/>
          </w:tcPr>
          <w:p w:rsidR="00000000" w:rsidRDefault="00000000">
            <w:pPr>
              <w:spacing w:before="60" w:after="60"/>
              <w:jc w:val="center"/>
              <w:rPr>
                <w:bCs/>
                <w:i/>
                <w:iCs/>
                <w:sz w:val="20"/>
                <w:lang w:val="en-GB"/>
              </w:rPr>
            </w:pPr>
          </w:p>
        </w:tc>
        <w:tc>
          <w:tcPr>
            <w:tcW w:w="2160" w:type="dxa"/>
            <w:tcBorders>
              <w:top w:val="single" w:sz="4" w:space="0" w:color="auto"/>
              <w:bottom w:val="single" w:sz="4" w:space="0" w:color="auto"/>
            </w:tcBorders>
            <w:vAlign w:val="center"/>
          </w:tcPr>
          <w:p w:rsidR="00000000" w:rsidRDefault="00000000">
            <w:pPr>
              <w:spacing w:before="60" w:after="60"/>
              <w:jc w:val="center"/>
              <w:rPr>
                <w:bCs/>
                <w:i/>
                <w:iCs/>
                <w:sz w:val="20"/>
                <w:lang w:val="en-GB"/>
              </w:rPr>
            </w:pPr>
            <w:r>
              <w:rPr>
                <w:bCs/>
                <w:i/>
                <w:iCs/>
                <w:sz w:val="20"/>
                <w:lang w:val="en-GB"/>
              </w:rPr>
              <w:t>Employed</w:t>
            </w:r>
          </w:p>
        </w:tc>
        <w:tc>
          <w:tcPr>
            <w:tcW w:w="2160" w:type="dxa"/>
            <w:tcBorders>
              <w:top w:val="single" w:sz="4" w:space="0" w:color="auto"/>
              <w:bottom w:val="single" w:sz="4" w:space="0" w:color="auto"/>
            </w:tcBorders>
            <w:vAlign w:val="center"/>
          </w:tcPr>
          <w:p w:rsidR="00000000" w:rsidRDefault="00000000">
            <w:pPr>
              <w:spacing w:before="60" w:after="60"/>
              <w:jc w:val="center"/>
              <w:rPr>
                <w:bCs/>
                <w:i/>
                <w:iCs/>
                <w:sz w:val="20"/>
                <w:lang w:val="en-GB"/>
              </w:rPr>
            </w:pPr>
            <w:r>
              <w:rPr>
                <w:bCs/>
                <w:i/>
                <w:iCs/>
                <w:sz w:val="20"/>
                <w:lang w:val="en-GB"/>
              </w:rPr>
              <w:t>Unemployed</w:t>
            </w:r>
          </w:p>
        </w:tc>
      </w:tr>
      <w:tr w:rsidR="00000000">
        <w:tblPrEx>
          <w:tblCellMar>
            <w:top w:w="0" w:type="dxa"/>
            <w:bottom w:w="0" w:type="dxa"/>
          </w:tblCellMar>
        </w:tblPrEx>
        <w:trPr>
          <w:jc w:val="center"/>
        </w:trPr>
        <w:tc>
          <w:tcPr>
            <w:tcW w:w="2340" w:type="dxa"/>
            <w:tcBorders>
              <w:top w:val="single" w:sz="4" w:space="0" w:color="auto"/>
            </w:tcBorders>
            <w:vAlign w:val="center"/>
          </w:tcPr>
          <w:p w:rsidR="00000000" w:rsidRDefault="00000000">
            <w:pPr>
              <w:spacing w:before="60" w:after="60"/>
              <w:rPr>
                <w:sz w:val="20"/>
                <w:lang w:val="en-GB"/>
              </w:rPr>
            </w:pPr>
            <w:r>
              <w:rPr>
                <w:sz w:val="20"/>
                <w:lang w:val="en-GB"/>
              </w:rPr>
              <w:t>Male</w:t>
            </w:r>
          </w:p>
        </w:tc>
        <w:tc>
          <w:tcPr>
            <w:tcW w:w="1800" w:type="dxa"/>
            <w:tcBorders>
              <w:top w:val="single" w:sz="4" w:space="0" w:color="auto"/>
            </w:tcBorders>
            <w:vAlign w:val="center"/>
          </w:tcPr>
          <w:p w:rsidR="00000000" w:rsidRDefault="00000000">
            <w:pPr>
              <w:tabs>
                <w:tab w:val="clear" w:pos="720"/>
              </w:tabs>
              <w:spacing w:before="60" w:after="60"/>
              <w:ind w:right="794"/>
              <w:jc w:val="right"/>
              <w:rPr>
                <w:sz w:val="20"/>
                <w:lang w:val="en-GB"/>
              </w:rPr>
            </w:pPr>
            <w:r>
              <w:rPr>
                <w:sz w:val="20"/>
                <w:lang w:val="en-GB"/>
              </w:rPr>
              <w:t>7 273</w:t>
            </w:r>
          </w:p>
        </w:tc>
        <w:tc>
          <w:tcPr>
            <w:tcW w:w="2160" w:type="dxa"/>
            <w:tcBorders>
              <w:top w:val="single" w:sz="4" w:space="0" w:color="auto"/>
            </w:tcBorders>
            <w:vAlign w:val="center"/>
          </w:tcPr>
          <w:p w:rsidR="00000000" w:rsidRDefault="00000000">
            <w:pPr>
              <w:tabs>
                <w:tab w:val="clear" w:pos="720"/>
              </w:tabs>
              <w:spacing w:before="60" w:after="60"/>
              <w:ind w:right="794"/>
              <w:jc w:val="right"/>
              <w:rPr>
                <w:sz w:val="20"/>
                <w:lang w:val="en-GB"/>
              </w:rPr>
            </w:pPr>
            <w:r>
              <w:rPr>
                <w:sz w:val="20"/>
                <w:lang w:val="en-GB"/>
              </w:rPr>
              <w:t>6 913</w:t>
            </w:r>
          </w:p>
        </w:tc>
        <w:tc>
          <w:tcPr>
            <w:tcW w:w="2160" w:type="dxa"/>
            <w:tcBorders>
              <w:top w:val="single" w:sz="4" w:space="0" w:color="auto"/>
            </w:tcBorders>
            <w:vAlign w:val="center"/>
          </w:tcPr>
          <w:p w:rsidR="00000000" w:rsidRDefault="00000000">
            <w:pPr>
              <w:tabs>
                <w:tab w:val="clear" w:pos="720"/>
              </w:tabs>
              <w:spacing w:before="60" w:after="60"/>
              <w:ind w:right="794"/>
              <w:jc w:val="right"/>
              <w:rPr>
                <w:sz w:val="20"/>
                <w:lang w:val="en-GB"/>
              </w:rPr>
            </w:pPr>
            <w:r>
              <w:rPr>
                <w:sz w:val="20"/>
                <w:lang w:val="en-GB"/>
              </w:rPr>
              <w:t>360</w:t>
            </w:r>
          </w:p>
        </w:tc>
      </w:tr>
      <w:tr w:rsidR="00000000">
        <w:tblPrEx>
          <w:tblCellMar>
            <w:top w:w="0" w:type="dxa"/>
            <w:bottom w:w="0" w:type="dxa"/>
          </w:tblCellMar>
        </w:tblPrEx>
        <w:trPr>
          <w:jc w:val="center"/>
        </w:trPr>
        <w:tc>
          <w:tcPr>
            <w:tcW w:w="2340" w:type="dxa"/>
            <w:vAlign w:val="center"/>
          </w:tcPr>
          <w:p w:rsidR="00000000" w:rsidRDefault="00000000">
            <w:pPr>
              <w:spacing w:before="60" w:after="60"/>
              <w:ind w:left="308"/>
              <w:rPr>
                <w:sz w:val="20"/>
                <w:lang w:val="en-GB"/>
              </w:rPr>
            </w:pPr>
            <w:r>
              <w:rPr>
                <w:sz w:val="20"/>
                <w:lang w:val="en-GB"/>
              </w:rPr>
              <w:t>6-14 years</w:t>
            </w:r>
          </w:p>
        </w:tc>
        <w:tc>
          <w:tcPr>
            <w:tcW w:w="1800" w:type="dxa"/>
            <w:vAlign w:val="center"/>
          </w:tcPr>
          <w:p w:rsidR="00000000" w:rsidRDefault="00000000">
            <w:pPr>
              <w:tabs>
                <w:tab w:val="clear" w:pos="720"/>
              </w:tabs>
              <w:spacing w:before="60" w:after="60"/>
              <w:ind w:right="794"/>
              <w:jc w:val="right"/>
              <w:rPr>
                <w:sz w:val="20"/>
                <w:lang w:val="en-GB"/>
              </w:rPr>
            </w:pPr>
            <w:r>
              <w:rPr>
                <w:sz w:val="20"/>
                <w:lang w:val="en-GB"/>
              </w:rPr>
              <w:t>675</w:t>
            </w:r>
          </w:p>
        </w:tc>
        <w:tc>
          <w:tcPr>
            <w:tcW w:w="2160" w:type="dxa"/>
            <w:vAlign w:val="center"/>
          </w:tcPr>
          <w:p w:rsidR="00000000" w:rsidRDefault="00000000">
            <w:pPr>
              <w:tabs>
                <w:tab w:val="clear" w:pos="720"/>
              </w:tabs>
              <w:spacing w:before="60" w:after="60"/>
              <w:ind w:right="794"/>
              <w:jc w:val="right"/>
              <w:rPr>
                <w:sz w:val="20"/>
                <w:lang w:val="en-GB"/>
              </w:rPr>
            </w:pPr>
            <w:r>
              <w:rPr>
                <w:sz w:val="20"/>
                <w:lang w:val="en-GB"/>
              </w:rPr>
              <w:t>670</w:t>
            </w:r>
          </w:p>
        </w:tc>
        <w:tc>
          <w:tcPr>
            <w:tcW w:w="2160" w:type="dxa"/>
            <w:vAlign w:val="center"/>
          </w:tcPr>
          <w:p w:rsidR="00000000" w:rsidRDefault="00000000">
            <w:pPr>
              <w:tabs>
                <w:tab w:val="clear" w:pos="720"/>
              </w:tabs>
              <w:spacing w:before="60" w:after="60"/>
              <w:ind w:right="794"/>
              <w:jc w:val="right"/>
              <w:rPr>
                <w:sz w:val="20"/>
                <w:lang w:val="en-GB"/>
              </w:rPr>
            </w:pPr>
            <w:r>
              <w:rPr>
                <w:sz w:val="20"/>
                <w:lang w:val="en-GB"/>
              </w:rPr>
              <w:t>5</w:t>
            </w:r>
          </w:p>
        </w:tc>
      </w:tr>
      <w:tr w:rsidR="00000000">
        <w:tblPrEx>
          <w:tblCellMar>
            <w:top w:w="0" w:type="dxa"/>
            <w:bottom w:w="0" w:type="dxa"/>
          </w:tblCellMar>
        </w:tblPrEx>
        <w:trPr>
          <w:jc w:val="center"/>
        </w:trPr>
        <w:tc>
          <w:tcPr>
            <w:tcW w:w="2340" w:type="dxa"/>
            <w:vAlign w:val="center"/>
          </w:tcPr>
          <w:p w:rsidR="00000000" w:rsidRDefault="00000000">
            <w:pPr>
              <w:spacing w:before="60" w:after="60"/>
              <w:ind w:left="308"/>
              <w:rPr>
                <w:sz w:val="20"/>
                <w:lang w:val="en-GB"/>
              </w:rPr>
            </w:pPr>
            <w:r>
              <w:rPr>
                <w:sz w:val="20"/>
                <w:lang w:val="en-GB"/>
              </w:rPr>
              <w:t>15-64 years</w:t>
            </w:r>
          </w:p>
        </w:tc>
        <w:tc>
          <w:tcPr>
            <w:tcW w:w="1800" w:type="dxa"/>
            <w:vAlign w:val="center"/>
          </w:tcPr>
          <w:p w:rsidR="00000000" w:rsidRDefault="00000000">
            <w:pPr>
              <w:tabs>
                <w:tab w:val="clear" w:pos="720"/>
              </w:tabs>
              <w:spacing w:before="60" w:after="60"/>
              <w:ind w:right="794"/>
              <w:jc w:val="right"/>
              <w:rPr>
                <w:sz w:val="20"/>
                <w:lang w:val="en-GB"/>
              </w:rPr>
            </w:pPr>
            <w:r>
              <w:rPr>
                <w:sz w:val="20"/>
                <w:lang w:val="en-GB"/>
              </w:rPr>
              <w:t>6 183</w:t>
            </w:r>
          </w:p>
        </w:tc>
        <w:tc>
          <w:tcPr>
            <w:tcW w:w="2160" w:type="dxa"/>
            <w:vAlign w:val="center"/>
          </w:tcPr>
          <w:p w:rsidR="00000000" w:rsidRDefault="00000000">
            <w:pPr>
              <w:tabs>
                <w:tab w:val="clear" w:pos="720"/>
              </w:tabs>
              <w:spacing w:before="60" w:after="60"/>
              <w:ind w:right="794"/>
              <w:jc w:val="right"/>
              <w:rPr>
                <w:sz w:val="20"/>
                <w:lang w:val="en-GB"/>
              </w:rPr>
            </w:pPr>
            <w:r>
              <w:rPr>
                <w:sz w:val="20"/>
                <w:lang w:val="en-GB"/>
              </w:rPr>
              <w:t>5 842</w:t>
            </w:r>
          </w:p>
        </w:tc>
        <w:tc>
          <w:tcPr>
            <w:tcW w:w="2160" w:type="dxa"/>
            <w:vAlign w:val="center"/>
          </w:tcPr>
          <w:p w:rsidR="00000000" w:rsidRDefault="00000000">
            <w:pPr>
              <w:tabs>
                <w:tab w:val="clear" w:pos="720"/>
              </w:tabs>
              <w:spacing w:before="60" w:after="60"/>
              <w:ind w:right="794"/>
              <w:jc w:val="right"/>
              <w:rPr>
                <w:sz w:val="20"/>
                <w:lang w:val="en-GB"/>
              </w:rPr>
            </w:pPr>
            <w:r>
              <w:rPr>
                <w:sz w:val="20"/>
                <w:lang w:val="en-GB"/>
              </w:rPr>
              <w:t>341</w:t>
            </w:r>
          </w:p>
        </w:tc>
      </w:tr>
      <w:tr w:rsidR="00000000">
        <w:tblPrEx>
          <w:tblCellMar>
            <w:top w:w="0" w:type="dxa"/>
            <w:bottom w:w="0" w:type="dxa"/>
          </w:tblCellMar>
        </w:tblPrEx>
        <w:trPr>
          <w:jc w:val="center"/>
        </w:trPr>
        <w:tc>
          <w:tcPr>
            <w:tcW w:w="2340" w:type="dxa"/>
            <w:vAlign w:val="center"/>
          </w:tcPr>
          <w:p w:rsidR="00000000" w:rsidRDefault="00000000">
            <w:pPr>
              <w:spacing w:before="60" w:after="60"/>
              <w:ind w:left="308"/>
              <w:rPr>
                <w:sz w:val="20"/>
                <w:lang w:val="en-GB"/>
              </w:rPr>
            </w:pPr>
            <w:r>
              <w:rPr>
                <w:sz w:val="20"/>
                <w:lang w:val="en-GB"/>
              </w:rPr>
              <w:t>65 and older</w:t>
            </w:r>
          </w:p>
        </w:tc>
        <w:tc>
          <w:tcPr>
            <w:tcW w:w="1800" w:type="dxa"/>
            <w:vAlign w:val="center"/>
          </w:tcPr>
          <w:p w:rsidR="00000000" w:rsidRDefault="00000000">
            <w:pPr>
              <w:tabs>
                <w:tab w:val="clear" w:pos="720"/>
              </w:tabs>
              <w:spacing w:before="60" w:after="60"/>
              <w:ind w:right="794"/>
              <w:jc w:val="right"/>
              <w:rPr>
                <w:sz w:val="20"/>
                <w:lang w:val="en-GB"/>
              </w:rPr>
            </w:pPr>
            <w:r>
              <w:rPr>
                <w:sz w:val="20"/>
                <w:lang w:val="en-GB"/>
              </w:rPr>
              <w:t>414</w:t>
            </w:r>
          </w:p>
        </w:tc>
        <w:tc>
          <w:tcPr>
            <w:tcW w:w="2160" w:type="dxa"/>
            <w:vAlign w:val="center"/>
          </w:tcPr>
          <w:p w:rsidR="00000000" w:rsidRDefault="00000000">
            <w:pPr>
              <w:tabs>
                <w:tab w:val="clear" w:pos="720"/>
              </w:tabs>
              <w:spacing w:before="60" w:after="60"/>
              <w:ind w:right="794"/>
              <w:jc w:val="right"/>
              <w:rPr>
                <w:sz w:val="20"/>
                <w:lang w:val="en-GB"/>
              </w:rPr>
            </w:pPr>
            <w:r>
              <w:rPr>
                <w:sz w:val="20"/>
                <w:lang w:val="en-GB"/>
              </w:rPr>
              <w:t>400</w:t>
            </w:r>
          </w:p>
        </w:tc>
        <w:tc>
          <w:tcPr>
            <w:tcW w:w="2160" w:type="dxa"/>
            <w:vAlign w:val="center"/>
          </w:tcPr>
          <w:p w:rsidR="00000000" w:rsidRDefault="00000000">
            <w:pPr>
              <w:tabs>
                <w:tab w:val="clear" w:pos="720"/>
              </w:tabs>
              <w:spacing w:before="60" w:after="60"/>
              <w:ind w:right="794"/>
              <w:jc w:val="right"/>
              <w:rPr>
                <w:sz w:val="20"/>
                <w:lang w:val="en-GB"/>
              </w:rPr>
            </w:pPr>
            <w:r>
              <w:rPr>
                <w:sz w:val="20"/>
                <w:lang w:val="en-GB"/>
              </w:rPr>
              <w:t>14</w:t>
            </w:r>
          </w:p>
        </w:tc>
      </w:tr>
      <w:tr w:rsidR="00000000">
        <w:tblPrEx>
          <w:tblCellMar>
            <w:top w:w="0" w:type="dxa"/>
            <w:bottom w:w="0" w:type="dxa"/>
          </w:tblCellMar>
        </w:tblPrEx>
        <w:trPr>
          <w:jc w:val="center"/>
        </w:trPr>
        <w:tc>
          <w:tcPr>
            <w:tcW w:w="2340" w:type="dxa"/>
            <w:vAlign w:val="center"/>
          </w:tcPr>
          <w:p w:rsidR="00000000" w:rsidRDefault="00000000">
            <w:pPr>
              <w:spacing w:before="60" w:after="60"/>
              <w:rPr>
                <w:sz w:val="20"/>
                <w:lang w:val="en-GB"/>
              </w:rPr>
            </w:pPr>
            <w:r>
              <w:rPr>
                <w:sz w:val="20"/>
                <w:lang w:val="en-GB"/>
              </w:rPr>
              <w:t>Women</w:t>
            </w:r>
          </w:p>
        </w:tc>
        <w:tc>
          <w:tcPr>
            <w:tcW w:w="1800" w:type="dxa"/>
            <w:vAlign w:val="center"/>
          </w:tcPr>
          <w:p w:rsidR="00000000" w:rsidRDefault="00000000">
            <w:pPr>
              <w:tabs>
                <w:tab w:val="clear" w:pos="720"/>
              </w:tabs>
              <w:spacing w:before="60" w:after="60"/>
              <w:ind w:right="794"/>
              <w:jc w:val="right"/>
              <w:rPr>
                <w:sz w:val="20"/>
                <w:lang w:val="en-GB"/>
              </w:rPr>
            </w:pPr>
            <w:r>
              <w:rPr>
                <w:sz w:val="20"/>
                <w:lang w:val="en-GB"/>
              </w:rPr>
              <w:t>5 532</w:t>
            </w:r>
          </w:p>
        </w:tc>
        <w:tc>
          <w:tcPr>
            <w:tcW w:w="2160" w:type="dxa"/>
            <w:vAlign w:val="center"/>
          </w:tcPr>
          <w:p w:rsidR="00000000" w:rsidRDefault="00000000">
            <w:pPr>
              <w:tabs>
                <w:tab w:val="clear" w:pos="720"/>
              </w:tabs>
              <w:spacing w:before="60" w:after="60"/>
              <w:ind w:right="794"/>
              <w:jc w:val="right"/>
              <w:rPr>
                <w:sz w:val="20"/>
                <w:lang w:val="en-GB"/>
              </w:rPr>
            </w:pPr>
            <w:r>
              <w:rPr>
                <w:sz w:val="20"/>
                <w:lang w:val="en-GB"/>
              </w:rPr>
              <w:t>5 261</w:t>
            </w:r>
          </w:p>
        </w:tc>
        <w:tc>
          <w:tcPr>
            <w:tcW w:w="2160" w:type="dxa"/>
            <w:vAlign w:val="center"/>
          </w:tcPr>
          <w:p w:rsidR="00000000" w:rsidRDefault="00000000">
            <w:pPr>
              <w:tabs>
                <w:tab w:val="clear" w:pos="720"/>
              </w:tabs>
              <w:spacing w:before="60" w:after="60"/>
              <w:ind w:right="794"/>
              <w:jc w:val="right"/>
              <w:rPr>
                <w:sz w:val="20"/>
                <w:lang w:val="en-GB"/>
              </w:rPr>
            </w:pPr>
            <w:r>
              <w:rPr>
                <w:sz w:val="20"/>
                <w:lang w:val="en-GB"/>
              </w:rPr>
              <w:t>271</w:t>
            </w:r>
          </w:p>
        </w:tc>
      </w:tr>
      <w:tr w:rsidR="00000000">
        <w:tblPrEx>
          <w:tblCellMar>
            <w:top w:w="0" w:type="dxa"/>
            <w:bottom w:w="0" w:type="dxa"/>
          </w:tblCellMar>
        </w:tblPrEx>
        <w:trPr>
          <w:jc w:val="center"/>
        </w:trPr>
        <w:tc>
          <w:tcPr>
            <w:tcW w:w="2340" w:type="dxa"/>
            <w:vAlign w:val="center"/>
          </w:tcPr>
          <w:p w:rsidR="00000000" w:rsidRDefault="00000000">
            <w:pPr>
              <w:spacing w:before="60" w:after="60"/>
              <w:ind w:left="308"/>
              <w:rPr>
                <w:sz w:val="20"/>
                <w:lang w:val="en-GB"/>
              </w:rPr>
            </w:pPr>
            <w:r>
              <w:rPr>
                <w:sz w:val="20"/>
                <w:lang w:val="en-GB"/>
              </w:rPr>
              <w:t>6-14 years</w:t>
            </w:r>
          </w:p>
        </w:tc>
        <w:tc>
          <w:tcPr>
            <w:tcW w:w="1800" w:type="dxa"/>
            <w:vAlign w:val="center"/>
          </w:tcPr>
          <w:p w:rsidR="00000000" w:rsidRDefault="00000000">
            <w:pPr>
              <w:tabs>
                <w:tab w:val="clear" w:pos="720"/>
              </w:tabs>
              <w:spacing w:before="60" w:after="60"/>
              <w:ind w:right="794"/>
              <w:jc w:val="right"/>
              <w:rPr>
                <w:sz w:val="20"/>
                <w:lang w:val="en-GB"/>
              </w:rPr>
            </w:pPr>
            <w:r>
              <w:rPr>
                <w:sz w:val="20"/>
                <w:lang w:val="en-GB"/>
              </w:rPr>
              <w:t>545</w:t>
            </w:r>
          </w:p>
        </w:tc>
        <w:tc>
          <w:tcPr>
            <w:tcW w:w="2160" w:type="dxa"/>
            <w:vAlign w:val="center"/>
          </w:tcPr>
          <w:p w:rsidR="00000000" w:rsidRDefault="00000000">
            <w:pPr>
              <w:tabs>
                <w:tab w:val="clear" w:pos="720"/>
              </w:tabs>
              <w:spacing w:before="60" w:after="60"/>
              <w:ind w:right="794"/>
              <w:jc w:val="right"/>
              <w:rPr>
                <w:sz w:val="20"/>
                <w:lang w:val="en-GB"/>
              </w:rPr>
            </w:pPr>
            <w:r>
              <w:rPr>
                <w:sz w:val="20"/>
                <w:lang w:val="en-GB"/>
              </w:rPr>
              <w:t>543</w:t>
            </w:r>
          </w:p>
        </w:tc>
        <w:tc>
          <w:tcPr>
            <w:tcW w:w="2160" w:type="dxa"/>
            <w:vAlign w:val="center"/>
          </w:tcPr>
          <w:p w:rsidR="00000000" w:rsidRDefault="00000000">
            <w:pPr>
              <w:tabs>
                <w:tab w:val="clear" w:pos="720"/>
              </w:tabs>
              <w:spacing w:before="60" w:after="60"/>
              <w:ind w:right="794"/>
              <w:jc w:val="right"/>
              <w:rPr>
                <w:sz w:val="20"/>
                <w:lang w:val="en-GB"/>
              </w:rPr>
            </w:pPr>
            <w:r>
              <w:rPr>
                <w:sz w:val="20"/>
                <w:lang w:val="en-GB"/>
              </w:rPr>
              <w:t>2</w:t>
            </w:r>
          </w:p>
        </w:tc>
      </w:tr>
      <w:tr w:rsidR="00000000">
        <w:tblPrEx>
          <w:tblCellMar>
            <w:top w:w="0" w:type="dxa"/>
            <w:bottom w:w="0" w:type="dxa"/>
          </w:tblCellMar>
        </w:tblPrEx>
        <w:trPr>
          <w:jc w:val="center"/>
        </w:trPr>
        <w:tc>
          <w:tcPr>
            <w:tcW w:w="2340" w:type="dxa"/>
            <w:vAlign w:val="center"/>
          </w:tcPr>
          <w:p w:rsidR="00000000" w:rsidRDefault="00000000">
            <w:pPr>
              <w:spacing w:before="60" w:after="60"/>
              <w:ind w:left="308"/>
              <w:rPr>
                <w:sz w:val="20"/>
                <w:lang w:val="en-GB"/>
              </w:rPr>
            </w:pPr>
            <w:r>
              <w:rPr>
                <w:sz w:val="20"/>
                <w:lang w:val="en-GB"/>
              </w:rPr>
              <w:t>15-64 years</w:t>
            </w:r>
          </w:p>
        </w:tc>
        <w:tc>
          <w:tcPr>
            <w:tcW w:w="1800" w:type="dxa"/>
            <w:vAlign w:val="center"/>
          </w:tcPr>
          <w:p w:rsidR="00000000" w:rsidRDefault="00000000">
            <w:pPr>
              <w:tabs>
                <w:tab w:val="clear" w:pos="720"/>
              </w:tabs>
              <w:spacing w:before="60" w:after="60"/>
              <w:ind w:right="794"/>
              <w:jc w:val="right"/>
              <w:rPr>
                <w:sz w:val="20"/>
                <w:lang w:val="en-GB"/>
              </w:rPr>
            </w:pPr>
            <w:r>
              <w:rPr>
                <w:sz w:val="20"/>
                <w:lang w:val="en-GB"/>
              </w:rPr>
              <w:t>4 764</w:t>
            </w:r>
          </w:p>
        </w:tc>
        <w:tc>
          <w:tcPr>
            <w:tcW w:w="2160" w:type="dxa"/>
            <w:vAlign w:val="center"/>
          </w:tcPr>
          <w:p w:rsidR="00000000" w:rsidRDefault="00000000">
            <w:pPr>
              <w:tabs>
                <w:tab w:val="clear" w:pos="720"/>
              </w:tabs>
              <w:spacing w:before="60" w:after="60"/>
              <w:ind w:right="794"/>
              <w:jc w:val="right"/>
              <w:rPr>
                <w:sz w:val="20"/>
                <w:lang w:val="en-GB"/>
              </w:rPr>
            </w:pPr>
            <w:r>
              <w:rPr>
                <w:sz w:val="20"/>
                <w:lang w:val="en-GB"/>
              </w:rPr>
              <w:t>4 498</w:t>
            </w:r>
          </w:p>
        </w:tc>
        <w:tc>
          <w:tcPr>
            <w:tcW w:w="2160" w:type="dxa"/>
            <w:vAlign w:val="center"/>
          </w:tcPr>
          <w:p w:rsidR="00000000" w:rsidRDefault="00000000">
            <w:pPr>
              <w:tabs>
                <w:tab w:val="clear" w:pos="720"/>
              </w:tabs>
              <w:spacing w:before="60" w:after="60"/>
              <w:ind w:right="794"/>
              <w:jc w:val="right"/>
              <w:rPr>
                <w:sz w:val="20"/>
                <w:lang w:val="en-GB"/>
              </w:rPr>
            </w:pPr>
            <w:r>
              <w:rPr>
                <w:sz w:val="20"/>
                <w:lang w:val="en-GB"/>
              </w:rPr>
              <w:t>266</w:t>
            </w:r>
          </w:p>
        </w:tc>
      </w:tr>
      <w:tr w:rsidR="00000000">
        <w:tblPrEx>
          <w:tblCellMar>
            <w:top w:w="0" w:type="dxa"/>
            <w:bottom w:w="0" w:type="dxa"/>
          </w:tblCellMar>
        </w:tblPrEx>
        <w:trPr>
          <w:jc w:val="center"/>
        </w:trPr>
        <w:tc>
          <w:tcPr>
            <w:tcW w:w="2340" w:type="dxa"/>
            <w:vAlign w:val="center"/>
          </w:tcPr>
          <w:p w:rsidR="00000000" w:rsidRDefault="00000000">
            <w:pPr>
              <w:spacing w:before="60" w:after="60"/>
              <w:ind w:left="308"/>
              <w:rPr>
                <w:sz w:val="20"/>
                <w:lang w:val="en-GB"/>
              </w:rPr>
            </w:pPr>
            <w:r>
              <w:rPr>
                <w:sz w:val="20"/>
                <w:lang w:val="en-GB"/>
              </w:rPr>
              <w:t>65 and older</w:t>
            </w:r>
          </w:p>
        </w:tc>
        <w:tc>
          <w:tcPr>
            <w:tcW w:w="1800" w:type="dxa"/>
            <w:vAlign w:val="center"/>
          </w:tcPr>
          <w:p w:rsidR="00000000" w:rsidRDefault="00000000">
            <w:pPr>
              <w:tabs>
                <w:tab w:val="clear" w:pos="720"/>
              </w:tabs>
              <w:spacing w:before="60" w:after="60"/>
              <w:ind w:right="794"/>
              <w:jc w:val="right"/>
              <w:rPr>
                <w:sz w:val="20"/>
                <w:lang w:val="en-GB"/>
              </w:rPr>
            </w:pPr>
            <w:r>
              <w:rPr>
                <w:sz w:val="20"/>
                <w:lang w:val="en-GB"/>
              </w:rPr>
              <w:t>224</w:t>
            </w:r>
          </w:p>
        </w:tc>
        <w:tc>
          <w:tcPr>
            <w:tcW w:w="2160" w:type="dxa"/>
            <w:vAlign w:val="center"/>
          </w:tcPr>
          <w:p w:rsidR="00000000" w:rsidRDefault="00000000">
            <w:pPr>
              <w:tabs>
                <w:tab w:val="clear" w:pos="720"/>
              </w:tabs>
              <w:spacing w:before="60" w:after="60"/>
              <w:ind w:right="794"/>
              <w:jc w:val="right"/>
              <w:rPr>
                <w:sz w:val="20"/>
                <w:lang w:val="en-GB"/>
              </w:rPr>
            </w:pPr>
            <w:r>
              <w:rPr>
                <w:sz w:val="20"/>
                <w:lang w:val="en-GB"/>
              </w:rPr>
              <w:t>221</w:t>
            </w:r>
          </w:p>
        </w:tc>
        <w:tc>
          <w:tcPr>
            <w:tcW w:w="2160" w:type="dxa"/>
            <w:vAlign w:val="center"/>
          </w:tcPr>
          <w:p w:rsidR="00000000" w:rsidRDefault="00000000">
            <w:pPr>
              <w:tabs>
                <w:tab w:val="clear" w:pos="720"/>
              </w:tabs>
              <w:spacing w:before="60" w:after="60"/>
              <w:ind w:right="794"/>
              <w:jc w:val="right"/>
              <w:rPr>
                <w:sz w:val="20"/>
                <w:lang w:val="en-GB"/>
              </w:rPr>
            </w:pPr>
            <w:r>
              <w:rPr>
                <w:sz w:val="20"/>
                <w:lang w:val="en-GB"/>
              </w:rPr>
              <w:t>3</w:t>
            </w:r>
          </w:p>
        </w:tc>
      </w:tr>
      <w:tr w:rsidR="00000000">
        <w:tblPrEx>
          <w:tblCellMar>
            <w:top w:w="0" w:type="dxa"/>
            <w:bottom w:w="0" w:type="dxa"/>
          </w:tblCellMar>
        </w:tblPrEx>
        <w:trPr>
          <w:jc w:val="center"/>
        </w:trPr>
        <w:tc>
          <w:tcPr>
            <w:tcW w:w="2340" w:type="dxa"/>
            <w:tcBorders>
              <w:bottom w:val="single" w:sz="4" w:space="0" w:color="auto"/>
            </w:tcBorders>
            <w:vAlign w:val="center"/>
          </w:tcPr>
          <w:p w:rsidR="00000000" w:rsidRDefault="00000000">
            <w:pPr>
              <w:spacing w:before="60" w:after="60"/>
              <w:rPr>
                <w:sz w:val="20"/>
                <w:lang w:val="en-GB"/>
              </w:rPr>
            </w:pPr>
            <w:r>
              <w:rPr>
                <w:sz w:val="20"/>
                <w:lang w:val="en-GB"/>
              </w:rPr>
              <w:tab/>
              <w:t>Total</w:t>
            </w:r>
          </w:p>
        </w:tc>
        <w:tc>
          <w:tcPr>
            <w:tcW w:w="1800" w:type="dxa"/>
            <w:tcBorders>
              <w:bottom w:val="single" w:sz="4" w:space="0" w:color="auto"/>
            </w:tcBorders>
            <w:vAlign w:val="center"/>
          </w:tcPr>
          <w:p w:rsidR="00000000" w:rsidRDefault="00000000">
            <w:pPr>
              <w:tabs>
                <w:tab w:val="clear" w:pos="720"/>
              </w:tabs>
              <w:spacing w:before="60" w:after="60"/>
              <w:ind w:right="794"/>
              <w:jc w:val="right"/>
              <w:rPr>
                <w:sz w:val="20"/>
                <w:lang w:val="en-GB"/>
              </w:rPr>
            </w:pPr>
            <w:r>
              <w:rPr>
                <w:sz w:val="20"/>
                <w:lang w:val="en-GB"/>
              </w:rPr>
              <w:t>12 806</w:t>
            </w:r>
          </w:p>
        </w:tc>
        <w:tc>
          <w:tcPr>
            <w:tcW w:w="2160" w:type="dxa"/>
            <w:tcBorders>
              <w:bottom w:val="single" w:sz="4" w:space="0" w:color="auto"/>
            </w:tcBorders>
            <w:vAlign w:val="center"/>
          </w:tcPr>
          <w:p w:rsidR="00000000" w:rsidRDefault="00000000">
            <w:pPr>
              <w:tabs>
                <w:tab w:val="clear" w:pos="720"/>
              </w:tabs>
              <w:spacing w:before="60" w:after="60"/>
              <w:ind w:right="794"/>
              <w:jc w:val="right"/>
              <w:rPr>
                <w:sz w:val="20"/>
                <w:lang w:val="en-GB"/>
              </w:rPr>
            </w:pPr>
            <w:r>
              <w:rPr>
                <w:sz w:val="20"/>
                <w:lang w:val="en-GB"/>
              </w:rPr>
              <w:t>12 174</w:t>
            </w:r>
          </w:p>
        </w:tc>
        <w:tc>
          <w:tcPr>
            <w:tcW w:w="2160" w:type="dxa"/>
            <w:tcBorders>
              <w:bottom w:val="single" w:sz="4" w:space="0" w:color="auto"/>
            </w:tcBorders>
            <w:vAlign w:val="center"/>
          </w:tcPr>
          <w:p w:rsidR="00000000" w:rsidRDefault="00000000">
            <w:pPr>
              <w:tabs>
                <w:tab w:val="clear" w:pos="720"/>
              </w:tabs>
              <w:spacing w:before="60" w:after="60"/>
              <w:ind w:right="794"/>
              <w:jc w:val="right"/>
              <w:rPr>
                <w:sz w:val="20"/>
                <w:lang w:val="en-GB"/>
              </w:rPr>
            </w:pPr>
            <w:r>
              <w:rPr>
                <w:sz w:val="20"/>
                <w:lang w:val="en-GB"/>
              </w:rPr>
              <w:t>631</w:t>
            </w:r>
          </w:p>
        </w:tc>
      </w:tr>
    </w:tbl>
    <w:p w:rsidR="00000000" w:rsidRDefault="00000000">
      <w:pPr>
        <w:tabs>
          <w:tab w:val="clear" w:pos="720"/>
        </w:tabs>
        <w:jc w:val="center"/>
        <w:rPr>
          <w:sz w:val="20"/>
          <w:lang w:val="en-GB"/>
        </w:rPr>
      </w:pPr>
    </w:p>
    <w:p w:rsidR="00000000" w:rsidRDefault="00000000">
      <w:pPr>
        <w:tabs>
          <w:tab w:val="clear" w:pos="720"/>
        </w:tabs>
        <w:jc w:val="center"/>
        <w:rPr>
          <w:sz w:val="20"/>
          <w:lang w:val="en-GB"/>
        </w:rPr>
      </w:pPr>
    </w:p>
    <w:p w:rsidR="00000000" w:rsidRDefault="00000000">
      <w:pPr>
        <w:tabs>
          <w:tab w:val="clear" w:pos="720"/>
        </w:tabs>
        <w:jc w:val="center"/>
        <w:rPr>
          <w:sz w:val="24"/>
          <w:lang w:val="en-GB"/>
        </w:rPr>
      </w:pPr>
      <w:r>
        <w:rPr>
          <w:b/>
          <w:sz w:val="20"/>
          <w:lang w:val="en-GB"/>
        </w:rPr>
        <w:t>Life expectancy at birth: urban and rural, 2002</w:t>
      </w:r>
    </w:p>
    <w:p w:rsidR="00000000" w:rsidRDefault="00000000">
      <w:pPr>
        <w:tabs>
          <w:tab w:val="clear" w:pos="720"/>
        </w:tabs>
        <w:jc w:val="left"/>
        <w:rPr>
          <w:sz w:val="24"/>
          <w:lang w:val="en-GB"/>
        </w:rPr>
      </w:pPr>
      <w:r>
        <w:rPr>
          <w:noProof/>
          <w:sz w:val="20"/>
          <w:lang w:eastAsia="fr-FR"/>
        </w:rPr>
        <w:pict>
          <v:shape id="_x0000_s1047" type="#_x0000_t202" style="position:absolute;margin-left:220.55pt;margin-top:13.55pt;width:27pt;height:18pt;z-index:3" fillcolor="silver" stroked="f">
            <v:textbox style="mso-next-textbox:#_x0000_s1047" inset="0,0,0,0">
              <w:txbxContent>
                <w:p w:rsidR="00000000" w:rsidRDefault="00000000">
                  <w:pPr>
                    <w:jc w:val="center"/>
                    <w:rPr>
                      <w:b/>
                      <w:bCs/>
                      <w:sz w:val="14"/>
                      <w:lang w:val="pt-BR"/>
                    </w:rPr>
                  </w:pPr>
                  <w:r>
                    <w:rPr>
                      <w:b/>
                      <w:bCs/>
                      <w:sz w:val="18"/>
                      <w:lang w:val="pt-BR"/>
                    </w:rPr>
                    <w:t>72.0</w:t>
                  </w:r>
                </w:p>
              </w:txbxContent>
            </v:textbox>
          </v:shape>
        </w:pict>
      </w:r>
    </w:p>
    <w:p w:rsidR="00000000" w:rsidRDefault="00000000">
      <w:pPr>
        <w:tabs>
          <w:tab w:val="clear" w:pos="720"/>
        </w:tabs>
        <w:jc w:val="center"/>
        <w:rPr>
          <w:sz w:val="24"/>
          <w:lang w:val="en-GB"/>
        </w:rPr>
      </w:pPr>
      <w:r>
        <w:rPr>
          <w:noProof/>
          <w:sz w:val="20"/>
          <w:lang w:eastAsia="fr-FR"/>
        </w:rPr>
        <w:pict>
          <v:shape id="_x0000_s1049" type="#_x0000_t202" style="position:absolute;left:0;text-align:left;margin-left:281.45pt;margin-top:115.25pt;width:27pt;height:18pt;z-index:5" stroked="f">
            <v:textbox inset="0,0,0,0">
              <w:txbxContent>
                <w:p w:rsidR="00000000" w:rsidRDefault="00000000">
                  <w:pPr>
                    <w:jc w:val="center"/>
                    <w:rPr>
                      <w:b/>
                      <w:bCs/>
                      <w:sz w:val="14"/>
                      <w:lang w:val="pt-BR"/>
                    </w:rPr>
                  </w:pPr>
                  <w:r>
                    <w:rPr>
                      <w:b/>
                      <w:bCs/>
                      <w:sz w:val="18"/>
                      <w:lang w:val="pt-BR"/>
                    </w:rPr>
                    <w:t>Rural</w:t>
                  </w:r>
                </w:p>
              </w:txbxContent>
            </v:textbox>
          </v:shape>
        </w:pict>
      </w:r>
      <w:r>
        <w:rPr>
          <w:noProof/>
          <w:sz w:val="20"/>
          <w:lang w:eastAsia="fr-FR"/>
        </w:rPr>
        <w:pict>
          <v:shape id="_x0000_s1050" type="#_x0000_t202" style="position:absolute;left:0;text-align:left;margin-left:220.7pt;margin-top:115.25pt;width:27pt;height:18pt;z-index:6" stroked="f">
            <v:textbox inset="0,0,0,0">
              <w:txbxContent>
                <w:p w:rsidR="00000000" w:rsidRDefault="00000000">
                  <w:pPr>
                    <w:jc w:val="center"/>
                    <w:rPr>
                      <w:b/>
                      <w:bCs/>
                      <w:sz w:val="14"/>
                      <w:lang w:val="pt-BR"/>
                    </w:rPr>
                  </w:pPr>
                  <w:r>
                    <w:rPr>
                      <w:b/>
                      <w:bCs/>
                      <w:sz w:val="18"/>
                      <w:lang w:val="pt-BR"/>
                    </w:rPr>
                    <w:t>Urban</w:t>
                  </w:r>
                </w:p>
              </w:txbxContent>
            </v:textbox>
          </v:shape>
        </w:pict>
      </w:r>
      <w:r>
        <w:rPr>
          <w:noProof/>
          <w:sz w:val="20"/>
          <w:lang w:eastAsia="fr-FR"/>
        </w:rPr>
        <w:pict>
          <v:shape id="_x0000_s1051" type="#_x0000_t202" style="position:absolute;left:0;text-align:left;margin-left:157.7pt;margin-top:115.25pt;width:27pt;height:18pt;z-index:7" stroked="f">
            <v:textbox inset="0,0,0,0">
              <w:txbxContent>
                <w:p w:rsidR="00000000" w:rsidRDefault="00000000">
                  <w:pPr>
                    <w:jc w:val="center"/>
                    <w:rPr>
                      <w:b/>
                      <w:bCs/>
                      <w:sz w:val="14"/>
                      <w:lang w:val="pt-BR"/>
                    </w:rPr>
                  </w:pPr>
                  <w:r>
                    <w:rPr>
                      <w:b/>
                      <w:bCs/>
                      <w:sz w:val="18"/>
                      <w:lang w:val="pt-BR"/>
                    </w:rPr>
                    <w:t>Total</w:t>
                  </w:r>
                </w:p>
              </w:txbxContent>
            </v:textbox>
          </v:shape>
        </w:pict>
      </w:r>
      <w:r>
        <w:rPr>
          <w:noProof/>
          <w:sz w:val="20"/>
          <w:lang w:eastAsia="fr-FR"/>
        </w:rPr>
        <w:pict>
          <v:shape id="_x0000_s1048" type="#_x0000_t202" style="position:absolute;left:0;text-align:left;margin-left:280.7pt;margin-top:6.5pt;width:27pt;height:18pt;z-index:4" fillcolor="silver" stroked="f">
            <v:textbox inset="0,0,0,0">
              <w:txbxContent>
                <w:p w:rsidR="00000000" w:rsidRDefault="00000000">
                  <w:pPr>
                    <w:jc w:val="center"/>
                    <w:rPr>
                      <w:b/>
                      <w:bCs/>
                      <w:sz w:val="14"/>
                      <w:lang w:val="pt-BR"/>
                    </w:rPr>
                  </w:pPr>
                  <w:r>
                    <w:rPr>
                      <w:b/>
                      <w:bCs/>
                      <w:sz w:val="18"/>
                      <w:lang w:val="pt-BR"/>
                    </w:rPr>
                    <w:t>64.8</w:t>
                  </w:r>
                </w:p>
              </w:txbxContent>
            </v:textbox>
          </v:shape>
        </w:pict>
      </w:r>
      <w:r>
        <w:rPr>
          <w:noProof/>
          <w:sz w:val="20"/>
          <w:lang w:eastAsia="fr-FR"/>
        </w:rPr>
        <w:pict>
          <v:shape id="_x0000_s1046" type="#_x0000_t202" style="position:absolute;left:0;text-align:left;margin-left:161.3pt;margin-top:1.25pt;width:27pt;height:18pt;z-index:2" fillcolor="silver" stroked="f">
            <v:textbox inset="0,0,0,0">
              <w:txbxContent>
                <w:p w:rsidR="00000000" w:rsidRDefault="00000000">
                  <w:pPr>
                    <w:jc w:val="center"/>
                    <w:rPr>
                      <w:b/>
                      <w:bCs/>
                      <w:sz w:val="14"/>
                      <w:lang w:val="pt-BR"/>
                    </w:rPr>
                  </w:pPr>
                  <w:r>
                    <w:rPr>
                      <w:b/>
                      <w:bCs/>
                      <w:sz w:val="18"/>
                      <w:lang w:val="pt-BR"/>
                    </w:rPr>
                    <w:t>69.7</w:t>
                  </w:r>
                </w:p>
              </w:txbxContent>
            </v:textbox>
          </v:shape>
        </w:pict>
      </w:r>
      <w:r>
        <w:pict>
          <v:shape id="_x0000_i1027" type="#_x0000_t75" style="width:192pt;height:117pt" o:allowoverlap="f">
            <v:imagedata r:id="rId10" o:title="" croptop="10022f" cropbottom="6681f" grayscale="t"/>
          </v:shape>
        </w:pic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p>
    <w:p w:rsidR="00000000" w:rsidRDefault="00000000">
      <w:pPr>
        <w:tabs>
          <w:tab w:val="clear" w:pos="720"/>
        </w:tabs>
        <w:ind w:left="1134" w:firstLine="567"/>
        <w:jc w:val="left"/>
        <w:rPr>
          <w:sz w:val="24"/>
          <w:lang w:val="en-GB"/>
        </w:rPr>
      </w:pPr>
      <w:r>
        <w:rPr>
          <w:sz w:val="20"/>
          <w:lang w:val="en-GB"/>
        </w:rPr>
        <w:tab/>
      </w:r>
      <w:r>
        <w:rPr>
          <w:i/>
          <w:sz w:val="20"/>
          <w:lang w:val="en-GB"/>
        </w:rPr>
        <w:t>Source</w:t>
      </w:r>
      <w:r>
        <w:rPr>
          <w:sz w:val="20"/>
          <w:lang w:val="en-GB"/>
        </w:rPr>
        <w:t>:  INEI.  Population Estimates and Projections 1950-2050.</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19.</w:t>
      </w:r>
      <w:r>
        <w:rPr>
          <w:sz w:val="24"/>
          <w:lang w:val="en-GB"/>
        </w:rPr>
        <w:tab/>
        <w:t>The problems of health, education and protection affecting large numbers of children are related to their “risk conditions", which are defined as circumstances affecting the population’s well-being over which individuals have little direct control.  The following are the primary risk conditions among Peru’s child population: economic poverty, lack of regular paid work for families, and the socio-economic deterioration of living conditions.  There are other factors of vulnerability and exclusion affecting broad social sectors related to age and sex and geography and ethnic group which exacerbate the risk conditions.</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20.</w:t>
      </w:r>
      <w:r>
        <w:rPr>
          <w:sz w:val="24"/>
          <w:lang w:val="en-GB"/>
        </w:rPr>
        <w:tab/>
        <w:t>It has been established that 72 per cent of households obtain their water supply from the public network.  Only 46 per cent of rural households enjoy this service.  In contrast, 88 per cent of urban households (almost double the number) obtain their water from the public network.</w:t>
      </w:r>
      <w:r>
        <w:rPr>
          <w:rStyle w:val="FootnoteReference"/>
          <w:b/>
          <w:bCs/>
          <w:sz w:val="24"/>
          <w:lang w:val="en-GB"/>
        </w:rPr>
        <w:footnoteReference w:customMarkFollows="1" w:id="11"/>
        <w:t>10</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21.</w:t>
      </w:r>
      <w:r>
        <w:rPr>
          <w:sz w:val="24"/>
          <w:lang w:val="en-GB"/>
        </w:rPr>
        <w:tab/>
        <w:t>In urban areas 76 per cent of households have access to a public sewage-disposal service.  In rural areas 52 per cent of households have no service of this kind.  In the department of Huancavelica 71 per cent of the population has no sewage disposal service.</w:t>
      </w:r>
      <w:r>
        <w:rPr>
          <w:rStyle w:val="FootnoteReference"/>
          <w:b/>
          <w:bCs/>
          <w:sz w:val="24"/>
          <w:lang w:val="en-GB"/>
        </w:rPr>
        <w:footnoteReference w:customMarkFollows="1" w:id="12"/>
        <w:t>11</w:t>
      </w:r>
    </w:p>
    <w:p w:rsidR="00000000" w:rsidRDefault="00000000">
      <w:pPr>
        <w:tabs>
          <w:tab w:val="clear" w:pos="720"/>
        </w:tabs>
        <w:jc w:val="left"/>
        <w:rPr>
          <w:sz w:val="18"/>
          <w:lang w:val="en-GB"/>
        </w:rPr>
      </w:pPr>
    </w:p>
    <w:p w:rsidR="00000000" w:rsidRDefault="00000000">
      <w:pPr>
        <w:tabs>
          <w:tab w:val="clear" w:pos="720"/>
        </w:tabs>
        <w:jc w:val="left"/>
        <w:rPr>
          <w:sz w:val="24"/>
          <w:lang w:val="en-GB"/>
        </w:rPr>
      </w:pPr>
      <w:r>
        <w:rPr>
          <w:sz w:val="24"/>
          <w:lang w:val="en-GB"/>
        </w:rPr>
        <w:t>22.</w:t>
      </w:r>
      <w:r>
        <w:rPr>
          <w:sz w:val="24"/>
          <w:lang w:val="en-GB"/>
        </w:rPr>
        <w:tab/>
        <w:t>Life expectancy at birth was 69.7 years between 1995 and 2002; it is expected to increase to 74.8 years for the five-year period 2020-2025.  However, the figure is lower in many departments: in Huancavelica, for example, it is 56.8 years and in Cusco 60.2.  In other departments the figure is higher than the national average.  In Lima, for example, it is 76.8 years, in Tacna 72.8, and in Arequipa 71.9.</w:t>
      </w:r>
      <w:r>
        <w:rPr>
          <w:rStyle w:val="FootnoteReference"/>
          <w:b/>
          <w:bCs/>
          <w:sz w:val="24"/>
          <w:lang w:val="en-GB"/>
        </w:rPr>
        <w:footnoteReference w:customMarkFollows="1" w:id="13"/>
        <w:t>12</w:t>
      </w:r>
    </w:p>
    <w:p w:rsidR="00000000" w:rsidRDefault="00000000">
      <w:pPr>
        <w:tabs>
          <w:tab w:val="clear" w:pos="720"/>
        </w:tabs>
        <w:jc w:val="left"/>
        <w:rPr>
          <w:sz w:val="18"/>
          <w:lang w:val="en-GB"/>
        </w:rPr>
      </w:pPr>
    </w:p>
    <w:p w:rsidR="00000000" w:rsidRDefault="00000000">
      <w:pPr>
        <w:tabs>
          <w:tab w:val="clear" w:pos="720"/>
        </w:tabs>
        <w:jc w:val="left"/>
        <w:rPr>
          <w:sz w:val="24"/>
          <w:lang w:val="en-GB"/>
        </w:rPr>
      </w:pPr>
      <w:r>
        <w:rPr>
          <w:sz w:val="24"/>
          <w:lang w:val="en-GB"/>
        </w:rPr>
        <w:t>23.</w:t>
      </w:r>
      <w:r>
        <w:rPr>
          <w:sz w:val="24"/>
          <w:lang w:val="en-GB"/>
        </w:rPr>
        <w:tab/>
        <w:t>Rural areas have 23,000 primary schools: 68 per cent of them have no piped warer, 95 per cent no sewage-disposal service, and 90 per cent no electricity supply; only three per cent have a library, and fewer than one per cent a laboratory.  In rural areas 90 per cent of primary teaching is conducted in single-teacher schools (one teacher for several different grades) or in schools with multi-grade classes (several grades in a single classroom).</w:t>
      </w:r>
    </w:p>
    <w:p w:rsidR="00000000" w:rsidRDefault="00000000">
      <w:pPr>
        <w:tabs>
          <w:tab w:val="clear" w:pos="720"/>
        </w:tabs>
        <w:jc w:val="left"/>
        <w:rPr>
          <w:sz w:val="18"/>
          <w:lang w:val="en-GB"/>
        </w:rPr>
      </w:pPr>
    </w:p>
    <w:p w:rsidR="00000000" w:rsidRDefault="00000000">
      <w:pPr>
        <w:tabs>
          <w:tab w:val="clear" w:pos="720"/>
        </w:tabs>
        <w:jc w:val="left"/>
        <w:rPr>
          <w:sz w:val="24"/>
          <w:lang w:val="en-GB"/>
        </w:rPr>
      </w:pPr>
      <w:r>
        <w:rPr>
          <w:sz w:val="24"/>
          <w:lang w:val="en-GB"/>
        </w:rPr>
        <w:t>24.</w:t>
      </w:r>
      <w:r>
        <w:rPr>
          <w:sz w:val="24"/>
          <w:lang w:val="en-GB"/>
        </w:rPr>
        <w:tab/>
        <w:t>The migration from the interior of the country to the coast and from the countryside to the towns over the last 60 years has caused serious distortions in the land, population and economic balance; this in turn has given rise to other problems: as population leaves a department it causes the departmental GDP to fall, generating more poverty which in turn drives out more population and thus causes constant disruption of this balance.  “This vicious circle is worse than it appears, for 80 per cent of the migrants are aged under 34; this means that the migration is chiefly of young members of the EAP and women of childbearing age.  Departments losing population, such as Ancash, Ayacucho and Huancavelica, have been experiencing negative GDP growth rates for some three decades.”</w:t>
      </w:r>
      <w:r>
        <w:rPr>
          <w:rStyle w:val="FootnoteReference"/>
          <w:b/>
          <w:bCs/>
          <w:sz w:val="24"/>
          <w:lang w:val="en-GB"/>
        </w:rPr>
        <w:footnoteReference w:customMarkFollows="1" w:id="14"/>
        <w:t>13</w:t>
      </w:r>
    </w:p>
    <w:p w:rsidR="00000000" w:rsidRDefault="00000000">
      <w:pPr>
        <w:tabs>
          <w:tab w:val="clear" w:pos="720"/>
        </w:tabs>
        <w:jc w:val="left"/>
        <w:rPr>
          <w:sz w:val="18"/>
          <w:lang w:val="en-GB"/>
        </w:rPr>
      </w:pPr>
    </w:p>
    <w:p w:rsidR="00000000" w:rsidRDefault="00000000">
      <w:pPr>
        <w:tabs>
          <w:tab w:val="clear" w:pos="720"/>
        </w:tabs>
        <w:jc w:val="left"/>
        <w:rPr>
          <w:spacing w:val="-2"/>
          <w:sz w:val="24"/>
          <w:lang w:val="en-GB"/>
        </w:rPr>
      </w:pPr>
      <w:r>
        <w:rPr>
          <w:spacing w:val="-2"/>
          <w:sz w:val="24"/>
          <w:lang w:val="en-GB"/>
        </w:rPr>
        <w:t>25.</w:t>
      </w:r>
      <w:r>
        <w:rPr>
          <w:spacing w:val="-2"/>
          <w:sz w:val="24"/>
          <w:lang w:val="en-GB"/>
        </w:rPr>
        <w:tab/>
        <w:t>One of the most significant indicators of centralization is the increasing share of the department of Lima in the generation of national GDP (currently about 50 per cent), while the contribution of the other departments, with some exceptions, is tending to decline.  This is because the process of migration has always been accompanied by a decrease in the production of goods in most of the country’s departments, with a consequent upward trend in poverty in rural areas.</w:t>
      </w:r>
    </w:p>
    <w:p w:rsidR="00000000" w:rsidRDefault="00000000">
      <w:pPr>
        <w:tabs>
          <w:tab w:val="clear" w:pos="720"/>
        </w:tabs>
        <w:jc w:val="left"/>
        <w:rPr>
          <w:sz w:val="20"/>
          <w:lang w:val="en-GB"/>
        </w:rPr>
      </w:pPr>
    </w:p>
    <w:p w:rsidR="00000000" w:rsidRDefault="00000000">
      <w:pPr>
        <w:tabs>
          <w:tab w:val="clear" w:pos="720"/>
        </w:tabs>
        <w:jc w:val="center"/>
        <w:rPr>
          <w:sz w:val="24"/>
          <w:lang w:val="en-GB"/>
        </w:rPr>
      </w:pPr>
      <w:r>
        <w:rPr>
          <w:b/>
          <w:sz w:val="24"/>
          <w:lang w:val="en-GB"/>
        </w:rPr>
        <w:t>B.  Sustained economic growth and regional development</w:t>
      </w:r>
      <w:r>
        <w:rPr>
          <w:rStyle w:val="FootnoteReference"/>
          <w:b/>
          <w:bCs/>
          <w:sz w:val="24"/>
          <w:lang w:val="en-GB"/>
        </w:rPr>
        <w:footnoteReference w:customMarkFollows="1" w:id="15"/>
        <w:t>14</w:t>
      </w:r>
    </w:p>
    <w:p w:rsidR="00000000" w:rsidRDefault="00000000">
      <w:pPr>
        <w:tabs>
          <w:tab w:val="clear" w:pos="720"/>
        </w:tabs>
        <w:jc w:val="left"/>
        <w:rPr>
          <w:sz w:val="16"/>
          <w:lang w:val="en-GB"/>
        </w:rPr>
      </w:pPr>
    </w:p>
    <w:p w:rsidR="00000000" w:rsidRDefault="00000000">
      <w:pPr>
        <w:tabs>
          <w:tab w:val="clear" w:pos="720"/>
        </w:tabs>
        <w:jc w:val="left"/>
        <w:rPr>
          <w:sz w:val="24"/>
          <w:lang w:val="en-GB"/>
        </w:rPr>
      </w:pPr>
      <w:r>
        <w:rPr>
          <w:sz w:val="24"/>
          <w:lang w:val="en-GB"/>
        </w:rPr>
        <w:t>26.</w:t>
      </w:r>
      <w:r>
        <w:rPr>
          <w:sz w:val="24"/>
          <w:lang w:val="en-GB"/>
        </w:rPr>
        <w:tab/>
        <w:t>Despite the enormous volume of national and international resources allocated to poverty alleviation, one in two Peruvians remains poor today.  The Ministry for Women and Social Development (MIMDES) was created recently in order to tackle this situation; it is to operate on the basis of a number of fundamental guiding principles.</w:t>
      </w:r>
    </w:p>
    <w:p w:rsidR="00000000" w:rsidRDefault="00000000">
      <w:pPr>
        <w:tabs>
          <w:tab w:val="clear" w:pos="720"/>
        </w:tabs>
        <w:jc w:val="left"/>
        <w:rPr>
          <w:sz w:val="18"/>
          <w:lang w:val="en-GB"/>
        </w:rPr>
      </w:pPr>
    </w:p>
    <w:p w:rsidR="00000000" w:rsidRDefault="00000000">
      <w:pPr>
        <w:tabs>
          <w:tab w:val="clear" w:pos="720"/>
        </w:tabs>
        <w:jc w:val="left"/>
        <w:rPr>
          <w:sz w:val="24"/>
          <w:lang w:val="en-GB"/>
        </w:rPr>
      </w:pPr>
      <w:r>
        <w:rPr>
          <w:sz w:val="24"/>
          <w:lang w:val="en-GB"/>
        </w:rPr>
        <w:t>27.</w:t>
      </w:r>
      <w:r>
        <w:rPr>
          <w:sz w:val="24"/>
          <w:lang w:val="en-GB"/>
        </w:rPr>
        <w:tab/>
        <w:t>These principles include: support for the efforts of families to build up their capacities and take advantage of opportunities for advancement; recognition of Peru’s peoples and culture as an enormous reserve of social capital and the main engines of the country’s history; and the bid for good governance and decentralization, which will require delivery on the social commitments contained in the National Accord.</w:t>
      </w:r>
    </w:p>
    <w:p w:rsidR="00000000" w:rsidRDefault="00000000">
      <w:pPr>
        <w:tabs>
          <w:tab w:val="clear" w:pos="720"/>
        </w:tabs>
        <w:jc w:val="left"/>
        <w:rPr>
          <w:sz w:val="24"/>
          <w:lang w:val="en-GB"/>
        </w:rPr>
      </w:pPr>
      <w:r>
        <w:rPr>
          <w:sz w:val="24"/>
          <w:lang w:val="en-GB"/>
        </w:rPr>
        <w:t>28.</w:t>
      </w:r>
      <w:r>
        <w:rPr>
          <w:sz w:val="24"/>
          <w:lang w:val="en-GB"/>
        </w:rPr>
        <w:tab/>
        <w:t>MIMDES will be responsible for coordinating the social policies for children, taking as its focus the PNAI, approved by Supreme Resolution in May, as a framework document for the country’s long-term policies for children.</w:t>
      </w:r>
    </w:p>
    <w:p w:rsidR="00000000" w:rsidRDefault="00000000">
      <w:pPr>
        <w:tabs>
          <w:tab w:val="clear" w:pos="720"/>
        </w:tabs>
        <w:jc w:val="left"/>
        <w:rPr>
          <w:sz w:val="18"/>
          <w:lang w:val="en-GB"/>
        </w:rPr>
      </w:pPr>
    </w:p>
    <w:p w:rsidR="00000000" w:rsidRDefault="00000000">
      <w:pPr>
        <w:tabs>
          <w:tab w:val="clear" w:pos="720"/>
        </w:tabs>
        <w:jc w:val="left"/>
        <w:rPr>
          <w:sz w:val="18"/>
          <w:lang w:val="en-GB"/>
        </w:rPr>
      </w:pPr>
    </w:p>
    <w:p w:rsidR="00000000" w:rsidRDefault="00000000">
      <w:pPr>
        <w:tabs>
          <w:tab w:val="clear" w:pos="720"/>
        </w:tabs>
        <w:jc w:val="center"/>
        <w:rPr>
          <w:b/>
          <w:bCs/>
          <w:sz w:val="20"/>
          <w:lang w:val="en-GB"/>
        </w:rPr>
      </w:pPr>
      <w:r>
        <w:rPr>
          <w:b/>
          <w:bCs/>
          <w:sz w:val="20"/>
          <w:lang w:val="en-GB"/>
        </w:rPr>
        <w:t>ORGANIGRAM OF THE MINISTRY FOR WOMEN AND SOCIAL DEVELOPMENT</w:t>
      </w:r>
    </w:p>
    <w:p w:rsidR="00000000" w:rsidRDefault="00000000">
      <w:pPr>
        <w:tabs>
          <w:tab w:val="clear" w:pos="720"/>
        </w:tabs>
        <w:jc w:val="left"/>
        <w:rPr>
          <w:sz w:val="10"/>
          <w:lang w:val="en-GB"/>
        </w:rPr>
      </w:pPr>
    </w:p>
    <w:p w:rsidR="00000000" w:rsidRDefault="00000000">
      <w:pPr>
        <w:tabs>
          <w:tab w:val="clear" w:pos="720"/>
        </w:tabs>
        <w:jc w:val="left"/>
        <w:rPr>
          <w:sz w:val="10"/>
          <w:lang w:val="en-GB"/>
        </w:rPr>
      </w:pPr>
    </w:p>
    <w:p w:rsidR="00000000" w:rsidRDefault="00000000">
      <w:pPr>
        <w:tabs>
          <w:tab w:val="clear" w:pos="720"/>
        </w:tabs>
        <w:jc w:val="left"/>
        <w:rPr>
          <w:sz w:val="16"/>
          <w:lang w:val="en-GB"/>
        </w:rPr>
      </w:pPr>
    </w:p>
    <w:tbl>
      <w:tblPr>
        <w:tblW w:w="0" w:type="auto"/>
        <w:jc w:val="center"/>
        <w:tblCellMar>
          <w:top w:w="28" w:type="dxa"/>
          <w:left w:w="28" w:type="dxa"/>
          <w:bottom w:w="28" w:type="dxa"/>
          <w:right w:w="28" w:type="dxa"/>
        </w:tblCellMar>
        <w:tblLook w:val="0000" w:firstRow="0" w:lastRow="0" w:firstColumn="0" w:lastColumn="0" w:noHBand="0" w:noVBand="0"/>
      </w:tblPr>
      <w:tblGrid>
        <w:gridCol w:w="575"/>
        <w:gridCol w:w="575"/>
        <w:gridCol w:w="575"/>
        <w:gridCol w:w="575"/>
        <w:gridCol w:w="576"/>
        <w:gridCol w:w="576"/>
        <w:gridCol w:w="576"/>
        <w:gridCol w:w="576"/>
        <w:gridCol w:w="576"/>
        <w:gridCol w:w="576"/>
        <w:gridCol w:w="576"/>
        <w:gridCol w:w="576"/>
        <w:gridCol w:w="576"/>
        <w:gridCol w:w="506"/>
        <w:gridCol w:w="70"/>
        <w:gridCol w:w="576"/>
        <w:gridCol w:w="576"/>
      </w:tblGrid>
      <w:tr w:rsidR="00000000">
        <w:trPr>
          <w:cantSplit/>
          <w:jc w:val="center"/>
        </w:trPr>
        <w:tc>
          <w:tcPr>
            <w:tcW w:w="575" w:type="dxa"/>
            <w:tcBorders>
              <w:right w:val="single" w:sz="4" w:space="0" w:color="auto"/>
            </w:tcBorders>
            <w:vAlign w:val="center"/>
          </w:tcPr>
          <w:p w:rsidR="00000000" w:rsidRDefault="00000000">
            <w:pPr>
              <w:jc w:val="center"/>
              <w:rPr>
                <w:sz w:val="16"/>
                <w:lang w:val="en-GB"/>
              </w:rPr>
            </w:pPr>
          </w:p>
        </w:tc>
        <w:tc>
          <w:tcPr>
            <w:tcW w:w="1725" w:type="dxa"/>
            <w:gridSpan w:val="3"/>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lang w:val="en-GB"/>
              </w:rPr>
            </w:pPr>
            <w:r>
              <w:rPr>
                <w:sz w:val="16"/>
                <w:lang w:val="en-GB"/>
              </w:rPr>
              <w:t xml:space="preserve">General Office of </w:t>
            </w:r>
            <w:r>
              <w:rPr>
                <w:sz w:val="16"/>
                <w:lang w:val="en-GB"/>
              </w:rPr>
              <w:br/>
              <w:t>Internal Audit</w:t>
            </w:r>
          </w:p>
        </w:tc>
        <w:tc>
          <w:tcPr>
            <w:tcW w:w="576" w:type="dxa"/>
            <w:tcBorders>
              <w:left w:val="single" w:sz="4" w:space="0" w:color="auto"/>
              <w:bottom w:val="single" w:sz="4" w:space="0" w:color="auto"/>
            </w:tcBorders>
            <w:vAlign w:val="center"/>
          </w:tcPr>
          <w:p w:rsidR="00000000" w:rsidRDefault="00000000">
            <w:pPr>
              <w:jc w:val="center"/>
              <w:rPr>
                <w:sz w:val="16"/>
                <w:lang w:val="en-GB"/>
              </w:rPr>
            </w:pPr>
          </w:p>
        </w:tc>
        <w:tc>
          <w:tcPr>
            <w:tcW w:w="576" w:type="dxa"/>
            <w:tcBorders>
              <w:right w:val="single" w:sz="4" w:space="0" w:color="auto"/>
            </w:tcBorders>
            <w:vAlign w:val="center"/>
          </w:tcPr>
          <w:p w:rsidR="00000000" w:rsidRDefault="00000000">
            <w:pPr>
              <w:jc w:val="center"/>
              <w:rPr>
                <w:sz w:val="16"/>
                <w:lang w:val="en-GB"/>
              </w:rPr>
            </w:pPr>
          </w:p>
        </w:tc>
        <w:tc>
          <w:tcPr>
            <w:tcW w:w="2304" w:type="dxa"/>
            <w:gridSpan w:val="4"/>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lang w:val="en-GB"/>
              </w:rPr>
            </w:pPr>
            <w:r>
              <w:rPr>
                <w:b/>
                <w:bCs/>
                <w:lang w:val="en-GB"/>
              </w:rPr>
              <w:t>Ministerial Office</w:t>
            </w:r>
          </w:p>
        </w:tc>
        <w:tc>
          <w:tcPr>
            <w:tcW w:w="576" w:type="dxa"/>
            <w:tcBorders>
              <w:left w:val="single" w:sz="4" w:space="0" w:color="auto"/>
            </w:tcBorders>
            <w:vAlign w:val="center"/>
          </w:tcPr>
          <w:p w:rsidR="00000000" w:rsidRDefault="00000000">
            <w:pPr>
              <w:jc w:val="center"/>
              <w:rPr>
                <w:sz w:val="16"/>
                <w:lang w:val="en-GB"/>
              </w:rPr>
            </w:pPr>
          </w:p>
        </w:tc>
        <w:tc>
          <w:tcPr>
            <w:tcW w:w="576" w:type="dxa"/>
            <w:tcBorders>
              <w:bottom w:val="single" w:sz="4" w:space="0" w:color="auto"/>
              <w:right w:val="single" w:sz="4" w:space="0" w:color="auto"/>
            </w:tcBorders>
            <w:vAlign w:val="center"/>
          </w:tcPr>
          <w:p w:rsidR="00000000" w:rsidRDefault="00000000">
            <w:pPr>
              <w:jc w:val="center"/>
              <w:rPr>
                <w:sz w:val="16"/>
                <w:lang w:val="en-GB"/>
              </w:rPr>
            </w:pPr>
          </w:p>
        </w:tc>
        <w:tc>
          <w:tcPr>
            <w:tcW w:w="1728" w:type="dxa"/>
            <w:gridSpan w:val="4"/>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lang w:val="en-GB"/>
              </w:rPr>
            </w:pPr>
            <w:r>
              <w:rPr>
                <w:sz w:val="16"/>
                <w:lang w:val="en-GB"/>
              </w:rPr>
              <w:t>Consultative Committee</w:t>
            </w:r>
          </w:p>
        </w:tc>
        <w:tc>
          <w:tcPr>
            <w:tcW w:w="576" w:type="dxa"/>
            <w:tcBorders>
              <w:left w:val="single" w:sz="4" w:space="0" w:color="auto"/>
            </w:tcBorders>
            <w:vAlign w:val="center"/>
          </w:tcPr>
          <w:p w:rsidR="00000000" w:rsidRDefault="00000000">
            <w:pPr>
              <w:jc w:val="center"/>
              <w:rPr>
                <w:sz w:val="16"/>
                <w:lang w:val="en-GB"/>
              </w:rPr>
            </w:pPr>
          </w:p>
        </w:tc>
      </w:tr>
      <w:tr w:rsidR="00000000">
        <w:trPr>
          <w:cantSplit/>
          <w:jc w:val="center"/>
        </w:trPr>
        <w:tc>
          <w:tcPr>
            <w:tcW w:w="575" w:type="dxa"/>
            <w:tcBorders>
              <w:right w:val="single" w:sz="4" w:space="0" w:color="auto"/>
            </w:tcBorders>
            <w:vAlign w:val="center"/>
          </w:tcPr>
          <w:p w:rsidR="00000000" w:rsidRDefault="00000000">
            <w:pPr>
              <w:jc w:val="center"/>
              <w:rPr>
                <w:sz w:val="16"/>
                <w:lang w:val="en-GB"/>
              </w:rPr>
            </w:pPr>
          </w:p>
        </w:tc>
        <w:tc>
          <w:tcPr>
            <w:tcW w:w="1725" w:type="dxa"/>
            <w:gridSpan w:val="3"/>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lang w:val="en-GB"/>
              </w:rPr>
            </w:pPr>
          </w:p>
        </w:tc>
        <w:tc>
          <w:tcPr>
            <w:tcW w:w="576" w:type="dxa"/>
            <w:tcBorders>
              <w:top w:val="single" w:sz="4" w:space="0" w:color="auto"/>
              <w:left w:val="single" w:sz="4" w:space="0" w:color="auto"/>
              <w:right w:val="single" w:sz="4" w:space="0" w:color="auto"/>
            </w:tcBorders>
            <w:vAlign w:val="center"/>
          </w:tcPr>
          <w:p w:rsidR="00000000" w:rsidRDefault="00000000">
            <w:pPr>
              <w:jc w:val="center"/>
              <w:rPr>
                <w:sz w:val="16"/>
                <w:lang w:val="en-GB"/>
              </w:rPr>
            </w:pPr>
          </w:p>
        </w:tc>
        <w:tc>
          <w:tcPr>
            <w:tcW w:w="576" w:type="dxa"/>
            <w:tcBorders>
              <w:left w:val="single" w:sz="4" w:space="0" w:color="auto"/>
              <w:bottom w:val="single" w:sz="4" w:space="0" w:color="auto"/>
              <w:right w:val="single" w:sz="4" w:space="0" w:color="auto"/>
            </w:tcBorders>
            <w:vAlign w:val="center"/>
          </w:tcPr>
          <w:p w:rsidR="00000000" w:rsidRDefault="00000000">
            <w:pPr>
              <w:jc w:val="center"/>
              <w:rPr>
                <w:sz w:val="16"/>
                <w:lang w:val="en-GB"/>
              </w:rPr>
            </w:pPr>
          </w:p>
        </w:tc>
        <w:tc>
          <w:tcPr>
            <w:tcW w:w="2304" w:type="dxa"/>
            <w:gridSpan w:val="4"/>
            <w:vMerge/>
            <w:tcBorders>
              <w:left w:val="single" w:sz="4" w:space="0" w:color="auto"/>
              <w:bottom w:val="single" w:sz="4" w:space="0" w:color="auto"/>
              <w:right w:val="single" w:sz="4" w:space="0" w:color="auto"/>
            </w:tcBorders>
            <w:vAlign w:val="center"/>
          </w:tcPr>
          <w:p w:rsidR="00000000" w:rsidRDefault="00000000">
            <w:pPr>
              <w:jc w:val="center"/>
              <w:rPr>
                <w:sz w:val="16"/>
                <w:lang w:val="en-GB"/>
              </w:rPr>
            </w:pPr>
          </w:p>
        </w:tc>
        <w:tc>
          <w:tcPr>
            <w:tcW w:w="576" w:type="dxa"/>
            <w:tcBorders>
              <w:left w:val="single" w:sz="4" w:space="0" w:color="auto"/>
              <w:bottom w:val="single" w:sz="4" w:space="0" w:color="auto"/>
              <w:right w:val="single" w:sz="4" w:space="0" w:color="auto"/>
            </w:tcBorders>
            <w:vAlign w:val="center"/>
          </w:tcPr>
          <w:p w:rsidR="00000000" w:rsidRDefault="00000000">
            <w:pPr>
              <w:jc w:val="center"/>
              <w:rPr>
                <w:sz w:val="16"/>
                <w:lang w:val="en-GB"/>
              </w:rPr>
            </w:pPr>
          </w:p>
        </w:tc>
        <w:tc>
          <w:tcPr>
            <w:tcW w:w="576" w:type="dxa"/>
            <w:tcBorders>
              <w:top w:val="single" w:sz="4" w:space="0" w:color="auto"/>
              <w:left w:val="single" w:sz="4" w:space="0" w:color="auto"/>
              <w:right w:val="single" w:sz="4" w:space="0" w:color="auto"/>
            </w:tcBorders>
            <w:vAlign w:val="center"/>
          </w:tcPr>
          <w:p w:rsidR="00000000" w:rsidRDefault="00000000">
            <w:pPr>
              <w:jc w:val="center"/>
              <w:rPr>
                <w:sz w:val="16"/>
                <w:lang w:val="en-GB"/>
              </w:rPr>
            </w:pPr>
          </w:p>
        </w:tc>
        <w:tc>
          <w:tcPr>
            <w:tcW w:w="1728" w:type="dxa"/>
            <w:gridSpan w:val="4"/>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lang w:val="en-GB"/>
              </w:rPr>
            </w:pPr>
          </w:p>
        </w:tc>
        <w:tc>
          <w:tcPr>
            <w:tcW w:w="576" w:type="dxa"/>
            <w:tcBorders>
              <w:left w:val="single" w:sz="4" w:space="0" w:color="auto"/>
            </w:tcBorders>
            <w:vAlign w:val="center"/>
          </w:tcPr>
          <w:p w:rsidR="00000000" w:rsidRDefault="00000000">
            <w:pPr>
              <w:jc w:val="center"/>
              <w:rPr>
                <w:sz w:val="16"/>
                <w:lang w:val="en-GB"/>
              </w:rPr>
            </w:pPr>
          </w:p>
        </w:tc>
      </w:tr>
      <w:tr w:rsidR="00000000">
        <w:trPr>
          <w:cantSplit/>
          <w:trHeight w:hRule="exact" w:val="113"/>
          <w:jc w:val="center"/>
        </w:trPr>
        <w:tc>
          <w:tcPr>
            <w:tcW w:w="575" w:type="dxa"/>
            <w:vAlign w:val="center"/>
          </w:tcPr>
          <w:p w:rsidR="00000000" w:rsidRDefault="00000000">
            <w:pPr>
              <w:jc w:val="center"/>
              <w:rPr>
                <w:sz w:val="16"/>
                <w:lang w:val="en-GB"/>
              </w:rPr>
            </w:pPr>
          </w:p>
        </w:tc>
        <w:tc>
          <w:tcPr>
            <w:tcW w:w="575" w:type="dxa"/>
            <w:tcBorders>
              <w:top w:val="single" w:sz="4" w:space="0" w:color="auto"/>
              <w:bottom w:val="single" w:sz="4" w:space="0" w:color="auto"/>
            </w:tcBorders>
            <w:vAlign w:val="center"/>
          </w:tcPr>
          <w:p w:rsidR="00000000" w:rsidRDefault="00000000">
            <w:pPr>
              <w:jc w:val="center"/>
              <w:rPr>
                <w:sz w:val="16"/>
                <w:lang w:val="en-GB"/>
              </w:rPr>
            </w:pPr>
          </w:p>
        </w:tc>
        <w:tc>
          <w:tcPr>
            <w:tcW w:w="575" w:type="dxa"/>
            <w:tcBorders>
              <w:top w:val="single" w:sz="4" w:space="0" w:color="auto"/>
              <w:bottom w:val="single" w:sz="4" w:space="0" w:color="auto"/>
            </w:tcBorders>
            <w:vAlign w:val="center"/>
          </w:tcPr>
          <w:p w:rsidR="00000000" w:rsidRDefault="00000000">
            <w:pPr>
              <w:jc w:val="center"/>
              <w:rPr>
                <w:sz w:val="16"/>
                <w:lang w:val="en-GB"/>
              </w:rPr>
            </w:pPr>
          </w:p>
        </w:tc>
        <w:tc>
          <w:tcPr>
            <w:tcW w:w="575" w:type="dxa"/>
            <w:tcBorders>
              <w:top w:val="single" w:sz="4" w:space="0" w:color="auto"/>
              <w:bottom w:val="single" w:sz="4" w:space="0" w:color="auto"/>
            </w:tcBorders>
            <w:vAlign w:val="center"/>
          </w:tcPr>
          <w:p w:rsidR="00000000" w:rsidRDefault="00000000">
            <w:pPr>
              <w:jc w:val="center"/>
              <w:rPr>
                <w:sz w:val="16"/>
                <w:lang w:val="en-GB"/>
              </w:rPr>
            </w:pPr>
          </w:p>
        </w:tc>
        <w:tc>
          <w:tcPr>
            <w:tcW w:w="576" w:type="dxa"/>
            <w:tcBorders>
              <w:right w:val="single" w:sz="4" w:space="0" w:color="auto"/>
            </w:tcBorders>
            <w:vAlign w:val="center"/>
          </w:tcPr>
          <w:p w:rsidR="00000000" w:rsidRDefault="00000000">
            <w:pPr>
              <w:jc w:val="center"/>
              <w:rPr>
                <w:sz w:val="16"/>
                <w:lang w:val="en-GB"/>
              </w:rPr>
            </w:pPr>
          </w:p>
        </w:tc>
        <w:tc>
          <w:tcPr>
            <w:tcW w:w="576" w:type="dxa"/>
            <w:tcBorders>
              <w:top w:val="single" w:sz="4" w:space="0" w:color="auto"/>
              <w:left w:val="single" w:sz="4" w:space="0" w:color="auto"/>
              <w:right w:val="single" w:sz="4" w:space="0" w:color="auto"/>
            </w:tcBorders>
            <w:vAlign w:val="center"/>
          </w:tcPr>
          <w:p w:rsidR="00000000" w:rsidRDefault="00000000">
            <w:pPr>
              <w:jc w:val="center"/>
              <w:rPr>
                <w:sz w:val="16"/>
                <w:lang w:val="en-GB"/>
              </w:rPr>
            </w:pPr>
          </w:p>
        </w:tc>
        <w:tc>
          <w:tcPr>
            <w:tcW w:w="2304" w:type="dxa"/>
            <w:gridSpan w:val="4"/>
            <w:vMerge/>
            <w:tcBorders>
              <w:left w:val="single" w:sz="4" w:space="0" w:color="auto"/>
              <w:bottom w:val="single" w:sz="4" w:space="0" w:color="auto"/>
              <w:right w:val="single" w:sz="4" w:space="0" w:color="auto"/>
            </w:tcBorders>
            <w:vAlign w:val="center"/>
          </w:tcPr>
          <w:p w:rsidR="00000000" w:rsidRDefault="00000000">
            <w:pPr>
              <w:jc w:val="center"/>
              <w:rPr>
                <w:sz w:val="16"/>
                <w:lang w:val="en-GB"/>
              </w:rPr>
            </w:pPr>
          </w:p>
        </w:tc>
        <w:tc>
          <w:tcPr>
            <w:tcW w:w="576" w:type="dxa"/>
            <w:tcBorders>
              <w:top w:val="single" w:sz="4" w:space="0" w:color="auto"/>
              <w:left w:val="single" w:sz="4" w:space="0" w:color="auto"/>
              <w:right w:val="single" w:sz="4" w:space="0" w:color="auto"/>
            </w:tcBorders>
            <w:vAlign w:val="center"/>
          </w:tcPr>
          <w:p w:rsidR="00000000" w:rsidRDefault="00000000">
            <w:pPr>
              <w:jc w:val="center"/>
              <w:rPr>
                <w:sz w:val="16"/>
                <w:lang w:val="en-GB"/>
              </w:rPr>
            </w:pPr>
          </w:p>
        </w:tc>
        <w:tc>
          <w:tcPr>
            <w:tcW w:w="576" w:type="dxa"/>
            <w:tcBorders>
              <w:left w:val="single" w:sz="4" w:space="0" w:color="auto"/>
            </w:tcBorders>
            <w:vAlign w:val="center"/>
          </w:tcPr>
          <w:p w:rsidR="00000000" w:rsidRDefault="00000000">
            <w:pPr>
              <w:jc w:val="center"/>
              <w:rPr>
                <w:sz w:val="16"/>
                <w:lang w:val="en-GB"/>
              </w:rPr>
            </w:pPr>
          </w:p>
        </w:tc>
        <w:tc>
          <w:tcPr>
            <w:tcW w:w="576" w:type="dxa"/>
            <w:tcBorders>
              <w:top w:val="single" w:sz="4" w:space="0" w:color="auto"/>
              <w:bottom w:val="single" w:sz="4" w:space="0" w:color="auto"/>
            </w:tcBorders>
            <w:vAlign w:val="center"/>
          </w:tcPr>
          <w:p w:rsidR="00000000" w:rsidRDefault="00000000">
            <w:pPr>
              <w:jc w:val="center"/>
              <w:rPr>
                <w:sz w:val="16"/>
                <w:lang w:val="en-GB"/>
              </w:rPr>
            </w:pPr>
          </w:p>
        </w:tc>
        <w:tc>
          <w:tcPr>
            <w:tcW w:w="576" w:type="dxa"/>
            <w:gridSpan w:val="2"/>
            <w:tcBorders>
              <w:top w:val="single" w:sz="4" w:space="0" w:color="auto"/>
              <w:bottom w:val="single" w:sz="4" w:space="0" w:color="auto"/>
            </w:tcBorders>
            <w:vAlign w:val="center"/>
          </w:tcPr>
          <w:p w:rsidR="00000000" w:rsidRDefault="00000000">
            <w:pPr>
              <w:jc w:val="center"/>
              <w:rPr>
                <w:sz w:val="16"/>
                <w:lang w:val="en-GB"/>
              </w:rPr>
            </w:pPr>
          </w:p>
        </w:tc>
        <w:tc>
          <w:tcPr>
            <w:tcW w:w="576" w:type="dxa"/>
            <w:tcBorders>
              <w:top w:val="single" w:sz="4" w:space="0" w:color="auto"/>
              <w:bottom w:val="single" w:sz="4" w:space="0" w:color="auto"/>
            </w:tcBorders>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r>
      <w:tr w:rsidR="00000000">
        <w:trPr>
          <w:cantSplit/>
          <w:jc w:val="center"/>
        </w:trPr>
        <w:tc>
          <w:tcPr>
            <w:tcW w:w="575" w:type="dxa"/>
            <w:tcBorders>
              <w:right w:val="single" w:sz="4" w:space="0" w:color="auto"/>
            </w:tcBorders>
            <w:vAlign w:val="center"/>
          </w:tcPr>
          <w:p w:rsidR="00000000" w:rsidRDefault="00000000">
            <w:pPr>
              <w:jc w:val="center"/>
              <w:rPr>
                <w:sz w:val="16"/>
                <w:lang w:val="en-GB"/>
              </w:rPr>
            </w:pPr>
          </w:p>
        </w:tc>
        <w:tc>
          <w:tcPr>
            <w:tcW w:w="1725" w:type="dxa"/>
            <w:gridSpan w:val="3"/>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lang w:val="en-GB"/>
              </w:rPr>
            </w:pPr>
            <w:r>
              <w:rPr>
                <w:sz w:val="16"/>
                <w:lang w:val="en-GB"/>
              </w:rPr>
              <w:t>Public Procurator’s Office</w:t>
            </w:r>
          </w:p>
        </w:tc>
        <w:tc>
          <w:tcPr>
            <w:tcW w:w="576" w:type="dxa"/>
            <w:tcBorders>
              <w:left w:val="single" w:sz="4" w:space="0" w:color="auto"/>
              <w:bottom w:val="single" w:sz="4" w:space="0" w:color="auto"/>
              <w:right w:val="single" w:sz="4" w:space="0" w:color="auto"/>
            </w:tcBorders>
            <w:vAlign w:val="center"/>
          </w:tcPr>
          <w:p w:rsidR="00000000" w:rsidRDefault="00000000">
            <w:pPr>
              <w:jc w:val="center"/>
              <w:rPr>
                <w:sz w:val="16"/>
                <w:lang w:val="en-GB"/>
              </w:rPr>
            </w:pPr>
          </w:p>
        </w:tc>
        <w:tc>
          <w:tcPr>
            <w:tcW w:w="576" w:type="dxa"/>
            <w:tcBorders>
              <w:left w:val="single" w:sz="4" w:space="0" w:color="auto"/>
              <w:right w:val="single" w:sz="4" w:space="0" w:color="auto"/>
            </w:tcBorders>
            <w:vAlign w:val="center"/>
          </w:tcPr>
          <w:p w:rsidR="00000000" w:rsidRDefault="00000000">
            <w:pPr>
              <w:jc w:val="center"/>
              <w:rPr>
                <w:sz w:val="16"/>
                <w:lang w:val="en-GB"/>
              </w:rPr>
            </w:pPr>
          </w:p>
        </w:tc>
        <w:tc>
          <w:tcPr>
            <w:tcW w:w="2304" w:type="dxa"/>
            <w:gridSpan w:val="4"/>
            <w:vMerge/>
            <w:tcBorders>
              <w:left w:val="single" w:sz="4" w:space="0" w:color="auto"/>
              <w:bottom w:val="single" w:sz="4" w:space="0" w:color="auto"/>
              <w:right w:val="single" w:sz="4" w:space="0" w:color="auto"/>
            </w:tcBorders>
            <w:vAlign w:val="center"/>
          </w:tcPr>
          <w:p w:rsidR="00000000" w:rsidRDefault="00000000">
            <w:pPr>
              <w:jc w:val="center"/>
              <w:rPr>
                <w:sz w:val="16"/>
                <w:lang w:val="en-GB"/>
              </w:rPr>
            </w:pPr>
          </w:p>
        </w:tc>
        <w:tc>
          <w:tcPr>
            <w:tcW w:w="576" w:type="dxa"/>
            <w:tcBorders>
              <w:left w:val="single" w:sz="4" w:space="0" w:color="auto"/>
              <w:right w:val="single" w:sz="4" w:space="0" w:color="auto"/>
            </w:tcBorders>
            <w:vAlign w:val="center"/>
          </w:tcPr>
          <w:p w:rsidR="00000000" w:rsidRDefault="00000000">
            <w:pPr>
              <w:jc w:val="center"/>
              <w:rPr>
                <w:sz w:val="16"/>
                <w:lang w:val="en-GB"/>
              </w:rPr>
            </w:pPr>
          </w:p>
        </w:tc>
        <w:tc>
          <w:tcPr>
            <w:tcW w:w="576" w:type="dxa"/>
            <w:tcBorders>
              <w:left w:val="single" w:sz="4" w:space="0" w:color="auto"/>
              <w:bottom w:val="single" w:sz="4" w:space="0" w:color="auto"/>
              <w:right w:val="single" w:sz="4" w:space="0" w:color="auto"/>
            </w:tcBorders>
            <w:vAlign w:val="center"/>
          </w:tcPr>
          <w:p w:rsidR="00000000" w:rsidRDefault="00000000">
            <w:pPr>
              <w:jc w:val="center"/>
              <w:rPr>
                <w:sz w:val="16"/>
                <w:lang w:val="en-GB"/>
              </w:rPr>
            </w:pPr>
          </w:p>
        </w:tc>
        <w:tc>
          <w:tcPr>
            <w:tcW w:w="1728" w:type="dxa"/>
            <w:gridSpan w:val="4"/>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lang w:val="en-GB"/>
              </w:rPr>
            </w:pPr>
            <w:r>
              <w:rPr>
                <w:sz w:val="16"/>
                <w:lang w:val="en-GB"/>
              </w:rPr>
              <w:t>Sectoral Coordination Office</w:t>
            </w:r>
          </w:p>
        </w:tc>
        <w:tc>
          <w:tcPr>
            <w:tcW w:w="576" w:type="dxa"/>
            <w:tcBorders>
              <w:left w:val="single" w:sz="4" w:space="0" w:color="auto"/>
            </w:tcBorders>
            <w:vAlign w:val="center"/>
          </w:tcPr>
          <w:p w:rsidR="00000000" w:rsidRDefault="00000000">
            <w:pPr>
              <w:jc w:val="center"/>
              <w:rPr>
                <w:sz w:val="16"/>
                <w:lang w:val="en-GB"/>
              </w:rPr>
            </w:pPr>
          </w:p>
        </w:tc>
      </w:tr>
      <w:tr w:rsidR="00000000">
        <w:trPr>
          <w:cantSplit/>
          <w:jc w:val="center"/>
        </w:trPr>
        <w:tc>
          <w:tcPr>
            <w:tcW w:w="575" w:type="dxa"/>
            <w:tcBorders>
              <w:right w:val="single" w:sz="4" w:space="0" w:color="auto"/>
            </w:tcBorders>
            <w:vAlign w:val="center"/>
          </w:tcPr>
          <w:p w:rsidR="00000000" w:rsidRDefault="00000000">
            <w:pPr>
              <w:jc w:val="center"/>
              <w:rPr>
                <w:sz w:val="16"/>
                <w:lang w:val="en-GB"/>
              </w:rPr>
            </w:pPr>
          </w:p>
        </w:tc>
        <w:tc>
          <w:tcPr>
            <w:tcW w:w="1725" w:type="dxa"/>
            <w:gridSpan w:val="3"/>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lang w:val="en-GB"/>
              </w:rPr>
            </w:pPr>
          </w:p>
        </w:tc>
        <w:tc>
          <w:tcPr>
            <w:tcW w:w="576" w:type="dxa"/>
            <w:tcBorders>
              <w:top w:val="single" w:sz="4" w:space="0" w:color="auto"/>
              <w:left w:val="single" w:sz="4" w:space="0" w:color="auto"/>
            </w:tcBorders>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tcBorders>
              <w:top w:val="single" w:sz="4" w:space="0" w:color="auto"/>
            </w:tcBorders>
            <w:vAlign w:val="center"/>
          </w:tcPr>
          <w:p w:rsidR="00000000" w:rsidRDefault="00000000">
            <w:pPr>
              <w:jc w:val="center"/>
              <w:rPr>
                <w:sz w:val="16"/>
                <w:lang w:val="en-GB"/>
              </w:rPr>
            </w:pPr>
          </w:p>
        </w:tc>
        <w:tc>
          <w:tcPr>
            <w:tcW w:w="576" w:type="dxa"/>
            <w:tcBorders>
              <w:top w:val="single" w:sz="4" w:space="0" w:color="auto"/>
              <w:right w:val="single" w:sz="4" w:space="0" w:color="auto"/>
            </w:tcBorders>
            <w:vAlign w:val="center"/>
          </w:tcPr>
          <w:p w:rsidR="00000000" w:rsidRDefault="00000000">
            <w:pPr>
              <w:jc w:val="center"/>
              <w:rPr>
                <w:sz w:val="16"/>
                <w:lang w:val="en-GB"/>
              </w:rPr>
            </w:pPr>
          </w:p>
        </w:tc>
        <w:tc>
          <w:tcPr>
            <w:tcW w:w="576" w:type="dxa"/>
            <w:tcBorders>
              <w:top w:val="single" w:sz="4" w:space="0" w:color="auto"/>
              <w:left w:val="single" w:sz="4" w:space="0" w:color="auto"/>
            </w:tcBorders>
            <w:vAlign w:val="center"/>
          </w:tcPr>
          <w:p w:rsidR="00000000" w:rsidRDefault="00000000">
            <w:pPr>
              <w:jc w:val="center"/>
              <w:rPr>
                <w:sz w:val="16"/>
                <w:lang w:val="en-GB"/>
              </w:rPr>
            </w:pPr>
          </w:p>
        </w:tc>
        <w:tc>
          <w:tcPr>
            <w:tcW w:w="576" w:type="dxa"/>
            <w:tcBorders>
              <w:top w:val="single" w:sz="4" w:space="0" w:color="auto"/>
            </w:tcBorders>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tcBorders>
              <w:top w:val="single" w:sz="4" w:space="0" w:color="auto"/>
              <w:right w:val="single" w:sz="4" w:space="0" w:color="auto"/>
            </w:tcBorders>
            <w:vAlign w:val="center"/>
          </w:tcPr>
          <w:p w:rsidR="00000000" w:rsidRDefault="00000000">
            <w:pPr>
              <w:jc w:val="center"/>
              <w:rPr>
                <w:sz w:val="16"/>
                <w:lang w:val="en-GB"/>
              </w:rPr>
            </w:pPr>
          </w:p>
        </w:tc>
        <w:tc>
          <w:tcPr>
            <w:tcW w:w="1728" w:type="dxa"/>
            <w:gridSpan w:val="4"/>
            <w:vMerge/>
            <w:tcBorders>
              <w:left w:val="single" w:sz="4" w:space="0" w:color="auto"/>
              <w:bottom w:val="single" w:sz="4" w:space="0" w:color="auto"/>
              <w:right w:val="single" w:sz="4" w:space="0" w:color="auto"/>
            </w:tcBorders>
            <w:vAlign w:val="center"/>
          </w:tcPr>
          <w:p w:rsidR="00000000" w:rsidRDefault="00000000">
            <w:pPr>
              <w:jc w:val="center"/>
              <w:rPr>
                <w:sz w:val="16"/>
                <w:lang w:val="en-GB"/>
              </w:rPr>
            </w:pPr>
          </w:p>
        </w:tc>
        <w:tc>
          <w:tcPr>
            <w:tcW w:w="576" w:type="dxa"/>
            <w:tcBorders>
              <w:left w:val="single" w:sz="4" w:space="0" w:color="auto"/>
            </w:tcBorders>
            <w:vAlign w:val="center"/>
          </w:tcPr>
          <w:p w:rsidR="00000000" w:rsidRDefault="00000000">
            <w:pPr>
              <w:jc w:val="center"/>
              <w:rPr>
                <w:sz w:val="16"/>
                <w:lang w:val="en-GB"/>
              </w:rPr>
            </w:pPr>
          </w:p>
        </w:tc>
      </w:tr>
      <w:tr w:rsidR="00000000">
        <w:trPr>
          <w:trHeight w:hRule="exact" w:val="113"/>
          <w:jc w:val="center"/>
        </w:trPr>
        <w:tc>
          <w:tcPr>
            <w:tcW w:w="575" w:type="dxa"/>
            <w:vAlign w:val="center"/>
          </w:tcPr>
          <w:p w:rsidR="00000000" w:rsidRDefault="00000000">
            <w:pPr>
              <w:jc w:val="center"/>
              <w:rPr>
                <w:sz w:val="16"/>
                <w:lang w:val="en-GB"/>
              </w:rPr>
            </w:pPr>
          </w:p>
        </w:tc>
        <w:tc>
          <w:tcPr>
            <w:tcW w:w="575" w:type="dxa"/>
            <w:tcBorders>
              <w:top w:val="single" w:sz="4" w:space="0" w:color="auto"/>
              <w:bottom w:val="single" w:sz="4" w:space="0" w:color="auto"/>
            </w:tcBorders>
            <w:vAlign w:val="center"/>
          </w:tcPr>
          <w:p w:rsidR="00000000" w:rsidRDefault="00000000">
            <w:pPr>
              <w:jc w:val="center"/>
              <w:rPr>
                <w:sz w:val="16"/>
                <w:lang w:val="en-GB"/>
              </w:rPr>
            </w:pPr>
          </w:p>
        </w:tc>
        <w:tc>
          <w:tcPr>
            <w:tcW w:w="575" w:type="dxa"/>
            <w:tcBorders>
              <w:top w:val="single" w:sz="4" w:space="0" w:color="auto"/>
              <w:bottom w:val="single" w:sz="4" w:space="0" w:color="auto"/>
            </w:tcBorders>
            <w:vAlign w:val="center"/>
          </w:tcPr>
          <w:p w:rsidR="00000000" w:rsidRDefault="00000000">
            <w:pPr>
              <w:jc w:val="center"/>
              <w:rPr>
                <w:sz w:val="16"/>
                <w:lang w:val="en-GB"/>
              </w:rPr>
            </w:pPr>
          </w:p>
        </w:tc>
        <w:tc>
          <w:tcPr>
            <w:tcW w:w="575" w:type="dxa"/>
            <w:tcBorders>
              <w:top w:val="single" w:sz="4" w:space="0" w:color="auto"/>
              <w:bottom w:val="single" w:sz="4" w:space="0" w:color="auto"/>
            </w:tcBorders>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tcBorders>
              <w:right w:val="single" w:sz="4" w:space="0" w:color="auto"/>
            </w:tcBorders>
            <w:vAlign w:val="center"/>
          </w:tcPr>
          <w:p w:rsidR="00000000" w:rsidRDefault="00000000">
            <w:pPr>
              <w:jc w:val="center"/>
              <w:rPr>
                <w:sz w:val="16"/>
                <w:lang w:val="en-GB"/>
              </w:rPr>
            </w:pPr>
          </w:p>
        </w:tc>
        <w:tc>
          <w:tcPr>
            <w:tcW w:w="576" w:type="dxa"/>
            <w:tcBorders>
              <w:left w:val="single" w:sz="4" w:space="0" w:color="auto"/>
            </w:tcBorders>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tcBorders>
              <w:top w:val="single" w:sz="4" w:space="0" w:color="auto"/>
              <w:bottom w:val="single" w:sz="4" w:space="0" w:color="auto"/>
            </w:tcBorders>
            <w:vAlign w:val="center"/>
          </w:tcPr>
          <w:p w:rsidR="00000000" w:rsidRDefault="00000000">
            <w:pPr>
              <w:jc w:val="center"/>
              <w:rPr>
                <w:sz w:val="16"/>
                <w:lang w:val="en-GB"/>
              </w:rPr>
            </w:pPr>
          </w:p>
        </w:tc>
        <w:tc>
          <w:tcPr>
            <w:tcW w:w="576" w:type="dxa"/>
            <w:gridSpan w:val="2"/>
            <w:tcBorders>
              <w:top w:val="single" w:sz="4" w:space="0" w:color="auto"/>
              <w:bottom w:val="single" w:sz="4" w:space="0" w:color="auto"/>
            </w:tcBorders>
            <w:vAlign w:val="center"/>
          </w:tcPr>
          <w:p w:rsidR="00000000" w:rsidRDefault="00000000">
            <w:pPr>
              <w:jc w:val="center"/>
              <w:rPr>
                <w:sz w:val="16"/>
                <w:lang w:val="en-GB"/>
              </w:rPr>
            </w:pPr>
          </w:p>
        </w:tc>
        <w:tc>
          <w:tcPr>
            <w:tcW w:w="576" w:type="dxa"/>
            <w:tcBorders>
              <w:top w:val="single" w:sz="4" w:space="0" w:color="auto"/>
              <w:bottom w:val="single" w:sz="4" w:space="0" w:color="auto"/>
            </w:tcBorders>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r>
      <w:tr w:rsidR="00000000">
        <w:trPr>
          <w:cantSplit/>
          <w:jc w:val="center"/>
        </w:trPr>
        <w:tc>
          <w:tcPr>
            <w:tcW w:w="575" w:type="dxa"/>
            <w:tcBorders>
              <w:right w:val="single" w:sz="4" w:space="0" w:color="auto"/>
            </w:tcBorders>
            <w:vAlign w:val="center"/>
          </w:tcPr>
          <w:p w:rsidR="00000000" w:rsidRDefault="00000000">
            <w:pPr>
              <w:jc w:val="center"/>
              <w:rPr>
                <w:sz w:val="16"/>
                <w:lang w:val="en-GB"/>
              </w:rPr>
            </w:pPr>
          </w:p>
        </w:tc>
        <w:tc>
          <w:tcPr>
            <w:tcW w:w="1725" w:type="dxa"/>
            <w:gridSpan w:val="3"/>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lang w:val="en-GB"/>
              </w:rPr>
            </w:pPr>
            <w:r>
              <w:rPr>
                <w:sz w:val="16"/>
                <w:lang w:val="en-GB"/>
              </w:rPr>
              <w:t>General Secretariat</w:t>
            </w:r>
          </w:p>
        </w:tc>
        <w:tc>
          <w:tcPr>
            <w:tcW w:w="576" w:type="dxa"/>
            <w:tcBorders>
              <w:left w:val="single" w:sz="4" w:space="0" w:color="auto"/>
              <w:bottom w:val="single" w:sz="4" w:space="0" w:color="auto"/>
            </w:tcBorders>
            <w:vAlign w:val="center"/>
          </w:tcPr>
          <w:p w:rsidR="00000000" w:rsidRDefault="00000000">
            <w:pPr>
              <w:jc w:val="center"/>
              <w:rPr>
                <w:sz w:val="16"/>
                <w:lang w:val="en-GB"/>
              </w:rPr>
            </w:pPr>
          </w:p>
        </w:tc>
        <w:tc>
          <w:tcPr>
            <w:tcW w:w="576" w:type="dxa"/>
            <w:tcBorders>
              <w:bottom w:val="single" w:sz="4" w:space="0" w:color="auto"/>
            </w:tcBorders>
            <w:vAlign w:val="center"/>
          </w:tcPr>
          <w:p w:rsidR="00000000" w:rsidRDefault="00000000">
            <w:pPr>
              <w:jc w:val="center"/>
              <w:rPr>
                <w:sz w:val="16"/>
                <w:lang w:val="en-GB"/>
              </w:rPr>
            </w:pPr>
          </w:p>
        </w:tc>
        <w:tc>
          <w:tcPr>
            <w:tcW w:w="576" w:type="dxa"/>
            <w:tcBorders>
              <w:bottom w:val="single" w:sz="4" w:space="0" w:color="auto"/>
            </w:tcBorders>
            <w:vAlign w:val="center"/>
          </w:tcPr>
          <w:p w:rsidR="00000000" w:rsidRDefault="00000000">
            <w:pPr>
              <w:jc w:val="center"/>
              <w:rPr>
                <w:sz w:val="16"/>
                <w:lang w:val="en-GB"/>
              </w:rPr>
            </w:pPr>
          </w:p>
        </w:tc>
        <w:tc>
          <w:tcPr>
            <w:tcW w:w="576" w:type="dxa"/>
            <w:tcBorders>
              <w:bottom w:val="single" w:sz="4" w:space="0" w:color="auto"/>
              <w:right w:val="single" w:sz="4" w:space="0" w:color="auto"/>
            </w:tcBorders>
            <w:vAlign w:val="center"/>
          </w:tcPr>
          <w:p w:rsidR="00000000" w:rsidRDefault="00000000">
            <w:pPr>
              <w:jc w:val="center"/>
              <w:rPr>
                <w:sz w:val="16"/>
                <w:lang w:val="en-GB"/>
              </w:rPr>
            </w:pPr>
          </w:p>
        </w:tc>
        <w:tc>
          <w:tcPr>
            <w:tcW w:w="576" w:type="dxa"/>
            <w:tcBorders>
              <w:left w:val="single" w:sz="4" w:space="0" w:color="auto"/>
              <w:bottom w:val="single" w:sz="4" w:space="0" w:color="auto"/>
            </w:tcBorders>
            <w:vAlign w:val="center"/>
          </w:tcPr>
          <w:p w:rsidR="00000000" w:rsidRDefault="00000000">
            <w:pPr>
              <w:jc w:val="center"/>
              <w:rPr>
                <w:sz w:val="16"/>
                <w:lang w:val="en-GB"/>
              </w:rPr>
            </w:pPr>
          </w:p>
        </w:tc>
        <w:tc>
          <w:tcPr>
            <w:tcW w:w="576" w:type="dxa"/>
            <w:tcBorders>
              <w:bottom w:val="single" w:sz="4" w:space="0" w:color="auto"/>
            </w:tcBorders>
            <w:vAlign w:val="center"/>
          </w:tcPr>
          <w:p w:rsidR="00000000" w:rsidRDefault="00000000">
            <w:pPr>
              <w:jc w:val="center"/>
              <w:rPr>
                <w:sz w:val="16"/>
                <w:lang w:val="en-GB"/>
              </w:rPr>
            </w:pPr>
          </w:p>
        </w:tc>
        <w:tc>
          <w:tcPr>
            <w:tcW w:w="576" w:type="dxa"/>
            <w:tcBorders>
              <w:bottom w:val="single" w:sz="4" w:space="0" w:color="auto"/>
            </w:tcBorders>
            <w:vAlign w:val="center"/>
          </w:tcPr>
          <w:p w:rsidR="00000000" w:rsidRDefault="00000000">
            <w:pPr>
              <w:jc w:val="center"/>
              <w:rPr>
                <w:sz w:val="16"/>
                <w:lang w:val="en-GB"/>
              </w:rPr>
            </w:pPr>
          </w:p>
        </w:tc>
        <w:tc>
          <w:tcPr>
            <w:tcW w:w="576" w:type="dxa"/>
            <w:tcBorders>
              <w:bottom w:val="single" w:sz="4" w:space="0" w:color="auto"/>
              <w:right w:val="single" w:sz="4" w:space="0" w:color="auto"/>
            </w:tcBorders>
            <w:vAlign w:val="center"/>
          </w:tcPr>
          <w:p w:rsidR="00000000" w:rsidRDefault="00000000">
            <w:pPr>
              <w:jc w:val="center"/>
              <w:rPr>
                <w:sz w:val="16"/>
                <w:lang w:val="en-GB"/>
              </w:rPr>
            </w:pPr>
          </w:p>
        </w:tc>
        <w:tc>
          <w:tcPr>
            <w:tcW w:w="1728" w:type="dxa"/>
            <w:gridSpan w:val="4"/>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lang w:val="en-GB"/>
              </w:rPr>
            </w:pPr>
            <w:r>
              <w:rPr>
                <w:sz w:val="16"/>
                <w:lang w:val="en-GB"/>
              </w:rPr>
              <w:t>Planning Department</w:t>
            </w:r>
          </w:p>
        </w:tc>
        <w:tc>
          <w:tcPr>
            <w:tcW w:w="576" w:type="dxa"/>
            <w:tcBorders>
              <w:left w:val="single" w:sz="4" w:space="0" w:color="auto"/>
            </w:tcBorders>
            <w:vAlign w:val="center"/>
          </w:tcPr>
          <w:p w:rsidR="00000000" w:rsidRDefault="00000000">
            <w:pPr>
              <w:jc w:val="center"/>
              <w:rPr>
                <w:sz w:val="16"/>
                <w:lang w:val="en-GB"/>
              </w:rPr>
            </w:pPr>
          </w:p>
        </w:tc>
      </w:tr>
      <w:tr w:rsidR="00000000">
        <w:trPr>
          <w:cantSplit/>
          <w:jc w:val="center"/>
        </w:trPr>
        <w:tc>
          <w:tcPr>
            <w:tcW w:w="575" w:type="dxa"/>
            <w:tcBorders>
              <w:right w:val="single" w:sz="4" w:space="0" w:color="auto"/>
            </w:tcBorders>
            <w:vAlign w:val="center"/>
          </w:tcPr>
          <w:p w:rsidR="00000000" w:rsidRDefault="00000000">
            <w:pPr>
              <w:jc w:val="center"/>
              <w:rPr>
                <w:sz w:val="16"/>
                <w:lang w:val="en-GB"/>
              </w:rPr>
            </w:pPr>
          </w:p>
        </w:tc>
        <w:tc>
          <w:tcPr>
            <w:tcW w:w="1725" w:type="dxa"/>
            <w:gridSpan w:val="3"/>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lang w:val="en-GB"/>
              </w:rPr>
            </w:pPr>
          </w:p>
        </w:tc>
        <w:tc>
          <w:tcPr>
            <w:tcW w:w="576" w:type="dxa"/>
            <w:tcBorders>
              <w:top w:val="single" w:sz="4" w:space="0" w:color="auto"/>
              <w:left w:val="single" w:sz="4" w:space="0" w:color="auto"/>
            </w:tcBorders>
            <w:vAlign w:val="center"/>
          </w:tcPr>
          <w:p w:rsidR="00000000" w:rsidRDefault="00000000">
            <w:pPr>
              <w:jc w:val="center"/>
              <w:rPr>
                <w:sz w:val="16"/>
                <w:lang w:val="en-GB"/>
              </w:rPr>
            </w:pPr>
          </w:p>
        </w:tc>
        <w:tc>
          <w:tcPr>
            <w:tcW w:w="576" w:type="dxa"/>
            <w:tcBorders>
              <w:top w:val="single" w:sz="4" w:space="0" w:color="auto"/>
            </w:tcBorders>
            <w:vAlign w:val="center"/>
          </w:tcPr>
          <w:p w:rsidR="00000000" w:rsidRDefault="00000000">
            <w:pPr>
              <w:jc w:val="center"/>
              <w:rPr>
                <w:sz w:val="16"/>
                <w:lang w:val="en-GB"/>
              </w:rPr>
            </w:pPr>
          </w:p>
        </w:tc>
        <w:tc>
          <w:tcPr>
            <w:tcW w:w="576" w:type="dxa"/>
            <w:tcBorders>
              <w:top w:val="single" w:sz="4" w:space="0" w:color="auto"/>
            </w:tcBorders>
            <w:vAlign w:val="center"/>
          </w:tcPr>
          <w:p w:rsidR="00000000" w:rsidRDefault="00000000">
            <w:pPr>
              <w:jc w:val="center"/>
              <w:rPr>
                <w:sz w:val="16"/>
                <w:lang w:val="en-GB"/>
              </w:rPr>
            </w:pPr>
          </w:p>
        </w:tc>
        <w:tc>
          <w:tcPr>
            <w:tcW w:w="576" w:type="dxa"/>
            <w:tcBorders>
              <w:top w:val="single" w:sz="4" w:space="0" w:color="auto"/>
              <w:right w:val="single" w:sz="4" w:space="0" w:color="auto"/>
            </w:tcBorders>
            <w:vAlign w:val="center"/>
          </w:tcPr>
          <w:p w:rsidR="00000000" w:rsidRDefault="00000000">
            <w:pPr>
              <w:jc w:val="center"/>
              <w:rPr>
                <w:sz w:val="16"/>
                <w:lang w:val="en-GB"/>
              </w:rPr>
            </w:pPr>
          </w:p>
        </w:tc>
        <w:tc>
          <w:tcPr>
            <w:tcW w:w="576" w:type="dxa"/>
            <w:tcBorders>
              <w:top w:val="single" w:sz="4" w:space="0" w:color="auto"/>
              <w:left w:val="single" w:sz="4" w:space="0" w:color="auto"/>
            </w:tcBorders>
            <w:vAlign w:val="center"/>
          </w:tcPr>
          <w:p w:rsidR="00000000" w:rsidRDefault="00000000">
            <w:pPr>
              <w:jc w:val="center"/>
              <w:rPr>
                <w:sz w:val="16"/>
                <w:lang w:val="en-GB"/>
              </w:rPr>
            </w:pPr>
          </w:p>
        </w:tc>
        <w:tc>
          <w:tcPr>
            <w:tcW w:w="576" w:type="dxa"/>
            <w:tcBorders>
              <w:top w:val="single" w:sz="4" w:space="0" w:color="auto"/>
            </w:tcBorders>
            <w:vAlign w:val="center"/>
          </w:tcPr>
          <w:p w:rsidR="00000000" w:rsidRDefault="00000000">
            <w:pPr>
              <w:jc w:val="center"/>
              <w:rPr>
                <w:sz w:val="16"/>
                <w:lang w:val="en-GB"/>
              </w:rPr>
            </w:pPr>
          </w:p>
        </w:tc>
        <w:tc>
          <w:tcPr>
            <w:tcW w:w="576" w:type="dxa"/>
            <w:tcBorders>
              <w:top w:val="single" w:sz="4" w:space="0" w:color="auto"/>
            </w:tcBorders>
            <w:vAlign w:val="center"/>
          </w:tcPr>
          <w:p w:rsidR="00000000" w:rsidRDefault="00000000">
            <w:pPr>
              <w:jc w:val="center"/>
              <w:rPr>
                <w:sz w:val="16"/>
                <w:lang w:val="en-GB"/>
              </w:rPr>
            </w:pPr>
          </w:p>
        </w:tc>
        <w:tc>
          <w:tcPr>
            <w:tcW w:w="576" w:type="dxa"/>
            <w:tcBorders>
              <w:top w:val="single" w:sz="4" w:space="0" w:color="auto"/>
              <w:right w:val="single" w:sz="4" w:space="0" w:color="auto"/>
            </w:tcBorders>
            <w:vAlign w:val="center"/>
          </w:tcPr>
          <w:p w:rsidR="00000000" w:rsidRDefault="00000000">
            <w:pPr>
              <w:jc w:val="center"/>
              <w:rPr>
                <w:sz w:val="16"/>
                <w:lang w:val="en-GB"/>
              </w:rPr>
            </w:pPr>
          </w:p>
        </w:tc>
        <w:tc>
          <w:tcPr>
            <w:tcW w:w="1728" w:type="dxa"/>
            <w:gridSpan w:val="4"/>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lang w:val="en-GB"/>
              </w:rPr>
            </w:pPr>
          </w:p>
        </w:tc>
        <w:tc>
          <w:tcPr>
            <w:tcW w:w="576" w:type="dxa"/>
            <w:tcBorders>
              <w:left w:val="single" w:sz="4" w:space="0" w:color="auto"/>
            </w:tcBorders>
            <w:vAlign w:val="center"/>
          </w:tcPr>
          <w:p w:rsidR="00000000" w:rsidRDefault="00000000">
            <w:pPr>
              <w:jc w:val="center"/>
              <w:rPr>
                <w:sz w:val="16"/>
                <w:lang w:val="en-GB"/>
              </w:rPr>
            </w:pPr>
          </w:p>
        </w:tc>
      </w:tr>
      <w:tr w:rsidR="00000000">
        <w:trPr>
          <w:trHeight w:hRule="exact" w:val="113"/>
          <w:jc w:val="center"/>
        </w:trPr>
        <w:tc>
          <w:tcPr>
            <w:tcW w:w="575" w:type="dxa"/>
            <w:vAlign w:val="center"/>
          </w:tcPr>
          <w:p w:rsidR="00000000" w:rsidRDefault="00000000">
            <w:pPr>
              <w:jc w:val="center"/>
              <w:rPr>
                <w:sz w:val="16"/>
                <w:lang w:val="en-GB"/>
              </w:rPr>
            </w:pPr>
          </w:p>
        </w:tc>
        <w:tc>
          <w:tcPr>
            <w:tcW w:w="575" w:type="dxa"/>
            <w:tcBorders>
              <w:top w:val="single" w:sz="4" w:space="0" w:color="auto"/>
              <w:bottom w:val="single" w:sz="4" w:space="0" w:color="auto"/>
            </w:tcBorders>
            <w:vAlign w:val="center"/>
          </w:tcPr>
          <w:p w:rsidR="00000000" w:rsidRDefault="00000000">
            <w:pPr>
              <w:jc w:val="center"/>
              <w:rPr>
                <w:sz w:val="16"/>
                <w:lang w:val="en-GB"/>
              </w:rPr>
            </w:pPr>
          </w:p>
        </w:tc>
        <w:tc>
          <w:tcPr>
            <w:tcW w:w="575" w:type="dxa"/>
            <w:tcBorders>
              <w:top w:val="single" w:sz="4" w:space="0" w:color="auto"/>
              <w:bottom w:val="single" w:sz="4" w:space="0" w:color="auto"/>
            </w:tcBorders>
            <w:vAlign w:val="center"/>
          </w:tcPr>
          <w:p w:rsidR="00000000" w:rsidRDefault="00000000">
            <w:pPr>
              <w:jc w:val="center"/>
              <w:rPr>
                <w:sz w:val="16"/>
                <w:lang w:val="en-GB"/>
              </w:rPr>
            </w:pPr>
          </w:p>
        </w:tc>
        <w:tc>
          <w:tcPr>
            <w:tcW w:w="575" w:type="dxa"/>
            <w:tcBorders>
              <w:top w:val="single" w:sz="4" w:space="0" w:color="auto"/>
              <w:bottom w:val="single" w:sz="4" w:space="0" w:color="auto"/>
            </w:tcBorders>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tcBorders>
              <w:right w:val="single" w:sz="4" w:space="0" w:color="auto"/>
            </w:tcBorders>
            <w:vAlign w:val="center"/>
          </w:tcPr>
          <w:p w:rsidR="00000000" w:rsidRDefault="00000000">
            <w:pPr>
              <w:jc w:val="center"/>
              <w:rPr>
                <w:sz w:val="16"/>
                <w:lang w:val="en-GB"/>
              </w:rPr>
            </w:pPr>
          </w:p>
        </w:tc>
        <w:tc>
          <w:tcPr>
            <w:tcW w:w="576" w:type="dxa"/>
            <w:tcBorders>
              <w:left w:val="single" w:sz="4" w:space="0" w:color="auto"/>
            </w:tcBorders>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tcBorders>
              <w:top w:val="single" w:sz="4" w:space="0" w:color="auto"/>
              <w:bottom w:val="single" w:sz="4" w:space="0" w:color="auto"/>
            </w:tcBorders>
            <w:vAlign w:val="center"/>
          </w:tcPr>
          <w:p w:rsidR="00000000" w:rsidRDefault="00000000">
            <w:pPr>
              <w:jc w:val="center"/>
              <w:rPr>
                <w:sz w:val="16"/>
                <w:lang w:val="en-GB"/>
              </w:rPr>
            </w:pPr>
          </w:p>
        </w:tc>
        <w:tc>
          <w:tcPr>
            <w:tcW w:w="576" w:type="dxa"/>
            <w:gridSpan w:val="2"/>
            <w:tcBorders>
              <w:top w:val="single" w:sz="4" w:space="0" w:color="auto"/>
              <w:bottom w:val="single" w:sz="4" w:space="0" w:color="auto"/>
            </w:tcBorders>
            <w:vAlign w:val="center"/>
          </w:tcPr>
          <w:p w:rsidR="00000000" w:rsidRDefault="00000000">
            <w:pPr>
              <w:jc w:val="center"/>
              <w:rPr>
                <w:sz w:val="16"/>
                <w:lang w:val="en-GB"/>
              </w:rPr>
            </w:pPr>
          </w:p>
        </w:tc>
        <w:tc>
          <w:tcPr>
            <w:tcW w:w="576" w:type="dxa"/>
            <w:tcBorders>
              <w:top w:val="single" w:sz="4" w:space="0" w:color="auto"/>
              <w:bottom w:val="single" w:sz="4" w:space="0" w:color="auto"/>
            </w:tcBorders>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r>
      <w:tr w:rsidR="00000000">
        <w:trPr>
          <w:cantSplit/>
          <w:jc w:val="center"/>
        </w:trPr>
        <w:tc>
          <w:tcPr>
            <w:tcW w:w="575" w:type="dxa"/>
            <w:tcBorders>
              <w:right w:val="single" w:sz="4" w:space="0" w:color="auto"/>
            </w:tcBorders>
            <w:vAlign w:val="center"/>
          </w:tcPr>
          <w:p w:rsidR="00000000" w:rsidRDefault="00000000">
            <w:pPr>
              <w:jc w:val="center"/>
              <w:rPr>
                <w:sz w:val="16"/>
                <w:lang w:val="en-GB"/>
              </w:rPr>
            </w:pPr>
          </w:p>
        </w:tc>
        <w:tc>
          <w:tcPr>
            <w:tcW w:w="1725" w:type="dxa"/>
            <w:gridSpan w:val="3"/>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lang w:val="en-GB"/>
              </w:rPr>
            </w:pPr>
            <w:r>
              <w:rPr>
                <w:sz w:val="16"/>
                <w:lang w:val="en-GB"/>
              </w:rPr>
              <w:t>Administration Department</w:t>
            </w:r>
          </w:p>
        </w:tc>
        <w:tc>
          <w:tcPr>
            <w:tcW w:w="576" w:type="dxa"/>
            <w:tcBorders>
              <w:left w:val="single" w:sz="4" w:space="0" w:color="auto"/>
              <w:bottom w:val="single" w:sz="4" w:space="0" w:color="auto"/>
            </w:tcBorders>
            <w:vAlign w:val="center"/>
          </w:tcPr>
          <w:p w:rsidR="00000000" w:rsidRDefault="00000000">
            <w:pPr>
              <w:jc w:val="center"/>
              <w:rPr>
                <w:sz w:val="16"/>
                <w:lang w:val="en-GB"/>
              </w:rPr>
            </w:pPr>
          </w:p>
        </w:tc>
        <w:tc>
          <w:tcPr>
            <w:tcW w:w="576" w:type="dxa"/>
            <w:tcBorders>
              <w:bottom w:val="single" w:sz="4" w:space="0" w:color="auto"/>
            </w:tcBorders>
            <w:vAlign w:val="center"/>
          </w:tcPr>
          <w:p w:rsidR="00000000" w:rsidRDefault="00000000">
            <w:pPr>
              <w:jc w:val="center"/>
              <w:rPr>
                <w:sz w:val="16"/>
                <w:lang w:val="en-GB"/>
              </w:rPr>
            </w:pPr>
          </w:p>
        </w:tc>
        <w:tc>
          <w:tcPr>
            <w:tcW w:w="576" w:type="dxa"/>
            <w:tcBorders>
              <w:bottom w:val="single" w:sz="4" w:space="0" w:color="auto"/>
            </w:tcBorders>
            <w:vAlign w:val="center"/>
          </w:tcPr>
          <w:p w:rsidR="00000000" w:rsidRDefault="00000000">
            <w:pPr>
              <w:jc w:val="center"/>
              <w:rPr>
                <w:sz w:val="16"/>
                <w:lang w:val="en-GB"/>
              </w:rPr>
            </w:pPr>
          </w:p>
        </w:tc>
        <w:tc>
          <w:tcPr>
            <w:tcW w:w="576" w:type="dxa"/>
            <w:tcBorders>
              <w:bottom w:val="single" w:sz="4" w:space="0" w:color="auto"/>
              <w:right w:val="single" w:sz="4" w:space="0" w:color="auto"/>
            </w:tcBorders>
            <w:vAlign w:val="center"/>
          </w:tcPr>
          <w:p w:rsidR="00000000" w:rsidRDefault="00000000">
            <w:pPr>
              <w:jc w:val="center"/>
              <w:rPr>
                <w:sz w:val="16"/>
                <w:lang w:val="en-GB"/>
              </w:rPr>
            </w:pPr>
          </w:p>
        </w:tc>
        <w:tc>
          <w:tcPr>
            <w:tcW w:w="576" w:type="dxa"/>
            <w:tcBorders>
              <w:left w:val="single" w:sz="4" w:space="0" w:color="auto"/>
              <w:bottom w:val="single" w:sz="4" w:space="0" w:color="auto"/>
            </w:tcBorders>
            <w:vAlign w:val="center"/>
          </w:tcPr>
          <w:p w:rsidR="00000000" w:rsidRDefault="00000000">
            <w:pPr>
              <w:jc w:val="center"/>
              <w:rPr>
                <w:sz w:val="16"/>
                <w:lang w:val="en-GB"/>
              </w:rPr>
            </w:pPr>
          </w:p>
        </w:tc>
        <w:tc>
          <w:tcPr>
            <w:tcW w:w="576" w:type="dxa"/>
            <w:tcBorders>
              <w:bottom w:val="single" w:sz="4" w:space="0" w:color="auto"/>
            </w:tcBorders>
            <w:vAlign w:val="center"/>
          </w:tcPr>
          <w:p w:rsidR="00000000" w:rsidRDefault="00000000">
            <w:pPr>
              <w:jc w:val="center"/>
              <w:rPr>
                <w:sz w:val="16"/>
                <w:lang w:val="en-GB"/>
              </w:rPr>
            </w:pPr>
          </w:p>
        </w:tc>
        <w:tc>
          <w:tcPr>
            <w:tcW w:w="576" w:type="dxa"/>
            <w:tcBorders>
              <w:bottom w:val="single" w:sz="4" w:space="0" w:color="auto"/>
            </w:tcBorders>
            <w:vAlign w:val="center"/>
          </w:tcPr>
          <w:p w:rsidR="00000000" w:rsidRDefault="00000000">
            <w:pPr>
              <w:jc w:val="center"/>
              <w:rPr>
                <w:sz w:val="16"/>
                <w:lang w:val="en-GB"/>
              </w:rPr>
            </w:pPr>
          </w:p>
        </w:tc>
        <w:tc>
          <w:tcPr>
            <w:tcW w:w="576" w:type="dxa"/>
            <w:tcBorders>
              <w:bottom w:val="single" w:sz="4" w:space="0" w:color="auto"/>
              <w:right w:val="single" w:sz="4" w:space="0" w:color="auto"/>
            </w:tcBorders>
            <w:vAlign w:val="center"/>
          </w:tcPr>
          <w:p w:rsidR="00000000" w:rsidRDefault="00000000">
            <w:pPr>
              <w:jc w:val="center"/>
              <w:rPr>
                <w:sz w:val="16"/>
                <w:lang w:val="en-GB"/>
              </w:rPr>
            </w:pPr>
          </w:p>
        </w:tc>
        <w:tc>
          <w:tcPr>
            <w:tcW w:w="1728" w:type="dxa"/>
            <w:gridSpan w:val="4"/>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lang w:val="en-GB"/>
              </w:rPr>
            </w:pPr>
            <w:r>
              <w:rPr>
                <w:sz w:val="16"/>
                <w:lang w:val="en-GB"/>
              </w:rPr>
              <w:t>Legal Counsel’s Department</w:t>
            </w:r>
          </w:p>
        </w:tc>
        <w:tc>
          <w:tcPr>
            <w:tcW w:w="576" w:type="dxa"/>
            <w:tcBorders>
              <w:left w:val="single" w:sz="4" w:space="0" w:color="auto"/>
            </w:tcBorders>
            <w:vAlign w:val="center"/>
          </w:tcPr>
          <w:p w:rsidR="00000000" w:rsidRDefault="00000000">
            <w:pPr>
              <w:jc w:val="center"/>
              <w:rPr>
                <w:sz w:val="16"/>
                <w:lang w:val="en-GB"/>
              </w:rPr>
            </w:pPr>
          </w:p>
        </w:tc>
      </w:tr>
      <w:tr w:rsidR="00000000">
        <w:trPr>
          <w:cantSplit/>
          <w:jc w:val="center"/>
        </w:trPr>
        <w:tc>
          <w:tcPr>
            <w:tcW w:w="575" w:type="dxa"/>
            <w:tcBorders>
              <w:right w:val="single" w:sz="4" w:space="0" w:color="auto"/>
            </w:tcBorders>
            <w:vAlign w:val="center"/>
          </w:tcPr>
          <w:p w:rsidR="00000000" w:rsidRDefault="00000000">
            <w:pPr>
              <w:jc w:val="center"/>
              <w:rPr>
                <w:sz w:val="16"/>
                <w:lang w:val="en-GB"/>
              </w:rPr>
            </w:pPr>
          </w:p>
        </w:tc>
        <w:tc>
          <w:tcPr>
            <w:tcW w:w="1725" w:type="dxa"/>
            <w:gridSpan w:val="3"/>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lang w:val="en-GB"/>
              </w:rPr>
            </w:pPr>
          </w:p>
        </w:tc>
        <w:tc>
          <w:tcPr>
            <w:tcW w:w="576" w:type="dxa"/>
            <w:tcBorders>
              <w:top w:val="single" w:sz="4" w:space="0" w:color="auto"/>
              <w:left w:val="single" w:sz="4" w:space="0" w:color="auto"/>
            </w:tcBorders>
            <w:vAlign w:val="center"/>
          </w:tcPr>
          <w:p w:rsidR="00000000" w:rsidRDefault="00000000">
            <w:pPr>
              <w:jc w:val="center"/>
              <w:rPr>
                <w:sz w:val="16"/>
                <w:lang w:val="en-GB"/>
              </w:rPr>
            </w:pPr>
          </w:p>
        </w:tc>
        <w:tc>
          <w:tcPr>
            <w:tcW w:w="576" w:type="dxa"/>
            <w:tcBorders>
              <w:top w:val="single" w:sz="4" w:space="0" w:color="auto"/>
            </w:tcBorders>
            <w:vAlign w:val="center"/>
          </w:tcPr>
          <w:p w:rsidR="00000000" w:rsidRDefault="00000000">
            <w:pPr>
              <w:jc w:val="center"/>
              <w:rPr>
                <w:sz w:val="16"/>
                <w:lang w:val="en-GB"/>
              </w:rPr>
            </w:pPr>
          </w:p>
        </w:tc>
        <w:tc>
          <w:tcPr>
            <w:tcW w:w="576" w:type="dxa"/>
            <w:tcBorders>
              <w:top w:val="single" w:sz="4" w:space="0" w:color="auto"/>
            </w:tcBorders>
            <w:vAlign w:val="center"/>
          </w:tcPr>
          <w:p w:rsidR="00000000" w:rsidRDefault="00000000">
            <w:pPr>
              <w:jc w:val="center"/>
              <w:rPr>
                <w:sz w:val="16"/>
                <w:lang w:val="en-GB"/>
              </w:rPr>
            </w:pPr>
          </w:p>
        </w:tc>
        <w:tc>
          <w:tcPr>
            <w:tcW w:w="576" w:type="dxa"/>
            <w:tcBorders>
              <w:top w:val="single" w:sz="4" w:space="0" w:color="auto"/>
              <w:right w:val="single" w:sz="4" w:space="0" w:color="auto"/>
            </w:tcBorders>
            <w:vAlign w:val="center"/>
          </w:tcPr>
          <w:p w:rsidR="00000000" w:rsidRDefault="00000000">
            <w:pPr>
              <w:jc w:val="center"/>
              <w:rPr>
                <w:sz w:val="16"/>
                <w:lang w:val="en-GB"/>
              </w:rPr>
            </w:pPr>
          </w:p>
        </w:tc>
        <w:tc>
          <w:tcPr>
            <w:tcW w:w="576" w:type="dxa"/>
            <w:tcBorders>
              <w:top w:val="single" w:sz="4" w:space="0" w:color="auto"/>
              <w:left w:val="single" w:sz="4" w:space="0" w:color="auto"/>
            </w:tcBorders>
            <w:vAlign w:val="center"/>
          </w:tcPr>
          <w:p w:rsidR="00000000" w:rsidRDefault="00000000">
            <w:pPr>
              <w:jc w:val="center"/>
              <w:rPr>
                <w:sz w:val="16"/>
                <w:lang w:val="en-GB"/>
              </w:rPr>
            </w:pPr>
          </w:p>
        </w:tc>
        <w:tc>
          <w:tcPr>
            <w:tcW w:w="576" w:type="dxa"/>
            <w:tcBorders>
              <w:top w:val="single" w:sz="4" w:space="0" w:color="auto"/>
            </w:tcBorders>
            <w:vAlign w:val="center"/>
          </w:tcPr>
          <w:p w:rsidR="00000000" w:rsidRDefault="00000000">
            <w:pPr>
              <w:jc w:val="center"/>
              <w:rPr>
                <w:sz w:val="16"/>
                <w:lang w:val="en-GB"/>
              </w:rPr>
            </w:pPr>
          </w:p>
        </w:tc>
        <w:tc>
          <w:tcPr>
            <w:tcW w:w="576" w:type="dxa"/>
            <w:tcBorders>
              <w:top w:val="single" w:sz="4" w:space="0" w:color="auto"/>
            </w:tcBorders>
            <w:vAlign w:val="center"/>
          </w:tcPr>
          <w:p w:rsidR="00000000" w:rsidRDefault="00000000">
            <w:pPr>
              <w:jc w:val="center"/>
              <w:rPr>
                <w:sz w:val="16"/>
                <w:lang w:val="en-GB"/>
              </w:rPr>
            </w:pPr>
          </w:p>
        </w:tc>
        <w:tc>
          <w:tcPr>
            <w:tcW w:w="576" w:type="dxa"/>
            <w:tcBorders>
              <w:top w:val="single" w:sz="4" w:space="0" w:color="auto"/>
              <w:right w:val="single" w:sz="4" w:space="0" w:color="auto"/>
            </w:tcBorders>
            <w:vAlign w:val="center"/>
          </w:tcPr>
          <w:p w:rsidR="00000000" w:rsidRDefault="00000000">
            <w:pPr>
              <w:jc w:val="center"/>
              <w:rPr>
                <w:sz w:val="16"/>
                <w:lang w:val="en-GB"/>
              </w:rPr>
            </w:pPr>
          </w:p>
        </w:tc>
        <w:tc>
          <w:tcPr>
            <w:tcW w:w="1728" w:type="dxa"/>
            <w:gridSpan w:val="4"/>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lang w:val="en-GB"/>
              </w:rPr>
            </w:pPr>
          </w:p>
        </w:tc>
        <w:tc>
          <w:tcPr>
            <w:tcW w:w="576" w:type="dxa"/>
            <w:tcBorders>
              <w:left w:val="single" w:sz="4" w:space="0" w:color="auto"/>
            </w:tcBorders>
            <w:vAlign w:val="center"/>
          </w:tcPr>
          <w:p w:rsidR="00000000" w:rsidRDefault="00000000">
            <w:pPr>
              <w:jc w:val="center"/>
              <w:rPr>
                <w:sz w:val="16"/>
                <w:lang w:val="en-GB"/>
              </w:rPr>
            </w:pPr>
          </w:p>
        </w:tc>
      </w:tr>
      <w:tr w:rsidR="00000000">
        <w:trPr>
          <w:trHeight w:hRule="exact" w:val="113"/>
          <w:jc w:val="center"/>
        </w:trPr>
        <w:tc>
          <w:tcPr>
            <w:tcW w:w="575" w:type="dxa"/>
            <w:vAlign w:val="center"/>
          </w:tcPr>
          <w:p w:rsidR="00000000" w:rsidRDefault="00000000">
            <w:pPr>
              <w:jc w:val="center"/>
              <w:rPr>
                <w:sz w:val="16"/>
                <w:lang w:val="en-GB"/>
              </w:rPr>
            </w:pPr>
          </w:p>
        </w:tc>
        <w:tc>
          <w:tcPr>
            <w:tcW w:w="575" w:type="dxa"/>
            <w:tcBorders>
              <w:top w:val="single" w:sz="4" w:space="0" w:color="auto"/>
            </w:tcBorders>
            <w:vAlign w:val="center"/>
          </w:tcPr>
          <w:p w:rsidR="00000000" w:rsidRDefault="00000000">
            <w:pPr>
              <w:jc w:val="center"/>
              <w:rPr>
                <w:sz w:val="16"/>
                <w:lang w:val="en-GB"/>
              </w:rPr>
            </w:pPr>
          </w:p>
        </w:tc>
        <w:tc>
          <w:tcPr>
            <w:tcW w:w="575" w:type="dxa"/>
            <w:tcBorders>
              <w:top w:val="single" w:sz="4" w:space="0" w:color="auto"/>
            </w:tcBorders>
            <w:vAlign w:val="center"/>
          </w:tcPr>
          <w:p w:rsidR="00000000" w:rsidRDefault="00000000">
            <w:pPr>
              <w:jc w:val="center"/>
              <w:rPr>
                <w:sz w:val="16"/>
                <w:lang w:val="en-GB"/>
              </w:rPr>
            </w:pPr>
          </w:p>
        </w:tc>
        <w:tc>
          <w:tcPr>
            <w:tcW w:w="575" w:type="dxa"/>
            <w:tcBorders>
              <w:top w:val="single" w:sz="4" w:space="0" w:color="auto"/>
            </w:tcBorders>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tcBorders>
              <w:right w:val="single" w:sz="4" w:space="0" w:color="auto"/>
            </w:tcBorders>
            <w:vAlign w:val="center"/>
          </w:tcPr>
          <w:p w:rsidR="00000000" w:rsidRDefault="00000000">
            <w:pPr>
              <w:jc w:val="center"/>
              <w:rPr>
                <w:sz w:val="16"/>
                <w:lang w:val="en-GB"/>
              </w:rPr>
            </w:pPr>
          </w:p>
        </w:tc>
        <w:tc>
          <w:tcPr>
            <w:tcW w:w="576" w:type="dxa"/>
            <w:tcBorders>
              <w:left w:val="single" w:sz="4" w:space="0" w:color="auto"/>
            </w:tcBorders>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tcBorders>
              <w:top w:val="single" w:sz="4" w:space="0" w:color="auto"/>
            </w:tcBorders>
            <w:vAlign w:val="center"/>
          </w:tcPr>
          <w:p w:rsidR="00000000" w:rsidRDefault="00000000">
            <w:pPr>
              <w:jc w:val="center"/>
              <w:rPr>
                <w:sz w:val="16"/>
                <w:lang w:val="en-GB"/>
              </w:rPr>
            </w:pPr>
          </w:p>
        </w:tc>
        <w:tc>
          <w:tcPr>
            <w:tcW w:w="576" w:type="dxa"/>
            <w:gridSpan w:val="2"/>
            <w:tcBorders>
              <w:top w:val="single" w:sz="4" w:space="0" w:color="auto"/>
            </w:tcBorders>
            <w:vAlign w:val="center"/>
          </w:tcPr>
          <w:p w:rsidR="00000000" w:rsidRDefault="00000000">
            <w:pPr>
              <w:jc w:val="center"/>
              <w:rPr>
                <w:sz w:val="16"/>
                <w:lang w:val="en-GB"/>
              </w:rPr>
            </w:pPr>
          </w:p>
        </w:tc>
        <w:tc>
          <w:tcPr>
            <w:tcW w:w="576" w:type="dxa"/>
            <w:tcBorders>
              <w:top w:val="single" w:sz="4" w:space="0" w:color="auto"/>
            </w:tcBorders>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r>
      <w:tr w:rsidR="00000000">
        <w:trPr>
          <w:trHeight w:hRule="exact" w:val="113"/>
          <w:jc w:val="center"/>
        </w:trPr>
        <w:tc>
          <w:tcPr>
            <w:tcW w:w="575" w:type="dxa"/>
            <w:vAlign w:val="center"/>
          </w:tcPr>
          <w:p w:rsidR="00000000" w:rsidRDefault="00000000">
            <w:pPr>
              <w:jc w:val="center"/>
              <w:rPr>
                <w:sz w:val="16"/>
                <w:lang w:val="en-GB"/>
              </w:rPr>
            </w:pPr>
          </w:p>
        </w:tc>
        <w:tc>
          <w:tcPr>
            <w:tcW w:w="575" w:type="dxa"/>
            <w:vAlign w:val="center"/>
          </w:tcPr>
          <w:p w:rsidR="00000000" w:rsidRDefault="00000000">
            <w:pPr>
              <w:jc w:val="center"/>
              <w:rPr>
                <w:sz w:val="16"/>
                <w:lang w:val="en-GB"/>
              </w:rPr>
            </w:pPr>
          </w:p>
        </w:tc>
        <w:tc>
          <w:tcPr>
            <w:tcW w:w="575" w:type="dxa"/>
            <w:vAlign w:val="center"/>
          </w:tcPr>
          <w:p w:rsidR="00000000" w:rsidRDefault="00000000">
            <w:pPr>
              <w:jc w:val="center"/>
              <w:rPr>
                <w:sz w:val="16"/>
                <w:lang w:val="en-GB"/>
              </w:rPr>
            </w:pPr>
          </w:p>
        </w:tc>
        <w:tc>
          <w:tcPr>
            <w:tcW w:w="575" w:type="dxa"/>
            <w:vAlign w:val="center"/>
          </w:tcPr>
          <w:p w:rsidR="00000000" w:rsidRDefault="00000000">
            <w:pPr>
              <w:jc w:val="center"/>
              <w:rPr>
                <w:sz w:val="16"/>
                <w:lang w:val="en-GB"/>
              </w:rPr>
            </w:pPr>
          </w:p>
        </w:tc>
        <w:tc>
          <w:tcPr>
            <w:tcW w:w="576" w:type="dxa"/>
            <w:tcBorders>
              <w:bottom w:val="single" w:sz="4" w:space="0" w:color="auto"/>
            </w:tcBorders>
            <w:vAlign w:val="center"/>
          </w:tcPr>
          <w:p w:rsidR="00000000" w:rsidRDefault="00000000">
            <w:pPr>
              <w:jc w:val="center"/>
              <w:rPr>
                <w:sz w:val="16"/>
                <w:lang w:val="en-GB"/>
              </w:rPr>
            </w:pPr>
          </w:p>
        </w:tc>
        <w:tc>
          <w:tcPr>
            <w:tcW w:w="576" w:type="dxa"/>
            <w:tcBorders>
              <w:bottom w:val="single" w:sz="4" w:space="0" w:color="auto"/>
            </w:tcBorders>
            <w:vAlign w:val="center"/>
          </w:tcPr>
          <w:p w:rsidR="00000000" w:rsidRDefault="00000000">
            <w:pPr>
              <w:jc w:val="center"/>
              <w:rPr>
                <w:sz w:val="16"/>
                <w:lang w:val="en-GB"/>
              </w:rPr>
            </w:pPr>
          </w:p>
        </w:tc>
        <w:tc>
          <w:tcPr>
            <w:tcW w:w="576" w:type="dxa"/>
            <w:tcBorders>
              <w:bottom w:val="single" w:sz="4" w:space="0" w:color="auto"/>
            </w:tcBorders>
            <w:vAlign w:val="center"/>
          </w:tcPr>
          <w:p w:rsidR="00000000" w:rsidRDefault="00000000">
            <w:pPr>
              <w:jc w:val="center"/>
              <w:rPr>
                <w:sz w:val="16"/>
                <w:lang w:val="en-GB"/>
              </w:rPr>
            </w:pPr>
          </w:p>
        </w:tc>
        <w:tc>
          <w:tcPr>
            <w:tcW w:w="576" w:type="dxa"/>
            <w:tcBorders>
              <w:bottom w:val="single" w:sz="4" w:space="0" w:color="auto"/>
              <w:right w:val="single" w:sz="4" w:space="0" w:color="auto"/>
            </w:tcBorders>
            <w:vAlign w:val="center"/>
          </w:tcPr>
          <w:p w:rsidR="00000000" w:rsidRDefault="00000000">
            <w:pPr>
              <w:jc w:val="center"/>
              <w:rPr>
                <w:sz w:val="16"/>
                <w:lang w:val="en-GB"/>
              </w:rPr>
            </w:pPr>
          </w:p>
        </w:tc>
        <w:tc>
          <w:tcPr>
            <w:tcW w:w="576" w:type="dxa"/>
            <w:tcBorders>
              <w:left w:val="single" w:sz="4" w:space="0" w:color="auto"/>
              <w:bottom w:val="single" w:sz="4" w:space="0" w:color="auto"/>
            </w:tcBorders>
            <w:vAlign w:val="center"/>
          </w:tcPr>
          <w:p w:rsidR="00000000" w:rsidRDefault="00000000">
            <w:pPr>
              <w:jc w:val="center"/>
              <w:rPr>
                <w:sz w:val="16"/>
                <w:lang w:val="en-GB"/>
              </w:rPr>
            </w:pPr>
          </w:p>
        </w:tc>
        <w:tc>
          <w:tcPr>
            <w:tcW w:w="576" w:type="dxa"/>
            <w:tcBorders>
              <w:bottom w:val="single" w:sz="4" w:space="0" w:color="auto"/>
            </w:tcBorders>
            <w:vAlign w:val="center"/>
          </w:tcPr>
          <w:p w:rsidR="00000000" w:rsidRDefault="00000000">
            <w:pPr>
              <w:jc w:val="center"/>
              <w:rPr>
                <w:sz w:val="16"/>
                <w:lang w:val="en-GB"/>
              </w:rPr>
            </w:pPr>
          </w:p>
        </w:tc>
        <w:tc>
          <w:tcPr>
            <w:tcW w:w="576" w:type="dxa"/>
            <w:tcBorders>
              <w:bottom w:val="single" w:sz="4" w:space="0" w:color="auto"/>
            </w:tcBorders>
            <w:vAlign w:val="center"/>
          </w:tcPr>
          <w:p w:rsidR="00000000" w:rsidRDefault="00000000">
            <w:pPr>
              <w:jc w:val="center"/>
              <w:rPr>
                <w:sz w:val="16"/>
                <w:lang w:val="en-GB"/>
              </w:rPr>
            </w:pPr>
          </w:p>
        </w:tc>
        <w:tc>
          <w:tcPr>
            <w:tcW w:w="576" w:type="dxa"/>
            <w:tcBorders>
              <w:bottom w:val="single" w:sz="4" w:space="0" w:color="auto"/>
            </w:tcBorders>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gridSpan w:val="2"/>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r>
      <w:tr w:rsidR="00000000">
        <w:trPr>
          <w:jc w:val="center"/>
        </w:trPr>
        <w:tc>
          <w:tcPr>
            <w:tcW w:w="575" w:type="dxa"/>
            <w:vAlign w:val="center"/>
          </w:tcPr>
          <w:p w:rsidR="00000000" w:rsidRDefault="00000000">
            <w:pPr>
              <w:jc w:val="center"/>
              <w:rPr>
                <w:sz w:val="16"/>
                <w:lang w:val="en-GB"/>
              </w:rPr>
            </w:pPr>
          </w:p>
        </w:tc>
        <w:tc>
          <w:tcPr>
            <w:tcW w:w="575" w:type="dxa"/>
            <w:tcBorders>
              <w:bottom w:val="single" w:sz="4" w:space="0" w:color="auto"/>
            </w:tcBorders>
            <w:vAlign w:val="center"/>
          </w:tcPr>
          <w:p w:rsidR="00000000" w:rsidRDefault="00000000">
            <w:pPr>
              <w:jc w:val="center"/>
              <w:rPr>
                <w:sz w:val="16"/>
                <w:lang w:val="en-GB"/>
              </w:rPr>
            </w:pPr>
          </w:p>
        </w:tc>
        <w:tc>
          <w:tcPr>
            <w:tcW w:w="575" w:type="dxa"/>
            <w:tcBorders>
              <w:bottom w:val="single" w:sz="4" w:space="0" w:color="auto"/>
            </w:tcBorders>
            <w:vAlign w:val="center"/>
          </w:tcPr>
          <w:p w:rsidR="00000000" w:rsidRDefault="00000000">
            <w:pPr>
              <w:jc w:val="center"/>
              <w:rPr>
                <w:sz w:val="16"/>
                <w:lang w:val="en-GB"/>
              </w:rPr>
            </w:pPr>
          </w:p>
        </w:tc>
        <w:tc>
          <w:tcPr>
            <w:tcW w:w="575" w:type="dxa"/>
            <w:tcBorders>
              <w:bottom w:val="single" w:sz="4" w:space="0" w:color="auto"/>
              <w:right w:val="single" w:sz="4" w:space="0" w:color="auto"/>
            </w:tcBorders>
            <w:vAlign w:val="center"/>
          </w:tcPr>
          <w:p w:rsidR="00000000" w:rsidRDefault="00000000">
            <w:pPr>
              <w:jc w:val="center"/>
              <w:rPr>
                <w:sz w:val="16"/>
                <w:lang w:val="en-GB"/>
              </w:rPr>
            </w:pPr>
          </w:p>
        </w:tc>
        <w:tc>
          <w:tcPr>
            <w:tcW w:w="576" w:type="dxa"/>
            <w:tcBorders>
              <w:top w:val="single" w:sz="4" w:space="0" w:color="auto"/>
              <w:left w:val="single" w:sz="4" w:space="0" w:color="auto"/>
              <w:bottom w:val="single" w:sz="4" w:space="0" w:color="auto"/>
            </w:tcBorders>
            <w:vAlign w:val="center"/>
          </w:tcPr>
          <w:p w:rsidR="00000000" w:rsidRDefault="00000000">
            <w:pPr>
              <w:jc w:val="center"/>
              <w:rPr>
                <w:sz w:val="16"/>
                <w:lang w:val="en-GB"/>
              </w:rPr>
            </w:pPr>
          </w:p>
        </w:tc>
        <w:tc>
          <w:tcPr>
            <w:tcW w:w="576" w:type="dxa"/>
            <w:tcBorders>
              <w:top w:val="single" w:sz="4" w:space="0" w:color="auto"/>
              <w:bottom w:val="single" w:sz="4" w:space="0" w:color="auto"/>
            </w:tcBorders>
            <w:vAlign w:val="center"/>
          </w:tcPr>
          <w:p w:rsidR="00000000" w:rsidRDefault="00000000">
            <w:pPr>
              <w:jc w:val="center"/>
              <w:rPr>
                <w:sz w:val="16"/>
                <w:lang w:val="en-GB"/>
              </w:rPr>
            </w:pPr>
          </w:p>
        </w:tc>
        <w:tc>
          <w:tcPr>
            <w:tcW w:w="576" w:type="dxa"/>
            <w:tcBorders>
              <w:top w:val="single" w:sz="4" w:space="0" w:color="auto"/>
            </w:tcBorders>
            <w:vAlign w:val="center"/>
          </w:tcPr>
          <w:p w:rsidR="00000000" w:rsidRDefault="00000000">
            <w:pPr>
              <w:jc w:val="center"/>
              <w:rPr>
                <w:sz w:val="16"/>
                <w:lang w:val="en-GB"/>
              </w:rPr>
            </w:pPr>
          </w:p>
        </w:tc>
        <w:tc>
          <w:tcPr>
            <w:tcW w:w="576" w:type="dxa"/>
            <w:tcBorders>
              <w:top w:val="single" w:sz="4" w:space="0" w:color="auto"/>
            </w:tcBorders>
            <w:vAlign w:val="center"/>
          </w:tcPr>
          <w:p w:rsidR="00000000" w:rsidRDefault="00000000">
            <w:pPr>
              <w:jc w:val="center"/>
              <w:rPr>
                <w:sz w:val="16"/>
                <w:lang w:val="en-GB"/>
              </w:rPr>
            </w:pPr>
          </w:p>
        </w:tc>
        <w:tc>
          <w:tcPr>
            <w:tcW w:w="576" w:type="dxa"/>
            <w:tcBorders>
              <w:top w:val="single" w:sz="4" w:space="0" w:color="auto"/>
            </w:tcBorders>
            <w:vAlign w:val="center"/>
          </w:tcPr>
          <w:p w:rsidR="00000000" w:rsidRDefault="00000000">
            <w:pPr>
              <w:jc w:val="center"/>
              <w:rPr>
                <w:sz w:val="16"/>
                <w:lang w:val="en-GB"/>
              </w:rPr>
            </w:pPr>
          </w:p>
        </w:tc>
        <w:tc>
          <w:tcPr>
            <w:tcW w:w="576" w:type="dxa"/>
            <w:tcBorders>
              <w:top w:val="single" w:sz="4" w:space="0" w:color="auto"/>
            </w:tcBorders>
            <w:vAlign w:val="center"/>
          </w:tcPr>
          <w:p w:rsidR="00000000" w:rsidRDefault="00000000">
            <w:pPr>
              <w:jc w:val="center"/>
              <w:rPr>
                <w:sz w:val="16"/>
                <w:lang w:val="en-GB"/>
              </w:rPr>
            </w:pPr>
          </w:p>
        </w:tc>
        <w:tc>
          <w:tcPr>
            <w:tcW w:w="576" w:type="dxa"/>
            <w:tcBorders>
              <w:top w:val="single" w:sz="4" w:space="0" w:color="auto"/>
              <w:bottom w:val="single" w:sz="4" w:space="0" w:color="auto"/>
            </w:tcBorders>
            <w:vAlign w:val="center"/>
          </w:tcPr>
          <w:p w:rsidR="00000000" w:rsidRDefault="00000000">
            <w:pPr>
              <w:jc w:val="center"/>
              <w:rPr>
                <w:sz w:val="16"/>
                <w:lang w:val="en-GB"/>
              </w:rPr>
            </w:pPr>
          </w:p>
        </w:tc>
        <w:tc>
          <w:tcPr>
            <w:tcW w:w="576" w:type="dxa"/>
            <w:tcBorders>
              <w:top w:val="single" w:sz="4" w:space="0" w:color="auto"/>
              <w:bottom w:val="single" w:sz="4" w:space="0" w:color="auto"/>
              <w:right w:val="single" w:sz="4" w:space="0" w:color="auto"/>
            </w:tcBorders>
            <w:vAlign w:val="center"/>
          </w:tcPr>
          <w:p w:rsidR="00000000" w:rsidRDefault="00000000">
            <w:pPr>
              <w:jc w:val="center"/>
              <w:rPr>
                <w:sz w:val="16"/>
                <w:lang w:val="en-GB"/>
              </w:rPr>
            </w:pPr>
          </w:p>
        </w:tc>
        <w:tc>
          <w:tcPr>
            <w:tcW w:w="576" w:type="dxa"/>
            <w:tcBorders>
              <w:left w:val="single" w:sz="4" w:space="0" w:color="auto"/>
              <w:bottom w:val="single" w:sz="4" w:space="0" w:color="auto"/>
            </w:tcBorders>
            <w:vAlign w:val="center"/>
          </w:tcPr>
          <w:p w:rsidR="00000000" w:rsidRDefault="00000000">
            <w:pPr>
              <w:jc w:val="center"/>
              <w:rPr>
                <w:sz w:val="16"/>
                <w:lang w:val="en-GB"/>
              </w:rPr>
            </w:pPr>
          </w:p>
        </w:tc>
        <w:tc>
          <w:tcPr>
            <w:tcW w:w="576" w:type="dxa"/>
            <w:gridSpan w:val="2"/>
            <w:tcBorders>
              <w:bottom w:val="single" w:sz="4" w:space="0" w:color="auto"/>
            </w:tcBorders>
            <w:vAlign w:val="center"/>
          </w:tcPr>
          <w:p w:rsidR="00000000" w:rsidRDefault="00000000">
            <w:pPr>
              <w:jc w:val="center"/>
              <w:rPr>
                <w:sz w:val="16"/>
                <w:lang w:val="en-GB"/>
              </w:rPr>
            </w:pPr>
          </w:p>
        </w:tc>
        <w:tc>
          <w:tcPr>
            <w:tcW w:w="576" w:type="dxa"/>
            <w:tcBorders>
              <w:bottom w:val="single" w:sz="4" w:space="0" w:color="auto"/>
            </w:tcBorders>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r>
      <w:tr w:rsidR="00000000">
        <w:trPr>
          <w:cantSplit/>
          <w:jc w:val="center"/>
        </w:trPr>
        <w:tc>
          <w:tcPr>
            <w:tcW w:w="575" w:type="dxa"/>
            <w:tcBorders>
              <w:right w:val="single" w:sz="4" w:space="0" w:color="auto"/>
            </w:tcBorders>
            <w:vAlign w:val="center"/>
          </w:tcPr>
          <w:p w:rsidR="00000000" w:rsidRDefault="00000000">
            <w:pPr>
              <w:jc w:val="center"/>
              <w:rPr>
                <w:sz w:val="16"/>
                <w:lang w:val="en-GB"/>
              </w:rPr>
            </w:pPr>
          </w:p>
        </w:tc>
        <w:tc>
          <w:tcPr>
            <w:tcW w:w="2877" w:type="dxa"/>
            <w:gridSpan w:val="5"/>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lang w:val="en-GB"/>
              </w:rPr>
            </w:pPr>
            <w:r>
              <w:rPr>
                <w:sz w:val="16"/>
                <w:lang w:val="en-GB"/>
              </w:rPr>
              <w:t>Office of the Deputy Minister</w:t>
            </w:r>
            <w:r>
              <w:rPr>
                <w:sz w:val="16"/>
                <w:lang w:val="en-GB"/>
              </w:rPr>
              <w:br/>
              <w:t>for Women</w:t>
            </w:r>
          </w:p>
        </w:tc>
        <w:tc>
          <w:tcPr>
            <w:tcW w:w="576" w:type="dxa"/>
            <w:tcBorders>
              <w:left w:val="single" w:sz="4" w:space="0" w:color="auto"/>
              <w:bottom w:val="single" w:sz="4" w:space="0" w:color="auto"/>
            </w:tcBorders>
            <w:vAlign w:val="center"/>
          </w:tcPr>
          <w:p w:rsidR="00000000" w:rsidRDefault="00000000">
            <w:pPr>
              <w:jc w:val="center"/>
              <w:rPr>
                <w:sz w:val="16"/>
                <w:lang w:val="en-GB"/>
              </w:rPr>
            </w:pPr>
          </w:p>
        </w:tc>
        <w:tc>
          <w:tcPr>
            <w:tcW w:w="576" w:type="dxa"/>
            <w:tcBorders>
              <w:bottom w:val="single" w:sz="4" w:space="0" w:color="auto"/>
            </w:tcBorders>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tcBorders>
              <w:right w:val="single" w:sz="4" w:space="0" w:color="auto"/>
            </w:tcBorders>
            <w:vAlign w:val="center"/>
          </w:tcPr>
          <w:p w:rsidR="00000000" w:rsidRDefault="00000000">
            <w:pPr>
              <w:jc w:val="center"/>
              <w:rPr>
                <w:sz w:val="16"/>
                <w:lang w:val="en-GB"/>
              </w:rPr>
            </w:pPr>
          </w:p>
        </w:tc>
        <w:tc>
          <w:tcPr>
            <w:tcW w:w="2880" w:type="dxa"/>
            <w:gridSpan w:val="6"/>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lang w:val="en-GB"/>
              </w:rPr>
            </w:pPr>
            <w:r>
              <w:rPr>
                <w:sz w:val="16"/>
                <w:lang w:val="en-GB"/>
              </w:rPr>
              <w:t>Office of the Deputy Minister for Social Development</w:t>
            </w:r>
          </w:p>
        </w:tc>
        <w:tc>
          <w:tcPr>
            <w:tcW w:w="576" w:type="dxa"/>
            <w:tcBorders>
              <w:left w:val="single" w:sz="4" w:space="0" w:color="auto"/>
            </w:tcBorders>
            <w:vAlign w:val="center"/>
          </w:tcPr>
          <w:p w:rsidR="00000000" w:rsidRDefault="00000000">
            <w:pPr>
              <w:jc w:val="center"/>
              <w:rPr>
                <w:sz w:val="16"/>
                <w:lang w:val="en-GB"/>
              </w:rPr>
            </w:pPr>
          </w:p>
        </w:tc>
      </w:tr>
      <w:tr w:rsidR="00000000">
        <w:trPr>
          <w:cantSplit/>
          <w:jc w:val="center"/>
        </w:trPr>
        <w:tc>
          <w:tcPr>
            <w:tcW w:w="575" w:type="dxa"/>
            <w:tcBorders>
              <w:right w:val="single" w:sz="4" w:space="0" w:color="auto"/>
            </w:tcBorders>
            <w:vAlign w:val="center"/>
          </w:tcPr>
          <w:p w:rsidR="00000000" w:rsidRDefault="00000000">
            <w:pPr>
              <w:jc w:val="center"/>
              <w:rPr>
                <w:sz w:val="16"/>
                <w:lang w:val="en-GB"/>
              </w:rPr>
            </w:pPr>
            <w:r>
              <w:rPr>
                <w:noProof/>
                <w:sz w:val="20"/>
                <w:lang w:eastAsia="fr-FR"/>
              </w:rPr>
              <w:pict>
                <v:line id="_x0000_s1060" style="position:absolute;left:0;text-align:left;z-index:16;mso-position-horizontal-relative:text;mso-position-vertical-relative:text" from="-19.55pt,-2pt" to="25.45pt,-2pt">
                  <v:stroke dashstyle="1 1" endcap="round"/>
                </v:line>
              </w:pict>
            </w:r>
            <w:r>
              <w:rPr>
                <w:noProof/>
                <w:sz w:val="20"/>
                <w:lang w:eastAsia="fr-FR"/>
              </w:rPr>
              <w:pict>
                <v:line id="_x0000_s1059" style="position:absolute;left:0;text-align:left;flip:y;z-index:15;mso-position-horizontal-relative:text;mso-position-vertical-relative:text" from="-19.55pt,-2pt" to="-19.55pt,133pt">
                  <v:stroke dashstyle="1 1" endcap="round"/>
                </v:line>
              </w:pict>
            </w:r>
          </w:p>
        </w:tc>
        <w:tc>
          <w:tcPr>
            <w:tcW w:w="2877" w:type="dxa"/>
            <w:gridSpan w:val="5"/>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lang w:val="en-GB"/>
              </w:rPr>
            </w:pPr>
          </w:p>
        </w:tc>
        <w:tc>
          <w:tcPr>
            <w:tcW w:w="576" w:type="dxa"/>
            <w:tcBorders>
              <w:top w:val="single" w:sz="4" w:space="0" w:color="auto"/>
              <w:left w:val="single" w:sz="4" w:space="0" w:color="auto"/>
            </w:tcBorders>
            <w:vAlign w:val="center"/>
          </w:tcPr>
          <w:p w:rsidR="00000000" w:rsidRDefault="00000000">
            <w:pPr>
              <w:jc w:val="center"/>
              <w:rPr>
                <w:sz w:val="16"/>
                <w:lang w:val="en-GB"/>
              </w:rPr>
            </w:pPr>
          </w:p>
        </w:tc>
        <w:tc>
          <w:tcPr>
            <w:tcW w:w="576" w:type="dxa"/>
            <w:tcBorders>
              <w:top w:val="single" w:sz="4" w:space="0" w:color="auto"/>
              <w:right w:val="single" w:sz="4" w:space="0" w:color="auto"/>
            </w:tcBorders>
            <w:vAlign w:val="center"/>
          </w:tcPr>
          <w:p w:rsidR="00000000" w:rsidRDefault="00000000">
            <w:pPr>
              <w:jc w:val="center"/>
              <w:rPr>
                <w:sz w:val="16"/>
                <w:lang w:val="en-GB"/>
              </w:rPr>
            </w:pPr>
          </w:p>
        </w:tc>
        <w:tc>
          <w:tcPr>
            <w:tcW w:w="576" w:type="dxa"/>
            <w:tcBorders>
              <w:left w:val="single" w:sz="4" w:space="0" w:color="auto"/>
            </w:tcBorders>
            <w:vAlign w:val="center"/>
          </w:tcPr>
          <w:p w:rsidR="00000000" w:rsidRDefault="00000000">
            <w:pPr>
              <w:jc w:val="center"/>
              <w:rPr>
                <w:sz w:val="16"/>
                <w:lang w:val="en-GB"/>
              </w:rPr>
            </w:pPr>
          </w:p>
        </w:tc>
        <w:tc>
          <w:tcPr>
            <w:tcW w:w="576" w:type="dxa"/>
            <w:tcBorders>
              <w:right w:val="single" w:sz="4" w:space="0" w:color="auto"/>
            </w:tcBorders>
            <w:vAlign w:val="center"/>
          </w:tcPr>
          <w:p w:rsidR="00000000" w:rsidRDefault="00000000">
            <w:pPr>
              <w:jc w:val="center"/>
              <w:rPr>
                <w:sz w:val="16"/>
                <w:lang w:val="en-GB"/>
              </w:rPr>
            </w:pPr>
          </w:p>
        </w:tc>
        <w:tc>
          <w:tcPr>
            <w:tcW w:w="2880" w:type="dxa"/>
            <w:gridSpan w:val="6"/>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lang w:val="en-GB"/>
              </w:rPr>
            </w:pPr>
          </w:p>
        </w:tc>
        <w:tc>
          <w:tcPr>
            <w:tcW w:w="576" w:type="dxa"/>
            <w:tcBorders>
              <w:left w:val="single" w:sz="4" w:space="0" w:color="auto"/>
            </w:tcBorders>
            <w:vAlign w:val="center"/>
          </w:tcPr>
          <w:p w:rsidR="00000000" w:rsidRDefault="00000000">
            <w:pPr>
              <w:jc w:val="center"/>
              <w:rPr>
                <w:sz w:val="16"/>
                <w:lang w:val="en-GB"/>
              </w:rPr>
            </w:pPr>
            <w:r>
              <w:rPr>
                <w:noProof/>
                <w:sz w:val="20"/>
                <w:lang w:eastAsia="fr-FR"/>
              </w:rPr>
              <w:pict>
                <v:line id="_x0000_s1121" style="position:absolute;left:0;text-align:left;z-index:52;mso-position-horizontal-relative:text;mso-position-vertical-relative:text" from="52.5pt,-1.75pt" to="52.5pt,168.35pt">
                  <v:stroke dashstyle="1 1" endcap="round"/>
                </v:line>
              </w:pict>
            </w:r>
            <w:r>
              <w:rPr>
                <w:noProof/>
                <w:sz w:val="20"/>
                <w:lang w:eastAsia="fr-FR"/>
              </w:rPr>
              <w:pict>
                <v:line id="_x0000_s1126" style="position:absolute;left:0;text-align:left;z-index:57;mso-position-horizontal-relative:text;mso-position-vertical-relative:text" from="-1.5pt,-1.75pt" to="52.5pt,-1.75pt">
                  <v:stroke dashstyle="1 1" endcap="round"/>
                </v:line>
              </w:pict>
            </w:r>
          </w:p>
        </w:tc>
      </w:tr>
      <w:tr w:rsidR="00000000">
        <w:trPr>
          <w:jc w:val="center"/>
        </w:trPr>
        <w:tc>
          <w:tcPr>
            <w:tcW w:w="575" w:type="dxa"/>
            <w:tcBorders>
              <w:bottom w:val="single" w:sz="4" w:space="0" w:color="auto"/>
            </w:tcBorders>
            <w:vAlign w:val="center"/>
          </w:tcPr>
          <w:p w:rsidR="00000000" w:rsidRDefault="00000000">
            <w:pPr>
              <w:jc w:val="center"/>
              <w:rPr>
                <w:sz w:val="16"/>
                <w:lang w:val="en-GB"/>
              </w:rPr>
            </w:pPr>
            <w:r>
              <w:rPr>
                <w:noProof/>
                <w:sz w:val="16"/>
              </w:rPr>
              <w:pict>
                <v:line id="_x0000_s1053" style="position:absolute;left:0;text-align:left;z-index:9;mso-position-horizontal-relative:text;mso-position-vertical-relative:text" from="17.85pt,3.4pt" to="17.85pt,10.75pt"/>
              </w:pict>
            </w:r>
            <w:r>
              <w:rPr>
                <w:noProof/>
                <w:sz w:val="16"/>
              </w:rPr>
              <w:pict>
                <v:line id="_x0000_s1052" style="position:absolute;left:0;text-align:left;z-index:8;mso-position-horizontal-relative:text;mso-position-vertical-relative:text" from="18pt,2.55pt" to="153pt,2.55pt"/>
              </w:pict>
            </w:r>
          </w:p>
        </w:tc>
        <w:tc>
          <w:tcPr>
            <w:tcW w:w="575" w:type="dxa"/>
            <w:tcBorders>
              <w:top w:val="single" w:sz="4" w:space="0" w:color="auto"/>
              <w:bottom w:val="single" w:sz="4" w:space="0" w:color="auto"/>
            </w:tcBorders>
            <w:vAlign w:val="center"/>
          </w:tcPr>
          <w:p w:rsidR="00000000" w:rsidRDefault="00000000">
            <w:pPr>
              <w:jc w:val="center"/>
              <w:rPr>
                <w:sz w:val="16"/>
                <w:lang w:val="en-GB"/>
              </w:rPr>
            </w:pPr>
          </w:p>
        </w:tc>
        <w:tc>
          <w:tcPr>
            <w:tcW w:w="575" w:type="dxa"/>
            <w:tcBorders>
              <w:top w:val="single" w:sz="4" w:space="0" w:color="auto"/>
              <w:bottom w:val="single" w:sz="4" w:space="0" w:color="auto"/>
            </w:tcBorders>
            <w:vAlign w:val="center"/>
          </w:tcPr>
          <w:p w:rsidR="00000000" w:rsidRDefault="00000000">
            <w:pPr>
              <w:jc w:val="center"/>
              <w:rPr>
                <w:sz w:val="16"/>
                <w:lang w:val="en-GB"/>
              </w:rPr>
            </w:pPr>
          </w:p>
        </w:tc>
        <w:tc>
          <w:tcPr>
            <w:tcW w:w="575" w:type="dxa"/>
            <w:tcBorders>
              <w:top w:val="single" w:sz="4" w:space="0" w:color="auto"/>
              <w:bottom w:val="single" w:sz="4" w:space="0" w:color="auto"/>
            </w:tcBorders>
            <w:vAlign w:val="center"/>
          </w:tcPr>
          <w:p w:rsidR="00000000" w:rsidRDefault="00000000">
            <w:pPr>
              <w:jc w:val="center"/>
              <w:rPr>
                <w:sz w:val="16"/>
                <w:lang w:val="en-GB"/>
              </w:rPr>
            </w:pPr>
            <w:r>
              <w:rPr>
                <w:noProof/>
                <w:sz w:val="20"/>
                <w:lang w:eastAsia="fr-FR"/>
              </w:rPr>
              <w:pict>
                <v:line id="_x0000_s1124" style="position:absolute;left:0;text-align:left;z-index:55;mso-position-horizontal-relative:text;mso-position-vertical-relative:text" from="2.05pt,-1.75pt" to="2.05pt,10.7pt"/>
              </w:pict>
            </w:r>
          </w:p>
        </w:tc>
        <w:tc>
          <w:tcPr>
            <w:tcW w:w="576" w:type="dxa"/>
            <w:tcBorders>
              <w:top w:val="single" w:sz="4" w:space="0" w:color="auto"/>
              <w:bottom w:val="single" w:sz="4" w:space="0" w:color="auto"/>
            </w:tcBorders>
            <w:vAlign w:val="center"/>
          </w:tcPr>
          <w:p w:rsidR="00000000" w:rsidRDefault="00000000">
            <w:pPr>
              <w:jc w:val="center"/>
              <w:rPr>
                <w:sz w:val="16"/>
                <w:lang w:val="en-GB"/>
              </w:rPr>
            </w:pPr>
          </w:p>
        </w:tc>
        <w:tc>
          <w:tcPr>
            <w:tcW w:w="576" w:type="dxa"/>
            <w:tcBorders>
              <w:top w:val="single" w:sz="4" w:space="0" w:color="auto"/>
              <w:bottom w:val="single" w:sz="4" w:space="0" w:color="auto"/>
            </w:tcBorders>
            <w:vAlign w:val="center"/>
          </w:tcPr>
          <w:p w:rsidR="00000000" w:rsidRDefault="00000000">
            <w:pPr>
              <w:jc w:val="center"/>
              <w:rPr>
                <w:sz w:val="16"/>
                <w:lang w:val="en-GB"/>
              </w:rPr>
            </w:pPr>
            <w:r>
              <w:rPr>
                <w:noProof/>
                <w:sz w:val="16"/>
              </w:rPr>
              <w:pict>
                <v:line id="_x0000_s1054" style="position:absolute;left:0;text-align:left;z-index:10;mso-position-horizontal-relative:text;mso-position-vertical-relative:text" from="9.05pt,3.5pt" to="9.05pt,10.85pt"/>
              </w:pict>
            </w:r>
          </w:p>
        </w:tc>
        <w:tc>
          <w:tcPr>
            <w:tcW w:w="576" w:type="dxa"/>
            <w:vAlign w:val="center"/>
          </w:tcPr>
          <w:p w:rsidR="00000000" w:rsidRDefault="00000000">
            <w:pPr>
              <w:jc w:val="center"/>
              <w:rPr>
                <w:sz w:val="16"/>
                <w:lang w:val="en-GB"/>
              </w:rPr>
            </w:pPr>
          </w:p>
        </w:tc>
        <w:tc>
          <w:tcPr>
            <w:tcW w:w="576" w:type="dxa"/>
            <w:tcBorders>
              <w:right w:val="single" w:sz="4" w:space="0" w:color="auto"/>
            </w:tcBorders>
            <w:vAlign w:val="center"/>
          </w:tcPr>
          <w:p w:rsidR="00000000" w:rsidRDefault="00000000">
            <w:pPr>
              <w:jc w:val="center"/>
              <w:rPr>
                <w:sz w:val="16"/>
                <w:lang w:val="en-GB"/>
              </w:rPr>
            </w:pPr>
          </w:p>
        </w:tc>
        <w:tc>
          <w:tcPr>
            <w:tcW w:w="576" w:type="dxa"/>
            <w:tcBorders>
              <w:left w:val="single" w:sz="4" w:space="0" w:color="auto"/>
            </w:tcBorders>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tcBorders>
              <w:top w:val="single" w:sz="4" w:space="0" w:color="auto"/>
              <w:bottom w:val="single" w:sz="4" w:space="0" w:color="auto"/>
            </w:tcBorders>
            <w:vAlign w:val="center"/>
          </w:tcPr>
          <w:p w:rsidR="00000000" w:rsidRDefault="00000000">
            <w:pPr>
              <w:jc w:val="center"/>
              <w:rPr>
                <w:sz w:val="16"/>
                <w:lang w:val="en-GB"/>
              </w:rPr>
            </w:pPr>
            <w:r>
              <w:rPr>
                <w:noProof/>
                <w:sz w:val="16"/>
              </w:rPr>
              <w:pict>
                <v:line id="_x0000_s1056" style="position:absolute;left:0;text-align:left;z-index:12;mso-position-horizontal-relative:text;mso-position-vertical-relative:text" from="19.05pt,3.5pt" to="19.05pt,10.85pt"/>
              </w:pict>
            </w:r>
            <w:r>
              <w:rPr>
                <w:noProof/>
                <w:sz w:val="16"/>
              </w:rPr>
              <w:pict>
                <v:line id="_x0000_s1055" style="position:absolute;left:0;text-align:left;z-index:11;mso-position-horizontal-relative:text;mso-position-vertical-relative:text" from="18.2pt,3.5pt" to="153.2pt,3.5pt"/>
              </w:pict>
            </w:r>
          </w:p>
        </w:tc>
        <w:tc>
          <w:tcPr>
            <w:tcW w:w="576" w:type="dxa"/>
            <w:tcBorders>
              <w:top w:val="single" w:sz="4" w:space="0" w:color="auto"/>
              <w:bottom w:val="single" w:sz="4" w:space="0" w:color="auto"/>
            </w:tcBorders>
            <w:vAlign w:val="center"/>
          </w:tcPr>
          <w:p w:rsidR="00000000" w:rsidRDefault="00000000">
            <w:pPr>
              <w:jc w:val="center"/>
              <w:rPr>
                <w:sz w:val="16"/>
                <w:lang w:val="en-GB"/>
              </w:rPr>
            </w:pPr>
          </w:p>
        </w:tc>
        <w:tc>
          <w:tcPr>
            <w:tcW w:w="576" w:type="dxa"/>
            <w:tcBorders>
              <w:top w:val="single" w:sz="4" w:space="0" w:color="auto"/>
              <w:bottom w:val="single" w:sz="4" w:space="0" w:color="auto"/>
            </w:tcBorders>
            <w:vAlign w:val="center"/>
          </w:tcPr>
          <w:p w:rsidR="00000000" w:rsidRDefault="00000000">
            <w:pPr>
              <w:jc w:val="center"/>
              <w:rPr>
                <w:sz w:val="16"/>
                <w:lang w:val="en-GB"/>
              </w:rPr>
            </w:pPr>
            <w:r>
              <w:rPr>
                <w:noProof/>
                <w:sz w:val="20"/>
                <w:lang w:eastAsia="fr-FR"/>
              </w:rPr>
              <w:pict>
                <v:line id="_x0000_s1125" style="position:absolute;left:0;text-align:left;z-index:56;mso-position-horizontal-relative:text;mso-position-vertical-relative:text" from="21.9pt,-1.75pt" to="21.9pt,10.7pt"/>
              </w:pict>
            </w:r>
          </w:p>
        </w:tc>
        <w:tc>
          <w:tcPr>
            <w:tcW w:w="506" w:type="dxa"/>
            <w:tcBorders>
              <w:top w:val="single" w:sz="4" w:space="0" w:color="auto"/>
              <w:bottom w:val="single" w:sz="4" w:space="0" w:color="auto"/>
            </w:tcBorders>
            <w:vAlign w:val="center"/>
          </w:tcPr>
          <w:p w:rsidR="00000000" w:rsidRDefault="00000000">
            <w:pPr>
              <w:jc w:val="center"/>
              <w:rPr>
                <w:sz w:val="16"/>
                <w:lang w:val="en-GB"/>
              </w:rPr>
            </w:pPr>
          </w:p>
        </w:tc>
        <w:tc>
          <w:tcPr>
            <w:tcW w:w="646" w:type="dxa"/>
            <w:gridSpan w:val="2"/>
            <w:tcBorders>
              <w:top w:val="single" w:sz="4" w:space="0" w:color="auto"/>
              <w:bottom w:val="single" w:sz="4" w:space="0" w:color="auto"/>
            </w:tcBorders>
            <w:vAlign w:val="center"/>
          </w:tcPr>
          <w:p w:rsidR="00000000" w:rsidRDefault="00000000">
            <w:pPr>
              <w:jc w:val="center"/>
              <w:rPr>
                <w:sz w:val="16"/>
                <w:lang w:val="en-GB"/>
              </w:rPr>
            </w:pPr>
          </w:p>
        </w:tc>
        <w:tc>
          <w:tcPr>
            <w:tcW w:w="576" w:type="dxa"/>
            <w:tcBorders>
              <w:bottom w:val="single" w:sz="4" w:space="0" w:color="auto"/>
            </w:tcBorders>
            <w:vAlign w:val="center"/>
          </w:tcPr>
          <w:p w:rsidR="00000000" w:rsidRDefault="00000000">
            <w:pPr>
              <w:jc w:val="center"/>
              <w:rPr>
                <w:sz w:val="16"/>
                <w:lang w:val="en-GB"/>
              </w:rPr>
            </w:pPr>
            <w:r>
              <w:rPr>
                <w:noProof/>
                <w:sz w:val="16"/>
              </w:rPr>
              <w:pict>
                <v:line id="_x0000_s1057" style="position:absolute;left:0;text-align:left;z-index:13;mso-position-horizontal-relative:text;mso-position-vertical-relative:text" from="9.2pt,2.75pt" to="9.2pt,10.1pt"/>
              </w:pict>
            </w:r>
          </w:p>
        </w:tc>
      </w:tr>
      <w:tr w:rsidR="00000000">
        <w:trPr>
          <w:cantSplit/>
          <w:jc w:val="center"/>
        </w:trPr>
        <w:tc>
          <w:tcPr>
            <w:tcW w:w="1150" w:type="dxa"/>
            <w:gridSpan w:val="2"/>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lang w:val="en-GB"/>
              </w:rPr>
            </w:pPr>
            <w:r>
              <w:rPr>
                <w:sz w:val="16"/>
                <w:lang w:val="en-GB"/>
              </w:rPr>
              <w:t>Department for the Advancement of Women</w:t>
            </w:r>
          </w:p>
        </w:tc>
        <w:tc>
          <w:tcPr>
            <w:tcW w:w="1150" w:type="dxa"/>
            <w:gridSpan w:val="2"/>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lang w:val="en-GB"/>
              </w:rPr>
            </w:pPr>
            <w:r>
              <w:rPr>
                <w:sz w:val="16"/>
                <w:lang w:val="en-GB"/>
              </w:rPr>
              <w:t>Department for Children and Adolescents</w:t>
            </w:r>
          </w:p>
        </w:tc>
        <w:tc>
          <w:tcPr>
            <w:tcW w:w="1152" w:type="dxa"/>
            <w:gridSpan w:val="2"/>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lang w:val="en-GB"/>
              </w:rPr>
            </w:pPr>
            <w:r>
              <w:rPr>
                <w:sz w:val="16"/>
                <w:lang w:val="en-GB"/>
              </w:rPr>
              <w:t>Department for the Elderly</w:t>
            </w:r>
          </w:p>
        </w:tc>
        <w:tc>
          <w:tcPr>
            <w:tcW w:w="576" w:type="dxa"/>
            <w:tcBorders>
              <w:left w:val="single" w:sz="4" w:space="0" w:color="auto"/>
            </w:tcBorders>
            <w:vAlign w:val="center"/>
          </w:tcPr>
          <w:p w:rsidR="00000000" w:rsidRDefault="00000000">
            <w:pPr>
              <w:jc w:val="center"/>
              <w:rPr>
                <w:sz w:val="16"/>
                <w:lang w:val="en-GB"/>
              </w:rPr>
            </w:pPr>
          </w:p>
        </w:tc>
        <w:tc>
          <w:tcPr>
            <w:tcW w:w="576" w:type="dxa"/>
            <w:tcBorders>
              <w:right w:val="single" w:sz="4" w:space="0" w:color="auto"/>
            </w:tcBorders>
            <w:vAlign w:val="center"/>
          </w:tcPr>
          <w:p w:rsidR="00000000" w:rsidRDefault="00000000">
            <w:pPr>
              <w:jc w:val="center"/>
              <w:rPr>
                <w:sz w:val="16"/>
                <w:lang w:val="en-GB"/>
              </w:rPr>
            </w:pPr>
          </w:p>
        </w:tc>
        <w:tc>
          <w:tcPr>
            <w:tcW w:w="576" w:type="dxa"/>
            <w:tcBorders>
              <w:left w:val="single" w:sz="4" w:space="0" w:color="auto"/>
            </w:tcBorders>
            <w:vAlign w:val="center"/>
          </w:tcPr>
          <w:p w:rsidR="00000000" w:rsidRDefault="00000000">
            <w:pPr>
              <w:jc w:val="center"/>
              <w:rPr>
                <w:sz w:val="16"/>
                <w:lang w:val="en-GB"/>
              </w:rPr>
            </w:pPr>
          </w:p>
        </w:tc>
        <w:tc>
          <w:tcPr>
            <w:tcW w:w="576" w:type="dxa"/>
            <w:tcBorders>
              <w:right w:val="single" w:sz="4" w:space="0" w:color="auto"/>
            </w:tcBorders>
            <w:vAlign w:val="center"/>
          </w:tcPr>
          <w:p w:rsidR="00000000" w:rsidRDefault="00000000">
            <w:pPr>
              <w:jc w:val="center"/>
              <w:rPr>
                <w:sz w:val="16"/>
                <w:lang w:val="en-GB"/>
              </w:rPr>
            </w:pPr>
          </w:p>
        </w:tc>
        <w:tc>
          <w:tcPr>
            <w:tcW w:w="1152" w:type="dxa"/>
            <w:gridSpan w:val="2"/>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lang w:val="en-GB"/>
              </w:rPr>
            </w:pPr>
            <w:r>
              <w:rPr>
                <w:sz w:val="16"/>
                <w:lang w:val="en-GB"/>
              </w:rPr>
              <w:t>Department for Social Investment</w:t>
            </w:r>
          </w:p>
        </w:tc>
        <w:tc>
          <w:tcPr>
            <w:tcW w:w="1082" w:type="dxa"/>
            <w:gridSpan w:val="2"/>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lang w:val="en-GB"/>
              </w:rPr>
            </w:pPr>
            <w:r>
              <w:rPr>
                <w:sz w:val="16"/>
                <w:lang w:val="en-GB"/>
              </w:rPr>
              <w:t>Department for Institution Building</w:t>
            </w:r>
          </w:p>
        </w:tc>
        <w:tc>
          <w:tcPr>
            <w:tcW w:w="1222" w:type="dxa"/>
            <w:gridSpan w:val="3"/>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lang w:val="en-GB"/>
              </w:rPr>
            </w:pPr>
            <w:r>
              <w:rPr>
                <w:sz w:val="16"/>
                <w:lang w:val="en-GB"/>
              </w:rPr>
              <w:t>Department for Decentalization, Negotiation and Participation</w:t>
            </w:r>
          </w:p>
        </w:tc>
      </w:tr>
      <w:tr w:rsidR="00000000">
        <w:trPr>
          <w:cantSplit/>
          <w:jc w:val="center"/>
        </w:trPr>
        <w:tc>
          <w:tcPr>
            <w:tcW w:w="1150" w:type="dxa"/>
            <w:gridSpan w:val="2"/>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lang w:val="en-GB"/>
              </w:rPr>
            </w:pPr>
          </w:p>
        </w:tc>
        <w:tc>
          <w:tcPr>
            <w:tcW w:w="1150" w:type="dxa"/>
            <w:gridSpan w:val="2"/>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lang w:val="en-GB"/>
              </w:rPr>
            </w:pPr>
          </w:p>
        </w:tc>
        <w:tc>
          <w:tcPr>
            <w:tcW w:w="1152" w:type="dxa"/>
            <w:gridSpan w:val="2"/>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lang w:val="en-GB"/>
              </w:rPr>
            </w:pPr>
          </w:p>
        </w:tc>
        <w:tc>
          <w:tcPr>
            <w:tcW w:w="576" w:type="dxa"/>
            <w:tcBorders>
              <w:left w:val="single" w:sz="4" w:space="0" w:color="auto"/>
            </w:tcBorders>
            <w:vAlign w:val="center"/>
          </w:tcPr>
          <w:p w:rsidR="00000000" w:rsidRDefault="00000000">
            <w:pPr>
              <w:jc w:val="center"/>
              <w:rPr>
                <w:sz w:val="16"/>
                <w:lang w:val="en-GB"/>
              </w:rPr>
            </w:pPr>
          </w:p>
        </w:tc>
        <w:tc>
          <w:tcPr>
            <w:tcW w:w="576" w:type="dxa"/>
            <w:tcBorders>
              <w:right w:val="single" w:sz="4" w:space="0" w:color="auto"/>
            </w:tcBorders>
            <w:vAlign w:val="center"/>
          </w:tcPr>
          <w:p w:rsidR="00000000" w:rsidRDefault="00000000">
            <w:pPr>
              <w:jc w:val="center"/>
              <w:rPr>
                <w:sz w:val="16"/>
                <w:lang w:val="en-GB"/>
              </w:rPr>
            </w:pPr>
          </w:p>
        </w:tc>
        <w:tc>
          <w:tcPr>
            <w:tcW w:w="576" w:type="dxa"/>
            <w:tcBorders>
              <w:left w:val="single" w:sz="4" w:space="0" w:color="auto"/>
            </w:tcBorders>
            <w:vAlign w:val="center"/>
          </w:tcPr>
          <w:p w:rsidR="00000000" w:rsidRDefault="00000000">
            <w:pPr>
              <w:jc w:val="center"/>
              <w:rPr>
                <w:sz w:val="16"/>
                <w:lang w:val="en-GB"/>
              </w:rPr>
            </w:pPr>
          </w:p>
        </w:tc>
        <w:tc>
          <w:tcPr>
            <w:tcW w:w="576" w:type="dxa"/>
            <w:tcBorders>
              <w:right w:val="single" w:sz="4" w:space="0" w:color="auto"/>
            </w:tcBorders>
            <w:vAlign w:val="center"/>
          </w:tcPr>
          <w:p w:rsidR="00000000" w:rsidRDefault="00000000">
            <w:pPr>
              <w:jc w:val="center"/>
              <w:rPr>
                <w:sz w:val="16"/>
                <w:lang w:val="en-GB"/>
              </w:rPr>
            </w:pPr>
          </w:p>
        </w:tc>
        <w:tc>
          <w:tcPr>
            <w:tcW w:w="1152" w:type="dxa"/>
            <w:gridSpan w:val="2"/>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lang w:val="en-GB"/>
              </w:rPr>
            </w:pPr>
          </w:p>
        </w:tc>
        <w:tc>
          <w:tcPr>
            <w:tcW w:w="1082" w:type="dxa"/>
            <w:gridSpan w:val="2"/>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lang w:val="en-GB"/>
              </w:rPr>
            </w:pPr>
          </w:p>
        </w:tc>
        <w:tc>
          <w:tcPr>
            <w:tcW w:w="1222" w:type="dxa"/>
            <w:gridSpan w:val="3"/>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lang w:val="en-GB"/>
              </w:rPr>
            </w:pPr>
          </w:p>
        </w:tc>
      </w:tr>
      <w:tr w:rsidR="00000000">
        <w:trPr>
          <w:jc w:val="center"/>
        </w:trPr>
        <w:tc>
          <w:tcPr>
            <w:tcW w:w="575" w:type="dxa"/>
            <w:tcBorders>
              <w:top w:val="single" w:sz="4" w:space="0" w:color="auto"/>
            </w:tcBorders>
            <w:vAlign w:val="center"/>
          </w:tcPr>
          <w:p w:rsidR="00000000" w:rsidRDefault="00000000">
            <w:pPr>
              <w:jc w:val="center"/>
              <w:rPr>
                <w:sz w:val="16"/>
                <w:lang w:val="en-GB"/>
              </w:rPr>
            </w:pPr>
          </w:p>
        </w:tc>
        <w:tc>
          <w:tcPr>
            <w:tcW w:w="575" w:type="dxa"/>
            <w:tcBorders>
              <w:top w:val="single" w:sz="4" w:space="0" w:color="auto"/>
            </w:tcBorders>
            <w:vAlign w:val="center"/>
          </w:tcPr>
          <w:p w:rsidR="00000000" w:rsidRDefault="00000000">
            <w:pPr>
              <w:jc w:val="center"/>
              <w:rPr>
                <w:sz w:val="16"/>
                <w:lang w:val="en-GB"/>
              </w:rPr>
            </w:pPr>
          </w:p>
        </w:tc>
        <w:tc>
          <w:tcPr>
            <w:tcW w:w="575" w:type="dxa"/>
            <w:tcBorders>
              <w:top w:val="single" w:sz="4" w:space="0" w:color="auto"/>
              <w:bottom w:val="dashSmallGap" w:sz="4" w:space="0" w:color="auto"/>
            </w:tcBorders>
            <w:vAlign w:val="center"/>
          </w:tcPr>
          <w:p w:rsidR="00000000" w:rsidRDefault="00000000">
            <w:pPr>
              <w:jc w:val="center"/>
              <w:rPr>
                <w:sz w:val="16"/>
                <w:lang w:val="en-GB"/>
              </w:rPr>
            </w:pPr>
          </w:p>
        </w:tc>
        <w:tc>
          <w:tcPr>
            <w:tcW w:w="575" w:type="dxa"/>
            <w:tcBorders>
              <w:top w:val="single" w:sz="4" w:space="0" w:color="auto"/>
              <w:bottom w:val="dashSmallGap" w:sz="4" w:space="0" w:color="auto"/>
            </w:tcBorders>
            <w:vAlign w:val="center"/>
          </w:tcPr>
          <w:p w:rsidR="00000000" w:rsidRDefault="00000000">
            <w:pPr>
              <w:jc w:val="center"/>
              <w:rPr>
                <w:sz w:val="16"/>
                <w:lang w:val="en-GB"/>
              </w:rPr>
            </w:pPr>
          </w:p>
        </w:tc>
        <w:tc>
          <w:tcPr>
            <w:tcW w:w="576" w:type="dxa"/>
            <w:tcBorders>
              <w:top w:val="single" w:sz="4" w:space="0" w:color="auto"/>
            </w:tcBorders>
            <w:vAlign w:val="center"/>
          </w:tcPr>
          <w:p w:rsidR="00000000" w:rsidRDefault="00000000">
            <w:pPr>
              <w:jc w:val="center"/>
              <w:rPr>
                <w:sz w:val="16"/>
                <w:lang w:val="en-GB"/>
              </w:rPr>
            </w:pPr>
          </w:p>
        </w:tc>
        <w:tc>
          <w:tcPr>
            <w:tcW w:w="576" w:type="dxa"/>
            <w:tcBorders>
              <w:top w:val="single" w:sz="4" w:space="0" w:color="auto"/>
            </w:tcBorders>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tcBorders>
              <w:right w:val="single" w:sz="4" w:space="0" w:color="auto"/>
            </w:tcBorders>
            <w:vAlign w:val="center"/>
          </w:tcPr>
          <w:p w:rsidR="00000000" w:rsidRDefault="00000000">
            <w:pPr>
              <w:jc w:val="center"/>
              <w:rPr>
                <w:sz w:val="16"/>
                <w:lang w:val="en-GB"/>
              </w:rPr>
            </w:pPr>
          </w:p>
        </w:tc>
        <w:tc>
          <w:tcPr>
            <w:tcW w:w="576" w:type="dxa"/>
            <w:tcBorders>
              <w:left w:val="single" w:sz="4" w:space="0" w:color="auto"/>
            </w:tcBorders>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tcBorders>
              <w:top w:val="single" w:sz="4" w:space="0" w:color="auto"/>
            </w:tcBorders>
            <w:vAlign w:val="center"/>
          </w:tcPr>
          <w:p w:rsidR="00000000" w:rsidRDefault="00000000">
            <w:pPr>
              <w:jc w:val="center"/>
              <w:rPr>
                <w:sz w:val="16"/>
                <w:lang w:val="en-GB"/>
              </w:rPr>
            </w:pPr>
          </w:p>
        </w:tc>
        <w:tc>
          <w:tcPr>
            <w:tcW w:w="576" w:type="dxa"/>
            <w:tcBorders>
              <w:top w:val="single" w:sz="4" w:space="0" w:color="auto"/>
            </w:tcBorders>
            <w:vAlign w:val="center"/>
          </w:tcPr>
          <w:p w:rsidR="00000000" w:rsidRDefault="00000000">
            <w:pPr>
              <w:jc w:val="center"/>
              <w:rPr>
                <w:sz w:val="16"/>
                <w:lang w:val="en-GB"/>
              </w:rPr>
            </w:pPr>
          </w:p>
        </w:tc>
        <w:tc>
          <w:tcPr>
            <w:tcW w:w="576" w:type="dxa"/>
            <w:tcBorders>
              <w:top w:val="single" w:sz="4" w:space="0" w:color="auto"/>
            </w:tcBorders>
            <w:vAlign w:val="center"/>
          </w:tcPr>
          <w:p w:rsidR="00000000" w:rsidRDefault="00000000">
            <w:pPr>
              <w:jc w:val="center"/>
              <w:rPr>
                <w:sz w:val="16"/>
                <w:lang w:val="en-GB"/>
              </w:rPr>
            </w:pPr>
          </w:p>
        </w:tc>
        <w:tc>
          <w:tcPr>
            <w:tcW w:w="506" w:type="dxa"/>
            <w:tcBorders>
              <w:top w:val="single" w:sz="4" w:space="0" w:color="auto"/>
            </w:tcBorders>
            <w:vAlign w:val="center"/>
          </w:tcPr>
          <w:p w:rsidR="00000000" w:rsidRDefault="00000000">
            <w:pPr>
              <w:jc w:val="center"/>
              <w:rPr>
                <w:sz w:val="16"/>
                <w:lang w:val="en-GB"/>
              </w:rPr>
            </w:pPr>
          </w:p>
        </w:tc>
        <w:tc>
          <w:tcPr>
            <w:tcW w:w="646" w:type="dxa"/>
            <w:gridSpan w:val="2"/>
            <w:tcBorders>
              <w:top w:val="single" w:sz="4" w:space="0" w:color="auto"/>
            </w:tcBorders>
            <w:vAlign w:val="center"/>
          </w:tcPr>
          <w:p w:rsidR="00000000" w:rsidRDefault="00000000">
            <w:pPr>
              <w:jc w:val="center"/>
              <w:rPr>
                <w:sz w:val="16"/>
                <w:lang w:val="en-GB"/>
              </w:rPr>
            </w:pPr>
            <w:r>
              <w:rPr>
                <w:noProof/>
                <w:sz w:val="20"/>
                <w:lang w:eastAsia="fr-FR"/>
              </w:rPr>
              <w:pict>
                <v:line id="_x0000_s1123" style="position:absolute;left:0;text-align:left;z-index:54;mso-position-horizontal-relative:text;mso-position-vertical-relative:text" from="12.8pt,.4pt" to="12.8pt,24.2pt">
                  <v:stroke dashstyle="1 1" endcap="round"/>
                </v:line>
              </w:pict>
            </w:r>
          </w:p>
        </w:tc>
        <w:tc>
          <w:tcPr>
            <w:tcW w:w="576" w:type="dxa"/>
            <w:tcBorders>
              <w:top w:val="single" w:sz="4" w:space="0" w:color="auto"/>
            </w:tcBorders>
            <w:vAlign w:val="center"/>
          </w:tcPr>
          <w:p w:rsidR="00000000" w:rsidRDefault="00000000">
            <w:pPr>
              <w:jc w:val="center"/>
              <w:rPr>
                <w:sz w:val="16"/>
                <w:lang w:val="en-GB"/>
              </w:rPr>
            </w:pPr>
          </w:p>
        </w:tc>
      </w:tr>
      <w:tr w:rsidR="00000000">
        <w:trPr>
          <w:cantSplit/>
          <w:jc w:val="center"/>
        </w:trPr>
        <w:tc>
          <w:tcPr>
            <w:tcW w:w="575" w:type="dxa"/>
            <w:vAlign w:val="center"/>
          </w:tcPr>
          <w:p w:rsidR="00000000" w:rsidRDefault="00000000">
            <w:pPr>
              <w:jc w:val="center"/>
              <w:rPr>
                <w:sz w:val="16"/>
                <w:lang w:val="en-GB"/>
              </w:rPr>
            </w:pPr>
            <w:r>
              <w:rPr>
                <w:noProof/>
                <w:sz w:val="20"/>
                <w:lang w:eastAsia="fr-FR"/>
              </w:rPr>
              <w:pict>
                <v:line id="_x0000_s1064" style="position:absolute;left:0;text-align:left;z-index:19;mso-position-horizontal-relative:text;mso-position-vertical-relative:text" from="17.65pt,3.05pt" to="54.5pt,3.05pt">
                  <v:stroke dashstyle="1 1" endcap="round"/>
                </v:line>
              </w:pict>
            </w:r>
            <w:r>
              <w:rPr>
                <w:noProof/>
                <w:sz w:val="20"/>
                <w:lang w:eastAsia="fr-FR"/>
              </w:rPr>
              <w:pict>
                <v:line id="_x0000_s1061" style="position:absolute;left:0;text-align:left;z-index:17;mso-position-horizontal-relative:text;mso-position-vertical-relative:text" from="16.15pt,1.4pt" to="16.15pt,109.4pt">
                  <v:stroke dashstyle="1 1" endcap="round"/>
                </v:line>
              </w:pict>
            </w:r>
          </w:p>
        </w:tc>
        <w:tc>
          <w:tcPr>
            <w:tcW w:w="575" w:type="dxa"/>
            <w:tcBorders>
              <w:right w:val="dashSmallGap" w:sz="4" w:space="0" w:color="auto"/>
            </w:tcBorders>
            <w:vAlign w:val="center"/>
          </w:tcPr>
          <w:p w:rsidR="00000000" w:rsidRDefault="00000000">
            <w:pPr>
              <w:jc w:val="center"/>
              <w:rPr>
                <w:sz w:val="16"/>
                <w:lang w:val="en-GB"/>
              </w:rPr>
            </w:pPr>
          </w:p>
        </w:tc>
        <w:tc>
          <w:tcPr>
            <w:tcW w:w="1150" w:type="dxa"/>
            <w:gridSpan w:val="2"/>
            <w:tcBorders>
              <w:top w:val="dashSmallGap" w:sz="4" w:space="0" w:color="auto"/>
              <w:left w:val="dashSmallGap" w:sz="4" w:space="0" w:color="auto"/>
              <w:bottom w:val="dashSmallGap" w:sz="4" w:space="0" w:color="auto"/>
              <w:right w:val="dashSmallGap" w:sz="4" w:space="0" w:color="auto"/>
            </w:tcBorders>
            <w:vAlign w:val="center"/>
          </w:tcPr>
          <w:p w:rsidR="00000000" w:rsidRDefault="00000000">
            <w:pPr>
              <w:jc w:val="center"/>
              <w:rPr>
                <w:sz w:val="16"/>
                <w:lang w:val="en-GB"/>
              </w:rPr>
            </w:pPr>
            <w:r>
              <w:rPr>
                <w:sz w:val="16"/>
                <w:lang w:val="en-GB"/>
              </w:rPr>
              <w:t>INABIF</w:t>
            </w:r>
          </w:p>
        </w:tc>
        <w:tc>
          <w:tcPr>
            <w:tcW w:w="576" w:type="dxa"/>
            <w:tcBorders>
              <w:left w:val="dashSmallGap" w:sz="4" w:space="0" w:color="auto"/>
            </w:tcBorders>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tcBorders>
              <w:right w:val="single" w:sz="4" w:space="0" w:color="auto"/>
            </w:tcBorders>
            <w:vAlign w:val="center"/>
          </w:tcPr>
          <w:p w:rsidR="00000000" w:rsidRDefault="00000000">
            <w:pPr>
              <w:jc w:val="center"/>
              <w:rPr>
                <w:sz w:val="16"/>
                <w:lang w:val="en-GB"/>
              </w:rPr>
            </w:pPr>
          </w:p>
        </w:tc>
        <w:tc>
          <w:tcPr>
            <w:tcW w:w="576" w:type="dxa"/>
            <w:tcBorders>
              <w:left w:val="single" w:sz="4" w:space="0" w:color="auto"/>
            </w:tcBorders>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06" w:type="dxa"/>
            <w:tcBorders>
              <w:bottom w:val="single" w:sz="4" w:space="0" w:color="auto"/>
            </w:tcBorders>
            <w:vAlign w:val="center"/>
          </w:tcPr>
          <w:p w:rsidR="00000000" w:rsidRDefault="00000000">
            <w:pPr>
              <w:jc w:val="center"/>
              <w:rPr>
                <w:sz w:val="16"/>
                <w:lang w:val="en-GB"/>
              </w:rPr>
            </w:pPr>
          </w:p>
        </w:tc>
        <w:tc>
          <w:tcPr>
            <w:tcW w:w="646" w:type="dxa"/>
            <w:gridSpan w:val="2"/>
            <w:tcBorders>
              <w:bottom w:val="single" w:sz="4" w:space="0" w:color="auto"/>
            </w:tcBorders>
            <w:vAlign w:val="center"/>
          </w:tcPr>
          <w:p w:rsidR="00000000" w:rsidRDefault="00000000">
            <w:pPr>
              <w:jc w:val="center"/>
              <w:rPr>
                <w:sz w:val="16"/>
                <w:lang w:val="en-GB"/>
              </w:rPr>
            </w:pPr>
          </w:p>
        </w:tc>
        <w:tc>
          <w:tcPr>
            <w:tcW w:w="576" w:type="dxa"/>
            <w:tcBorders>
              <w:bottom w:val="single" w:sz="4" w:space="0" w:color="auto"/>
            </w:tcBorders>
            <w:vAlign w:val="center"/>
          </w:tcPr>
          <w:p w:rsidR="00000000" w:rsidRDefault="00000000">
            <w:pPr>
              <w:jc w:val="center"/>
              <w:rPr>
                <w:sz w:val="16"/>
                <w:lang w:val="en-GB"/>
              </w:rPr>
            </w:pPr>
          </w:p>
        </w:tc>
      </w:tr>
      <w:tr w:rsidR="00000000">
        <w:trPr>
          <w:cantSplit/>
          <w:jc w:val="center"/>
        </w:trPr>
        <w:tc>
          <w:tcPr>
            <w:tcW w:w="575" w:type="dxa"/>
            <w:vAlign w:val="center"/>
          </w:tcPr>
          <w:p w:rsidR="00000000" w:rsidRDefault="00000000">
            <w:pPr>
              <w:jc w:val="center"/>
              <w:rPr>
                <w:sz w:val="16"/>
                <w:lang w:val="en-GB"/>
              </w:rPr>
            </w:pPr>
          </w:p>
        </w:tc>
        <w:tc>
          <w:tcPr>
            <w:tcW w:w="575" w:type="dxa"/>
            <w:vAlign w:val="center"/>
          </w:tcPr>
          <w:p w:rsidR="00000000" w:rsidRDefault="00000000">
            <w:pPr>
              <w:jc w:val="center"/>
              <w:rPr>
                <w:sz w:val="16"/>
                <w:lang w:val="en-GB"/>
              </w:rPr>
            </w:pPr>
          </w:p>
        </w:tc>
        <w:tc>
          <w:tcPr>
            <w:tcW w:w="575" w:type="dxa"/>
            <w:tcBorders>
              <w:top w:val="dashSmallGap" w:sz="4" w:space="0" w:color="auto"/>
              <w:bottom w:val="dashSmallGap" w:sz="4" w:space="0" w:color="auto"/>
            </w:tcBorders>
            <w:vAlign w:val="center"/>
          </w:tcPr>
          <w:p w:rsidR="00000000" w:rsidRDefault="00000000">
            <w:pPr>
              <w:jc w:val="center"/>
              <w:rPr>
                <w:sz w:val="16"/>
                <w:lang w:val="en-GB"/>
              </w:rPr>
            </w:pPr>
          </w:p>
        </w:tc>
        <w:tc>
          <w:tcPr>
            <w:tcW w:w="575" w:type="dxa"/>
            <w:tcBorders>
              <w:top w:val="dashSmallGap" w:sz="4" w:space="0" w:color="auto"/>
              <w:bottom w:val="dashSmallGap" w:sz="4" w:space="0" w:color="auto"/>
            </w:tcBorders>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tcBorders>
              <w:right w:val="single" w:sz="4" w:space="0" w:color="auto"/>
            </w:tcBorders>
            <w:vAlign w:val="center"/>
          </w:tcPr>
          <w:p w:rsidR="00000000" w:rsidRDefault="00000000">
            <w:pPr>
              <w:jc w:val="center"/>
              <w:rPr>
                <w:sz w:val="16"/>
                <w:lang w:val="en-GB"/>
              </w:rPr>
            </w:pPr>
          </w:p>
        </w:tc>
        <w:tc>
          <w:tcPr>
            <w:tcW w:w="576" w:type="dxa"/>
            <w:tcBorders>
              <w:left w:val="single" w:sz="4" w:space="0" w:color="auto"/>
            </w:tcBorders>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tcBorders>
              <w:right w:val="single" w:sz="4" w:space="0" w:color="auto"/>
            </w:tcBorders>
            <w:vAlign w:val="center"/>
          </w:tcPr>
          <w:p w:rsidR="00000000" w:rsidRDefault="00000000">
            <w:pPr>
              <w:jc w:val="center"/>
              <w:rPr>
                <w:sz w:val="16"/>
                <w:lang w:val="en-GB"/>
              </w:rPr>
            </w:pPr>
          </w:p>
        </w:tc>
        <w:tc>
          <w:tcPr>
            <w:tcW w:w="1728" w:type="dxa"/>
            <w:gridSpan w:val="4"/>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lang w:val="en-GB"/>
              </w:rPr>
            </w:pPr>
            <w:r>
              <w:rPr>
                <w:sz w:val="16"/>
                <w:lang w:val="en-GB"/>
              </w:rPr>
              <w:t>Sectoral coordination committees</w:t>
            </w:r>
          </w:p>
        </w:tc>
      </w:tr>
      <w:tr w:rsidR="00000000">
        <w:trPr>
          <w:cantSplit/>
          <w:jc w:val="center"/>
        </w:trPr>
        <w:tc>
          <w:tcPr>
            <w:tcW w:w="575" w:type="dxa"/>
            <w:vAlign w:val="center"/>
          </w:tcPr>
          <w:p w:rsidR="00000000" w:rsidRDefault="00000000">
            <w:pPr>
              <w:jc w:val="center"/>
              <w:rPr>
                <w:sz w:val="16"/>
                <w:lang w:val="en-GB"/>
              </w:rPr>
            </w:pPr>
            <w:r>
              <w:rPr>
                <w:noProof/>
                <w:sz w:val="20"/>
                <w:lang w:eastAsia="fr-FR"/>
              </w:rPr>
              <w:pict>
                <v:line id="_x0000_s1063" style="position:absolute;left:0;text-align:left;z-index:18;mso-position-horizontal-relative:text;mso-position-vertical-relative:text" from="17.65pt,3.7pt" to="54.5pt,3.7pt">
                  <v:stroke dashstyle="1 1" endcap="round"/>
                </v:line>
              </w:pict>
            </w:r>
          </w:p>
        </w:tc>
        <w:tc>
          <w:tcPr>
            <w:tcW w:w="575" w:type="dxa"/>
            <w:tcBorders>
              <w:right w:val="dashSmallGap" w:sz="4" w:space="0" w:color="auto"/>
            </w:tcBorders>
            <w:vAlign w:val="center"/>
          </w:tcPr>
          <w:p w:rsidR="00000000" w:rsidRDefault="00000000">
            <w:pPr>
              <w:jc w:val="center"/>
              <w:rPr>
                <w:sz w:val="16"/>
                <w:lang w:val="en-GB"/>
              </w:rPr>
            </w:pPr>
          </w:p>
        </w:tc>
        <w:tc>
          <w:tcPr>
            <w:tcW w:w="1150" w:type="dxa"/>
            <w:gridSpan w:val="2"/>
            <w:tcBorders>
              <w:top w:val="dashSmallGap" w:sz="4" w:space="0" w:color="auto"/>
              <w:left w:val="dashSmallGap" w:sz="4" w:space="0" w:color="auto"/>
              <w:bottom w:val="dashSmallGap" w:sz="4" w:space="0" w:color="auto"/>
              <w:right w:val="dashSmallGap" w:sz="4" w:space="0" w:color="auto"/>
            </w:tcBorders>
            <w:vAlign w:val="center"/>
          </w:tcPr>
          <w:p w:rsidR="00000000" w:rsidRDefault="00000000">
            <w:pPr>
              <w:jc w:val="center"/>
              <w:rPr>
                <w:sz w:val="16"/>
                <w:lang w:val="en-GB"/>
              </w:rPr>
            </w:pPr>
            <w:r>
              <w:rPr>
                <w:sz w:val="16"/>
                <w:lang w:val="en-GB"/>
              </w:rPr>
              <w:t>PATPAL</w:t>
            </w:r>
          </w:p>
        </w:tc>
        <w:tc>
          <w:tcPr>
            <w:tcW w:w="576" w:type="dxa"/>
            <w:tcBorders>
              <w:left w:val="dashSmallGap" w:sz="4" w:space="0" w:color="auto"/>
            </w:tcBorders>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tcBorders>
              <w:bottom w:val="single" w:sz="4" w:space="0" w:color="auto"/>
            </w:tcBorders>
            <w:vAlign w:val="center"/>
          </w:tcPr>
          <w:p w:rsidR="00000000" w:rsidRDefault="00000000">
            <w:pPr>
              <w:jc w:val="center"/>
              <w:rPr>
                <w:sz w:val="16"/>
                <w:lang w:val="en-GB"/>
              </w:rPr>
            </w:pPr>
          </w:p>
        </w:tc>
        <w:tc>
          <w:tcPr>
            <w:tcW w:w="576" w:type="dxa"/>
            <w:tcBorders>
              <w:bottom w:val="single" w:sz="4" w:space="0" w:color="auto"/>
              <w:right w:val="single" w:sz="4" w:space="0" w:color="auto"/>
            </w:tcBorders>
            <w:vAlign w:val="center"/>
          </w:tcPr>
          <w:p w:rsidR="00000000" w:rsidRDefault="00000000">
            <w:pPr>
              <w:jc w:val="center"/>
              <w:rPr>
                <w:sz w:val="16"/>
                <w:lang w:val="en-GB"/>
              </w:rPr>
            </w:pPr>
          </w:p>
        </w:tc>
        <w:tc>
          <w:tcPr>
            <w:tcW w:w="576" w:type="dxa"/>
            <w:tcBorders>
              <w:left w:val="single" w:sz="4" w:space="0" w:color="auto"/>
              <w:bottom w:val="single" w:sz="4" w:space="0" w:color="auto"/>
            </w:tcBorders>
            <w:vAlign w:val="center"/>
          </w:tcPr>
          <w:p w:rsidR="00000000" w:rsidRDefault="00000000">
            <w:pPr>
              <w:jc w:val="center"/>
              <w:rPr>
                <w:sz w:val="16"/>
                <w:lang w:val="en-GB"/>
              </w:rPr>
            </w:pPr>
          </w:p>
        </w:tc>
        <w:tc>
          <w:tcPr>
            <w:tcW w:w="576" w:type="dxa"/>
            <w:tcBorders>
              <w:bottom w:val="single" w:sz="4" w:space="0" w:color="auto"/>
            </w:tcBorders>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tcBorders>
              <w:right w:val="single" w:sz="4" w:space="0" w:color="auto"/>
            </w:tcBorders>
            <w:vAlign w:val="center"/>
          </w:tcPr>
          <w:p w:rsidR="00000000" w:rsidRDefault="00000000">
            <w:pPr>
              <w:jc w:val="center"/>
              <w:rPr>
                <w:sz w:val="16"/>
                <w:lang w:val="en-GB"/>
              </w:rPr>
            </w:pPr>
          </w:p>
        </w:tc>
        <w:tc>
          <w:tcPr>
            <w:tcW w:w="1728" w:type="dxa"/>
            <w:gridSpan w:val="4"/>
            <w:vMerge/>
            <w:tcBorders>
              <w:left w:val="single" w:sz="4" w:space="0" w:color="auto"/>
              <w:bottom w:val="single" w:sz="4" w:space="0" w:color="auto"/>
              <w:right w:val="single" w:sz="4" w:space="0" w:color="auto"/>
            </w:tcBorders>
            <w:vAlign w:val="center"/>
          </w:tcPr>
          <w:p w:rsidR="00000000" w:rsidRDefault="00000000">
            <w:pPr>
              <w:jc w:val="center"/>
              <w:rPr>
                <w:sz w:val="16"/>
                <w:lang w:val="en-GB"/>
              </w:rPr>
            </w:pPr>
          </w:p>
        </w:tc>
      </w:tr>
      <w:tr w:rsidR="00000000">
        <w:trPr>
          <w:cantSplit/>
          <w:jc w:val="center"/>
        </w:trPr>
        <w:tc>
          <w:tcPr>
            <w:tcW w:w="575" w:type="dxa"/>
            <w:vAlign w:val="center"/>
          </w:tcPr>
          <w:p w:rsidR="00000000" w:rsidRDefault="00000000">
            <w:pPr>
              <w:jc w:val="center"/>
              <w:rPr>
                <w:sz w:val="16"/>
                <w:lang w:val="en-GB"/>
              </w:rPr>
            </w:pPr>
          </w:p>
        </w:tc>
        <w:tc>
          <w:tcPr>
            <w:tcW w:w="575" w:type="dxa"/>
            <w:vAlign w:val="center"/>
          </w:tcPr>
          <w:p w:rsidR="00000000" w:rsidRDefault="00000000">
            <w:pPr>
              <w:jc w:val="center"/>
              <w:rPr>
                <w:sz w:val="16"/>
                <w:lang w:val="en-GB"/>
              </w:rPr>
            </w:pPr>
          </w:p>
        </w:tc>
        <w:tc>
          <w:tcPr>
            <w:tcW w:w="575" w:type="dxa"/>
            <w:tcBorders>
              <w:top w:val="dashSmallGap" w:sz="4" w:space="0" w:color="auto"/>
              <w:bottom w:val="dashSmallGap" w:sz="4" w:space="0" w:color="auto"/>
            </w:tcBorders>
            <w:vAlign w:val="center"/>
          </w:tcPr>
          <w:p w:rsidR="00000000" w:rsidRDefault="00000000">
            <w:pPr>
              <w:jc w:val="center"/>
              <w:rPr>
                <w:sz w:val="16"/>
                <w:lang w:val="en-GB"/>
              </w:rPr>
            </w:pPr>
          </w:p>
        </w:tc>
        <w:tc>
          <w:tcPr>
            <w:tcW w:w="575" w:type="dxa"/>
            <w:tcBorders>
              <w:top w:val="dashSmallGap" w:sz="4" w:space="0" w:color="auto"/>
              <w:bottom w:val="dashSmallGap" w:sz="4" w:space="0" w:color="auto"/>
            </w:tcBorders>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tcBorders>
              <w:right w:val="single" w:sz="4" w:space="0" w:color="auto"/>
            </w:tcBorders>
            <w:vAlign w:val="center"/>
          </w:tcPr>
          <w:p w:rsidR="00000000" w:rsidRDefault="00000000">
            <w:pPr>
              <w:jc w:val="center"/>
              <w:rPr>
                <w:sz w:val="16"/>
                <w:lang w:val="en-GB"/>
              </w:rPr>
            </w:pPr>
          </w:p>
        </w:tc>
        <w:tc>
          <w:tcPr>
            <w:tcW w:w="2304" w:type="dxa"/>
            <w:gridSpan w:val="4"/>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lang w:val="en-GB"/>
              </w:rPr>
            </w:pPr>
            <w:r>
              <w:rPr>
                <w:b/>
                <w:bCs/>
                <w:sz w:val="18"/>
                <w:lang w:val="en-GB"/>
              </w:rPr>
              <w:t>National Secretariat for Adoptions</w:t>
            </w:r>
          </w:p>
        </w:tc>
        <w:tc>
          <w:tcPr>
            <w:tcW w:w="576" w:type="dxa"/>
            <w:tcBorders>
              <w:left w:val="single" w:sz="4" w:space="0" w:color="auto"/>
            </w:tcBorders>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tcBorders>
              <w:bottom w:val="dashed" w:sz="4" w:space="0" w:color="auto"/>
            </w:tcBorders>
            <w:vAlign w:val="center"/>
          </w:tcPr>
          <w:p w:rsidR="00000000" w:rsidRDefault="00000000">
            <w:pPr>
              <w:jc w:val="center"/>
              <w:rPr>
                <w:sz w:val="16"/>
                <w:lang w:val="en-GB"/>
              </w:rPr>
            </w:pPr>
          </w:p>
        </w:tc>
        <w:tc>
          <w:tcPr>
            <w:tcW w:w="576" w:type="dxa"/>
            <w:gridSpan w:val="2"/>
            <w:tcBorders>
              <w:top w:val="single" w:sz="4" w:space="0" w:color="auto"/>
              <w:bottom w:val="dashed" w:sz="4" w:space="0" w:color="auto"/>
            </w:tcBorders>
            <w:vAlign w:val="center"/>
          </w:tcPr>
          <w:p w:rsidR="00000000" w:rsidRDefault="00000000">
            <w:pPr>
              <w:jc w:val="center"/>
              <w:rPr>
                <w:sz w:val="16"/>
                <w:lang w:val="en-GB"/>
              </w:rPr>
            </w:pPr>
          </w:p>
        </w:tc>
        <w:tc>
          <w:tcPr>
            <w:tcW w:w="576" w:type="dxa"/>
            <w:tcBorders>
              <w:top w:val="single" w:sz="4" w:space="0" w:color="auto"/>
            </w:tcBorders>
            <w:vAlign w:val="center"/>
          </w:tcPr>
          <w:p w:rsidR="00000000" w:rsidRDefault="00000000">
            <w:pPr>
              <w:jc w:val="center"/>
              <w:rPr>
                <w:sz w:val="16"/>
                <w:lang w:val="en-GB"/>
              </w:rPr>
            </w:pPr>
          </w:p>
        </w:tc>
        <w:tc>
          <w:tcPr>
            <w:tcW w:w="576" w:type="dxa"/>
            <w:tcBorders>
              <w:top w:val="single" w:sz="4" w:space="0" w:color="auto"/>
            </w:tcBorders>
            <w:vAlign w:val="center"/>
          </w:tcPr>
          <w:p w:rsidR="00000000" w:rsidRDefault="00000000">
            <w:pPr>
              <w:jc w:val="center"/>
              <w:rPr>
                <w:sz w:val="16"/>
                <w:lang w:val="en-GB"/>
              </w:rPr>
            </w:pPr>
          </w:p>
        </w:tc>
      </w:tr>
      <w:tr w:rsidR="00000000">
        <w:trPr>
          <w:cantSplit/>
          <w:jc w:val="center"/>
        </w:trPr>
        <w:tc>
          <w:tcPr>
            <w:tcW w:w="575" w:type="dxa"/>
            <w:vAlign w:val="center"/>
          </w:tcPr>
          <w:p w:rsidR="00000000" w:rsidRDefault="00000000">
            <w:pPr>
              <w:jc w:val="center"/>
              <w:rPr>
                <w:sz w:val="16"/>
                <w:lang w:val="en-GB"/>
              </w:rPr>
            </w:pPr>
            <w:r>
              <w:rPr>
                <w:noProof/>
                <w:sz w:val="20"/>
                <w:lang w:eastAsia="fr-FR"/>
              </w:rPr>
              <w:pict>
                <v:line id="_x0000_s1058" style="position:absolute;left:0;text-align:left;flip:x;z-index:14;mso-position-horizontal-relative:text;mso-position-vertical-relative:text" from="-19.55pt,4.75pt" to="52.45pt,4.75pt">
                  <v:stroke dashstyle="1 1" endcap="round"/>
                </v:line>
              </w:pict>
            </w:r>
          </w:p>
        </w:tc>
        <w:tc>
          <w:tcPr>
            <w:tcW w:w="575" w:type="dxa"/>
            <w:tcBorders>
              <w:right w:val="dashSmallGap" w:sz="4" w:space="0" w:color="auto"/>
            </w:tcBorders>
            <w:vAlign w:val="center"/>
          </w:tcPr>
          <w:p w:rsidR="00000000" w:rsidRDefault="00000000">
            <w:pPr>
              <w:jc w:val="center"/>
              <w:rPr>
                <w:sz w:val="16"/>
                <w:lang w:val="en-GB"/>
              </w:rPr>
            </w:pPr>
          </w:p>
        </w:tc>
        <w:tc>
          <w:tcPr>
            <w:tcW w:w="1150" w:type="dxa"/>
            <w:gridSpan w:val="2"/>
            <w:tcBorders>
              <w:top w:val="dashSmallGap" w:sz="4" w:space="0" w:color="auto"/>
              <w:left w:val="dashSmallGap" w:sz="4" w:space="0" w:color="auto"/>
              <w:bottom w:val="dashSmallGap" w:sz="4" w:space="0" w:color="auto"/>
              <w:right w:val="dashSmallGap" w:sz="4" w:space="0" w:color="auto"/>
            </w:tcBorders>
            <w:vAlign w:val="center"/>
          </w:tcPr>
          <w:p w:rsidR="00000000" w:rsidRDefault="00000000">
            <w:pPr>
              <w:jc w:val="center"/>
              <w:rPr>
                <w:sz w:val="16"/>
              </w:rPr>
            </w:pPr>
            <w:r>
              <w:rPr>
                <w:sz w:val="16"/>
              </w:rPr>
              <w:t>CONADIS</w:t>
            </w:r>
          </w:p>
        </w:tc>
        <w:tc>
          <w:tcPr>
            <w:tcW w:w="576" w:type="dxa"/>
            <w:tcBorders>
              <w:left w:val="dashSmallGap" w:sz="4" w:space="0" w:color="auto"/>
            </w:tcBorders>
            <w:vAlign w:val="center"/>
          </w:tcPr>
          <w:p w:rsidR="00000000" w:rsidRDefault="00000000">
            <w:pPr>
              <w:jc w:val="center"/>
              <w:rPr>
                <w:sz w:val="16"/>
              </w:rPr>
            </w:pPr>
          </w:p>
        </w:tc>
        <w:tc>
          <w:tcPr>
            <w:tcW w:w="576" w:type="dxa"/>
            <w:tcBorders>
              <w:right w:val="single" w:sz="4" w:space="0" w:color="auto"/>
            </w:tcBorders>
            <w:vAlign w:val="center"/>
          </w:tcPr>
          <w:p w:rsidR="00000000" w:rsidRDefault="00000000">
            <w:pPr>
              <w:jc w:val="center"/>
              <w:rPr>
                <w:sz w:val="16"/>
              </w:rPr>
            </w:pPr>
          </w:p>
        </w:tc>
        <w:tc>
          <w:tcPr>
            <w:tcW w:w="2304" w:type="dxa"/>
            <w:gridSpan w:val="4"/>
            <w:vMerge/>
            <w:tcBorders>
              <w:left w:val="single" w:sz="4" w:space="0" w:color="auto"/>
              <w:bottom w:val="single" w:sz="4" w:space="0" w:color="auto"/>
              <w:right w:val="single" w:sz="4" w:space="0" w:color="auto"/>
            </w:tcBorders>
            <w:vAlign w:val="center"/>
          </w:tcPr>
          <w:p w:rsidR="00000000" w:rsidRDefault="00000000">
            <w:pPr>
              <w:jc w:val="center"/>
              <w:rPr>
                <w:sz w:val="16"/>
              </w:rPr>
            </w:pPr>
          </w:p>
        </w:tc>
        <w:tc>
          <w:tcPr>
            <w:tcW w:w="576" w:type="dxa"/>
            <w:tcBorders>
              <w:left w:val="single" w:sz="4" w:space="0" w:color="auto"/>
            </w:tcBorders>
            <w:vAlign w:val="center"/>
          </w:tcPr>
          <w:p w:rsidR="00000000" w:rsidRDefault="00000000">
            <w:pPr>
              <w:jc w:val="center"/>
              <w:rPr>
                <w:sz w:val="16"/>
              </w:rPr>
            </w:pPr>
          </w:p>
        </w:tc>
        <w:tc>
          <w:tcPr>
            <w:tcW w:w="576" w:type="dxa"/>
            <w:tcBorders>
              <w:right w:val="dashed" w:sz="4" w:space="0" w:color="auto"/>
            </w:tcBorders>
            <w:vAlign w:val="center"/>
          </w:tcPr>
          <w:p w:rsidR="00000000" w:rsidRDefault="00000000">
            <w:pPr>
              <w:jc w:val="center"/>
              <w:rPr>
                <w:sz w:val="16"/>
              </w:rPr>
            </w:pPr>
          </w:p>
        </w:tc>
        <w:tc>
          <w:tcPr>
            <w:tcW w:w="1152" w:type="dxa"/>
            <w:gridSpan w:val="3"/>
            <w:tcBorders>
              <w:top w:val="dashed" w:sz="4" w:space="0" w:color="auto"/>
              <w:left w:val="dashed" w:sz="4" w:space="0" w:color="auto"/>
              <w:bottom w:val="dashed" w:sz="4" w:space="0" w:color="auto"/>
              <w:right w:val="dashed" w:sz="4" w:space="0" w:color="auto"/>
            </w:tcBorders>
            <w:vAlign w:val="center"/>
          </w:tcPr>
          <w:p w:rsidR="00000000" w:rsidRDefault="00000000">
            <w:pPr>
              <w:jc w:val="center"/>
              <w:rPr>
                <w:sz w:val="16"/>
              </w:rPr>
            </w:pPr>
            <w:r>
              <w:rPr>
                <w:sz w:val="16"/>
                <w:lang w:val="fr-CH"/>
              </w:rPr>
              <w:t>FONCODES</w:t>
            </w:r>
          </w:p>
        </w:tc>
        <w:tc>
          <w:tcPr>
            <w:tcW w:w="576" w:type="dxa"/>
            <w:tcBorders>
              <w:left w:val="dashed" w:sz="4" w:space="0" w:color="auto"/>
            </w:tcBorders>
            <w:vAlign w:val="center"/>
          </w:tcPr>
          <w:p w:rsidR="00000000" w:rsidRDefault="00000000">
            <w:pPr>
              <w:jc w:val="center"/>
              <w:rPr>
                <w:sz w:val="16"/>
              </w:rPr>
            </w:pPr>
            <w:r>
              <w:rPr>
                <w:noProof/>
                <w:sz w:val="20"/>
                <w:lang w:eastAsia="fr-FR"/>
              </w:rPr>
              <w:pict>
                <v:line id="_x0000_s1115" style="position:absolute;left:0;text-align:left;z-index:47;mso-position-horizontal-relative:text;mso-position-vertical-relative:text" from="-1.2pt,3.15pt" to="25.8pt,3.15pt">
                  <v:stroke dashstyle="1 1" endcap="round"/>
                </v:line>
              </w:pict>
            </w:r>
          </w:p>
        </w:tc>
        <w:tc>
          <w:tcPr>
            <w:tcW w:w="576" w:type="dxa"/>
            <w:vAlign w:val="center"/>
          </w:tcPr>
          <w:p w:rsidR="00000000" w:rsidRDefault="00000000">
            <w:pPr>
              <w:jc w:val="center"/>
              <w:rPr>
                <w:sz w:val="16"/>
              </w:rPr>
            </w:pPr>
            <w:r>
              <w:rPr>
                <w:noProof/>
                <w:sz w:val="20"/>
                <w:lang w:eastAsia="fr-FR"/>
              </w:rPr>
              <w:pict>
                <v:line id="_x0000_s1119" style="position:absolute;left:0;text-align:left;z-index:51;mso-position-horizontal-relative:text;mso-position-vertical-relative:text" from="-1.5pt,3.15pt" to="-1.5pt,78.55pt">
                  <v:stroke dashstyle="1 1" endcap="round"/>
                </v:line>
              </w:pict>
            </w:r>
          </w:p>
        </w:tc>
      </w:tr>
      <w:tr w:rsidR="00000000">
        <w:trPr>
          <w:jc w:val="center"/>
        </w:trPr>
        <w:tc>
          <w:tcPr>
            <w:tcW w:w="575" w:type="dxa"/>
            <w:vAlign w:val="center"/>
          </w:tcPr>
          <w:p w:rsidR="00000000" w:rsidRDefault="00000000">
            <w:pPr>
              <w:jc w:val="center"/>
              <w:rPr>
                <w:sz w:val="16"/>
              </w:rPr>
            </w:pPr>
          </w:p>
        </w:tc>
        <w:tc>
          <w:tcPr>
            <w:tcW w:w="575" w:type="dxa"/>
            <w:vAlign w:val="center"/>
          </w:tcPr>
          <w:p w:rsidR="00000000" w:rsidRDefault="00000000">
            <w:pPr>
              <w:jc w:val="center"/>
              <w:rPr>
                <w:sz w:val="16"/>
              </w:rPr>
            </w:pPr>
          </w:p>
        </w:tc>
        <w:tc>
          <w:tcPr>
            <w:tcW w:w="575" w:type="dxa"/>
            <w:tcBorders>
              <w:top w:val="dashSmallGap" w:sz="4" w:space="0" w:color="auto"/>
              <w:bottom w:val="dashSmallGap" w:sz="4" w:space="0" w:color="auto"/>
            </w:tcBorders>
            <w:vAlign w:val="center"/>
          </w:tcPr>
          <w:p w:rsidR="00000000" w:rsidRDefault="00000000">
            <w:pPr>
              <w:jc w:val="center"/>
              <w:rPr>
                <w:sz w:val="16"/>
              </w:rPr>
            </w:pPr>
          </w:p>
        </w:tc>
        <w:tc>
          <w:tcPr>
            <w:tcW w:w="575" w:type="dxa"/>
            <w:tcBorders>
              <w:top w:val="dashSmallGap" w:sz="4" w:space="0" w:color="auto"/>
              <w:bottom w:val="dashSmallGap" w:sz="4" w:space="0" w:color="auto"/>
            </w:tcBorders>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tcBorders>
              <w:top w:val="single" w:sz="4" w:space="0" w:color="auto"/>
            </w:tcBorders>
            <w:vAlign w:val="center"/>
          </w:tcPr>
          <w:p w:rsidR="00000000" w:rsidRDefault="00000000">
            <w:pPr>
              <w:jc w:val="center"/>
              <w:rPr>
                <w:sz w:val="16"/>
              </w:rPr>
            </w:pPr>
          </w:p>
        </w:tc>
        <w:tc>
          <w:tcPr>
            <w:tcW w:w="576" w:type="dxa"/>
            <w:tcBorders>
              <w:top w:val="single" w:sz="4" w:space="0" w:color="auto"/>
            </w:tcBorders>
            <w:vAlign w:val="center"/>
          </w:tcPr>
          <w:p w:rsidR="00000000" w:rsidRDefault="00000000">
            <w:pPr>
              <w:jc w:val="center"/>
              <w:rPr>
                <w:sz w:val="16"/>
              </w:rPr>
            </w:pPr>
          </w:p>
        </w:tc>
        <w:tc>
          <w:tcPr>
            <w:tcW w:w="576" w:type="dxa"/>
            <w:tcBorders>
              <w:top w:val="single" w:sz="4" w:space="0" w:color="auto"/>
            </w:tcBorders>
            <w:vAlign w:val="center"/>
          </w:tcPr>
          <w:p w:rsidR="00000000" w:rsidRDefault="00000000">
            <w:pPr>
              <w:jc w:val="center"/>
              <w:rPr>
                <w:sz w:val="16"/>
              </w:rPr>
            </w:pPr>
          </w:p>
        </w:tc>
        <w:tc>
          <w:tcPr>
            <w:tcW w:w="576" w:type="dxa"/>
            <w:tcBorders>
              <w:top w:val="single" w:sz="4" w:space="0" w:color="auto"/>
            </w:tcBorders>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tcBorders>
              <w:bottom w:val="dashed" w:sz="4" w:space="0" w:color="auto"/>
            </w:tcBorders>
            <w:vAlign w:val="center"/>
          </w:tcPr>
          <w:p w:rsidR="00000000" w:rsidRDefault="00000000">
            <w:pPr>
              <w:jc w:val="center"/>
              <w:rPr>
                <w:sz w:val="16"/>
              </w:rPr>
            </w:pPr>
          </w:p>
        </w:tc>
        <w:tc>
          <w:tcPr>
            <w:tcW w:w="576" w:type="dxa"/>
            <w:gridSpan w:val="2"/>
            <w:tcBorders>
              <w:bottom w:val="dashed" w:sz="4" w:space="0" w:color="auto"/>
            </w:tcBorders>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r>
      <w:tr w:rsidR="00000000">
        <w:trPr>
          <w:cantSplit/>
          <w:jc w:val="center"/>
        </w:trPr>
        <w:tc>
          <w:tcPr>
            <w:tcW w:w="575" w:type="dxa"/>
            <w:vAlign w:val="center"/>
          </w:tcPr>
          <w:p w:rsidR="00000000" w:rsidRDefault="00000000">
            <w:pPr>
              <w:jc w:val="center"/>
              <w:rPr>
                <w:sz w:val="16"/>
              </w:rPr>
            </w:pPr>
            <w:r>
              <w:rPr>
                <w:noProof/>
                <w:sz w:val="20"/>
                <w:lang w:eastAsia="fr-FR"/>
              </w:rPr>
              <w:pict>
                <v:line id="_x0000_s1066" style="position:absolute;left:0;text-align:left;z-index:21;mso-position-horizontal-relative:text;mso-position-vertical-relative:text" from="17.8pt,5.3pt" to="54.65pt,5.3pt">
                  <v:stroke dashstyle="1 1" endcap="round"/>
                </v:line>
              </w:pict>
            </w:r>
          </w:p>
        </w:tc>
        <w:tc>
          <w:tcPr>
            <w:tcW w:w="575" w:type="dxa"/>
            <w:tcBorders>
              <w:right w:val="dashSmallGap" w:sz="4" w:space="0" w:color="auto"/>
            </w:tcBorders>
            <w:vAlign w:val="center"/>
          </w:tcPr>
          <w:p w:rsidR="00000000" w:rsidRDefault="00000000">
            <w:pPr>
              <w:jc w:val="center"/>
              <w:rPr>
                <w:sz w:val="16"/>
              </w:rPr>
            </w:pPr>
          </w:p>
        </w:tc>
        <w:tc>
          <w:tcPr>
            <w:tcW w:w="1150" w:type="dxa"/>
            <w:gridSpan w:val="2"/>
            <w:tcBorders>
              <w:top w:val="dashSmallGap" w:sz="4" w:space="0" w:color="auto"/>
              <w:left w:val="dashSmallGap" w:sz="4" w:space="0" w:color="auto"/>
              <w:bottom w:val="dashSmallGap" w:sz="4" w:space="0" w:color="auto"/>
              <w:right w:val="dashSmallGap" w:sz="4" w:space="0" w:color="auto"/>
            </w:tcBorders>
            <w:vAlign w:val="center"/>
          </w:tcPr>
          <w:p w:rsidR="00000000" w:rsidRDefault="00000000">
            <w:pPr>
              <w:jc w:val="center"/>
              <w:rPr>
                <w:sz w:val="16"/>
              </w:rPr>
            </w:pPr>
            <w:r>
              <w:rPr>
                <w:sz w:val="16"/>
              </w:rPr>
              <w:t>PNCVFS</w:t>
            </w:r>
          </w:p>
        </w:tc>
        <w:tc>
          <w:tcPr>
            <w:tcW w:w="576" w:type="dxa"/>
            <w:tcBorders>
              <w:left w:val="dashSmallGap" w:sz="4" w:space="0" w:color="auto"/>
            </w:tcBorders>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tcBorders>
              <w:right w:val="dashed" w:sz="4" w:space="0" w:color="auto"/>
            </w:tcBorders>
            <w:vAlign w:val="center"/>
          </w:tcPr>
          <w:p w:rsidR="00000000" w:rsidRDefault="00000000">
            <w:pPr>
              <w:jc w:val="center"/>
              <w:rPr>
                <w:sz w:val="16"/>
              </w:rPr>
            </w:pPr>
          </w:p>
        </w:tc>
        <w:tc>
          <w:tcPr>
            <w:tcW w:w="1152" w:type="dxa"/>
            <w:gridSpan w:val="3"/>
            <w:tcBorders>
              <w:top w:val="dashed" w:sz="4" w:space="0" w:color="auto"/>
              <w:left w:val="dashed" w:sz="4" w:space="0" w:color="auto"/>
              <w:bottom w:val="dashed" w:sz="4" w:space="0" w:color="auto"/>
              <w:right w:val="dashed" w:sz="4" w:space="0" w:color="auto"/>
            </w:tcBorders>
            <w:vAlign w:val="center"/>
          </w:tcPr>
          <w:p w:rsidR="00000000" w:rsidRDefault="00000000">
            <w:pPr>
              <w:jc w:val="center"/>
              <w:rPr>
                <w:sz w:val="16"/>
                <w:lang w:val="en-GB"/>
              </w:rPr>
            </w:pPr>
            <w:r>
              <w:rPr>
                <w:noProof/>
                <w:sz w:val="20"/>
                <w:lang w:eastAsia="fr-FR"/>
              </w:rPr>
              <w:pict>
                <v:line id="_x0000_s1116" style="position:absolute;left:0;text-align:left;z-index:48;mso-position-horizontal-relative:text;mso-position-vertical-relative:text" from="54.9pt,5.15pt" to="81.9pt,5.15pt">
                  <v:stroke dashstyle="1 1" endcap="round"/>
                </v:line>
              </w:pict>
            </w:r>
            <w:r>
              <w:rPr>
                <w:sz w:val="16"/>
                <w:lang w:val="en-GB"/>
              </w:rPr>
              <w:t>PRONAA</w:t>
            </w:r>
          </w:p>
        </w:tc>
        <w:tc>
          <w:tcPr>
            <w:tcW w:w="576" w:type="dxa"/>
            <w:tcBorders>
              <w:left w:val="dashed" w:sz="4" w:space="0" w:color="auto"/>
            </w:tcBorders>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r>
      <w:tr w:rsidR="00000000">
        <w:trPr>
          <w:jc w:val="center"/>
        </w:trPr>
        <w:tc>
          <w:tcPr>
            <w:tcW w:w="575" w:type="dxa"/>
            <w:vAlign w:val="center"/>
          </w:tcPr>
          <w:p w:rsidR="00000000" w:rsidRDefault="00000000">
            <w:pPr>
              <w:jc w:val="center"/>
              <w:rPr>
                <w:sz w:val="16"/>
                <w:lang w:val="en-GB"/>
              </w:rPr>
            </w:pPr>
          </w:p>
        </w:tc>
        <w:tc>
          <w:tcPr>
            <w:tcW w:w="575" w:type="dxa"/>
            <w:vAlign w:val="center"/>
          </w:tcPr>
          <w:p w:rsidR="00000000" w:rsidRDefault="00000000">
            <w:pPr>
              <w:jc w:val="center"/>
              <w:rPr>
                <w:sz w:val="16"/>
                <w:lang w:val="en-GB"/>
              </w:rPr>
            </w:pPr>
          </w:p>
        </w:tc>
        <w:tc>
          <w:tcPr>
            <w:tcW w:w="575" w:type="dxa"/>
            <w:tcBorders>
              <w:top w:val="dashSmallGap" w:sz="4" w:space="0" w:color="auto"/>
              <w:bottom w:val="dashSmallGap" w:sz="4" w:space="0" w:color="auto"/>
            </w:tcBorders>
            <w:vAlign w:val="center"/>
          </w:tcPr>
          <w:p w:rsidR="00000000" w:rsidRDefault="00000000">
            <w:pPr>
              <w:jc w:val="center"/>
              <w:rPr>
                <w:sz w:val="16"/>
                <w:lang w:val="en-GB"/>
              </w:rPr>
            </w:pPr>
          </w:p>
        </w:tc>
        <w:tc>
          <w:tcPr>
            <w:tcW w:w="575" w:type="dxa"/>
            <w:tcBorders>
              <w:top w:val="dashSmallGap" w:sz="4" w:space="0" w:color="auto"/>
              <w:bottom w:val="dashSmallGap" w:sz="4" w:space="0" w:color="auto"/>
            </w:tcBorders>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tcBorders>
              <w:bottom w:val="dashed" w:sz="4" w:space="0" w:color="auto"/>
            </w:tcBorders>
            <w:vAlign w:val="center"/>
          </w:tcPr>
          <w:p w:rsidR="00000000" w:rsidRDefault="00000000">
            <w:pPr>
              <w:jc w:val="center"/>
              <w:rPr>
                <w:sz w:val="16"/>
                <w:lang w:val="en-GB"/>
              </w:rPr>
            </w:pPr>
          </w:p>
        </w:tc>
        <w:tc>
          <w:tcPr>
            <w:tcW w:w="576" w:type="dxa"/>
            <w:gridSpan w:val="2"/>
            <w:tcBorders>
              <w:bottom w:val="dashed" w:sz="4" w:space="0" w:color="auto"/>
            </w:tcBorders>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r>
              <w:rPr>
                <w:noProof/>
                <w:sz w:val="20"/>
                <w:lang w:eastAsia="fr-FR"/>
              </w:rPr>
              <w:pict>
                <v:line id="_x0000_s1122" style="position:absolute;left:0;text-align:left;flip:x;z-index:53;mso-position-horizontal-relative:text;mso-position-vertical-relative:text" from="-.15pt,3.15pt" to="50.6pt,3.15pt">
                  <v:stroke dashstyle="1 1" endcap="round"/>
                </v:line>
              </w:pict>
            </w:r>
          </w:p>
        </w:tc>
      </w:tr>
      <w:tr w:rsidR="00000000">
        <w:trPr>
          <w:cantSplit/>
          <w:jc w:val="center"/>
        </w:trPr>
        <w:tc>
          <w:tcPr>
            <w:tcW w:w="575" w:type="dxa"/>
            <w:vAlign w:val="center"/>
          </w:tcPr>
          <w:p w:rsidR="00000000" w:rsidRDefault="00000000">
            <w:pPr>
              <w:jc w:val="center"/>
              <w:rPr>
                <w:sz w:val="16"/>
                <w:lang w:val="en-GB"/>
              </w:rPr>
            </w:pPr>
            <w:r>
              <w:rPr>
                <w:noProof/>
                <w:sz w:val="20"/>
                <w:lang w:eastAsia="fr-FR"/>
              </w:rPr>
              <w:pict>
                <v:line id="_x0000_s1065" style="position:absolute;left:0;text-align:left;z-index:20;mso-position-horizontal-relative:text;mso-position-vertical-relative:text" from="16.15pt,7.3pt" to="53pt,7.3pt">
                  <v:stroke dashstyle="1 1" endcap="round"/>
                </v:line>
              </w:pict>
            </w:r>
          </w:p>
        </w:tc>
        <w:tc>
          <w:tcPr>
            <w:tcW w:w="575" w:type="dxa"/>
            <w:tcBorders>
              <w:right w:val="dashSmallGap" w:sz="4" w:space="0" w:color="auto"/>
            </w:tcBorders>
            <w:vAlign w:val="center"/>
          </w:tcPr>
          <w:p w:rsidR="00000000" w:rsidRDefault="00000000">
            <w:pPr>
              <w:jc w:val="center"/>
              <w:rPr>
                <w:sz w:val="16"/>
                <w:lang w:val="en-GB"/>
              </w:rPr>
            </w:pPr>
          </w:p>
        </w:tc>
        <w:tc>
          <w:tcPr>
            <w:tcW w:w="1150" w:type="dxa"/>
            <w:gridSpan w:val="2"/>
            <w:tcBorders>
              <w:top w:val="dashSmallGap" w:sz="4" w:space="0" w:color="auto"/>
              <w:left w:val="dashSmallGap" w:sz="4" w:space="0" w:color="auto"/>
              <w:bottom w:val="dashSmallGap" w:sz="4" w:space="0" w:color="auto"/>
              <w:right w:val="dashSmallGap" w:sz="4" w:space="0" w:color="auto"/>
            </w:tcBorders>
            <w:vAlign w:val="center"/>
          </w:tcPr>
          <w:p w:rsidR="00000000" w:rsidRDefault="00000000">
            <w:pPr>
              <w:jc w:val="center"/>
              <w:rPr>
                <w:sz w:val="16"/>
                <w:lang w:val="en-GB"/>
              </w:rPr>
            </w:pPr>
            <w:r>
              <w:rPr>
                <w:sz w:val="16"/>
                <w:lang w:val="en-GB"/>
              </w:rPr>
              <w:t>PNWW</w:t>
            </w:r>
          </w:p>
        </w:tc>
        <w:tc>
          <w:tcPr>
            <w:tcW w:w="576" w:type="dxa"/>
            <w:tcBorders>
              <w:left w:val="dashSmallGap" w:sz="4" w:space="0" w:color="auto"/>
            </w:tcBorders>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tcBorders>
              <w:right w:val="dashed" w:sz="4" w:space="0" w:color="auto"/>
            </w:tcBorders>
            <w:vAlign w:val="center"/>
          </w:tcPr>
          <w:p w:rsidR="00000000" w:rsidRDefault="00000000">
            <w:pPr>
              <w:jc w:val="center"/>
              <w:rPr>
                <w:sz w:val="16"/>
                <w:lang w:val="en-GB"/>
              </w:rPr>
            </w:pPr>
          </w:p>
        </w:tc>
        <w:tc>
          <w:tcPr>
            <w:tcW w:w="1152" w:type="dxa"/>
            <w:gridSpan w:val="3"/>
            <w:tcBorders>
              <w:top w:val="dashed" w:sz="4" w:space="0" w:color="auto"/>
              <w:left w:val="dashed" w:sz="4" w:space="0" w:color="auto"/>
              <w:bottom w:val="dashed" w:sz="4" w:space="0" w:color="auto"/>
              <w:right w:val="dashed" w:sz="4" w:space="0" w:color="auto"/>
            </w:tcBorders>
            <w:vAlign w:val="center"/>
          </w:tcPr>
          <w:p w:rsidR="00000000" w:rsidRDefault="00000000">
            <w:pPr>
              <w:jc w:val="center"/>
              <w:rPr>
                <w:sz w:val="16"/>
                <w:lang w:val="en-GB"/>
              </w:rPr>
            </w:pPr>
            <w:r>
              <w:rPr>
                <w:sz w:val="16"/>
                <w:lang w:val="en-GB"/>
              </w:rPr>
              <w:t>COOPOP</w:t>
            </w:r>
          </w:p>
        </w:tc>
        <w:tc>
          <w:tcPr>
            <w:tcW w:w="576" w:type="dxa"/>
            <w:tcBorders>
              <w:left w:val="dashed" w:sz="4" w:space="0" w:color="auto"/>
            </w:tcBorders>
            <w:vAlign w:val="center"/>
          </w:tcPr>
          <w:p w:rsidR="00000000" w:rsidRDefault="00000000">
            <w:pPr>
              <w:jc w:val="center"/>
              <w:rPr>
                <w:sz w:val="16"/>
                <w:lang w:val="en-GB"/>
              </w:rPr>
            </w:pPr>
            <w:r>
              <w:rPr>
                <w:noProof/>
                <w:sz w:val="20"/>
                <w:lang w:eastAsia="fr-FR"/>
              </w:rPr>
              <w:pict>
                <v:line id="_x0000_s1117" style="position:absolute;left:0;text-align:left;z-index:49;mso-position-horizontal-relative:text;mso-position-vertical-relative:text" from="-1.2pt,4.15pt" to="25.8pt,4.15pt">
                  <v:stroke dashstyle="1 1" endcap="round"/>
                </v:line>
              </w:pict>
            </w:r>
          </w:p>
        </w:tc>
        <w:tc>
          <w:tcPr>
            <w:tcW w:w="576" w:type="dxa"/>
            <w:vAlign w:val="center"/>
          </w:tcPr>
          <w:p w:rsidR="00000000" w:rsidRDefault="00000000">
            <w:pPr>
              <w:jc w:val="center"/>
              <w:rPr>
                <w:sz w:val="16"/>
                <w:lang w:val="en-GB"/>
              </w:rPr>
            </w:pPr>
          </w:p>
        </w:tc>
      </w:tr>
      <w:tr w:rsidR="00000000">
        <w:trPr>
          <w:jc w:val="center"/>
        </w:trPr>
        <w:tc>
          <w:tcPr>
            <w:tcW w:w="575" w:type="dxa"/>
            <w:vAlign w:val="center"/>
          </w:tcPr>
          <w:p w:rsidR="00000000" w:rsidRDefault="00000000">
            <w:pPr>
              <w:jc w:val="center"/>
              <w:rPr>
                <w:sz w:val="16"/>
                <w:lang w:val="en-GB"/>
              </w:rPr>
            </w:pPr>
          </w:p>
        </w:tc>
        <w:tc>
          <w:tcPr>
            <w:tcW w:w="575" w:type="dxa"/>
            <w:vAlign w:val="center"/>
          </w:tcPr>
          <w:p w:rsidR="00000000" w:rsidRDefault="00000000">
            <w:pPr>
              <w:jc w:val="center"/>
              <w:rPr>
                <w:sz w:val="16"/>
                <w:lang w:val="en-GB"/>
              </w:rPr>
            </w:pPr>
          </w:p>
        </w:tc>
        <w:tc>
          <w:tcPr>
            <w:tcW w:w="575" w:type="dxa"/>
            <w:tcBorders>
              <w:top w:val="dashSmallGap" w:sz="4" w:space="0" w:color="auto"/>
            </w:tcBorders>
            <w:vAlign w:val="center"/>
          </w:tcPr>
          <w:p w:rsidR="00000000" w:rsidRDefault="00000000">
            <w:pPr>
              <w:jc w:val="center"/>
              <w:rPr>
                <w:sz w:val="16"/>
                <w:lang w:val="en-GB"/>
              </w:rPr>
            </w:pPr>
          </w:p>
        </w:tc>
        <w:tc>
          <w:tcPr>
            <w:tcW w:w="575" w:type="dxa"/>
            <w:tcBorders>
              <w:top w:val="dashSmallGap" w:sz="4" w:space="0" w:color="auto"/>
            </w:tcBorders>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tcBorders>
              <w:bottom w:val="dashed" w:sz="4" w:space="0" w:color="auto"/>
            </w:tcBorders>
            <w:vAlign w:val="center"/>
          </w:tcPr>
          <w:p w:rsidR="00000000" w:rsidRDefault="00000000">
            <w:pPr>
              <w:jc w:val="center"/>
              <w:rPr>
                <w:sz w:val="16"/>
                <w:lang w:val="en-GB"/>
              </w:rPr>
            </w:pPr>
          </w:p>
        </w:tc>
        <w:tc>
          <w:tcPr>
            <w:tcW w:w="576" w:type="dxa"/>
            <w:gridSpan w:val="2"/>
            <w:tcBorders>
              <w:bottom w:val="dashed" w:sz="4" w:space="0" w:color="auto"/>
            </w:tcBorders>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r>
      <w:tr w:rsidR="00000000">
        <w:trPr>
          <w:cantSplit/>
          <w:jc w:val="center"/>
        </w:trPr>
        <w:tc>
          <w:tcPr>
            <w:tcW w:w="575" w:type="dxa"/>
            <w:vAlign w:val="center"/>
          </w:tcPr>
          <w:p w:rsidR="00000000" w:rsidRDefault="00000000">
            <w:pPr>
              <w:jc w:val="center"/>
              <w:rPr>
                <w:sz w:val="16"/>
                <w:lang w:val="en-GB"/>
              </w:rPr>
            </w:pPr>
          </w:p>
        </w:tc>
        <w:tc>
          <w:tcPr>
            <w:tcW w:w="575" w:type="dxa"/>
            <w:vAlign w:val="center"/>
          </w:tcPr>
          <w:p w:rsidR="00000000" w:rsidRDefault="00000000">
            <w:pPr>
              <w:jc w:val="center"/>
              <w:rPr>
                <w:sz w:val="16"/>
                <w:lang w:val="en-GB"/>
              </w:rPr>
            </w:pPr>
          </w:p>
        </w:tc>
        <w:tc>
          <w:tcPr>
            <w:tcW w:w="575" w:type="dxa"/>
            <w:vAlign w:val="center"/>
          </w:tcPr>
          <w:p w:rsidR="00000000" w:rsidRDefault="00000000">
            <w:pPr>
              <w:jc w:val="center"/>
              <w:rPr>
                <w:sz w:val="16"/>
                <w:lang w:val="en-GB"/>
              </w:rPr>
            </w:pPr>
          </w:p>
        </w:tc>
        <w:tc>
          <w:tcPr>
            <w:tcW w:w="575" w:type="dxa"/>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c>
          <w:tcPr>
            <w:tcW w:w="576" w:type="dxa"/>
            <w:tcBorders>
              <w:right w:val="dashed" w:sz="4" w:space="0" w:color="auto"/>
            </w:tcBorders>
            <w:vAlign w:val="center"/>
          </w:tcPr>
          <w:p w:rsidR="00000000" w:rsidRDefault="00000000">
            <w:pPr>
              <w:jc w:val="center"/>
              <w:rPr>
                <w:sz w:val="16"/>
                <w:lang w:val="en-GB"/>
              </w:rPr>
            </w:pPr>
          </w:p>
        </w:tc>
        <w:tc>
          <w:tcPr>
            <w:tcW w:w="1152" w:type="dxa"/>
            <w:gridSpan w:val="3"/>
            <w:tcBorders>
              <w:top w:val="dashed" w:sz="4" w:space="0" w:color="auto"/>
              <w:left w:val="dashed" w:sz="4" w:space="0" w:color="auto"/>
              <w:bottom w:val="dashed" w:sz="4" w:space="0" w:color="auto"/>
              <w:right w:val="dashed" w:sz="4" w:space="0" w:color="auto"/>
            </w:tcBorders>
            <w:vAlign w:val="center"/>
          </w:tcPr>
          <w:p w:rsidR="00000000" w:rsidRDefault="00000000">
            <w:pPr>
              <w:jc w:val="center"/>
              <w:rPr>
                <w:sz w:val="16"/>
                <w:lang w:val="en-GB"/>
              </w:rPr>
            </w:pPr>
            <w:r>
              <w:rPr>
                <w:noProof/>
                <w:sz w:val="20"/>
                <w:lang w:eastAsia="fr-FR"/>
              </w:rPr>
              <w:pict>
                <v:line id="_x0000_s1118" style="position:absolute;left:0;text-align:left;z-index:50;mso-position-horizontal-relative:text;mso-position-vertical-relative:text" from="55.65pt,4.65pt" to="82.65pt,4.65pt">
                  <v:stroke dashstyle="1 1" endcap="round"/>
                </v:line>
              </w:pict>
            </w:r>
            <w:r>
              <w:rPr>
                <w:sz w:val="16"/>
                <w:lang w:val="en-GB"/>
              </w:rPr>
              <w:t>PAR</w:t>
            </w:r>
          </w:p>
        </w:tc>
        <w:tc>
          <w:tcPr>
            <w:tcW w:w="576" w:type="dxa"/>
            <w:tcBorders>
              <w:left w:val="dashed" w:sz="4" w:space="0" w:color="auto"/>
            </w:tcBorders>
            <w:vAlign w:val="center"/>
          </w:tcPr>
          <w:p w:rsidR="00000000" w:rsidRDefault="00000000">
            <w:pPr>
              <w:jc w:val="center"/>
              <w:rPr>
                <w:sz w:val="16"/>
                <w:lang w:val="en-GB"/>
              </w:rPr>
            </w:pPr>
          </w:p>
        </w:tc>
        <w:tc>
          <w:tcPr>
            <w:tcW w:w="576" w:type="dxa"/>
            <w:vAlign w:val="center"/>
          </w:tcPr>
          <w:p w:rsidR="00000000" w:rsidRDefault="00000000">
            <w:pPr>
              <w:jc w:val="center"/>
              <w:rPr>
                <w:sz w:val="16"/>
                <w:lang w:val="en-GB"/>
              </w:rPr>
            </w:pPr>
          </w:p>
        </w:tc>
      </w:tr>
    </w:tbl>
    <w:p w:rsidR="00000000" w:rsidRDefault="00000000">
      <w:pPr>
        <w:rPr>
          <w:sz w:val="18"/>
          <w:lang w:val="en-GB"/>
        </w:rPr>
      </w:pPr>
    </w:p>
    <w:p w:rsidR="00000000" w:rsidRDefault="00000000">
      <w:pPr>
        <w:spacing w:before="60" w:after="60"/>
        <w:rPr>
          <w:sz w:val="18"/>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023"/>
        <w:gridCol w:w="4529"/>
      </w:tblGrid>
      <w:tr w:rsidR="00000000">
        <w:tblPrEx>
          <w:tblCellMar>
            <w:top w:w="0" w:type="dxa"/>
            <w:bottom w:w="0" w:type="dxa"/>
          </w:tblCellMar>
        </w:tblPrEx>
        <w:tc>
          <w:tcPr>
            <w:tcW w:w="5023" w:type="dxa"/>
          </w:tcPr>
          <w:p w:rsidR="00000000" w:rsidRDefault="00000000">
            <w:pPr>
              <w:tabs>
                <w:tab w:val="clear" w:pos="720"/>
              </w:tabs>
              <w:spacing w:before="60" w:after="60"/>
              <w:jc w:val="left"/>
              <w:rPr>
                <w:sz w:val="20"/>
                <w:lang w:val="en-GB"/>
              </w:rPr>
            </w:pPr>
            <w:r>
              <w:rPr>
                <w:b/>
                <w:sz w:val="20"/>
                <w:lang w:val="en-GB"/>
              </w:rPr>
              <w:t>Decentralized public bodies</w:t>
            </w:r>
          </w:p>
        </w:tc>
        <w:tc>
          <w:tcPr>
            <w:tcW w:w="4529" w:type="dxa"/>
          </w:tcPr>
          <w:p w:rsidR="00000000" w:rsidRDefault="00000000">
            <w:pPr>
              <w:tabs>
                <w:tab w:val="clear" w:pos="720"/>
              </w:tabs>
              <w:spacing w:before="60" w:after="60"/>
              <w:jc w:val="left"/>
              <w:rPr>
                <w:b/>
                <w:sz w:val="20"/>
                <w:lang w:val="en-GB"/>
              </w:rPr>
            </w:pPr>
            <w:r>
              <w:rPr>
                <w:b/>
                <w:sz w:val="20"/>
                <w:lang w:val="en-GB"/>
              </w:rPr>
              <w:t>Subsidiary bodies</w:t>
            </w:r>
          </w:p>
        </w:tc>
      </w:tr>
      <w:tr w:rsidR="00000000">
        <w:tblPrEx>
          <w:tblCellMar>
            <w:top w:w="0" w:type="dxa"/>
            <w:bottom w:w="0" w:type="dxa"/>
          </w:tblCellMar>
        </w:tblPrEx>
        <w:tc>
          <w:tcPr>
            <w:tcW w:w="5023" w:type="dxa"/>
          </w:tcPr>
          <w:p w:rsidR="00000000" w:rsidRDefault="00000000">
            <w:pPr>
              <w:tabs>
                <w:tab w:val="clear" w:pos="720"/>
              </w:tabs>
              <w:spacing w:before="60" w:after="60"/>
              <w:jc w:val="left"/>
              <w:rPr>
                <w:sz w:val="20"/>
                <w:lang w:val="en-GB"/>
              </w:rPr>
            </w:pPr>
            <w:r>
              <w:rPr>
                <w:sz w:val="20"/>
                <w:lang w:val="en-GB"/>
              </w:rPr>
              <w:t>INABIF: National Family Welfare Institute</w:t>
            </w:r>
          </w:p>
        </w:tc>
        <w:tc>
          <w:tcPr>
            <w:tcW w:w="4529" w:type="dxa"/>
          </w:tcPr>
          <w:p w:rsidR="00000000" w:rsidRDefault="00000000">
            <w:pPr>
              <w:tabs>
                <w:tab w:val="clear" w:pos="720"/>
              </w:tabs>
              <w:spacing w:before="60" w:after="60"/>
              <w:jc w:val="left"/>
              <w:rPr>
                <w:sz w:val="20"/>
                <w:lang w:val="en-GB"/>
              </w:rPr>
            </w:pPr>
            <w:r>
              <w:rPr>
                <w:sz w:val="20"/>
                <w:lang w:val="en-GB"/>
              </w:rPr>
              <w:t>SNA: National Secretariat for Adoptions</w:t>
            </w:r>
          </w:p>
        </w:tc>
      </w:tr>
      <w:tr w:rsidR="00000000">
        <w:tblPrEx>
          <w:tblCellMar>
            <w:top w:w="0" w:type="dxa"/>
            <w:bottom w:w="0" w:type="dxa"/>
          </w:tblCellMar>
        </w:tblPrEx>
        <w:tc>
          <w:tcPr>
            <w:tcW w:w="5023" w:type="dxa"/>
          </w:tcPr>
          <w:p w:rsidR="00000000" w:rsidRDefault="00000000">
            <w:pPr>
              <w:tabs>
                <w:tab w:val="clear" w:pos="720"/>
              </w:tabs>
              <w:spacing w:before="60" w:after="60"/>
              <w:jc w:val="left"/>
              <w:rPr>
                <w:sz w:val="20"/>
                <w:lang w:val="en-GB"/>
              </w:rPr>
            </w:pPr>
            <w:r>
              <w:rPr>
                <w:sz w:val="20"/>
                <w:lang w:val="en-GB"/>
              </w:rPr>
              <w:t>PRONAA: National Food Aid Programme</w:t>
            </w:r>
          </w:p>
        </w:tc>
        <w:tc>
          <w:tcPr>
            <w:tcW w:w="4529" w:type="dxa"/>
          </w:tcPr>
          <w:p w:rsidR="00000000" w:rsidRDefault="00000000">
            <w:pPr>
              <w:tabs>
                <w:tab w:val="clear" w:pos="720"/>
              </w:tabs>
              <w:spacing w:before="60" w:after="60"/>
              <w:jc w:val="left"/>
              <w:rPr>
                <w:sz w:val="20"/>
                <w:lang w:val="en-GB"/>
              </w:rPr>
            </w:pPr>
            <w:r>
              <w:rPr>
                <w:sz w:val="20"/>
                <w:lang w:val="en-GB"/>
              </w:rPr>
              <w:t>Sectoral coordination committees at the regional level</w:t>
            </w:r>
          </w:p>
        </w:tc>
      </w:tr>
      <w:tr w:rsidR="00000000">
        <w:tblPrEx>
          <w:tblCellMar>
            <w:top w:w="0" w:type="dxa"/>
            <w:bottom w:w="0" w:type="dxa"/>
          </w:tblCellMar>
        </w:tblPrEx>
        <w:tc>
          <w:tcPr>
            <w:tcW w:w="5023" w:type="dxa"/>
          </w:tcPr>
          <w:p w:rsidR="00000000" w:rsidRDefault="00000000">
            <w:pPr>
              <w:tabs>
                <w:tab w:val="clear" w:pos="720"/>
              </w:tabs>
              <w:spacing w:before="60" w:after="60"/>
              <w:jc w:val="left"/>
              <w:rPr>
                <w:sz w:val="20"/>
                <w:lang w:val="en-GB"/>
              </w:rPr>
            </w:pPr>
            <w:r>
              <w:rPr>
                <w:sz w:val="20"/>
                <w:lang w:val="en-GB"/>
              </w:rPr>
              <w:t>PAR: Programme of Support for the Resettlement and Development of Emergency Zones</w:t>
            </w:r>
          </w:p>
        </w:tc>
        <w:tc>
          <w:tcPr>
            <w:tcW w:w="4529" w:type="dxa"/>
          </w:tcPr>
          <w:p w:rsidR="00000000" w:rsidRDefault="00000000">
            <w:pPr>
              <w:tabs>
                <w:tab w:val="clear" w:pos="720"/>
              </w:tabs>
              <w:spacing w:before="60" w:after="60"/>
              <w:jc w:val="left"/>
              <w:rPr>
                <w:sz w:val="20"/>
                <w:lang w:val="en-GB"/>
              </w:rPr>
            </w:pPr>
            <w:r>
              <w:rPr>
                <w:b/>
                <w:sz w:val="20"/>
                <w:lang w:val="en-GB"/>
              </w:rPr>
              <w:t>National programmes</w:t>
            </w:r>
          </w:p>
        </w:tc>
      </w:tr>
      <w:tr w:rsidR="00000000">
        <w:tblPrEx>
          <w:tblCellMar>
            <w:top w:w="0" w:type="dxa"/>
            <w:bottom w:w="0" w:type="dxa"/>
          </w:tblCellMar>
        </w:tblPrEx>
        <w:tc>
          <w:tcPr>
            <w:tcW w:w="5023" w:type="dxa"/>
          </w:tcPr>
          <w:p w:rsidR="00000000" w:rsidRDefault="00000000">
            <w:pPr>
              <w:tabs>
                <w:tab w:val="clear" w:pos="720"/>
              </w:tabs>
              <w:spacing w:before="60" w:after="60"/>
              <w:jc w:val="left"/>
              <w:rPr>
                <w:sz w:val="20"/>
                <w:lang w:val="en-GB"/>
              </w:rPr>
            </w:pPr>
            <w:r>
              <w:rPr>
                <w:sz w:val="20"/>
                <w:lang w:val="en-GB"/>
              </w:rPr>
              <w:t>CONADES: National Council for Integration of Disabled Persons</w:t>
            </w:r>
          </w:p>
        </w:tc>
        <w:tc>
          <w:tcPr>
            <w:tcW w:w="4529" w:type="dxa"/>
          </w:tcPr>
          <w:p w:rsidR="00000000" w:rsidRDefault="00000000">
            <w:pPr>
              <w:tabs>
                <w:tab w:val="clear" w:pos="720"/>
              </w:tabs>
              <w:spacing w:before="60" w:after="60"/>
              <w:jc w:val="left"/>
              <w:rPr>
                <w:sz w:val="20"/>
                <w:lang w:val="en-GB"/>
              </w:rPr>
            </w:pPr>
            <w:r>
              <w:rPr>
                <w:sz w:val="20"/>
                <w:lang w:val="en-GB"/>
              </w:rPr>
              <w:t>PNWW: National Wawa Wasi Programme</w:t>
            </w:r>
          </w:p>
        </w:tc>
      </w:tr>
      <w:tr w:rsidR="00000000">
        <w:tblPrEx>
          <w:tblCellMar>
            <w:top w:w="0" w:type="dxa"/>
            <w:bottom w:w="0" w:type="dxa"/>
          </w:tblCellMar>
        </w:tblPrEx>
        <w:tc>
          <w:tcPr>
            <w:tcW w:w="5023" w:type="dxa"/>
          </w:tcPr>
          <w:p w:rsidR="00000000" w:rsidRDefault="00000000">
            <w:pPr>
              <w:tabs>
                <w:tab w:val="clear" w:pos="720"/>
              </w:tabs>
              <w:spacing w:before="60" w:after="60"/>
              <w:jc w:val="left"/>
              <w:rPr>
                <w:sz w:val="20"/>
                <w:lang w:val="en-GB"/>
              </w:rPr>
            </w:pPr>
            <w:r>
              <w:rPr>
                <w:sz w:val="20"/>
                <w:lang w:val="en-GB"/>
              </w:rPr>
              <w:t xml:space="preserve">PATPAL: </w:t>
            </w:r>
            <w:r>
              <w:rPr>
                <w:i/>
                <w:sz w:val="20"/>
                <w:lang w:val="en-GB"/>
              </w:rPr>
              <w:t>Parque de las Leyendas</w:t>
            </w:r>
            <w:r>
              <w:rPr>
                <w:sz w:val="20"/>
                <w:lang w:val="en-GB"/>
              </w:rPr>
              <w:t xml:space="preserve"> Board</w:t>
            </w:r>
          </w:p>
        </w:tc>
        <w:tc>
          <w:tcPr>
            <w:tcW w:w="4529" w:type="dxa"/>
          </w:tcPr>
          <w:p w:rsidR="00000000" w:rsidRDefault="00000000">
            <w:pPr>
              <w:tabs>
                <w:tab w:val="clear" w:pos="720"/>
              </w:tabs>
              <w:spacing w:before="60" w:after="60"/>
              <w:jc w:val="left"/>
              <w:rPr>
                <w:sz w:val="20"/>
                <w:lang w:val="en-GB"/>
              </w:rPr>
            </w:pPr>
            <w:r>
              <w:rPr>
                <w:sz w:val="20"/>
                <w:lang w:val="en-GB"/>
              </w:rPr>
              <w:t>PNCVFS: National Programme to Combat Domestic and Sexual Violence</w:t>
            </w:r>
          </w:p>
        </w:tc>
      </w:tr>
      <w:tr w:rsidR="00000000">
        <w:tblPrEx>
          <w:tblCellMar>
            <w:top w:w="0" w:type="dxa"/>
            <w:bottom w:w="0" w:type="dxa"/>
          </w:tblCellMar>
        </w:tblPrEx>
        <w:tc>
          <w:tcPr>
            <w:tcW w:w="5023" w:type="dxa"/>
          </w:tcPr>
          <w:p w:rsidR="00000000" w:rsidRDefault="00000000">
            <w:pPr>
              <w:tabs>
                <w:tab w:val="clear" w:pos="720"/>
              </w:tabs>
              <w:spacing w:before="60" w:after="60"/>
              <w:jc w:val="left"/>
              <w:rPr>
                <w:sz w:val="20"/>
                <w:lang w:val="en-GB"/>
              </w:rPr>
            </w:pPr>
            <w:r>
              <w:rPr>
                <w:sz w:val="20"/>
                <w:lang w:val="en-GB"/>
              </w:rPr>
              <w:t>FONCODES: National Compensation and Social Development Fund</w:t>
            </w:r>
          </w:p>
        </w:tc>
        <w:tc>
          <w:tcPr>
            <w:tcW w:w="4529" w:type="dxa"/>
          </w:tcPr>
          <w:p w:rsidR="00000000" w:rsidRDefault="00000000">
            <w:pPr>
              <w:tabs>
                <w:tab w:val="clear" w:pos="720"/>
              </w:tabs>
              <w:spacing w:before="60" w:after="60"/>
              <w:jc w:val="left"/>
              <w:rPr>
                <w:sz w:val="20"/>
                <w:lang w:val="en-GB"/>
              </w:rPr>
            </w:pPr>
            <w:r>
              <w:rPr>
                <w:sz w:val="20"/>
                <w:lang w:val="en-GB"/>
              </w:rPr>
              <w:t>Act No. 27793: MIMDES (Organization and Functions) Act</w:t>
            </w:r>
          </w:p>
        </w:tc>
      </w:tr>
    </w:tbl>
    <w:p w:rsidR="00000000" w:rsidRDefault="00000000">
      <w:pPr>
        <w:tabs>
          <w:tab w:val="clear" w:pos="720"/>
        </w:tabs>
        <w:jc w:val="left"/>
        <w:rPr>
          <w:sz w:val="24"/>
          <w:lang w:val="en-GB"/>
        </w:rPr>
      </w:pPr>
      <w:r>
        <w:rPr>
          <w:sz w:val="24"/>
          <w:lang w:val="en-GB"/>
        </w:rPr>
        <w:t>29.</w:t>
      </w:r>
      <w:r>
        <w:rPr>
          <w:sz w:val="24"/>
          <w:lang w:val="en-GB"/>
        </w:rPr>
        <w:tab/>
        <w:t>The next local and regional government elections will determine who are the authentic representatives and leaders of each district, province and region, and they will introduce a unique social change, for elected representatives will henceforth take the decisions affecting their own destiny.  The social impact of this process will alter the situation of the forgotten Peruvians, especially of children.</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30.</w:t>
      </w:r>
      <w:r>
        <w:rPr>
          <w:sz w:val="24"/>
          <w:lang w:val="en-GB"/>
        </w:rPr>
        <w:tab/>
        <w:t>Decentralization will restructure Peru.  But in order to speed up this process Peru will have to take a decision to change the forms of the relations among its inhabitants; in this connection the quest for dialogue and encounter and the rejection of violence is a commitment of all Peruvians.</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31.</w:t>
      </w:r>
      <w:r>
        <w:rPr>
          <w:sz w:val="24"/>
          <w:lang w:val="en-GB"/>
        </w:rPr>
        <w:tab/>
        <w:t>Efforts are currently being made to manage an orderly and gradual process of decentralization, in which spheres of competence are clearly defined and foster transparent and predictable decisions.  This will make it possible not only to avoid duplication of functions but also to ensure the assignment of responsibilities and accountability to the appropriate level of government.</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32.</w:t>
      </w:r>
      <w:r>
        <w:rPr>
          <w:sz w:val="24"/>
          <w:lang w:val="en-GB"/>
        </w:rPr>
        <w:tab/>
        <w:t>The Peruvian State will place special emphasis on improving the efficiency of the social programmes and boosting productivity in the use of public resources.  In order to attain this goal, the ministries responsible for social programmes, such as the ministry in question here, will continue to combine their approaches and programmes with a view to reducing extreme poverty.</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33.</w:t>
      </w:r>
      <w:r>
        <w:rPr>
          <w:sz w:val="24"/>
          <w:lang w:val="en-GB"/>
        </w:rPr>
        <w:tab/>
        <w:t>One part of public expenditure will be results-based, with clearly established spheres of competence and responsibilities; this will release resources to increase social spending.  The medium-term aim is for social spending, currently standing at eight per cent of GDP, to rise to over 10 per cent, with priority given to nutrition, health, education, justice, housing and public security.</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34.</w:t>
      </w:r>
      <w:r>
        <w:rPr>
          <w:sz w:val="24"/>
          <w:lang w:val="en-GB"/>
        </w:rPr>
        <w:tab/>
        <w:t>The ultimate goal of economic policy is to achieve sustained growth and maintain low inflation and the consistent international reserves position which Peru now has, with a sustainable external balance of payments and prudent levels of internal and external debt.  Maintenance of this stability is one of the best means of attracting investment and generating the decent jobs which Peruvians need.</w:t>
      </w:r>
    </w:p>
    <w:p w:rsidR="00000000" w:rsidRDefault="00000000">
      <w:pPr>
        <w:tabs>
          <w:tab w:val="clear" w:pos="720"/>
        </w:tabs>
        <w:jc w:val="left"/>
        <w:rPr>
          <w:sz w:val="24"/>
          <w:lang w:val="en-GB"/>
        </w:rPr>
      </w:pPr>
    </w:p>
    <w:p w:rsidR="00000000" w:rsidRDefault="00000000">
      <w:pPr>
        <w:tabs>
          <w:tab w:val="clear" w:pos="720"/>
        </w:tabs>
        <w:jc w:val="center"/>
        <w:rPr>
          <w:b/>
          <w:sz w:val="24"/>
          <w:lang w:val="en-GB"/>
        </w:rPr>
      </w:pPr>
      <w:r>
        <w:rPr>
          <w:b/>
          <w:sz w:val="24"/>
          <w:lang w:val="en-GB"/>
        </w:rPr>
        <w:t>C.  Education</w:t>
      </w:r>
      <w:r>
        <w:rPr>
          <w:rStyle w:val="FootnoteReference"/>
          <w:b/>
          <w:bCs/>
          <w:sz w:val="24"/>
          <w:lang w:val="en-GB"/>
        </w:rPr>
        <w:footnoteReference w:customMarkFollows="1" w:id="16"/>
        <w:t>15</w:t>
      </w:r>
    </w:p>
    <w:p w:rsidR="00000000" w:rsidRDefault="00000000">
      <w:pPr>
        <w:tabs>
          <w:tab w:val="clear" w:pos="720"/>
        </w:tabs>
        <w:jc w:val="left"/>
        <w:rPr>
          <w:b/>
          <w:sz w:val="24"/>
          <w:lang w:val="en-GB"/>
        </w:rPr>
      </w:pPr>
    </w:p>
    <w:p w:rsidR="00000000" w:rsidRDefault="00000000">
      <w:pPr>
        <w:tabs>
          <w:tab w:val="clear" w:pos="720"/>
        </w:tabs>
        <w:jc w:val="left"/>
        <w:rPr>
          <w:sz w:val="24"/>
          <w:lang w:val="en-GB"/>
        </w:rPr>
      </w:pPr>
      <w:r>
        <w:rPr>
          <w:sz w:val="24"/>
          <w:lang w:val="en-GB"/>
        </w:rPr>
        <w:t>35.</w:t>
      </w:r>
      <w:r>
        <w:rPr>
          <w:sz w:val="24"/>
          <w:lang w:val="en-GB"/>
        </w:rPr>
        <w:tab/>
        <w:t>Education is one of the keys to the development of the country as a whole.  Accordingly, the national education process must understand education as a social action which is a responsibility of the entire community and, that being the case, proclaim its vocation of promoting increased participation by society without ceasing to underline the lead role of the State.</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36.</w:t>
      </w:r>
      <w:r>
        <w:rPr>
          <w:sz w:val="24"/>
          <w:lang w:val="en-GB"/>
        </w:rPr>
        <w:tab/>
        <w:t>The Peruvian State reaffirms its determination to make education into a fundamental axis of national development within the context of the National Accord, the proposals resulting from the National Consultation on Education, and the Outline of Education Policy 2002-2006, in order to accelerate the start-up of the national education project.</w:t>
      </w:r>
    </w:p>
    <w:p w:rsidR="00000000" w:rsidRDefault="00000000">
      <w:pPr>
        <w:tabs>
          <w:tab w:val="clear" w:pos="720"/>
        </w:tabs>
        <w:jc w:val="left"/>
        <w:rPr>
          <w:sz w:val="24"/>
          <w:lang w:val="en-GB"/>
        </w:rPr>
      </w:pPr>
      <w:r>
        <w:rPr>
          <w:sz w:val="24"/>
          <w:lang w:val="en-GB"/>
        </w:rPr>
        <w:t>37.</w:t>
      </w:r>
      <w:r>
        <w:rPr>
          <w:sz w:val="24"/>
          <w:lang w:val="en-GB"/>
        </w:rPr>
        <w:tab/>
        <w:t>One of the main challenges for education is to build, from childhood, a citizenry imbued with a culture of solidarity and democracy.</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38.</w:t>
      </w:r>
      <w:r>
        <w:rPr>
          <w:sz w:val="24"/>
          <w:lang w:val="en-GB"/>
        </w:rPr>
        <w:tab/>
        <w:t>In addition, the education policy is designed to establish a close relationship between the education system and the system of national production and to boost the nation’s scientific and technological skills.</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39.</w:t>
      </w:r>
      <w:r>
        <w:rPr>
          <w:sz w:val="24"/>
          <w:lang w:val="en-GB"/>
        </w:rPr>
        <w:tab/>
        <w:t>The decision to improve the quality of education posits three lines of action: provision of education of quality and equity; priority for the sectors with the biggest deficits; and decentralization of education to support regional development, with emphasis on the fight against poverty.</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40.</w:t>
      </w:r>
      <w:r>
        <w:rPr>
          <w:sz w:val="24"/>
          <w:lang w:val="en-GB"/>
        </w:rPr>
        <w:tab/>
        <w:t>The education system’s most serious problem is the children who do not enrol in school and those who drop out, phenomena found chiefly in rural areas.  The Rural Education and Development Programme, to be implemented over a period of 10 years, will be introduced as a means of correcting this situation.  It is currently in the final stage of negotiation with the World Bank; over the next four years it will help to increase the access of rural children to education.  Implementation of the pilot plan has already begun in rural areas of Cusco, Piura and San Martín.</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41.</w:t>
      </w:r>
      <w:r>
        <w:rPr>
          <w:sz w:val="24"/>
          <w:lang w:val="en-GB"/>
        </w:rPr>
        <w:tab/>
        <w:t>Peru still has more than two million persons aged over 15 who can neither read nor write; this problem is being tackled at its roots by expanding primary education and strengthening rural education.</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42.</w:t>
      </w:r>
      <w:r>
        <w:rPr>
          <w:sz w:val="24"/>
          <w:lang w:val="en-GB"/>
        </w:rPr>
        <w:tab/>
        <w:t>The Huascarán programme, a measure to facilitate access to global information, is already available to 500,000 pupils and in 2005 it will attain the target of 2.2 million users.</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b/>
          <w:sz w:val="24"/>
          <w:lang w:val="en-GB"/>
        </w:rPr>
        <w:t>Bilingual and cross-cultural education</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43.</w:t>
      </w:r>
      <w:r>
        <w:rPr>
          <w:sz w:val="24"/>
          <w:lang w:val="en-GB"/>
        </w:rPr>
        <w:tab/>
        <w:t>Given Peru’s great linguistic and cultural diversity, education of quality and equity calls for measures with a bilingual and cross-cultural approach; a languages policy is therefore being promoted as a means of building a new policy of cultures in a context of decentralization.  This policy is designed to make people more aware of the country’s diversity of languages, knowledge, and cultural and technological heritage with a view to incorporating these assets as an educational resource with the potential to boost development.  Educational materials will be produced for this purpose in Quechua, Aimara, Aguaruna, Shipibo and other tongues, the training of bilingual cross-cultural teachers will be continued, and use will be made of modern technology to improve the teaching in bilingual and cross-cultural settings.</w:t>
      </w:r>
    </w:p>
    <w:p w:rsidR="00000000" w:rsidRDefault="00000000">
      <w:pPr>
        <w:tabs>
          <w:tab w:val="clear" w:pos="720"/>
        </w:tabs>
        <w:jc w:val="left"/>
        <w:rPr>
          <w:sz w:val="24"/>
          <w:lang w:val="en-GB"/>
        </w:rPr>
      </w:pPr>
    </w:p>
    <w:p w:rsidR="00000000" w:rsidRDefault="00000000">
      <w:pPr>
        <w:tabs>
          <w:tab w:val="clear" w:pos="720"/>
        </w:tabs>
        <w:jc w:val="center"/>
        <w:rPr>
          <w:b/>
          <w:sz w:val="24"/>
          <w:lang w:val="en-GB"/>
        </w:rPr>
      </w:pPr>
      <w:r>
        <w:rPr>
          <w:b/>
          <w:sz w:val="24"/>
          <w:lang w:val="en-GB"/>
        </w:rPr>
        <w:t>D.  Health</w:t>
      </w:r>
      <w:r>
        <w:rPr>
          <w:rStyle w:val="FootnoteReference"/>
          <w:b/>
          <w:bCs/>
          <w:sz w:val="24"/>
          <w:lang w:val="en-GB"/>
        </w:rPr>
        <w:footnoteReference w:customMarkFollows="1" w:id="17"/>
        <w:t>16</w:t>
      </w:r>
    </w:p>
    <w:p w:rsidR="00000000" w:rsidRDefault="00000000">
      <w:pPr>
        <w:tabs>
          <w:tab w:val="clear" w:pos="720"/>
        </w:tabs>
        <w:jc w:val="left"/>
        <w:rPr>
          <w:b/>
          <w:sz w:val="24"/>
          <w:lang w:val="en-GB"/>
        </w:rPr>
      </w:pPr>
    </w:p>
    <w:p w:rsidR="00000000" w:rsidRDefault="00000000">
      <w:pPr>
        <w:tabs>
          <w:tab w:val="clear" w:pos="720"/>
        </w:tabs>
        <w:jc w:val="left"/>
        <w:rPr>
          <w:sz w:val="24"/>
          <w:lang w:val="en-GB"/>
        </w:rPr>
      </w:pPr>
      <w:r>
        <w:rPr>
          <w:sz w:val="24"/>
          <w:lang w:val="en-GB"/>
        </w:rPr>
        <w:t>44.</w:t>
      </w:r>
      <w:r>
        <w:rPr>
          <w:sz w:val="24"/>
          <w:lang w:val="en-GB"/>
        </w:rPr>
        <w:tab/>
        <w:t>The Outline of Sectoral Policy for the period 2002-2012 and the Strategic Sectoral Plan for the five-year period from August 2001 to July 2006 establish the mission as the protection of personal dignity, the promotion of good health, the prevention of diseases, and the comprehensive health care of all Peruvians.  This will require a health promotion model which incorporates the democratic dialogue with greater force and political determination in the sector’s relations with the people.</w:t>
      </w:r>
    </w:p>
    <w:p w:rsidR="00000000" w:rsidRDefault="00000000">
      <w:pPr>
        <w:tabs>
          <w:tab w:val="clear" w:pos="720"/>
        </w:tabs>
        <w:jc w:val="left"/>
        <w:rPr>
          <w:sz w:val="24"/>
          <w:lang w:val="en-GB"/>
        </w:rPr>
      </w:pPr>
      <w:r>
        <w:rPr>
          <w:sz w:val="24"/>
          <w:lang w:val="en-GB"/>
        </w:rPr>
        <w:t>45.</w:t>
      </w:r>
      <w:r>
        <w:rPr>
          <w:sz w:val="24"/>
          <w:lang w:val="en-GB"/>
        </w:rPr>
        <w:tab/>
        <w:t>This promotion model will have as its central aim the reassessment of comprehensive health care; this implies giving increased attention to the social and preventive aspects of health care.  The Health Ministry Act created for this purpose the Health Promotion Department as the line agency and technical and standard-setting body in this area.</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46.</w:t>
      </w:r>
      <w:r>
        <w:rPr>
          <w:sz w:val="24"/>
          <w:lang w:val="en-GB"/>
        </w:rPr>
        <w:tab/>
        <w:t>The sector’s policy seeks to increase access to the health services and prevent the neglect of families stricken by very serious health problems.  In this connection, the Comprehensive Health Insurance Agency, which has been in operation since January of this year, has so far provided cover for more than 3.5 million persons, 56 per cent of the 2001 target coverage of 6.3 million persons.</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47.</w:t>
      </w:r>
      <w:r>
        <w:rPr>
          <w:sz w:val="24"/>
          <w:lang w:val="en-GB"/>
        </w:rPr>
        <w:tab/>
        <w:t>The Peruvian State, in affirmation of its commitment to the extremely poor members of the population, will continue to promote  universal access to health care by consolidating a model of universal and sustainable equitable mutual insurance, which 8.2 million persons are expected to have taken out by the end of 2003.  It has also set a target for 2006 of affiliation of 100 per cent of the people living in poverty or extreme poverty.</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48.</w:t>
      </w:r>
      <w:r>
        <w:rPr>
          <w:sz w:val="24"/>
          <w:lang w:val="en-GB"/>
        </w:rPr>
        <w:tab/>
        <w:t>A start has been made on transferring all the supplementary food programmes run by the Health Ministry to the National Food Aid Programme (PRONAA) in order to avoid duplication of the measures aimed at one and the same target population.  One measure carried out in the first half of 2002 was to supply 354 million food rations to a total of 2.4 million recipients, for a total investment of 65 million dollars.</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49.</w:t>
      </w:r>
      <w:r>
        <w:rPr>
          <w:sz w:val="24"/>
          <w:lang w:val="en-GB"/>
        </w:rPr>
        <w:tab/>
        <w:t>Improvements over 2001 are projected in the population’s health through measures carried out in the areas of mother and child health, the fight against emergent and re-emergent diseases, health promotion, disease prevention, provision of services, and support for the equipment of the general services of 23 hospitals.</w:t>
      </w:r>
    </w:p>
    <w:p w:rsidR="00000000" w:rsidRDefault="00000000">
      <w:pPr>
        <w:tabs>
          <w:tab w:val="clear" w:pos="720"/>
        </w:tabs>
        <w:jc w:val="left"/>
        <w:rPr>
          <w:sz w:val="20"/>
          <w:lang w:val="en-GB"/>
        </w:rPr>
      </w:pPr>
    </w:p>
    <w:p w:rsidR="00000000" w:rsidRDefault="00000000">
      <w:pPr>
        <w:tabs>
          <w:tab w:val="clear" w:pos="720"/>
        </w:tabs>
        <w:jc w:val="left"/>
        <w:rPr>
          <w:sz w:val="24"/>
          <w:lang w:val="en-GB"/>
        </w:rPr>
      </w:pPr>
      <w:r>
        <w:rPr>
          <w:sz w:val="24"/>
          <w:lang w:val="en-GB"/>
        </w:rPr>
        <w:t>50.</w:t>
      </w:r>
      <w:r>
        <w:rPr>
          <w:sz w:val="24"/>
          <w:lang w:val="en-GB"/>
        </w:rPr>
        <w:tab/>
        <w:t>These improvements include the reduction of tuberculosis by 13 per cent, malaria by one per cent, and dengue by 44 per cent, as well as reductions in the incidence of acute diarrhoea by nine per cent and pneumonia by 18 per cent and a decrease of six per cent in the maternal mortality rate.</w:t>
      </w:r>
    </w:p>
    <w:p w:rsidR="00000000" w:rsidRDefault="00000000">
      <w:pPr>
        <w:tabs>
          <w:tab w:val="clear" w:pos="720"/>
        </w:tabs>
        <w:jc w:val="left"/>
        <w:rPr>
          <w:sz w:val="20"/>
          <w:lang w:val="en-GB"/>
        </w:rPr>
      </w:pPr>
    </w:p>
    <w:p w:rsidR="00000000" w:rsidRDefault="00000000">
      <w:pPr>
        <w:tabs>
          <w:tab w:val="clear" w:pos="720"/>
        </w:tabs>
        <w:jc w:val="left"/>
        <w:rPr>
          <w:sz w:val="24"/>
          <w:lang w:val="en-GB"/>
        </w:rPr>
      </w:pPr>
      <w:r>
        <w:rPr>
          <w:sz w:val="24"/>
          <w:lang w:val="en-GB"/>
        </w:rPr>
        <w:t>51.</w:t>
      </w:r>
      <w:r>
        <w:rPr>
          <w:sz w:val="24"/>
          <w:lang w:val="en-GB"/>
        </w:rPr>
        <w:tab/>
        <w:t>Action will be taken to strengthen health promotion and the prevention and control of transmissible diseases and chronic degenerative conditions through the epidemiological monitoring system, with a view to controlling transmissible diseases which are widespread at the regional and national levels.  The targets set for 2006 are to reduce cases of tuberculosis by 20 per cent and of malaria, dengue and yellow fever by 40 per cent and to reduce the number of deaths caused by acute respiratory infections and acute diarrhoea by 30 per cent.</w:t>
      </w:r>
    </w:p>
    <w:p w:rsidR="00000000" w:rsidRDefault="00000000">
      <w:pPr>
        <w:tabs>
          <w:tab w:val="clear" w:pos="720"/>
        </w:tabs>
        <w:jc w:val="left"/>
        <w:rPr>
          <w:sz w:val="18"/>
          <w:lang w:val="en-GB"/>
        </w:rPr>
      </w:pPr>
    </w:p>
    <w:p w:rsidR="00000000" w:rsidRDefault="00000000">
      <w:pPr>
        <w:tabs>
          <w:tab w:val="clear" w:pos="720"/>
        </w:tabs>
        <w:jc w:val="left"/>
        <w:rPr>
          <w:sz w:val="18"/>
          <w:lang w:val="en-GB"/>
        </w:rPr>
      </w:pPr>
    </w:p>
    <w:p w:rsidR="00000000" w:rsidRDefault="00000000">
      <w:pPr>
        <w:tabs>
          <w:tab w:val="clear" w:pos="720"/>
        </w:tabs>
        <w:jc w:val="center"/>
        <w:rPr>
          <w:sz w:val="24"/>
          <w:lang w:val="en-GB"/>
        </w:rPr>
      </w:pPr>
      <w:r>
        <w:rPr>
          <w:b/>
          <w:sz w:val="24"/>
          <w:lang w:val="en-GB"/>
        </w:rPr>
        <w:t>II.  EXECUTIVE SUMMARY OF THE NATIONAL PLAN OF ACTION</w:t>
      </w:r>
      <w:r>
        <w:rPr>
          <w:b/>
          <w:sz w:val="24"/>
          <w:lang w:val="en-GB"/>
        </w:rPr>
        <w:br/>
        <w:t>FOR CHILDREN AND ADOLESCENTS 2002-2010</w:t>
      </w:r>
    </w:p>
    <w:p w:rsidR="00000000" w:rsidRDefault="00000000">
      <w:pPr>
        <w:tabs>
          <w:tab w:val="clear" w:pos="720"/>
        </w:tabs>
        <w:jc w:val="left"/>
        <w:rPr>
          <w:lang w:val="en-GB"/>
        </w:rPr>
      </w:pPr>
    </w:p>
    <w:p w:rsidR="00000000" w:rsidRDefault="00000000">
      <w:pPr>
        <w:tabs>
          <w:tab w:val="clear" w:pos="720"/>
        </w:tabs>
        <w:jc w:val="left"/>
        <w:rPr>
          <w:sz w:val="24"/>
          <w:lang w:val="en-GB"/>
        </w:rPr>
      </w:pPr>
      <w:r>
        <w:rPr>
          <w:sz w:val="24"/>
          <w:lang w:val="en-GB"/>
        </w:rPr>
        <w:t>52.</w:t>
      </w:r>
      <w:r>
        <w:rPr>
          <w:sz w:val="24"/>
          <w:lang w:val="en-GB"/>
        </w:rPr>
        <w:tab/>
        <w:t>The National Action Plan for Children and Adolescents 2002-2010 (PNAI) was designed in the light of the principles set out in the Convention on the Rights of the Child, the country’s existing legal framework, the current directions of public policy, and the consensus reached by the participants in the ad hoc consultation, which are in broad agreement on the need to provide equality of opportunities for all of Peru’s children in order to eliminate the disparities by means of a national effort stretching over 10 years.</w:t>
      </w:r>
    </w:p>
    <w:p w:rsidR="00000000" w:rsidRDefault="00000000">
      <w:pPr>
        <w:tabs>
          <w:tab w:val="clear" w:pos="720"/>
        </w:tabs>
        <w:jc w:val="left"/>
        <w:rPr>
          <w:sz w:val="24"/>
          <w:lang w:val="en-GB"/>
        </w:rPr>
      </w:pPr>
      <w:r>
        <w:rPr>
          <w:sz w:val="24"/>
          <w:lang w:val="en-GB"/>
        </w:rPr>
        <w:t>53.</w:t>
      </w:r>
      <w:r>
        <w:rPr>
          <w:sz w:val="24"/>
          <w:lang w:val="en-GB"/>
        </w:rPr>
        <w:tab/>
        <w:t>The strengthening of public institutions, understood as the outcome of the pooling of efforts by the State and civil society, the reconciliation and social monitoring of rights with a view to transparency in the management of public affairs and shared responsibility in decision-making, and the focusing of measures on excluded groups and regions are the general strategies designed to contribute, through the measures taken under the PNAI, to the elimination of the disparities within a generation.</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54.</w:t>
      </w:r>
      <w:r>
        <w:rPr>
          <w:sz w:val="24"/>
          <w:lang w:val="en-GB"/>
        </w:rPr>
        <w:tab/>
        <w:t>A rights-based approach was taken in the preparation of the PNAI, an approach which requires people to recognize children’s needs as rights which may be asserted and which form part of their human rights and thus require urgent attention.</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55.</w:t>
      </w:r>
      <w:r>
        <w:rPr>
          <w:sz w:val="24"/>
          <w:lang w:val="en-GB"/>
        </w:rPr>
        <w:tab/>
        <w:t>The design of the PNAI also included a phased approach which, while making it possible to deal comprehensively with the daily lives of individuals, also facilitates an understanding and a valid response to every stage in the lives of children.  This phased approach is put into effect in the “life line” (</w:t>
      </w:r>
      <w:r>
        <w:rPr>
          <w:i/>
          <w:sz w:val="24"/>
          <w:lang w:val="en-GB"/>
        </w:rPr>
        <w:t>línea de vida</w:t>
      </w:r>
      <w:r>
        <w:rPr>
          <w:sz w:val="24"/>
          <w:lang w:val="en-GB"/>
        </w:rPr>
        <w:t>) methodological strategy, which makes it possible to understand and embrace the many different factors affecting the development of every child, factors which acquire special relevance at specific stages or moments in their lives.</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56.</w:t>
      </w:r>
      <w:r>
        <w:rPr>
          <w:sz w:val="24"/>
          <w:lang w:val="en-GB"/>
        </w:rPr>
        <w:tab/>
        <w:t>The PNAI is described in the following figure:</w:t>
      </w:r>
    </w:p>
    <w:p w:rsidR="00000000" w:rsidRDefault="00000000">
      <w:pPr>
        <w:tabs>
          <w:tab w:val="clear" w:pos="720"/>
        </w:tabs>
        <w:jc w:val="left"/>
        <w:rPr>
          <w:sz w:val="20"/>
          <w:lang w:val="en-GB"/>
        </w:rPr>
      </w:pPr>
    </w:p>
    <w:p w:rsidR="00000000" w:rsidRDefault="00000000">
      <w:pPr>
        <w:tabs>
          <w:tab w:val="clear" w:pos="720"/>
        </w:tabs>
        <w:jc w:val="left"/>
        <w:rPr>
          <w:sz w:val="20"/>
          <w:lang w:val="en-GB"/>
        </w:rPr>
      </w:pPr>
    </w:p>
    <w:p w:rsidR="00000000" w:rsidRDefault="00000000">
      <w:pPr>
        <w:tabs>
          <w:tab w:val="clear" w:pos="720"/>
        </w:tabs>
        <w:jc w:val="center"/>
        <w:rPr>
          <w:sz w:val="20"/>
          <w:lang w:val="en-GB"/>
        </w:rPr>
      </w:pPr>
      <w:r>
        <w:rPr>
          <w:b/>
          <w:sz w:val="20"/>
          <w:lang w:val="en-GB"/>
        </w:rPr>
        <w:t>PERU: NATIONAL PLAN OF ACTION FOR CHILDREN AND ADOLESCENTS 2002-2010</w:t>
      </w:r>
    </w:p>
    <w:bookmarkStart w:id="4" w:name="_MON_1187531452"/>
    <w:bookmarkStart w:id="5" w:name="_MON_1187531642"/>
    <w:bookmarkStart w:id="6" w:name="_MON_1189332134"/>
    <w:bookmarkStart w:id="7" w:name="_MON_1189337712"/>
    <w:bookmarkEnd w:id="4"/>
    <w:bookmarkEnd w:id="5"/>
    <w:bookmarkEnd w:id="6"/>
    <w:bookmarkEnd w:id="7"/>
    <w:p w:rsidR="00000000" w:rsidRDefault="00000000">
      <w:pPr>
        <w:tabs>
          <w:tab w:val="clear" w:pos="720"/>
        </w:tabs>
        <w:jc w:val="center"/>
        <w:rPr>
          <w:sz w:val="24"/>
          <w:lang w:val="en-GB"/>
        </w:rPr>
      </w:pPr>
      <w:r>
        <w:rPr>
          <w:sz w:val="20"/>
        </w:rPr>
        <w:object w:dxaOrig="9076" w:dyaOrig="6361">
          <v:shape id="_x0000_i1028" type="#_x0000_t75" style="width:453.75pt;height:318pt" o:ole="">
            <v:imagedata r:id="rId11" o:title="" croptop="8052f"/>
          </v:shape>
          <o:OLEObject Type="Embed" ProgID="Word.Picture.8" ShapeID="_x0000_i1028" DrawAspect="Content" ObjectID="_1394639980" r:id="rId12"/>
        </w:object>
      </w:r>
    </w:p>
    <w:p w:rsidR="00000000" w:rsidRDefault="00000000">
      <w:pPr>
        <w:tabs>
          <w:tab w:val="clear" w:pos="720"/>
        </w:tabs>
        <w:jc w:val="center"/>
        <w:rPr>
          <w:b/>
          <w:sz w:val="24"/>
          <w:lang w:val="en-GB"/>
        </w:rPr>
      </w:pPr>
    </w:p>
    <w:p w:rsidR="00000000" w:rsidRDefault="00000000">
      <w:pPr>
        <w:tabs>
          <w:tab w:val="clear" w:pos="720"/>
        </w:tabs>
        <w:jc w:val="center"/>
        <w:rPr>
          <w:b/>
          <w:sz w:val="24"/>
          <w:lang w:val="en-GB"/>
        </w:rPr>
      </w:pPr>
    </w:p>
    <w:p w:rsidR="00000000" w:rsidRDefault="00000000">
      <w:pPr>
        <w:tabs>
          <w:tab w:val="clear" w:pos="720"/>
        </w:tabs>
        <w:jc w:val="center"/>
        <w:rPr>
          <w:b/>
          <w:sz w:val="24"/>
          <w:lang w:val="en-GB"/>
        </w:rPr>
      </w:pPr>
    </w:p>
    <w:p w:rsidR="00000000" w:rsidRDefault="00000000">
      <w:pPr>
        <w:tabs>
          <w:tab w:val="clear" w:pos="720"/>
        </w:tabs>
        <w:jc w:val="center"/>
        <w:rPr>
          <w:b/>
          <w:sz w:val="24"/>
          <w:lang w:val="en-GB"/>
        </w:rPr>
      </w:pPr>
    </w:p>
    <w:p w:rsidR="00000000" w:rsidRDefault="00000000">
      <w:pPr>
        <w:tabs>
          <w:tab w:val="clear" w:pos="720"/>
        </w:tabs>
        <w:jc w:val="center"/>
        <w:rPr>
          <w:b/>
          <w:sz w:val="24"/>
          <w:lang w:val="en-GB"/>
        </w:rPr>
      </w:pPr>
      <w:r>
        <w:rPr>
          <w:b/>
          <w:sz w:val="24"/>
          <w:lang w:val="en-GB"/>
        </w:rPr>
        <w:t>A.  Guiding principles of the PNAI</w:t>
      </w:r>
    </w:p>
    <w:p w:rsidR="00000000" w:rsidRDefault="00000000">
      <w:pPr>
        <w:tabs>
          <w:tab w:val="clear" w:pos="720"/>
        </w:tabs>
        <w:jc w:val="left"/>
        <w:rPr>
          <w:b/>
          <w:sz w:val="24"/>
          <w:lang w:val="en-GB"/>
        </w:rPr>
      </w:pPr>
    </w:p>
    <w:p w:rsidR="00000000" w:rsidRDefault="00000000">
      <w:pPr>
        <w:tabs>
          <w:tab w:val="clear" w:pos="720"/>
        </w:tabs>
        <w:jc w:val="left"/>
        <w:rPr>
          <w:sz w:val="24"/>
          <w:lang w:val="en-GB"/>
        </w:rPr>
      </w:pPr>
      <w:r>
        <w:rPr>
          <w:b/>
          <w:sz w:val="24"/>
          <w:lang w:val="en-GB"/>
        </w:rPr>
        <w:t>1.</w:t>
      </w:r>
      <w:r>
        <w:rPr>
          <w:b/>
          <w:sz w:val="24"/>
          <w:lang w:val="en-GB"/>
        </w:rPr>
        <w:tab/>
        <w:t>Equal opportunities for all</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57.</w:t>
      </w:r>
      <w:r>
        <w:rPr>
          <w:sz w:val="24"/>
          <w:lang w:val="en-GB"/>
        </w:rPr>
        <w:tab/>
        <w:t>All children are born free and equal and have the same personal worth and the same rights.  All forms of exclusion and discrimination which impair equality must be eliminated.</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58.</w:t>
      </w:r>
      <w:r>
        <w:rPr>
          <w:sz w:val="24"/>
          <w:lang w:val="en-GB"/>
        </w:rPr>
        <w:tab/>
        <w:t>Diversity must be respected, and the country must be seen as a mosaic of cultures in which only respect for these cultures and collaboration among them will make it possible to build a Peru offering equal opportunities for all without any discrimination in respect of sex, age, ethnic origin or religion or discrimination of any other kind.</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b/>
          <w:sz w:val="24"/>
          <w:lang w:val="en-GB"/>
        </w:rPr>
        <w:t>2.</w:t>
      </w:r>
      <w:r>
        <w:rPr>
          <w:b/>
          <w:sz w:val="24"/>
          <w:lang w:val="en-GB"/>
        </w:rPr>
        <w:tab/>
        <w:t>Priority for children as subjects of rights and the foundation of development</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59.</w:t>
      </w:r>
      <w:r>
        <w:rPr>
          <w:sz w:val="24"/>
          <w:lang w:val="en-GB"/>
        </w:rPr>
        <w:tab/>
        <w:t>Priority investment in children will help to prevent poverty and break the circle of poverty reproduction.  The PNAI seeks to achieve this in a single generation, in the conviction that investment in children will render the development efforts sustainable.</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60.</w:t>
      </w:r>
      <w:r>
        <w:rPr>
          <w:sz w:val="24"/>
          <w:lang w:val="en-GB"/>
        </w:rPr>
        <w:tab/>
        <w:t>This will mean setting long-term national priorities: provision of quality education for all children; elimination of violence against children and their exploitation; and promotion of their comprehensive health, security and nutrition throughout their lives.</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61.</w:t>
      </w:r>
      <w:r>
        <w:rPr>
          <w:sz w:val="24"/>
          <w:lang w:val="en-GB"/>
        </w:rPr>
        <w:tab/>
        <w:t>It is important for these priorities to be accorded to children by all social actors in the form of a communication strategy for the defence and promotion of rights which includes the mobilization and civic participation in democracy of children, young people and adults of all ages.</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b/>
          <w:sz w:val="24"/>
          <w:lang w:val="en-GB"/>
        </w:rPr>
        <w:t>3.</w:t>
      </w:r>
      <w:r>
        <w:rPr>
          <w:b/>
          <w:sz w:val="24"/>
          <w:lang w:val="en-GB"/>
        </w:rPr>
        <w:tab/>
        <w:t>The best interests of the child</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62.</w:t>
      </w:r>
      <w:r>
        <w:rPr>
          <w:sz w:val="24"/>
          <w:lang w:val="en-GB"/>
        </w:rPr>
        <w:tab/>
        <w:t>All the initiatives taken by the State, civil society and the family must give priority to those measures which best favour children’s comprehensive development.  The establishment of the best possible foundations for their present and future lives will strengthen society and the family.</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63.</w:t>
      </w:r>
      <w:r>
        <w:rPr>
          <w:sz w:val="24"/>
          <w:lang w:val="en-GB"/>
        </w:rPr>
        <w:tab/>
        <w:t>Listening to children and encouraging them to participate will help them to grow up into citizens aware of their rights and duties.  People must respect children’s right to express their opinions, form associations and have a say in the adoption of decisions affecting them.</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b/>
          <w:sz w:val="24"/>
          <w:lang w:val="en-GB"/>
        </w:rPr>
        <w:t>4.</w:t>
      </w:r>
      <w:r>
        <w:rPr>
          <w:b/>
          <w:sz w:val="24"/>
          <w:lang w:val="en-GB"/>
        </w:rPr>
        <w:tab/>
        <w:t>The family as the fundamental institution for the development of the human person</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64.</w:t>
      </w:r>
      <w:r>
        <w:rPr>
          <w:sz w:val="24"/>
          <w:lang w:val="en-GB"/>
        </w:rPr>
        <w:tab/>
        <w:t>Coordinated intervention by the different State sectors and by civil society will help to consolidate the family, whose influence will in turn will contribute to children’s comprehensive development and well-being.</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65.</w:t>
      </w:r>
      <w:r>
        <w:rPr>
          <w:sz w:val="24"/>
          <w:lang w:val="en-GB"/>
        </w:rPr>
        <w:tab/>
        <w:t>The family space should be reassessed as the primary training and socializing influence, which transmits to children values, correct behaviour, knowledge and social and cultural traditions.</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66.</w:t>
      </w:r>
      <w:r>
        <w:rPr>
          <w:sz w:val="24"/>
          <w:lang w:val="en-GB"/>
        </w:rPr>
        <w:tab/>
        <w:t>The PNAI puts forward the following propositions:</w:t>
      </w:r>
    </w:p>
    <w:p w:rsidR="00000000" w:rsidRDefault="00000000">
      <w:pPr>
        <w:tabs>
          <w:tab w:val="clear" w:pos="720"/>
        </w:tabs>
        <w:jc w:val="left"/>
        <w:rPr>
          <w:sz w:val="24"/>
          <w:lang w:val="en-GB"/>
        </w:rPr>
      </w:pPr>
    </w:p>
    <w:p w:rsidR="00000000" w:rsidRDefault="00000000">
      <w:pPr>
        <w:tabs>
          <w:tab w:val="clear" w:pos="720"/>
        </w:tabs>
        <w:jc w:val="center"/>
        <w:rPr>
          <w:sz w:val="20"/>
          <w:lang w:val="en-GB"/>
        </w:rPr>
      </w:pPr>
      <w:r>
        <w:rPr>
          <w:b/>
          <w:sz w:val="20"/>
          <w:lang w:val="en-GB"/>
        </w:rPr>
        <w:t>Vision</w:t>
      </w:r>
    </w:p>
    <w:p w:rsidR="00000000" w:rsidRDefault="00000000">
      <w:pPr>
        <w:tabs>
          <w:tab w:val="clear" w:pos="720"/>
        </w:tabs>
        <w:jc w:val="left"/>
        <w:rPr>
          <w:sz w:val="14"/>
          <w:lang w:val="en-GB"/>
        </w:rPr>
      </w:pPr>
    </w:p>
    <w:p w:rsidR="00000000" w:rsidRDefault="00000000">
      <w:pPr>
        <w:tabs>
          <w:tab w:val="clear" w:pos="720"/>
        </w:tabs>
        <w:ind w:firstLine="567"/>
        <w:jc w:val="left"/>
        <w:rPr>
          <w:sz w:val="20"/>
          <w:lang w:val="en-GB"/>
        </w:rPr>
      </w:pPr>
      <w:r>
        <w:rPr>
          <w:sz w:val="20"/>
          <w:lang w:val="en-GB"/>
        </w:rPr>
        <w:t>Peru’s children have equality of opportunities and access to quality services and they have a part to play in the exercise, promotion and defence of their rights in conjunction with State agencies, communities and civil society in general, as well as developing to the full within their families in a healthy environment free of violence.</w:t>
      </w:r>
    </w:p>
    <w:p w:rsidR="00000000" w:rsidRDefault="00000000">
      <w:pPr>
        <w:tabs>
          <w:tab w:val="clear" w:pos="720"/>
        </w:tabs>
        <w:jc w:val="left"/>
        <w:rPr>
          <w:sz w:val="20"/>
          <w:lang w:val="en-GB"/>
        </w:rPr>
      </w:pPr>
    </w:p>
    <w:p w:rsidR="00000000" w:rsidRDefault="00000000">
      <w:pPr>
        <w:tabs>
          <w:tab w:val="clear" w:pos="720"/>
        </w:tabs>
        <w:jc w:val="center"/>
        <w:rPr>
          <w:b/>
          <w:sz w:val="20"/>
          <w:lang w:val="en-GB"/>
        </w:rPr>
      </w:pPr>
      <w:r>
        <w:rPr>
          <w:b/>
          <w:sz w:val="20"/>
          <w:lang w:val="en-GB"/>
        </w:rPr>
        <w:t>Mission</w:t>
      </w:r>
    </w:p>
    <w:p w:rsidR="00000000" w:rsidRDefault="00000000">
      <w:pPr>
        <w:tabs>
          <w:tab w:val="clear" w:pos="720"/>
        </w:tabs>
        <w:jc w:val="left"/>
        <w:rPr>
          <w:sz w:val="12"/>
          <w:lang w:val="en-GB"/>
        </w:rPr>
      </w:pPr>
    </w:p>
    <w:p w:rsidR="00000000" w:rsidRDefault="00000000">
      <w:pPr>
        <w:tabs>
          <w:tab w:val="clear" w:pos="720"/>
        </w:tabs>
        <w:ind w:firstLine="567"/>
        <w:jc w:val="left"/>
        <w:rPr>
          <w:sz w:val="20"/>
          <w:lang w:val="en-GB"/>
        </w:rPr>
      </w:pPr>
      <w:r>
        <w:rPr>
          <w:sz w:val="20"/>
          <w:lang w:val="en-GB"/>
        </w:rPr>
        <w:t>To strengthen the capacities of the State, civil society, the family, and children themselves to devise and carry out measures to ensure the exercise of their rights, within a framework of democratic values in which children are priorities on the national agenda</w:t>
      </w:r>
    </w:p>
    <w:p w:rsidR="00000000" w:rsidRDefault="00000000">
      <w:pPr>
        <w:tabs>
          <w:tab w:val="clear" w:pos="720"/>
        </w:tabs>
        <w:jc w:val="left"/>
        <w:rPr>
          <w:sz w:val="20"/>
          <w:lang w:val="en-GB"/>
        </w:rPr>
      </w:pPr>
    </w:p>
    <w:p w:rsidR="00000000" w:rsidRDefault="00000000">
      <w:pPr>
        <w:tabs>
          <w:tab w:val="clear" w:pos="720"/>
        </w:tabs>
        <w:jc w:val="center"/>
        <w:rPr>
          <w:sz w:val="20"/>
          <w:lang w:val="en-GB"/>
        </w:rPr>
      </w:pPr>
      <w:r>
        <w:rPr>
          <w:b/>
          <w:sz w:val="20"/>
          <w:lang w:val="en-GB"/>
        </w:rPr>
        <w:t>General objectives</w:t>
      </w:r>
    </w:p>
    <w:p w:rsidR="00000000" w:rsidRDefault="00000000">
      <w:pPr>
        <w:tabs>
          <w:tab w:val="clear" w:pos="720"/>
        </w:tabs>
        <w:jc w:val="left"/>
        <w:rPr>
          <w:sz w:val="12"/>
          <w:lang w:val="en-GB"/>
        </w:rPr>
      </w:pPr>
    </w:p>
    <w:p w:rsidR="00000000" w:rsidRDefault="00000000">
      <w:pPr>
        <w:tabs>
          <w:tab w:val="clear" w:pos="720"/>
        </w:tabs>
        <w:ind w:left="567"/>
        <w:jc w:val="left"/>
        <w:rPr>
          <w:i/>
          <w:iCs/>
          <w:sz w:val="20"/>
          <w:lang w:val="en-GB"/>
        </w:rPr>
      </w:pPr>
      <w:r>
        <w:rPr>
          <w:b/>
          <w:i/>
          <w:iCs/>
          <w:sz w:val="20"/>
          <w:lang w:val="en-GB"/>
        </w:rPr>
        <w:t>Development objectives based on the principles of the Convention on the Rights of the Child</w:t>
      </w:r>
    </w:p>
    <w:p w:rsidR="00000000" w:rsidRDefault="00000000">
      <w:pPr>
        <w:tabs>
          <w:tab w:val="clear" w:pos="720"/>
        </w:tabs>
        <w:jc w:val="left"/>
        <w:rPr>
          <w:sz w:val="12"/>
          <w:lang w:val="en-GB"/>
        </w:rPr>
      </w:pPr>
    </w:p>
    <w:p w:rsidR="00000000" w:rsidRDefault="00000000">
      <w:pPr>
        <w:numPr>
          <w:ilvl w:val="0"/>
          <w:numId w:val="117"/>
        </w:numPr>
        <w:tabs>
          <w:tab w:val="clear" w:pos="360"/>
          <w:tab w:val="clear" w:pos="720"/>
        </w:tabs>
        <w:spacing w:after="120"/>
        <w:ind w:left="1134" w:hanging="567"/>
        <w:jc w:val="left"/>
        <w:rPr>
          <w:sz w:val="20"/>
          <w:lang w:val="en-GB"/>
        </w:rPr>
      </w:pPr>
      <w:r>
        <w:rPr>
          <w:sz w:val="20"/>
          <w:lang w:val="en-GB"/>
        </w:rPr>
        <w:t>To contribute to the exercise of children’s rights and the discharge of their responsibilities within the framework of the law and in a democratic country in which human rights are respected;</w:t>
      </w:r>
    </w:p>
    <w:p w:rsidR="00000000" w:rsidRDefault="00000000">
      <w:pPr>
        <w:numPr>
          <w:ilvl w:val="0"/>
          <w:numId w:val="117"/>
        </w:numPr>
        <w:tabs>
          <w:tab w:val="clear" w:pos="360"/>
          <w:tab w:val="clear" w:pos="720"/>
        </w:tabs>
        <w:ind w:left="1134" w:hanging="567"/>
        <w:jc w:val="left"/>
        <w:rPr>
          <w:sz w:val="20"/>
          <w:lang w:val="en-GB"/>
        </w:rPr>
      </w:pPr>
      <w:r>
        <w:rPr>
          <w:sz w:val="20"/>
          <w:lang w:val="en-GB"/>
        </w:rPr>
        <w:t>To create the conditions in the State and in civil society to foster the human development of all children and reduce the poverty and exclusion affecting them throughout their lives.</w:t>
      </w:r>
    </w:p>
    <w:p w:rsidR="00000000" w:rsidRDefault="00000000">
      <w:pPr>
        <w:tabs>
          <w:tab w:val="clear" w:pos="720"/>
        </w:tabs>
        <w:jc w:val="left"/>
        <w:rPr>
          <w:sz w:val="20"/>
          <w:lang w:val="en-GB"/>
        </w:rPr>
      </w:pPr>
    </w:p>
    <w:p w:rsidR="00000000" w:rsidRDefault="00000000">
      <w:pPr>
        <w:tabs>
          <w:tab w:val="clear" w:pos="720"/>
        </w:tabs>
        <w:jc w:val="center"/>
        <w:rPr>
          <w:b/>
          <w:sz w:val="20"/>
          <w:lang w:val="en-GB"/>
        </w:rPr>
      </w:pPr>
      <w:r>
        <w:rPr>
          <w:b/>
          <w:sz w:val="20"/>
          <w:lang w:val="en-GB"/>
        </w:rPr>
        <w:t>Strategies</w:t>
      </w:r>
    </w:p>
    <w:p w:rsidR="00000000" w:rsidRDefault="00000000">
      <w:pPr>
        <w:tabs>
          <w:tab w:val="clear" w:pos="720"/>
        </w:tabs>
        <w:jc w:val="left"/>
        <w:rPr>
          <w:b/>
          <w:sz w:val="12"/>
          <w:lang w:val="en-GB"/>
        </w:rPr>
      </w:pPr>
    </w:p>
    <w:p w:rsidR="00000000" w:rsidRDefault="00000000">
      <w:pPr>
        <w:tabs>
          <w:tab w:val="clear" w:pos="720"/>
        </w:tabs>
        <w:ind w:firstLine="567"/>
        <w:jc w:val="left"/>
        <w:rPr>
          <w:sz w:val="20"/>
          <w:lang w:val="en-GB"/>
        </w:rPr>
      </w:pPr>
      <w:r>
        <w:rPr>
          <w:b/>
          <w:sz w:val="20"/>
          <w:lang w:val="en-GB"/>
        </w:rPr>
        <w:t>(i)</w:t>
      </w:r>
      <w:r>
        <w:rPr>
          <w:b/>
          <w:sz w:val="20"/>
          <w:lang w:val="en-GB"/>
        </w:rPr>
        <w:tab/>
        <w:t>Capacity-building for public institutions</w:t>
      </w:r>
    </w:p>
    <w:p w:rsidR="00000000" w:rsidRDefault="00000000">
      <w:pPr>
        <w:tabs>
          <w:tab w:val="clear" w:pos="720"/>
        </w:tabs>
        <w:jc w:val="left"/>
        <w:rPr>
          <w:sz w:val="12"/>
          <w:lang w:val="en-GB"/>
        </w:rPr>
      </w:pPr>
    </w:p>
    <w:p w:rsidR="00000000" w:rsidRDefault="00000000">
      <w:pPr>
        <w:numPr>
          <w:ilvl w:val="0"/>
          <w:numId w:val="118"/>
        </w:numPr>
        <w:tabs>
          <w:tab w:val="clear" w:pos="360"/>
          <w:tab w:val="clear" w:pos="720"/>
        </w:tabs>
        <w:spacing w:after="120"/>
        <w:ind w:left="1134" w:hanging="567"/>
        <w:jc w:val="left"/>
        <w:rPr>
          <w:sz w:val="20"/>
          <w:lang w:val="en-GB"/>
        </w:rPr>
      </w:pPr>
      <w:r>
        <w:rPr>
          <w:sz w:val="20"/>
          <w:lang w:val="en-GB"/>
        </w:rPr>
        <w:t>Strengthening of the lead agency (MIMDES) of the National System for the Comprehensive Care of Children and Adolescents as part of the process of modernizing and reforming the State;</w:t>
      </w:r>
    </w:p>
    <w:p w:rsidR="00000000" w:rsidRDefault="00000000">
      <w:pPr>
        <w:numPr>
          <w:ilvl w:val="0"/>
          <w:numId w:val="118"/>
        </w:numPr>
        <w:tabs>
          <w:tab w:val="clear" w:pos="360"/>
          <w:tab w:val="clear" w:pos="720"/>
        </w:tabs>
        <w:ind w:left="1134" w:hanging="567"/>
        <w:jc w:val="left"/>
        <w:rPr>
          <w:sz w:val="20"/>
          <w:lang w:val="en-GB"/>
        </w:rPr>
      </w:pPr>
      <w:r>
        <w:rPr>
          <w:sz w:val="20"/>
          <w:lang w:val="en-GB"/>
        </w:rPr>
        <w:t>Incorporation of the PNAI in annual sectoral operational plans, including identification of the budgets allocated in the PNAI.</w:t>
      </w:r>
    </w:p>
    <w:p w:rsidR="00000000" w:rsidRDefault="00000000">
      <w:pPr>
        <w:tabs>
          <w:tab w:val="clear" w:pos="720"/>
        </w:tabs>
        <w:jc w:val="left"/>
        <w:rPr>
          <w:sz w:val="12"/>
          <w:lang w:val="en-GB"/>
        </w:rPr>
      </w:pPr>
    </w:p>
    <w:p w:rsidR="00000000" w:rsidRDefault="00000000">
      <w:pPr>
        <w:tabs>
          <w:tab w:val="clear" w:pos="720"/>
        </w:tabs>
        <w:ind w:firstLine="360"/>
        <w:jc w:val="left"/>
        <w:rPr>
          <w:sz w:val="20"/>
          <w:lang w:val="en-GB"/>
        </w:rPr>
      </w:pPr>
      <w:r>
        <w:rPr>
          <w:b/>
          <w:sz w:val="20"/>
          <w:lang w:val="en-GB"/>
        </w:rPr>
        <w:t>(ii)</w:t>
      </w:r>
      <w:r>
        <w:rPr>
          <w:b/>
          <w:sz w:val="20"/>
          <w:lang w:val="en-GB"/>
        </w:rPr>
        <w:tab/>
        <w:t>Promoting the reconciliation and social monitoring of rights</w:t>
      </w:r>
    </w:p>
    <w:p w:rsidR="00000000" w:rsidRDefault="00000000">
      <w:pPr>
        <w:tabs>
          <w:tab w:val="clear" w:pos="720"/>
        </w:tabs>
        <w:jc w:val="left"/>
        <w:rPr>
          <w:sz w:val="12"/>
          <w:lang w:val="en-GB"/>
        </w:rPr>
      </w:pPr>
    </w:p>
    <w:p w:rsidR="00000000" w:rsidRDefault="00000000">
      <w:pPr>
        <w:numPr>
          <w:ilvl w:val="0"/>
          <w:numId w:val="144"/>
        </w:numPr>
        <w:tabs>
          <w:tab w:val="clear" w:pos="720"/>
        </w:tabs>
        <w:spacing w:after="120"/>
        <w:jc w:val="left"/>
        <w:rPr>
          <w:sz w:val="20"/>
          <w:lang w:val="en-GB"/>
        </w:rPr>
      </w:pPr>
      <w:r>
        <w:rPr>
          <w:sz w:val="20"/>
          <w:lang w:val="en-GB"/>
        </w:rPr>
        <w:t>Making efforts to ensure that the coordination bodies for the fight against poverty and the networks and organizations of civil society commit themselves to the measures taken under the PNAI and participate in their social monitoring;</w:t>
      </w:r>
    </w:p>
    <w:p w:rsidR="00000000" w:rsidRDefault="00000000">
      <w:pPr>
        <w:numPr>
          <w:ilvl w:val="0"/>
          <w:numId w:val="144"/>
        </w:numPr>
        <w:tabs>
          <w:tab w:val="clear" w:pos="720"/>
        </w:tabs>
        <w:spacing w:after="200"/>
        <w:jc w:val="left"/>
        <w:rPr>
          <w:sz w:val="20"/>
          <w:lang w:val="en-GB"/>
        </w:rPr>
      </w:pPr>
      <w:r>
        <w:rPr>
          <w:sz w:val="20"/>
          <w:lang w:val="en-GB"/>
        </w:rPr>
        <w:t>Enhancing the capacity of families and communities to provide for, foster and develop children’s potential and to commit themselves to monitoring the exercise of children’s rights;</w:t>
      </w:r>
    </w:p>
    <w:p w:rsidR="00000000" w:rsidRDefault="00000000">
      <w:pPr>
        <w:numPr>
          <w:ilvl w:val="0"/>
          <w:numId w:val="144"/>
        </w:numPr>
        <w:tabs>
          <w:tab w:val="clear" w:pos="720"/>
        </w:tabs>
        <w:jc w:val="left"/>
        <w:rPr>
          <w:sz w:val="20"/>
          <w:lang w:val="en-GB"/>
        </w:rPr>
      </w:pPr>
      <w:r>
        <w:rPr>
          <w:sz w:val="20"/>
          <w:lang w:val="en-GB"/>
        </w:rPr>
        <w:t>Establishing a communication strategy for the promotion and defence of children’s rights through grass-roots mobilization activities and the participation of the various social actors.</w:t>
      </w:r>
    </w:p>
    <w:p w:rsidR="00000000" w:rsidRDefault="00000000">
      <w:pPr>
        <w:tabs>
          <w:tab w:val="clear" w:pos="720"/>
        </w:tabs>
        <w:jc w:val="left"/>
        <w:rPr>
          <w:sz w:val="12"/>
          <w:lang w:val="en-GB"/>
        </w:rPr>
      </w:pPr>
    </w:p>
    <w:p w:rsidR="00000000" w:rsidRDefault="00000000">
      <w:pPr>
        <w:tabs>
          <w:tab w:val="clear" w:pos="720"/>
        </w:tabs>
        <w:ind w:firstLine="567"/>
        <w:jc w:val="left"/>
        <w:rPr>
          <w:sz w:val="20"/>
          <w:lang w:val="en-GB"/>
        </w:rPr>
      </w:pPr>
      <w:r>
        <w:rPr>
          <w:b/>
          <w:sz w:val="20"/>
          <w:lang w:val="en-GB"/>
        </w:rPr>
        <w:t>(iii)</w:t>
      </w:r>
      <w:r>
        <w:rPr>
          <w:b/>
          <w:sz w:val="20"/>
          <w:lang w:val="en-GB"/>
        </w:rPr>
        <w:tab/>
        <w:t>Targeting the measures on the most excluded groups with specific needs</w:t>
      </w:r>
    </w:p>
    <w:p w:rsidR="00000000" w:rsidRDefault="00000000">
      <w:pPr>
        <w:tabs>
          <w:tab w:val="clear" w:pos="720"/>
        </w:tabs>
        <w:jc w:val="left"/>
        <w:rPr>
          <w:sz w:val="12"/>
          <w:lang w:val="en-GB"/>
        </w:rPr>
      </w:pPr>
    </w:p>
    <w:p w:rsidR="00000000" w:rsidRDefault="00000000">
      <w:pPr>
        <w:numPr>
          <w:ilvl w:val="0"/>
          <w:numId w:val="121"/>
        </w:numPr>
        <w:tabs>
          <w:tab w:val="clear" w:pos="360"/>
          <w:tab w:val="clear" w:pos="720"/>
        </w:tabs>
        <w:ind w:left="1134" w:hanging="567"/>
        <w:jc w:val="left"/>
        <w:rPr>
          <w:sz w:val="20"/>
          <w:lang w:val="en-GB"/>
        </w:rPr>
      </w:pPr>
      <w:r>
        <w:rPr>
          <w:sz w:val="20"/>
          <w:lang w:val="en-GB"/>
        </w:rPr>
        <w:t>With a view to reducing the disparities identified in the current PNAI, targeting its measures on the social groups and the regions exhibiting the most severe effects of exclusion and poverty and discrimination based on sex, ethnic origin or age.</w:t>
      </w:r>
    </w:p>
    <w:p w:rsidR="00000000" w:rsidRDefault="00000000">
      <w:pPr>
        <w:tabs>
          <w:tab w:val="clear" w:pos="720"/>
        </w:tabs>
        <w:jc w:val="left"/>
        <w:rPr>
          <w:sz w:val="20"/>
          <w:lang w:val="en-GB"/>
        </w:rPr>
      </w:pPr>
    </w:p>
    <w:p w:rsidR="00000000" w:rsidRDefault="00000000">
      <w:pPr>
        <w:tabs>
          <w:tab w:val="clear" w:pos="720"/>
        </w:tabs>
        <w:jc w:val="center"/>
        <w:rPr>
          <w:sz w:val="20"/>
          <w:lang w:val="en-GB"/>
        </w:rPr>
      </w:pPr>
      <w:r>
        <w:rPr>
          <w:b/>
          <w:sz w:val="20"/>
          <w:lang w:val="en-GB"/>
        </w:rPr>
        <w:t>Strategic objectives</w:t>
      </w:r>
    </w:p>
    <w:p w:rsidR="00000000" w:rsidRDefault="00000000">
      <w:pPr>
        <w:tabs>
          <w:tab w:val="clear" w:pos="720"/>
        </w:tabs>
        <w:jc w:val="left"/>
        <w:rPr>
          <w:sz w:val="12"/>
          <w:lang w:val="en-GB"/>
        </w:rPr>
      </w:pPr>
    </w:p>
    <w:p w:rsidR="00000000" w:rsidRDefault="00000000">
      <w:pPr>
        <w:tabs>
          <w:tab w:val="clear" w:pos="720"/>
        </w:tabs>
        <w:spacing w:after="120"/>
        <w:jc w:val="left"/>
        <w:rPr>
          <w:spacing w:val="-2"/>
          <w:sz w:val="20"/>
          <w:lang w:val="en-GB"/>
        </w:rPr>
      </w:pPr>
      <w:r>
        <w:rPr>
          <w:spacing w:val="-2"/>
          <w:sz w:val="20"/>
          <w:lang w:val="en-GB"/>
        </w:rPr>
        <w:tab/>
        <w:t>These are the desired impacts on children in terms of the exercise of their rights and they represent the changes in the situation and status of children to be achieved in the long term; they are interdependent and essential to the exercise of these rights.  They have been grouped according to the stages of the life cycle from birth to 17 years of age.</w:t>
      </w:r>
    </w:p>
    <w:p w:rsidR="00000000" w:rsidRDefault="00000000">
      <w:pPr>
        <w:tabs>
          <w:tab w:val="clear" w:pos="720"/>
        </w:tabs>
        <w:spacing w:after="120"/>
        <w:ind w:firstLine="567"/>
        <w:jc w:val="left"/>
        <w:rPr>
          <w:sz w:val="20"/>
          <w:lang w:val="en-GB"/>
        </w:rPr>
      </w:pPr>
      <w:r>
        <w:rPr>
          <w:sz w:val="20"/>
          <w:lang w:val="en-GB"/>
        </w:rPr>
        <w:t>The following are the strategic objectives to be attained by 2010:</w:t>
      </w:r>
    </w:p>
    <w:p w:rsidR="00000000" w:rsidRDefault="00000000">
      <w:pPr>
        <w:numPr>
          <w:ilvl w:val="0"/>
          <w:numId w:val="123"/>
        </w:numPr>
        <w:tabs>
          <w:tab w:val="clear" w:pos="360"/>
          <w:tab w:val="clear" w:pos="720"/>
        </w:tabs>
        <w:spacing w:after="120"/>
        <w:ind w:left="1134" w:hanging="567"/>
        <w:jc w:val="left"/>
        <w:rPr>
          <w:sz w:val="20"/>
          <w:lang w:val="en-GB"/>
        </w:rPr>
      </w:pPr>
      <w:r>
        <w:rPr>
          <w:sz w:val="20"/>
          <w:lang w:val="en-GB"/>
        </w:rPr>
        <w:t>To ensure a healthy life for children from birth to age five;</w:t>
      </w:r>
    </w:p>
    <w:p w:rsidR="00000000" w:rsidRDefault="00000000">
      <w:pPr>
        <w:numPr>
          <w:ilvl w:val="0"/>
          <w:numId w:val="123"/>
        </w:numPr>
        <w:tabs>
          <w:tab w:val="clear" w:pos="360"/>
          <w:tab w:val="clear" w:pos="720"/>
        </w:tabs>
        <w:spacing w:after="120"/>
        <w:ind w:left="1134" w:hanging="567"/>
        <w:jc w:val="left"/>
        <w:rPr>
          <w:sz w:val="20"/>
          <w:lang w:val="en-GB"/>
        </w:rPr>
      </w:pPr>
      <w:r>
        <w:rPr>
          <w:sz w:val="20"/>
          <w:lang w:val="en-GB"/>
        </w:rPr>
        <w:t>To offer quality primary education for all children aged six to 11;</w:t>
      </w:r>
    </w:p>
    <w:p w:rsidR="00000000" w:rsidRDefault="00000000">
      <w:pPr>
        <w:numPr>
          <w:ilvl w:val="0"/>
          <w:numId w:val="123"/>
        </w:numPr>
        <w:tabs>
          <w:tab w:val="clear" w:pos="360"/>
          <w:tab w:val="clear" w:pos="720"/>
        </w:tabs>
        <w:spacing w:after="120"/>
        <w:ind w:left="1134" w:hanging="567"/>
        <w:jc w:val="left"/>
        <w:rPr>
          <w:sz w:val="20"/>
          <w:lang w:val="en-GB"/>
        </w:rPr>
      </w:pPr>
      <w:r>
        <w:rPr>
          <w:sz w:val="20"/>
          <w:lang w:val="en-GB"/>
        </w:rPr>
        <w:t>To create spaces for participation by adolescents aged 12 to 17 and to promote their comprehensive development;</w:t>
      </w:r>
    </w:p>
    <w:p w:rsidR="00000000" w:rsidRDefault="00000000">
      <w:pPr>
        <w:numPr>
          <w:ilvl w:val="0"/>
          <w:numId w:val="123"/>
        </w:numPr>
        <w:tabs>
          <w:tab w:val="clear" w:pos="360"/>
          <w:tab w:val="clear" w:pos="720"/>
        </w:tabs>
        <w:spacing w:after="200"/>
        <w:ind w:left="1134" w:hanging="567"/>
        <w:jc w:val="left"/>
        <w:rPr>
          <w:sz w:val="20"/>
          <w:lang w:val="en-GB"/>
        </w:rPr>
        <w:sectPr w:rsidR="00000000">
          <w:headerReference w:type="even" r:id="rId13"/>
          <w:headerReference w:type="default" r:id="rId14"/>
          <w:footerReference w:type="even" r:id="rId15"/>
          <w:footerReference w:type="default" r:id="rId16"/>
          <w:pgSz w:w="11906" w:h="16838" w:code="9"/>
          <w:pgMar w:top="851" w:right="1247" w:bottom="1418" w:left="1247" w:header="737" w:footer="737" w:gutter="0"/>
          <w:cols w:space="720"/>
          <w:titlePg/>
        </w:sectPr>
      </w:pPr>
      <w:r>
        <w:rPr>
          <w:sz w:val="20"/>
          <w:lang w:val="en-GB"/>
        </w:rPr>
        <w:t>To introduce a system of guarantees of the protection of the rights of children from birth to age 17.</w:t>
      </w:r>
    </w:p>
    <w:p w:rsidR="00000000" w:rsidRDefault="00000000">
      <w:pPr>
        <w:spacing w:after="240"/>
        <w:rPr>
          <w:bCs/>
          <w:sz w:val="24"/>
          <w:lang w:val="es-PE"/>
        </w:rPr>
      </w:pPr>
      <w:r>
        <w:rPr>
          <w:bCs/>
          <w:noProof/>
          <w:sz w:val="20"/>
          <w:lang w:eastAsia="fr-FR"/>
        </w:rPr>
        <w:pict>
          <v:rect id="_x0000_s1078" style="position:absolute;left:0;text-align:left;margin-left:139.15pt;margin-top:2.05pt;width:552.75pt;height:134.75pt;z-index:30" o:regroupid="1">
            <v:textbox style="mso-next-textbox:#_x0000_s1078" inset="1.5mm,,1.5mm">
              <w:txbxContent>
                <w:p w:rsidR="00000000" w:rsidRDefault="00000000">
                  <w:pPr>
                    <w:rPr>
                      <w:sz w:val="16"/>
                      <w:lang w:val="en-GB"/>
                    </w:rPr>
                  </w:pPr>
                  <w:r>
                    <w:rPr>
                      <w:b/>
                      <w:bCs/>
                      <w:sz w:val="16"/>
                      <w:lang w:val="en-GB"/>
                    </w:rPr>
                    <w:t>Strategic objective 1:</w:t>
                  </w:r>
                  <w:r>
                    <w:rPr>
                      <w:sz w:val="16"/>
                      <w:lang w:val="en-GB"/>
                    </w:rPr>
                    <w:t>   To guarantee children good health from birth to age 5</w:t>
                  </w:r>
                </w:p>
                <w:p w:rsidR="00000000" w:rsidRDefault="00000000">
                  <w:pPr>
                    <w:rPr>
                      <w:sz w:val="6"/>
                      <w:lang w:val="en-GB"/>
                    </w:rPr>
                  </w:pPr>
                </w:p>
                <w:p w:rsidR="00000000" w:rsidRDefault="00000000">
                  <w:pPr>
                    <w:rPr>
                      <w:i/>
                      <w:iCs/>
                      <w:sz w:val="16"/>
                      <w:lang w:val="en-GB"/>
                    </w:rPr>
                  </w:pPr>
                  <w:r>
                    <w:rPr>
                      <w:i/>
                      <w:iCs/>
                      <w:sz w:val="16"/>
                      <w:lang w:val="en-GB"/>
                    </w:rPr>
                    <w:t>Outcomes by 2010</w:t>
                  </w:r>
                </w:p>
                <w:p w:rsidR="00000000" w:rsidRDefault="00000000">
                  <w:pPr>
                    <w:rPr>
                      <w:sz w:val="8"/>
                      <w:lang w:val="en-GB"/>
                    </w:rPr>
                  </w:pPr>
                </w:p>
                <w:p w:rsidR="00000000" w:rsidRDefault="00000000">
                  <w:pPr>
                    <w:tabs>
                      <w:tab w:val="clear" w:pos="720"/>
                      <w:tab w:val="left" w:pos="284"/>
                      <w:tab w:val="left" w:pos="680"/>
                    </w:tabs>
                    <w:rPr>
                      <w:sz w:val="16"/>
                      <w:lang w:val="en-GB"/>
                    </w:rPr>
                  </w:pPr>
                  <w:r>
                    <w:rPr>
                      <w:sz w:val="16"/>
                      <w:lang w:val="en-GB"/>
                    </w:rPr>
                    <w:t>1.</w:t>
                  </w:r>
                  <w:r>
                    <w:rPr>
                      <w:sz w:val="16"/>
                      <w:lang w:val="en-GB"/>
                    </w:rPr>
                    <w:tab/>
                    <w:t>Healthy and safe maternity and childbirth.</w:t>
                  </w:r>
                </w:p>
                <w:p w:rsidR="00000000" w:rsidRDefault="00000000">
                  <w:pPr>
                    <w:tabs>
                      <w:tab w:val="clear" w:pos="720"/>
                      <w:tab w:val="left" w:pos="284"/>
                      <w:tab w:val="left" w:pos="680"/>
                    </w:tabs>
                    <w:rPr>
                      <w:sz w:val="16"/>
                      <w:lang w:val="en-GB"/>
                    </w:rPr>
                  </w:pPr>
                  <w:r>
                    <w:rPr>
                      <w:sz w:val="16"/>
                      <w:lang w:val="en-GB"/>
                    </w:rPr>
                    <w:t xml:space="preserve">2. </w:t>
                  </w:r>
                  <w:r>
                    <w:rPr>
                      <w:sz w:val="16"/>
                      <w:lang w:val="en-GB"/>
                    </w:rPr>
                    <w:tab/>
                    <w:t>Exercise of the right to a name and identity by all children.</w:t>
                  </w:r>
                </w:p>
                <w:p w:rsidR="00000000" w:rsidRDefault="00000000">
                  <w:pPr>
                    <w:tabs>
                      <w:tab w:val="clear" w:pos="720"/>
                      <w:tab w:val="left" w:pos="284"/>
                      <w:tab w:val="left" w:pos="680"/>
                    </w:tabs>
                    <w:rPr>
                      <w:sz w:val="16"/>
                      <w:lang w:val="en-GB"/>
                    </w:rPr>
                  </w:pPr>
                  <w:r>
                    <w:rPr>
                      <w:sz w:val="16"/>
                      <w:lang w:val="en-GB"/>
                    </w:rPr>
                    <w:t xml:space="preserve">3. </w:t>
                  </w:r>
                  <w:r>
                    <w:rPr>
                      <w:sz w:val="16"/>
                      <w:lang w:val="en-GB"/>
                    </w:rPr>
                    <w:tab/>
                    <w:t>All under-twos to have access to breast-feeding and the best supplementary foods.</w:t>
                  </w:r>
                </w:p>
                <w:p w:rsidR="00000000" w:rsidRDefault="00000000">
                  <w:pPr>
                    <w:tabs>
                      <w:tab w:val="clear" w:pos="720"/>
                      <w:tab w:val="left" w:pos="284"/>
                      <w:tab w:val="left" w:pos="680"/>
                    </w:tabs>
                    <w:rPr>
                      <w:sz w:val="16"/>
                      <w:lang w:val="en-GB"/>
                    </w:rPr>
                  </w:pPr>
                  <w:r>
                    <w:rPr>
                      <w:sz w:val="16"/>
                      <w:lang w:val="en-GB"/>
                    </w:rPr>
                    <w:t xml:space="preserve">4. </w:t>
                  </w:r>
                  <w:r>
                    <w:rPr>
                      <w:sz w:val="16"/>
                      <w:lang w:val="en-GB"/>
                    </w:rPr>
                    <w:tab/>
                    <w:t>Attention to children's special needs in terms of prevention, diagnosis, intervention and rehabilitation.</w:t>
                  </w:r>
                </w:p>
                <w:p w:rsidR="00000000" w:rsidRDefault="00000000">
                  <w:pPr>
                    <w:tabs>
                      <w:tab w:val="clear" w:pos="720"/>
                      <w:tab w:val="left" w:pos="284"/>
                      <w:tab w:val="left" w:pos="680"/>
                    </w:tabs>
                    <w:rPr>
                      <w:sz w:val="16"/>
                      <w:lang w:val="en-GB"/>
                    </w:rPr>
                  </w:pPr>
                  <w:r>
                    <w:rPr>
                      <w:sz w:val="16"/>
                      <w:lang w:val="en-GB"/>
                    </w:rPr>
                    <w:t xml:space="preserve">5. </w:t>
                  </w:r>
                  <w:r>
                    <w:rPr>
                      <w:sz w:val="16"/>
                      <w:lang w:val="en-GB"/>
                    </w:rPr>
                    <w:tab/>
                    <w:t>Garanteed conditions for children to exercise the right to life.</w:t>
                  </w:r>
                </w:p>
                <w:p w:rsidR="00000000" w:rsidRDefault="00000000">
                  <w:pPr>
                    <w:tabs>
                      <w:tab w:val="clear" w:pos="720"/>
                      <w:tab w:val="left" w:pos="284"/>
                      <w:tab w:val="left" w:pos="680"/>
                    </w:tabs>
                    <w:rPr>
                      <w:sz w:val="16"/>
                      <w:lang w:val="en-GB"/>
                    </w:rPr>
                  </w:pPr>
                  <w:r>
                    <w:rPr>
                      <w:sz w:val="16"/>
                      <w:lang w:val="en-GB"/>
                    </w:rPr>
                    <w:t xml:space="preserve">6. </w:t>
                  </w:r>
                  <w:r>
                    <w:rPr>
                      <w:sz w:val="16"/>
                      <w:lang w:val="en-GB"/>
                    </w:rPr>
                    <w:tab/>
                    <w:t>Improvement of children's intake of micronutrients.</w:t>
                  </w:r>
                </w:p>
                <w:p w:rsidR="00000000" w:rsidRDefault="00000000">
                  <w:pPr>
                    <w:tabs>
                      <w:tab w:val="clear" w:pos="720"/>
                      <w:tab w:val="left" w:pos="284"/>
                      <w:tab w:val="left" w:pos="680"/>
                    </w:tabs>
                    <w:rPr>
                      <w:sz w:val="16"/>
                      <w:lang w:val="en-GB"/>
                    </w:rPr>
                  </w:pPr>
                  <w:r>
                    <w:rPr>
                      <w:sz w:val="16"/>
                      <w:lang w:val="en-GB"/>
                    </w:rPr>
                    <w:t xml:space="preserve">7. </w:t>
                  </w:r>
                  <w:r>
                    <w:rPr>
                      <w:sz w:val="16"/>
                      <w:lang w:val="en-GB"/>
                    </w:rPr>
                    <w:tab/>
                    <w:t>Comprehensive child development from an early age.</w:t>
                  </w:r>
                </w:p>
                <w:p w:rsidR="00000000" w:rsidRDefault="00000000">
                  <w:pPr>
                    <w:tabs>
                      <w:tab w:val="clear" w:pos="720"/>
                      <w:tab w:val="left" w:pos="284"/>
                      <w:tab w:val="left" w:pos="680"/>
                    </w:tabs>
                    <w:rPr>
                      <w:sz w:val="6"/>
                      <w:lang w:val="en-GB"/>
                    </w:rPr>
                  </w:pPr>
                </w:p>
                <w:p w:rsidR="00000000" w:rsidRDefault="00000000">
                  <w:pPr>
                    <w:rPr>
                      <w:i/>
                      <w:iCs/>
                      <w:sz w:val="16"/>
                      <w:lang w:val="en-GB"/>
                    </w:rPr>
                  </w:pPr>
                  <w:r>
                    <w:rPr>
                      <w:i/>
                      <w:iCs/>
                      <w:sz w:val="16"/>
                      <w:lang w:val="en-GB"/>
                    </w:rPr>
                    <w:t>Target population</w:t>
                  </w:r>
                </w:p>
                <w:p w:rsidR="00000000" w:rsidRDefault="00000000">
                  <w:pPr>
                    <w:rPr>
                      <w:sz w:val="10"/>
                      <w:lang w:val="en-GB"/>
                    </w:rPr>
                  </w:pPr>
                </w:p>
                <w:p w:rsidR="00000000" w:rsidRDefault="00000000">
                  <w:pPr>
                    <w:rPr>
                      <w:sz w:val="16"/>
                      <w:lang w:val="en-GB"/>
                    </w:rPr>
                  </w:pPr>
                  <w:r>
                    <w:rPr>
                      <w:sz w:val="16"/>
                      <w:lang w:val="en-GB"/>
                    </w:rPr>
                    <w:t>Children from birth to age 5.</w:t>
                  </w:r>
                </w:p>
                <w:p w:rsidR="00000000" w:rsidRDefault="00000000">
                  <w:pPr>
                    <w:rPr>
                      <w:sz w:val="16"/>
                      <w:lang w:val="en-GB"/>
                    </w:rPr>
                  </w:pPr>
                  <w:r>
                    <w:rPr>
                      <w:sz w:val="16"/>
                      <w:lang w:val="en-GB"/>
                    </w:rPr>
                    <w:t>Women of childbearing age (15-46 years).</w:t>
                  </w:r>
                </w:p>
              </w:txbxContent>
            </v:textbox>
          </v:rect>
        </w:pict>
      </w:r>
    </w:p>
    <w:p w:rsidR="00000000" w:rsidRDefault="00000000">
      <w:pPr>
        <w:spacing w:after="240"/>
        <w:rPr>
          <w:bCs/>
          <w:sz w:val="24"/>
          <w:lang w:val="es-PE"/>
        </w:rPr>
      </w:pPr>
    </w:p>
    <w:p w:rsidR="00000000" w:rsidRDefault="00000000">
      <w:pPr>
        <w:spacing w:after="240"/>
        <w:rPr>
          <w:bCs/>
          <w:sz w:val="24"/>
          <w:lang w:val="es-PE"/>
        </w:rPr>
      </w:pPr>
      <w:r>
        <w:rPr>
          <w:bCs/>
          <w:noProof/>
          <w:sz w:val="20"/>
          <w:lang w:eastAsia="fr-FR"/>
        </w:rPr>
        <w:pict>
          <v:line id="_x0000_s1076" style="position:absolute;left:0;text-align:left;flip:y;z-index:28" from="121.6pt,3.85pt" to="138.3pt,4pt" o:regroupid="1"/>
        </w:pict>
      </w:r>
    </w:p>
    <w:p w:rsidR="00000000" w:rsidRDefault="00000000">
      <w:pPr>
        <w:spacing w:after="240"/>
        <w:rPr>
          <w:bCs/>
          <w:sz w:val="24"/>
          <w:lang w:val="es-PE"/>
        </w:rPr>
      </w:pPr>
    </w:p>
    <w:p w:rsidR="00000000" w:rsidRDefault="00000000">
      <w:pPr>
        <w:spacing w:after="240"/>
        <w:rPr>
          <w:bCs/>
          <w:sz w:val="24"/>
          <w:lang w:val="es-PE"/>
        </w:rPr>
      </w:pPr>
      <w:r>
        <w:rPr>
          <w:bCs/>
          <w:noProof/>
          <w:sz w:val="20"/>
          <w:lang w:eastAsia="fr-FR"/>
        </w:rPr>
        <w:pict>
          <v:rect id="_x0000_s1074" style="position:absolute;left:0;text-align:left;margin-left:4.8pt;margin-top:6.2pt;width:108pt;height:215.45pt;z-index:26" o:regroupid="1">
            <v:textbox style="mso-next-textbox:#_x0000_s1074">
              <w:txbxContent>
                <w:p w:rsidR="00000000" w:rsidRDefault="00000000">
                  <w:pPr>
                    <w:spacing w:after="120"/>
                    <w:jc w:val="center"/>
                    <w:rPr>
                      <w:b/>
                      <w:bCs/>
                      <w:sz w:val="18"/>
                      <w:lang w:val="en-GB"/>
                    </w:rPr>
                  </w:pPr>
                  <w:r>
                    <w:rPr>
                      <w:b/>
                      <w:sz w:val="18"/>
                      <w:lang w:val="en-GB"/>
                    </w:rPr>
                    <w:t>General objectives</w:t>
                  </w:r>
                </w:p>
                <w:p w:rsidR="00000000" w:rsidRDefault="00000000">
                  <w:pPr>
                    <w:spacing w:after="80"/>
                    <w:jc w:val="left"/>
                    <w:rPr>
                      <w:sz w:val="18"/>
                      <w:lang w:val="en-GB"/>
                    </w:rPr>
                  </w:pPr>
                  <w:r>
                    <w:rPr>
                      <w:sz w:val="18"/>
                      <w:lang w:val="en-GB"/>
                    </w:rPr>
                    <w:t>1.  To contribute to children’s exercise of their rights and discharge of their responsibilities, within the framework of the law, in a democratic country in which human rights are respected;</w:t>
                  </w:r>
                </w:p>
                <w:p w:rsidR="00000000" w:rsidRDefault="00000000">
                  <w:pPr>
                    <w:jc w:val="left"/>
                    <w:rPr>
                      <w:sz w:val="18"/>
                      <w:lang w:val="en-GB"/>
                    </w:rPr>
                  </w:pPr>
                  <w:r>
                    <w:rPr>
                      <w:sz w:val="18"/>
                      <w:lang w:val="en-GB"/>
                    </w:rPr>
                    <w:t>2.  To create the conditions in the State and in civil society which will foster the human development of all children and reduce the poverty and exclusion affecting them, throughout their lives.</w:t>
                  </w:r>
                </w:p>
              </w:txbxContent>
            </v:textbox>
          </v:rect>
        </w:pict>
      </w:r>
      <w:r>
        <w:rPr>
          <w:bCs/>
          <w:noProof/>
          <w:sz w:val="20"/>
          <w:lang w:eastAsia="fr-FR"/>
        </w:rPr>
        <w:pict>
          <v:line id="_x0000_s1075" style="position:absolute;left:0;text-align:left;z-index:27" from="121.6pt,-47.35pt" to="121.65pt,299.75pt" o:regroupid="1"/>
        </w:pict>
      </w:r>
    </w:p>
    <w:p w:rsidR="00000000" w:rsidRDefault="00000000">
      <w:pPr>
        <w:spacing w:after="240"/>
        <w:rPr>
          <w:bCs/>
          <w:sz w:val="24"/>
          <w:lang w:val="es-PE"/>
        </w:rPr>
      </w:pPr>
      <w:r>
        <w:rPr>
          <w:bCs/>
          <w:noProof/>
          <w:sz w:val="20"/>
          <w:lang w:eastAsia="fr-FR"/>
        </w:rPr>
        <w:pict>
          <v:rect id="_x0000_s1077" style="position:absolute;left:0;text-align:left;margin-left:139.05pt;margin-top:12.05pt;width:552.75pt;height:72.95pt;z-index:29" o:regroupid="1">
            <v:textbox style="mso-next-textbox:#_x0000_s1077" inset="1.5mm,,1.5mm">
              <w:txbxContent>
                <w:p w:rsidR="00000000" w:rsidRDefault="00000000">
                  <w:pPr>
                    <w:rPr>
                      <w:sz w:val="16"/>
                      <w:lang w:val="en-GB"/>
                    </w:rPr>
                  </w:pPr>
                  <w:r>
                    <w:rPr>
                      <w:b/>
                      <w:bCs/>
                      <w:sz w:val="16"/>
                      <w:lang w:val="en-GB"/>
                    </w:rPr>
                    <w:t xml:space="preserve">Strategic objective 2:  </w:t>
                  </w:r>
                  <w:r>
                    <w:rPr>
                      <w:sz w:val="16"/>
                      <w:lang w:val="en-GB"/>
                    </w:rPr>
                    <w:t>To provide quality basic education for all children aged six to 11</w:t>
                  </w:r>
                </w:p>
                <w:p w:rsidR="00000000" w:rsidRDefault="00000000">
                  <w:pPr>
                    <w:rPr>
                      <w:sz w:val="6"/>
                      <w:lang w:val="en-GB"/>
                    </w:rPr>
                  </w:pPr>
                </w:p>
                <w:p w:rsidR="00000000" w:rsidRDefault="00000000">
                  <w:pPr>
                    <w:rPr>
                      <w:i/>
                      <w:iCs/>
                      <w:sz w:val="16"/>
                      <w:lang w:val="en-GB"/>
                    </w:rPr>
                  </w:pPr>
                  <w:r>
                    <w:rPr>
                      <w:i/>
                      <w:iCs/>
                      <w:sz w:val="16"/>
                      <w:lang w:val="en-GB"/>
                    </w:rPr>
                    <w:t>Outcomes by 2010</w:t>
                  </w:r>
                </w:p>
                <w:p w:rsidR="00000000" w:rsidRDefault="00000000">
                  <w:pPr>
                    <w:tabs>
                      <w:tab w:val="clear" w:pos="720"/>
                      <w:tab w:val="left" w:pos="284"/>
                      <w:tab w:val="left" w:pos="680"/>
                    </w:tabs>
                    <w:rPr>
                      <w:sz w:val="6"/>
                      <w:lang w:val="en-GB"/>
                    </w:rPr>
                  </w:pPr>
                </w:p>
                <w:p w:rsidR="00000000" w:rsidRDefault="00000000">
                  <w:pPr>
                    <w:tabs>
                      <w:tab w:val="clear" w:pos="720"/>
                      <w:tab w:val="left" w:pos="284"/>
                      <w:tab w:val="left" w:pos="680"/>
                    </w:tabs>
                    <w:rPr>
                      <w:sz w:val="16"/>
                      <w:lang w:val="en-GB"/>
                    </w:rPr>
                  </w:pPr>
                  <w:r>
                    <w:rPr>
                      <w:sz w:val="16"/>
                      <w:lang w:val="en-GB"/>
                    </w:rPr>
                    <w:t xml:space="preserve">8. </w:t>
                  </w:r>
                  <w:r>
                    <w:rPr>
                      <w:sz w:val="16"/>
                      <w:lang w:val="en-GB"/>
                    </w:rPr>
                    <w:tab/>
                    <w:t>Provision of quality cross-cultural basic education for all children.</w:t>
                  </w:r>
                </w:p>
                <w:p w:rsidR="00000000" w:rsidRDefault="00000000">
                  <w:pPr>
                    <w:tabs>
                      <w:tab w:val="clear" w:pos="720"/>
                      <w:tab w:val="left" w:pos="284"/>
                      <w:tab w:val="left" w:pos="680"/>
                    </w:tabs>
                    <w:rPr>
                      <w:sz w:val="16"/>
                      <w:lang w:val="en-GB"/>
                    </w:rPr>
                  </w:pPr>
                  <w:r>
                    <w:rPr>
                      <w:sz w:val="16"/>
                      <w:lang w:val="en-GB"/>
                    </w:rPr>
                    <w:t xml:space="preserve">9. </w:t>
                  </w:r>
                  <w:r>
                    <w:rPr>
                      <w:sz w:val="16"/>
                      <w:lang w:val="en-GB"/>
                    </w:rPr>
                    <w:tab/>
                    <w:t>Eradication of the worst forms of child labour and promotion of educational alternatives to such labour.</w:t>
                  </w:r>
                </w:p>
                <w:p w:rsidR="00000000" w:rsidRDefault="00000000">
                  <w:pPr>
                    <w:rPr>
                      <w:sz w:val="6"/>
                      <w:lang w:val="en-GB"/>
                    </w:rPr>
                  </w:pPr>
                </w:p>
                <w:p w:rsidR="00000000" w:rsidRDefault="00000000">
                  <w:pPr>
                    <w:rPr>
                      <w:sz w:val="16"/>
                      <w:lang w:val="en-GB"/>
                    </w:rPr>
                  </w:pPr>
                  <w:r>
                    <w:rPr>
                      <w:i/>
                      <w:iCs/>
                      <w:sz w:val="16"/>
                      <w:lang w:val="en-GB"/>
                    </w:rPr>
                    <w:t xml:space="preserve">Target population: </w:t>
                  </w:r>
                  <w:r>
                    <w:rPr>
                      <w:sz w:val="16"/>
                      <w:lang w:val="en-GB"/>
                    </w:rPr>
                    <w:t>Children aged six to 11.</w:t>
                  </w:r>
                </w:p>
              </w:txbxContent>
            </v:textbox>
          </v:rect>
        </w:pict>
      </w:r>
    </w:p>
    <w:p w:rsidR="00000000" w:rsidRDefault="00000000">
      <w:pPr>
        <w:spacing w:after="240"/>
        <w:rPr>
          <w:bCs/>
          <w:sz w:val="24"/>
          <w:lang w:val="es-PE"/>
        </w:rPr>
      </w:pPr>
      <w:r>
        <w:rPr>
          <w:bCs/>
          <w:noProof/>
          <w:sz w:val="20"/>
          <w:lang w:eastAsia="fr-FR"/>
        </w:rPr>
        <w:pict>
          <v:line id="_x0000_s1079" style="position:absolute;left:0;text-align:left;flip:y;z-index:31" from="121.6pt,5.4pt" to="138.3pt,5.55pt" o:regroupid="1"/>
        </w:pict>
      </w:r>
    </w:p>
    <w:p w:rsidR="00000000" w:rsidRDefault="00000000">
      <w:pPr>
        <w:spacing w:after="240"/>
        <w:rPr>
          <w:bCs/>
          <w:sz w:val="24"/>
          <w:lang w:val="es-PE"/>
        </w:rPr>
      </w:pPr>
    </w:p>
    <w:p w:rsidR="00000000" w:rsidRDefault="00000000">
      <w:pPr>
        <w:spacing w:after="240"/>
        <w:rPr>
          <w:bCs/>
          <w:sz w:val="24"/>
          <w:lang w:val="es-PE"/>
        </w:rPr>
      </w:pPr>
      <w:r>
        <w:rPr>
          <w:bCs/>
          <w:noProof/>
          <w:sz w:val="20"/>
          <w:lang w:eastAsia="fr-FR"/>
        </w:rPr>
        <w:pict>
          <v:rect id="_x0000_s1072" style="position:absolute;left:0;text-align:left;margin-left:139.05pt;margin-top:12.4pt;width:552.75pt;height:121.05pt;z-index:24" o:regroupid="1">
            <v:textbox style="mso-next-textbox:#_x0000_s1072" inset="1.5mm,,1.5mm">
              <w:txbxContent>
                <w:p w:rsidR="00000000" w:rsidRDefault="00000000">
                  <w:pPr>
                    <w:spacing w:before="120" w:after="60"/>
                    <w:rPr>
                      <w:sz w:val="16"/>
                      <w:lang w:val="en-GB"/>
                    </w:rPr>
                  </w:pPr>
                  <w:r>
                    <w:rPr>
                      <w:b/>
                      <w:sz w:val="16"/>
                      <w:lang w:val="en-GB"/>
                    </w:rPr>
                    <w:t>Strategic objective 3:</w:t>
                  </w:r>
                  <w:r>
                    <w:rPr>
                      <w:sz w:val="16"/>
                      <w:lang w:val="en-GB"/>
                    </w:rPr>
                    <w:t xml:space="preserve">  To create spaces for participation by children aged 12 to 17 and to promote their comprehensive development</w:t>
                  </w:r>
                </w:p>
                <w:p w:rsidR="00000000" w:rsidRDefault="00000000">
                  <w:pPr>
                    <w:rPr>
                      <w:i/>
                      <w:sz w:val="2"/>
                      <w:lang w:val="en-GB"/>
                    </w:rPr>
                  </w:pPr>
                </w:p>
                <w:p w:rsidR="00000000" w:rsidRDefault="00000000">
                  <w:pPr>
                    <w:tabs>
                      <w:tab w:val="clear" w:pos="720"/>
                    </w:tabs>
                    <w:spacing w:after="120"/>
                    <w:rPr>
                      <w:i/>
                      <w:sz w:val="16"/>
                      <w:lang w:val="en-GB"/>
                    </w:rPr>
                  </w:pPr>
                  <w:r>
                    <w:rPr>
                      <w:i/>
                      <w:sz w:val="16"/>
                      <w:lang w:val="en-GB"/>
                    </w:rPr>
                    <w:t>Outcomes to be attained by 2010</w:t>
                  </w:r>
                </w:p>
                <w:p w:rsidR="00000000" w:rsidRDefault="00000000">
                  <w:pPr>
                    <w:tabs>
                      <w:tab w:val="clear" w:pos="720"/>
                      <w:tab w:val="left" w:pos="284"/>
                      <w:tab w:val="left" w:pos="680"/>
                    </w:tabs>
                    <w:rPr>
                      <w:sz w:val="16"/>
                      <w:lang w:val="en-GB"/>
                    </w:rPr>
                  </w:pPr>
                  <w:r>
                    <w:rPr>
                      <w:sz w:val="16"/>
                      <w:lang w:val="en-GB"/>
                    </w:rPr>
                    <w:t xml:space="preserve">10. </w:t>
                  </w:r>
                  <w:r>
                    <w:rPr>
                      <w:sz w:val="16"/>
                      <w:lang w:val="en-GB"/>
                    </w:rPr>
                    <w:tab/>
                    <w:t>Quality secondary education;</w:t>
                  </w:r>
                </w:p>
                <w:p w:rsidR="00000000" w:rsidRDefault="00000000">
                  <w:pPr>
                    <w:tabs>
                      <w:tab w:val="clear" w:pos="720"/>
                      <w:tab w:val="left" w:pos="284"/>
                      <w:tab w:val="left" w:pos="680"/>
                    </w:tabs>
                    <w:rPr>
                      <w:sz w:val="16"/>
                      <w:lang w:val="en-GB"/>
                    </w:rPr>
                  </w:pPr>
                  <w:r>
                    <w:rPr>
                      <w:sz w:val="16"/>
                      <w:lang w:val="en-GB"/>
                    </w:rPr>
                    <w:t xml:space="preserve">11. </w:t>
                  </w:r>
                  <w:r>
                    <w:rPr>
                      <w:sz w:val="16"/>
                      <w:lang w:val="en-GB"/>
                    </w:rPr>
                    <w:tab/>
                    <w:t>Reduction of the teenage pregnancy rate;</w:t>
                  </w:r>
                </w:p>
                <w:p w:rsidR="00000000" w:rsidRDefault="00000000">
                  <w:pPr>
                    <w:tabs>
                      <w:tab w:val="clear" w:pos="720"/>
                      <w:tab w:val="left" w:pos="284"/>
                      <w:tab w:val="left" w:pos="680"/>
                    </w:tabs>
                    <w:rPr>
                      <w:sz w:val="16"/>
                      <w:lang w:val="en-GB"/>
                    </w:rPr>
                  </w:pPr>
                  <w:r>
                    <w:rPr>
                      <w:sz w:val="16"/>
                      <w:lang w:val="en-GB"/>
                    </w:rPr>
                    <w:t xml:space="preserve">12. </w:t>
                  </w:r>
                  <w:r>
                    <w:rPr>
                      <w:sz w:val="16"/>
                      <w:lang w:val="en-GB"/>
                    </w:rPr>
                    <w:tab/>
                    <w:t>Reduction of sexually transmitted diseases and HIV/AIDS among adolescents;</w:t>
                  </w:r>
                </w:p>
                <w:p w:rsidR="00000000" w:rsidRDefault="00000000">
                  <w:pPr>
                    <w:tabs>
                      <w:tab w:val="clear" w:pos="720"/>
                      <w:tab w:val="left" w:pos="284"/>
                      <w:tab w:val="left" w:pos="680"/>
                    </w:tabs>
                    <w:ind w:left="970" w:hanging="970"/>
                    <w:jc w:val="left"/>
                    <w:rPr>
                      <w:sz w:val="16"/>
                      <w:lang w:val="en-GB"/>
                    </w:rPr>
                  </w:pPr>
                  <w:r>
                    <w:rPr>
                      <w:sz w:val="16"/>
                      <w:lang w:val="en-GB"/>
                    </w:rPr>
                    <w:t xml:space="preserve">13. </w:t>
                  </w:r>
                  <w:r>
                    <w:rPr>
                      <w:sz w:val="16"/>
                      <w:lang w:val="en-GB"/>
                    </w:rPr>
                    <w:tab/>
                    <w:t>Introduction of monitoring arrangements to ensure appropriate working conditions for adolescents over the minimum age for admission to work;</w:t>
                  </w:r>
                </w:p>
                <w:p w:rsidR="00000000" w:rsidRDefault="00000000">
                  <w:pPr>
                    <w:tabs>
                      <w:tab w:val="clear" w:pos="720"/>
                      <w:tab w:val="left" w:pos="284"/>
                      <w:tab w:val="left" w:pos="680"/>
                    </w:tabs>
                    <w:rPr>
                      <w:sz w:val="16"/>
                      <w:lang w:val="en-GB"/>
                    </w:rPr>
                  </w:pPr>
                  <w:r>
                    <w:rPr>
                      <w:sz w:val="16"/>
                      <w:lang w:val="en-GB"/>
                    </w:rPr>
                    <w:t xml:space="preserve">14. </w:t>
                  </w:r>
                  <w:r>
                    <w:rPr>
                      <w:sz w:val="16"/>
                      <w:lang w:val="en-GB"/>
                    </w:rPr>
                    <w:tab/>
                    <w:t>Prevention and reduction of adolescent violence;</w:t>
                  </w:r>
                </w:p>
                <w:p w:rsidR="00000000" w:rsidRDefault="00000000">
                  <w:pPr>
                    <w:tabs>
                      <w:tab w:val="clear" w:pos="720"/>
                      <w:tab w:val="left" w:pos="284"/>
                      <w:tab w:val="left" w:pos="680"/>
                    </w:tabs>
                    <w:rPr>
                      <w:sz w:val="16"/>
                      <w:lang w:val="en-GB"/>
                    </w:rPr>
                  </w:pPr>
                  <w:r>
                    <w:rPr>
                      <w:sz w:val="16"/>
                      <w:lang w:val="en-GB"/>
                    </w:rPr>
                    <w:t xml:space="preserve">15. </w:t>
                  </w:r>
                  <w:r>
                    <w:rPr>
                      <w:sz w:val="16"/>
                      <w:lang w:val="en-GB"/>
                    </w:rPr>
                    <w:tab/>
                    <w:t>Reduction of the consumption of legal and illegal drugs by adolescents;</w:t>
                  </w:r>
                </w:p>
                <w:p w:rsidR="00000000" w:rsidRDefault="00000000">
                  <w:pPr>
                    <w:tabs>
                      <w:tab w:val="clear" w:pos="720"/>
                      <w:tab w:val="left" w:pos="284"/>
                      <w:tab w:val="left" w:pos="680"/>
                    </w:tabs>
                    <w:rPr>
                      <w:sz w:val="16"/>
                      <w:lang w:val="en-GB"/>
                    </w:rPr>
                  </w:pPr>
                  <w:r>
                    <w:rPr>
                      <w:sz w:val="16"/>
                      <w:lang w:val="en-GB"/>
                    </w:rPr>
                    <w:t xml:space="preserve">16. </w:t>
                  </w:r>
                  <w:r>
                    <w:rPr>
                      <w:sz w:val="16"/>
                      <w:lang w:val="en-GB"/>
                    </w:rPr>
                    <w:tab/>
                    <w:t>Creation of conditions to encourage and secure participation by all children.</w:t>
                  </w:r>
                </w:p>
                <w:p w:rsidR="00000000" w:rsidRDefault="00000000">
                  <w:pPr>
                    <w:tabs>
                      <w:tab w:val="clear" w:pos="720"/>
                    </w:tabs>
                    <w:rPr>
                      <w:i/>
                      <w:sz w:val="4"/>
                      <w:lang w:val="en-GB"/>
                    </w:rPr>
                  </w:pPr>
                </w:p>
                <w:p w:rsidR="00000000" w:rsidRDefault="00000000">
                  <w:pPr>
                    <w:rPr>
                      <w:sz w:val="16"/>
                      <w:lang w:val="en-GB"/>
                    </w:rPr>
                  </w:pPr>
                  <w:r>
                    <w:rPr>
                      <w:i/>
                      <w:sz w:val="16"/>
                      <w:lang w:val="en-GB"/>
                    </w:rPr>
                    <w:t>Target population</w:t>
                  </w:r>
                  <w:r>
                    <w:rPr>
                      <w:sz w:val="16"/>
                      <w:lang w:val="en-GB"/>
                    </w:rPr>
                    <w:t>: Adolescents aged 12 to 17</w:t>
                  </w:r>
                </w:p>
                <w:p w:rsidR="00000000" w:rsidRDefault="00000000">
                  <w:pPr>
                    <w:rPr>
                      <w:sz w:val="10"/>
                      <w:lang w:val="en-GB"/>
                    </w:rPr>
                  </w:pPr>
                </w:p>
              </w:txbxContent>
            </v:textbox>
          </v:rect>
        </w:pict>
      </w:r>
    </w:p>
    <w:p w:rsidR="00000000" w:rsidRDefault="00000000">
      <w:pPr>
        <w:spacing w:after="240"/>
        <w:rPr>
          <w:bCs/>
          <w:sz w:val="24"/>
          <w:lang w:val="es-PE"/>
        </w:rPr>
      </w:pPr>
      <w:r>
        <w:rPr>
          <w:bCs/>
          <w:noProof/>
          <w:sz w:val="20"/>
          <w:lang w:eastAsia="fr-FR"/>
        </w:rPr>
        <w:pict>
          <v:line id="_x0000_s1071" style="position:absolute;left:0;text-align:left;flip:y;z-index:23" from="121.6pt,21.15pt" to="138.3pt,21.3pt" o:regroupid="1"/>
        </w:pict>
      </w:r>
    </w:p>
    <w:p w:rsidR="00000000" w:rsidRDefault="00000000">
      <w:pPr>
        <w:spacing w:after="240"/>
        <w:rPr>
          <w:bCs/>
          <w:sz w:val="24"/>
          <w:lang w:val="es-PE"/>
        </w:rPr>
      </w:pPr>
    </w:p>
    <w:p w:rsidR="00000000" w:rsidRDefault="00000000">
      <w:pPr>
        <w:spacing w:after="240"/>
        <w:rPr>
          <w:bCs/>
          <w:sz w:val="24"/>
          <w:lang w:val="es-PE"/>
        </w:rPr>
      </w:pPr>
    </w:p>
    <w:p w:rsidR="00000000" w:rsidRDefault="00000000">
      <w:pPr>
        <w:spacing w:after="240"/>
        <w:rPr>
          <w:bCs/>
          <w:sz w:val="24"/>
          <w:lang w:val="es-PE"/>
        </w:rPr>
      </w:pPr>
    </w:p>
    <w:p w:rsidR="00000000" w:rsidRDefault="00000000">
      <w:pPr>
        <w:spacing w:after="240"/>
        <w:rPr>
          <w:bCs/>
          <w:sz w:val="24"/>
          <w:lang w:val="es-PE"/>
        </w:rPr>
      </w:pPr>
      <w:r>
        <w:rPr>
          <w:bCs/>
          <w:noProof/>
          <w:sz w:val="20"/>
          <w:lang w:eastAsia="fr-FR"/>
        </w:rPr>
        <w:pict>
          <v:rect id="_x0000_s1070" style="position:absolute;left:0;text-align:left;margin-left:138.7pt;margin-top:8.85pt;width:552.75pt;height:120.25pt;z-index:22" o:regroupid="1">
            <v:textbox style="mso-next-textbox:#_x0000_s1070" inset="1.5mm,1mm,1.5mm,1mm">
              <w:txbxContent>
                <w:p w:rsidR="00000000" w:rsidRDefault="00000000">
                  <w:pPr>
                    <w:spacing w:before="120"/>
                    <w:jc w:val="left"/>
                    <w:rPr>
                      <w:sz w:val="16"/>
                      <w:lang w:val="en-GB"/>
                    </w:rPr>
                  </w:pPr>
                  <w:r>
                    <w:rPr>
                      <w:b/>
                      <w:sz w:val="16"/>
                      <w:lang w:val="en-GB"/>
                    </w:rPr>
                    <w:t>Strategic objective 4:</w:t>
                  </w:r>
                  <w:r>
                    <w:rPr>
                      <w:sz w:val="16"/>
                      <w:lang w:val="en-GB"/>
                    </w:rPr>
                    <w:t xml:space="preserve"> To introduce a system of guarantees for the protection of the rights of children from birth to age 17</w:t>
                  </w:r>
                </w:p>
                <w:p w:rsidR="00000000" w:rsidRDefault="00000000">
                  <w:pPr>
                    <w:jc w:val="left"/>
                    <w:rPr>
                      <w:sz w:val="8"/>
                      <w:lang w:val="en-GB"/>
                    </w:rPr>
                  </w:pPr>
                </w:p>
                <w:p w:rsidR="00000000" w:rsidRDefault="00000000">
                  <w:pPr>
                    <w:jc w:val="left"/>
                    <w:rPr>
                      <w:i/>
                      <w:sz w:val="16"/>
                      <w:lang w:val="en-GB"/>
                    </w:rPr>
                  </w:pPr>
                  <w:r>
                    <w:rPr>
                      <w:i/>
                      <w:sz w:val="16"/>
                      <w:lang w:val="en-GB"/>
                    </w:rPr>
                    <w:t>Outcomes to be attained by 2010:</w:t>
                  </w:r>
                </w:p>
                <w:p w:rsidR="00000000" w:rsidRDefault="00000000">
                  <w:pPr>
                    <w:tabs>
                      <w:tab w:val="clear" w:pos="720"/>
                      <w:tab w:val="left" w:pos="340"/>
                      <w:tab w:val="left" w:pos="680"/>
                    </w:tabs>
                    <w:jc w:val="left"/>
                    <w:rPr>
                      <w:sz w:val="6"/>
                      <w:lang w:val="en-GB"/>
                    </w:rPr>
                  </w:pPr>
                </w:p>
                <w:p w:rsidR="00000000" w:rsidRDefault="00000000">
                  <w:pPr>
                    <w:tabs>
                      <w:tab w:val="clear" w:pos="720"/>
                      <w:tab w:val="left" w:pos="340"/>
                      <w:tab w:val="left" w:pos="680"/>
                    </w:tabs>
                    <w:jc w:val="left"/>
                    <w:rPr>
                      <w:sz w:val="16"/>
                      <w:lang w:val="en-GB"/>
                    </w:rPr>
                  </w:pPr>
                  <w:r>
                    <w:rPr>
                      <w:sz w:val="16"/>
                      <w:lang w:val="en-GB"/>
                    </w:rPr>
                    <w:t xml:space="preserve">17. </w:t>
                  </w:r>
                  <w:r>
                    <w:rPr>
                      <w:sz w:val="16"/>
                      <w:lang w:val="en-GB"/>
                    </w:rPr>
                    <w:tab/>
                    <w:t>Consolidation of a legal order and special system for the administration of juvenile justice;</w:t>
                  </w:r>
                </w:p>
                <w:p w:rsidR="00000000" w:rsidRDefault="00000000">
                  <w:pPr>
                    <w:tabs>
                      <w:tab w:val="clear" w:pos="720"/>
                      <w:tab w:val="left" w:pos="340"/>
                      <w:tab w:val="left" w:pos="680"/>
                    </w:tabs>
                    <w:jc w:val="left"/>
                    <w:rPr>
                      <w:sz w:val="16"/>
                      <w:lang w:val="en-GB"/>
                    </w:rPr>
                  </w:pPr>
                  <w:r>
                    <w:rPr>
                      <w:sz w:val="16"/>
                      <w:lang w:val="en-GB"/>
                    </w:rPr>
                    <w:t xml:space="preserve">18. </w:t>
                  </w:r>
                  <w:r>
                    <w:rPr>
                      <w:sz w:val="16"/>
                      <w:lang w:val="en-GB"/>
                    </w:rPr>
                    <w:tab/>
                    <w:t>Creation of an infrastructure and services responsive to the needs and culture of all children, with priority for children with specific needs;</w:t>
                  </w:r>
                </w:p>
                <w:p w:rsidR="00000000" w:rsidRDefault="00000000">
                  <w:pPr>
                    <w:tabs>
                      <w:tab w:val="clear" w:pos="720"/>
                      <w:tab w:val="left" w:pos="340"/>
                      <w:tab w:val="left" w:pos="680"/>
                    </w:tabs>
                    <w:jc w:val="left"/>
                    <w:rPr>
                      <w:sz w:val="16"/>
                      <w:lang w:val="en-GB"/>
                    </w:rPr>
                  </w:pPr>
                  <w:r>
                    <w:rPr>
                      <w:sz w:val="16"/>
                      <w:lang w:val="en-GB"/>
                    </w:rPr>
                    <w:t xml:space="preserve">19. </w:t>
                  </w:r>
                  <w:r>
                    <w:rPr>
                      <w:sz w:val="16"/>
                      <w:lang w:val="en-GB"/>
                    </w:rPr>
                    <w:tab/>
                    <w:t>Establishment of reliable systems for providing timely information about children;</w:t>
                  </w:r>
                </w:p>
                <w:p w:rsidR="00000000" w:rsidRDefault="00000000">
                  <w:pPr>
                    <w:tabs>
                      <w:tab w:val="clear" w:pos="720"/>
                      <w:tab w:val="left" w:pos="340"/>
                      <w:tab w:val="left" w:pos="680"/>
                    </w:tabs>
                    <w:jc w:val="left"/>
                    <w:rPr>
                      <w:sz w:val="16"/>
                      <w:lang w:val="en-GB"/>
                    </w:rPr>
                  </w:pPr>
                  <w:r>
                    <w:rPr>
                      <w:sz w:val="16"/>
                      <w:lang w:val="en-GB"/>
                    </w:rPr>
                    <w:t xml:space="preserve">20. </w:t>
                  </w:r>
                  <w:r>
                    <w:rPr>
                      <w:sz w:val="16"/>
                      <w:lang w:val="en-GB"/>
                    </w:rPr>
                    <w:tab/>
                    <w:t>Provision of care for children in emergency situations;</w:t>
                  </w:r>
                </w:p>
                <w:p w:rsidR="00000000" w:rsidRDefault="00000000">
                  <w:pPr>
                    <w:tabs>
                      <w:tab w:val="clear" w:pos="720"/>
                      <w:tab w:val="left" w:pos="340"/>
                      <w:tab w:val="left" w:pos="680"/>
                    </w:tabs>
                    <w:jc w:val="left"/>
                    <w:rPr>
                      <w:sz w:val="16"/>
                      <w:lang w:val="en-GB"/>
                    </w:rPr>
                  </w:pPr>
                  <w:r>
                    <w:rPr>
                      <w:sz w:val="16"/>
                      <w:lang w:val="en-GB"/>
                    </w:rPr>
                    <w:t xml:space="preserve">21. </w:t>
                  </w:r>
                  <w:r>
                    <w:rPr>
                      <w:sz w:val="16"/>
                      <w:lang w:val="en-GB"/>
                    </w:rPr>
                    <w:tab/>
                    <w:t>Reduction of the sexual exploitation of children;</w:t>
                  </w:r>
                </w:p>
                <w:p w:rsidR="00000000" w:rsidRDefault="00000000">
                  <w:pPr>
                    <w:tabs>
                      <w:tab w:val="clear" w:pos="720"/>
                      <w:tab w:val="left" w:pos="340"/>
                      <w:tab w:val="left" w:pos="680"/>
                    </w:tabs>
                    <w:jc w:val="left"/>
                    <w:rPr>
                      <w:sz w:val="16"/>
                      <w:lang w:val="en-GB"/>
                    </w:rPr>
                  </w:pPr>
                  <w:r>
                    <w:rPr>
                      <w:sz w:val="16"/>
                      <w:lang w:val="en-GB"/>
                    </w:rPr>
                    <w:t xml:space="preserve">22. </w:t>
                  </w:r>
                  <w:r>
                    <w:rPr>
                      <w:sz w:val="16"/>
                      <w:lang w:val="en-GB"/>
                    </w:rPr>
                    <w:tab/>
                    <w:t>Reduction of maltreatment and elimination of sexual abuse of children.</w:t>
                  </w:r>
                </w:p>
                <w:p w:rsidR="00000000" w:rsidRDefault="00000000">
                  <w:pPr>
                    <w:tabs>
                      <w:tab w:val="left" w:pos="567"/>
                      <w:tab w:val="left" w:pos="964"/>
                    </w:tabs>
                    <w:jc w:val="left"/>
                    <w:rPr>
                      <w:sz w:val="8"/>
                      <w:lang w:val="en-GB"/>
                    </w:rPr>
                  </w:pPr>
                </w:p>
                <w:p w:rsidR="00000000" w:rsidRDefault="00000000">
                  <w:pPr>
                    <w:jc w:val="left"/>
                    <w:rPr>
                      <w:sz w:val="10"/>
                      <w:lang w:val="en-GB"/>
                    </w:rPr>
                  </w:pPr>
                  <w:r>
                    <w:rPr>
                      <w:i/>
                      <w:sz w:val="16"/>
                      <w:lang w:val="en-GB"/>
                    </w:rPr>
                    <w:t>Target population</w:t>
                  </w:r>
                  <w:r>
                    <w:rPr>
                      <w:sz w:val="16"/>
                      <w:lang w:val="en-GB"/>
                    </w:rPr>
                    <w:t>: Children from birth to age 17</w:t>
                  </w:r>
                </w:p>
              </w:txbxContent>
            </v:textbox>
          </v:rect>
        </w:pict>
      </w:r>
    </w:p>
    <w:p w:rsidR="00000000" w:rsidRDefault="00000000">
      <w:pPr>
        <w:spacing w:after="240"/>
        <w:rPr>
          <w:bCs/>
          <w:sz w:val="24"/>
          <w:lang w:val="es-PE"/>
        </w:rPr>
      </w:pPr>
      <w:r>
        <w:rPr>
          <w:bCs/>
          <w:noProof/>
          <w:sz w:val="20"/>
          <w:lang w:eastAsia="fr-FR"/>
        </w:rPr>
        <w:pict>
          <v:line id="_x0000_s1073" style="position:absolute;left:0;text-align:left;flip:y;z-index:25" from="121.6pt,5.55pt" to="138.3pt,5.7pt" o:regroupid="1"/>
        </w:pict>
      </w:r>
    </w:p>
    <w:p w:rsidR="00000000" w:rsidRDefault="00000000">
      <w:pPr>
        <w:spacing w:after="240"/>
        <w:rPr>
          <w:bCs/>
          <w:sz w:val="24"/>
          <w:lang w:val="es-PE"/>
        </w:rPr>
      </w:pPr>
    </w:p>
    <w:p w:rsidR="00000000" w:rsidRDefault="00000000">
      <w:pPr>
        <w:rPr>
          <w:sz w:val="20"/>
          <w:lang w:val="en-GB"/>
        </w:rPr>
      </w:pPr>
    </w:p>
    <w:p w:rsidR="00000000" w:rsidRDefault="00000000">
      <w:pPr>
        <w:rPr>
          <w:sz w:val="20"/>
          <w:lang w:val="en-GB"/>
        </w:rPr>
        <w:sectPr w:rsidR="00000000">
          <w:headerReference w:type="even" r:id="rId17"/>
          <w:headerReference w:type="default" r:id="rId18"/>
          <w:pgSz w:w="16838" w:h="11906" w:orient="landscape" w:code="9"/>
          <w:pgMar w:top="1247" w:right="1418" w:bottom="1247" w:left="1134" w:header="737" w:footer="737" w:gutter="0"/>
          <w:cols w:space="720"/>
        </w:sectPr>
      </w:pPr>
    </w:p>
    <w:p w:rsidR="00000000" w:rsidRDefault="00000000">
      <w:pPr>
        <w:tabs>
          <w:tab w:val="clear" w:pos="720"/>
        </w:tabs>
        <w:jc w:val="center"/>
        <w:rPr>
          <w:sz w:val="24"/>
          <w:lang w:val="en-GB"/>
        </w:rPr>
      </w:pPr>
      <w:r>
        <w:rPr>
          <w:b/>
          <w:sz w:val="24"/>
          <w:lang w:val="en-GB"/>
        </w:rPr>
        <w:t>III.  CURRENT SITUATION OF THE RIGHTS OF THE CHILD</w:t>
      </w:r>
    </w:p>
    <w:p w:rsidR="00000000" w:rsidRDefault="00000000">
      <w:pPr>
        <w:tabs>
          <w:tab w:val="clear" w:pos="720"/>
        </w:tabs>
        <w:jc w:val="left"/>
        <w:rPr>
          <w:sz w:val="20"/>
          <w:lang w:val="en-GB"/>
        </w:rPr>
      </w:pPr>
    </w:p>
    <w:p w:rsidR="00000000" w:rsidRDefault="00000000">
      <w:pPr>
        <w:tabs>
          <w:tab w:val="clear" w:pos="720"/>
        </w:tabs>
        <w:jc w:val="left"/>
        <w:rPr>
          <w:sz w:val="24"/>
          <w:lang w:val="en-GB"/>
        </w:rPr>
      </w:pPr>
      <w:r>
        <w:rPr>
          <w:sz w:val="24"/>
          <w:lang w:val="en-GB"/>
        </w:rPr>
        <w:t>67.</w:t>
      </w:r>
      <w:r>
        <w:rPr>
          <w:sz w:val="24"/>
          <w:lang w:val="en-GB"/>
        </w:rPr>
        <w:tab/>
        <w:t>The problems of childhood in a multicultural country with great social disparities are not the same for all.  However, it is possible to come to grips with this diversity and determine who are the most excluded children and where they are to be found.  The phased approach makes it possible to observe these problems at all stages, from conception and pregnancy to the child’s birth and physical and mental development up to age 17.  This approach, which is the one taken here, covers children’s relations with culture, family, school, peers and community.</w:t>
      </w:r>
    </w:p>
    <w:p w:rsidR="00000000" w:rsidRDefault="00000000">
      <w:pPr>
        <w:tabs>
          <w:tab w:val="clear" w:pos="720"/>
        </w:tabs>
        <w:jc w:val="left"/>
        <w:rPr>
          <w:sz w:val="20"/>
          <w:lang w:val="en-GB"/>
        </w:rPr>
      </w:pPr>
    </w:p>
    <w:p w:rsidR="00000000" w:rsidRDefault="00000000">
      <w:pPr>
        <w:tabs>
          <w:tab w:val="clear" w:pos="720"/>
        </w:tabs>
        <w:jc w:val="center"/>
        <w:rPr>
          <w:sz w:val="24"/>
          <w:lang w:val="en-GB"/>
        </w:rPr>
      </w:pPr>
      <w:r>
        <w:rPr>
          <w:b/>
          <w:sz w:val="24"/>
          <w:lang w:val="en-GB"/>
        </w:rPr>
        <w:t>A.  Exclusion at an early age</w:t>
      </w:r>
    </w:p>
    <w:p w:rsidR="00000000" w:rsidRDefault="00000000">
      <w:pPr>
        <w:tabs>
          <w:tab w:val="clear" w:pos="720"/>
        </w:tabs>
        <w:jc w:val="left"/>
        <w:rPr>
          <w:sz w:val="20"/>
          <w:lang w:val="en-GB"/>
        </w:rPr>
      </w:pPr>
    </w:p>
    <w:p w:rsidR="00000000" w:rsidRDefault="00000000">
      <w:pPr>
        <w:tabs>
          <w:tab w:val="clear" w:pos="720"/>
        </w:tabs>
        <w:jc w:val="left"/>
        <w:rPr>
          <w:sz w:val="24"/>
          <w:lang w:val="en-GB"/>
        </w:rPr>
      </w:pPr>
      <w:r>
        <w:rPr>
          <w:sz w:val="24"/>
          <w:lang w:val="en-GB"/>
        </w:rPr>
        <w:t>68.</w:t>
      </w:r>
      <w:r>
        <w:rPr>
          <w:sz w:val="24"/>
          <w:lang w:val="en-GB"/>
        </w:rPr>
        <w:tab/>
        <w:t>Peru is a young country with a large poor population consisting chiefly of children.  It has a total of 10,617,000 children aged under 18 (40 per cent of the total population in 2001), whose needs constitute rights which must be protected by the State, civil society and the family.</w:t>
      </w:r>
      <w:r>
        <w:rPr>
          <w:rStyle w:val="FootnoteReference"/>
          <w:b/>
          <w:sz w:val="24"/>
          <w:lang w:val="en-GB"/>
        </w:rPr>
        <w:footnoteReference w:customMarkFollows="1" w:id="18"/>
        <w:t>17</w:t>
      </w:r>
    </w:p>
    <w:p w:rsidR="00000000" w:rsidRDefault="00000000">
      <w:pPr>
        <w:tabs>
          <w:tab w:val="clear" w:pos="720"/>
        </w:tabs>
        <w:jc w:val="left"/>
        <w:rPr>
          <w:sz w:val="20"/>
          <w:lang w:val="en-GB"/>
        </w:rPr>
      </w:pPr>
    </w:p>
    <w:p w:rsidR="00000000" w:rsidRDefault="00000000">
      <w:pPr>
        <w:tabs>
          <w:tab w:val="clear" w:pos="720"/>
        </w:tabs>
        <w:jc w:val="left"/>
        <w:rPr>
          <w:sz w:val="24"/>
          <w:lang w:val="en-GB"/>
        </w:rPr>
      </w:pPr>
      <w:r>
        <w:rPr>
          <w:sz w:val="24"/>
          <w:lang w:val="en-GB"/>
        </w:rPr>
        <w:t xml:space="preserve">69. </w:t>
      </w:r>
      <w:r>
        <w:rPr>
          <w:sz w:val="24"/>
          <w:lang w:val="en-GB"/>
        </w:rPr>
        <w:tab/>
        <w:t>As pointed out earlier, 54.8 per cent of the country’s population live in poverty and 24.4 per cent in extreme poverty.  Moreover, 40.4 per cent of the members of poor households are aged under 15.</w:t>
      </w:r>
      <w:r>
        <w:rPr>
          <w:rStyle w:val="FootnoteReference"/>
          <w:b/>
          <w:sz w:val="24"/>
          <w:lang w:val="en-GB"/>
        </w:rPr>
        <w:footnoteReference w:customMarkFollows="1" w:id="19"/>
        <w:t>18</w:t>
      </w:r>
      <w:r>
        <w:rPr>
          <w:sz w:val="24"/>
          <w:lang w:val="en-GB"/>
        </w:rPr>
        <w:t xml:space="preserve">  In other words, in terms of distribution by age children are the most excluded members of Peruvian society and therefore the most vulnerable and exposed to the most risks.</w:t>
      </w:r>
    </w:p>
    <w:p w:rsidR="00000000" w:rsidRDefault="00000000">
      <w:pPr>
        <w:tabs>
          <w:tab w:val="clear" w:pos="720"/>
        </w:tabs>
        <w:jc w:val="left"/>
        <w:rPr>
          <w:sz w:val="20"/>
          <w:lang w:val="en-GB"/>
        </w:rPr>
      </w:pPr>
    </w:p>
    <w:p w:rsidR="00000000" w:rsidRDefault="00000000">
      <w:pPr>
        <w:tabs>
          <w:tab w:val="clear" w:pos="720"/>
        </w:tabs>
        <w:jc w:val="left"/>
        <w:rPr>
          <w:sz w:val="24"/>
          <w:lang w:val="en-GB"/>
        </w:rPr>
      </w:pPr>
      <w:r>
        <w:rPr>
          <w:sz w:val="24"/>
          <w:lang w:val="en-GB"/>
        </w:rPr>
        <w:t>70.</w:t>
      </w:r>
      <w:r>
        <w:rPr>
          <w:sz w:val="24"/>
          <w:lang w:val="en-GB"/>
        </w:rPr>
        <w:tab/>
        <w:t>The degrees of exclusion vary by culture and geographical region, and indigenous children in rural forest and mountain areas and children living in marginal urban zones in the main cities have been identified as the most seriously affected.  The situation of children shows the following internal disparities:</w:t>
      </w:r>
    </w:p>
    <w:p w:rsidR="00000000" w:rsidRDefault="00000000">
      <w:pPr>
        <w:tabs>
          <w:tab w:val="clear" w:pos="720"/>
        </w:tabs>
        <w:jc w:val="left"/>
        <w:rPr>
          <w:sz w:val="16"/>
          <w:lang w:val="en-GB"/>
        </w:rPr>
      </w:pPr>
    </w:p>
    <w:p w:rsidR="00000000" w:rsidRDefault="00000000">
      <w:pPr>
        <w:tabs>
          <w:tab w:val="clear" w:pos="720"/>
        </w:tabs>
        <w:jc w:val="center"/>
        <w:rPr>
          <w:sz w:val="20"/>
          <w:lang w:val="en-GB"/>
        </w:rPr>
      </w:pPr>
      <w:r>
        <w:rPr>
          <w:b/>
          <w:sz w:val="20"/>
          <w:lang w:val="en-GB"/>
        </w:rPr>
        <w:t>Social disparities among children</w:t>
      </w:r>
    </w:p>
    <w:p w:rsidR="00000000" w:rsidRDefault="00000000">
      <w:pPr>
        <w:tabs>
          <w:tab w:val="clear" w:pos="720"/>
        </w:tabs>
        <w:jc w:val="left"/>
        <w:rPr>
          <w:sz w:val="18"/>
          <w:lang w:val="en-GB"/>
        </w:rPr>
      </w:pPr>
    </w:p>
    <w:tbl>
      <w:tblPr>
        <w:tblW w:w="9426" w:type="dxa"/>
        <w:jc w:val="center"/>
        <w:tblLayout w:type="fixed"/>
        <w:tblCellMar>
          <w:left w:w="0" w:type="dxa"/>
          <w:right w:w="0" w:type="dxa"/>
        </w:tblCellMar>
        <w:tblLook w:val="0000" w:firstRow="0" w:lastRow="0" w:firstColumn="0" w:lastColumn="0" w:noHBand="0" w:noVBand="0"/>
      </w:tblPr>
      <w:tblGrid>
        <w:gridCol w:w="4354"/>
        <w:gridCol w:w="1245"/>
        <w:gridCol w:w="1559"/>
        <w:gridCol w:w="2268"/>
      </w:tblGrid>
      <w:tr w:rsidR="00000000">
        <w:tblPrEx>
          <w:tblCellMar>
            <w:top w:w="0" w:type="dxa"/>
            <w:bottom w:w="0" w:type="dxa"/>
          </w:tblCellMar>
        </w:tblPrEx>
        <w:trPr>
          <w:cantSplit/>
          <w:trHeight w:val="310"/>
          <w:jc w:val="center"/>
        </w:trPr>
        <w:tc>
          <w:tcPr>
            <w:tcW w:w="4354" w:type="dxa"/>
            <w:vMerge w:val="restart"/>
            <w:tcBorders>
              <w:top w:val="single" w:sz="4" w:space="0" w:color="auto"/>
            </w:tcBorders>
            <w:vAlign w:val="center"/>
          </w:tcPr>
          <w:p w:rsidR="00000000" w:rsidRDefault="00000000">
            <w:pPr>
              <w:spacing w:before="60" w:after="60"/>
              <w:jc w:val="center"/>
              <w:rPr>
                <w:bCs/>
                <w:i/>
                <w:iCs/>
                <w:sz w:val="20"/>
                <w:highlight w:val="darkRed"/>
                <w:lang w:val="en-GB"/>
              </w:rPr>
            </w:pPr>
            <w:r>
              <w:rPr>
                <w:bCs/>
                <w:i/>
                <w:iCs/>
                <w:sz w:val="20"/>
                <w:lang w:val="en-GB"/>
              </w:rPr>
              <w:t>Indicator</w:t>
            </w:r>
          </w:p>
        </w:tc>
        <w:tc>
          <w:tcPr>
            <w:tcW w:w="1245" w:type="dxa"/>
            <w:vMerge w:val="restart"/>
            <w:tcBorders>
              <w:top w:val="single" w:sz="4" w:space="0" w:color="auto"/>
            </w:tcBorders>
          </w:tcPr>
          <w:p w:rsidR="00000000" w:rsidRDefault="00000000">
            <w:pPr>
              <w:spacing w:before="60" w:after="60"/>
              <w:jc w:val="center"/>
              <w:rPr>
                <w:bCs/>
                <w:i/>
                <w:iCs/>
                <w:sz w:val="20"/>
                <w:highlight w:val="darkRed"/>
                <w:lang w:val="en-GB"/>
              </w:rPr>
            </w:pPr>
            <w:r>
              <w:rPr>
                <w:bCs/>
                <w:i/>
                <w:iCs/>
                <w:sz w:val="20"/>
                <w:lang w:val="en-GB"/>
              </w:rPr>
              <w:t>National average</w:t>
            </w:r>
          </w:p>
        </w:tc>
        <w:tc>
          <w:tcPr>
            <w:tcW w:w="3827" w:type="dxa"/>
            <w:gridSpan w:val="2"/>
            <w:tcBorders>
              <w:top w:val="single" w:sz="4" w:space="0" w:color="auto"/>
              <w:bottom w:val="single" w:sz="4" w:space="0" w:color="auto"/>
            </w:tcBorders>
          </w:tcPr>
          <w:p w:rsidR="00000000" w:rsidRDefault="00000000">
            <w:pPr>
              <w:spacing w:before="60" w:after="60"/>
              <w:jc w:val="center"/>
              <w:rPr>
                <w:bCs/>
                <w:i/>
                <w:iCs/>
                <w:sz w:val="20"/>
                <w:highlight w:val="darkRed"/>
                <w:lang w:val="en-GB"/>
              </w:rPr>
            </w:pPr>
            <w:r>
              <w:rPr>
                <w:bCs/>
                <w:i/>
                <w:iCs/>
                <w:sz w:val="20"/>
                <w:lang w:val="en-GB"/>
              </w:rPr>
              <w:t>Extremes</w:t>
            </w:r>
          </w:p>
        </w:tc>
      </w:tr>
      <w:tr w:rsidR="00000000">
        <w:tblPrEx>
          <w:tblCellMar>
            <w:top w:w="0" w:type="dxa"/>
            <w:bottom w:w="0" w:type="dxa"/>
          </w:tblCellMar>
        </w:tblPrEx>
        <w:trPr>
          <w:cantSplit/>
          <w:trHeight w:val="310"/>
          <w:jc w:val="center"/>
        </w:trPr>
        <w:tc>
          <w:tcPr>
            <w:tcW w:w="4354" w:type="dxa"/>
            <w:vMerge/>
            <w:tcBorders>
              <w:bottom w:val="single" w:sz="4" w:space="0" w:color="auto"/>
            </w:tcBorders>
          </w:tcPr>
          <w:p w:rsidR="00000000" w:rsidRDefault="00000000">
            <w:pPr>
              <w:spacing w:before="60" w:after="60"/>
              <w:jc w:val="center"/>
              <w:rPr>
                <w:bCs/>
                <w:i/>
                <w:iCs/>
                <w:sz w:val="20"/>
                <w:highlight w:val="darkRed"/>
                <w:lang w:val="en-GB"/>
              </w:rPr>
            </w:pPr>
          </w:p>
        </w:tc>
        <w:tc>
          <w:tcPr>
            <w:tcW w:w="1245" w:type="dxa"/>
            <w:vMerge/>
            <w:tcBorders>
              <w:bottom w:val="single" w:sz="4" w:space="0" w:color="auto"/>
            </w:tcBorders>
          </w:tcPr>
          <w:p w:rsidR="00000000" w:rsidRDefault="00000000">
            <w:pPr>
              <w:spacing w:before="60" w:after="60"/>
              <w:jc w:val="center"/>
              <w:rPr>
                <w:bCs/>
                <w:i/>
                <w:iCs/>
                <w:sz w:val="20"/>
                <w:highlight w:val="darkRed"/>
                <w:lang w:val="en-GB"/>
              </w:rPr>
            </w:pPr>
          </w:p>
        </w:tc>
        <w:tc>
          <w:tcPr>
            <w:tcW w:w="1559" w:type="dxa"/>
            <w:tcBorders>
              <w:top w:val="single" w:sz="4" w:space="0" w:color="auto"/>
              <w:bottom w:val="single" w:sz="4" w:space="0" w:color="auto"/>
            </w:tcBorders>
          </w:tcPr>
          <w:p w:rsidR="00000000" w:rsidRDefault="00000000">
            <w:pPr>
              <w:spacing w:before="60" w:after="60"/>
              <w:jc w:val="center"/>
              <w:rPr>
                <w:bCs/>
                <w:i/>
                <w:iCs/>
                <w:sz w:val="20"/>
                <w:highlight w:val="darkRed"/>
                <w:lang w:val="en-GB"/>
              </w:rPr>
            </w:pPr>
            <w:r>
              <w:rPr>
                <w:bCs/>
                <w:i/>
                <w:iCs/>
                <w:sz w:val="20"/>
                <w:lang w:val="en-GB"/>
              </w:rPr>
              <w:t>Better</w:t>
            </w:r>
          </w:p>
        </w:tc>
        <w:tc>
          <w:tcPr>
            <w:tcW w:w="2268" w:type="dxa"/>
            <w:tcBorders>
              <w:top w:val="single" w:sz="4" w:space="0" w:color="auto"/>
              <w:bottom w:val="single" w:sz="4" w:space="0" w:color="auto"/>
            </w:tcBorders>
          </w:tcPr>
          <w:p w:rsidR="00000000" w:rsidRDefault="00000000">
            <w:pPr>
              <w:spacing w:before="60" w:after="60"/>
              <w:jc w:val="center"/>
              <w:rPr>
                <w:bCs/>
                <w:i/>
                <w:iCs/>
                <w:sz w:val="20"/>
                <w:lang w:val="en-GB"/>
              </w:rPr>
            </w:pPr>
            <w:r>
              <w:rPr>
                <w:bCs/>
                <w:i/>
                <w:iCs/>
                <w:sz w:val="20"/>
                <w:lang w:val="en-GB"/>
              </w:rPr>
              <w:t>Worse</w:t>
            </w:r>
          </w:p>
        </w:tc>
      </w:tr>
      <w:tr w:rsidR="00000000">
        <w:tblPrEx>
          <w:tblCellMar>
            <w:top w:w="0" w:type="dxa"/>
            <w:bottom w:w="0" w:type="dxa"/>
          </w:tblCellMar>
        </w:tblPrEx>
        <w:trPr>
          <w:jc w:val="center"/>
        </w:trPr>
        <w:tc>
          <w:tcPr>
            <w:tcW w:w="4354" w:type="dxa"/>
            <w:tcBorders>
              <w:top w:val="single" w:sz="4" w:space="0" w:color="auto"/>
            </w:tcBorders>
            <w:vAlign w:val="center"/>
          </w:tcPr>
          <w:p w:rsidR="00000000" w:rsidRDefault="00000000">
            <w:pPr>
              <w:spacing w:before="60" w:after="60"/>
              <w:rPr>
                <w:sz w:val="20"/>
                <w:lang w:val="en-GB"/>
              </w:rPr>
            </w:pPr>
            <w:r>
              <w:rPr>
                <w:sz w:val="20"/>
                <w:lang w:val="en-GB"/>
              </w:rPr>
              <w:t>Infant mortality rate (per 1,000 live births)</w:t>
            </w:r>
            <w:r>
              <w:rPr>
                <w:rStyle w:val="FootnoteReference"/>
                <w:b/>
                <w:sz w:val="20"/>
                <w:lang w:val="en-GB"/>
              </w:rPr>
              <w:footnoteReference w:customMarkFollows="1" w:id="20"/>
              <w:t>19</w:t>
            </w:r>
            <w:r>
              <w:rPr>
                <w:rFonts w:ascii="Arial Unicode MS" w:eastAsia="Arial Unicode MS" w:hAnsi="Arial Unicode MS" w:cs="Arial Unicode MS"/>
                <w:sz w:val="20"/>
                <w:szCs w:val="24"/>
                <w:lang w:val="en-GB" w:eastAsia="fr-FR"/>
              </w:rPr>
              <w:t xml:space="preserve"> </w:t>
            </w:r>
          </w:p>
        </w:tc>
        <w:tc>
          <w:tcPr>
            <w:tcW w:w="1245" w:type="dxa"/>
            <w:tcBorders>
              <w:top w:val="single" w:sz="4" w:space="0" w:color="auto"/>
            </w:tcBorders>
          </w:tcPr>
          <w:p w:rsidR="00000000" w:rsidRDefault="00000000">
            <w:pPr>
              <w:tabs>
                <w:tab w:val="decimal" w:pos="504"/>
              </w:tabs>
              <w:spacing w:before="60" w:after="60"/>
              <w:jc w:val="center"/>
              <w:rPr>
                <w:sz w:val="20"/>
                <w:lang w:val="pt-BR"/>
              </w:rPr>
            </w:pPr>
            <w:r>
              <w:rPr>
                <w:sz w:val="20"/>
                <w:lang w:val="pt-BR"/>
              </w:rPr>
              <w:t>33,0</w:t>
            </w:r>
          </w:p>
        </w:tc>
        <w:tc>
          <w:tcPr>
            <w:tcW w:w="1559" w:type="dxa"/>
            <w:tcBorders>
              <w:top w:val="single" w:sz="4" w:space="0" w:color="auto"/>
            </w:tcBorders>
          </w:tcPr>
          <w:p w:rsidR="00000000" w:rsidRDefault="00000000">
            <w:pPr>
              <w:spacing w:before="60" w:after="60"/>
              <w:ind w:left="170"/>
              <w:jc w:val="left"/>
              <w:rPr>
                <w:sz w:val="20"/>
                <w:lang w:val="pt-BR"/>
              </w:rPr>
            </w:pPr>
            <w:r>
              <w:rPr>
                <w:sz w:val="20"/>
                <w:lang w:val="pt-BR"/>
              </w:rPr>
              <w:t>Lima:  20</w:t>
            </w:r>
          </w:p>
        </w:tc>
        <w:tc>
          <w:tcPr>
            <w:tcW w:w="2268" w:type="dxa"/>
            <w:tcBorders>
              <w:top w:val="single" w:sz="4" w:space="0" w:color="auto"/>
            </w:tcBorders>
          </w:tcPr>
          <w:p w:rsidR="00000000" w:rsidRDefault="00000000">
            <w:pPr>
              <w:spacing w:before="60" w:after="60"/>
              <w:ind w:left="170"/>
              <w:jc w:val="left"/>
              <w:rPr>
                <w:sz w:val="20"/>
                <w:lang w:val="pt-BR"/>
              </w:rPr>
            </w:pPr>
            <w:r>
              <w:rPr>
                <w:sz w:val="20"/>
                <w:lang w:val="pt-BR"/>
              </w:rPr>
              <w:t>Huancavelica:  84</w:t>
            </w:r>
          </w:p>
        </w:tc>
      </w:tr>
      <w:tr w:rsidR="00000000">
        <w:tblPrEx>
          <w:tblCellMar>
            <w:top w:w="0" w:type="dxa"/>
            <w:bottom w:w="0" w:type="dxa"/>
          </w:tblCellMar>
        </w:tblPrEx>
        <w:trPr>
          <w:jc w:val="center"/>
        </w:trPr>
        <w:tc>
          <w:tcPr>
            <w:tcW w:w="4354" w:type="dxa"/>
            <w:vAlign w:val="center"/>
          </w:tcPr>
          <w:p w:rsidR="00000000" w:rsidRDefault="00000000">
            <w:pPr>
              <w:spacing w:before="60" w:after="60"/>
              <w:rPr>
                <w:sz w:val="20"/>
                <w:lang w:val="pt-BR"/>
              </w:rPr>
            </w:pPr>
            <w:r>
              <w:rPr>
                <w:sz w:val="20"/>
                <w:lang w:val="pt-BR"/>
              </w:rPr>
              <w:t>Total fertility rate</w:t>
            </w:r>
            <w:r>
              <w:rPr>
                <w:rStyle w:val="FootnoteReference"/>
                <w:b/>
                <w:sz w:val="20"/>
                <w:lang w:val="pt-BR"/>
              </w:rPr>
              <w:footnoteReference w:customMarkFollows="1" w:id="21"/>
              <w:t>20</w:t>
            </w:r>
            <w:r>
              <w:rPr>
                <w:rFonts w:ascii="Arial Unicode MS" w:eastAsia="Arial Unicode MS" w:hAnsi="Arial Unicode MS" w:cs="Arial Unicode MS"/>
                <w:sz w:val="20"/>
                <w:szCs w:val="24"/>
                <w:lang w:val="pt-BR" w:eastAsia="fr-FR"/>
              </w:rPr>
              <w:t xml:space="preserve"> </w:t>
            </w:r>
          </w:p>
        </w:tc>
        <w:tc>
          <w:tcPr>
            <w:tcW w:w="1245" w:type="dxa"/>
          </w:tcPr>
          <w:p w:rsidR="00000000" w:rsidRDefault="00000000">
            <w:pPr>
              <w:tabs>
                <w:tab w:val="decimal" w:pos="504"/>
              </w:tabs>
              <w:spacing w:before="60" w:after="60"/>
              <w:jc w:val="center"/>
              <w:rPr>
                <w:sz w:val="20"/>
                <w:lang w:val="pt-BR"/>
              </w:rPr>
            </w:pPr>
            <w:r>
              <w:rPr>
                <w:sz w:val="20"/>
                <w:lang w:val="pt-BR"/>
              </w:rPr>
              <w:t>3,5</w:t>
            </w:r>
          </w:p>
        </w:tc>
        <w:tc>
          <w:tcPr>
            <w:tcW w:w="1559" w:type="dxa"/>
          </w:tcPr>
          <w:p w:rsidR="00000000" w:rsidRDefault="00000000">
            <w:pPr>
              <w:spacing w:before="60" w:after="60"/>
              <w:ind w:left="170"/>
              <w:jc w:val="left"/>
              <w:rPr>
                <w:sz w:val="20"/>
                <w:lang w:val="pt-BR"/>
              </w:rPr>
            </w:pPr>
            <w:r>
              <w:rPr>
                <w:sz w:val="20"/>
                <w:lang w:val="pt-BR"/>
              </w:rPr>
              <w:t>Tacna:  2,0</w:t>
            </w:r>
          </w:p>
        </w:tc>
        <w:tc>
          <w:tcPr>
            <w:tcW w:w="2268" w:type="dxa"/>
          </w:tcPr>
          <w:p w:rsidR="00000000" w:rsidRDefault="00000000">
            <w:pPr>
              <w:spacing w:before="60" w:after="60"/>
              <w:ind w:left="170"/>
              <w:jc w:val="left"/>
              <w:rPr>
                <w:sz w:val="20"/>
                <w:lang w:val="pt-BR"/>
              </w:rPr>
            </w:pPr>
            <w:r>
              <w:rPr>
                <w:sz w:val="20"/>
                <w:lang w:val="pt-BR"/>
              </w:rPr>
              <w:t>Huancavelica:  6,0</w:t>
            </w:r>
          </w:p>
        </w:tc>
      </w:tr>
      <w:tr w:rsidR="00000000">
        <w:tblPrEx>
          <w:tblCellMar>
            <w:top w:w="0" w:type="dxa"/>
            <w:bottom w:w="0" w:type="dxa"/>
          </w:tblCellMar>
        </w:tblPrEx>
        <w:trPr>
          <w:jc w:val="center"/>
        </w:trPr>
        <w:tc>
          <w:tcPr>
            <w:tcW w:w="4354" w:type="dxa"/>
            <w:vAlign w:val="center"/>
          </w:tcPr>
          <w:p w:rsidR="00000000" w:rsidRDefault="00000000">
            <w:pPr>
              <w:spacing w:before="60" w:after="60"/>
              <w:jc w:val="left"/>
              <w:rPr>
                <w:sz w:val="20"/>
                <w:lang w:val="en-GB"/>
              </w:rPr>
            </w:pPr>
            <w:r>
              <w:rPr>
                <w:sz w:val="20"/>
                <w:lang w:val="en-GB"/>
              </w:rPr>
              <w:t>Overall percentage of chronic malnutrition among under-fives</w:t>
            </w:r>
            <w:r>
              <w:rPr>
                <w:rStyle w:val="FootnoteReference"/>
                <w:b/>
                <w:sz w:val="20"/>
                <w:lang w:val="en-GB"/>
              </w:rPr>
              <w:footnoteReference w:customMarkFollows="1" w:id="22"/>
              <w:t>21</w:t>
            </w:r>
            <w:r>
              <w:rPr>
                <w:rFonts w:ascii="Arial Unicode MS" w:eastAsia="Arial Unicode MS" w:hAnsi="Arial Unicode MS" w:cs="Arial Unicode MS"/>
                <w:sz w:val="20"/>
                <w:szCs w:val="24"/>
                <w:lang w:val="en-GB" w:eastAsia="fr-FR"/>
              </w:rPr>
              <w:t xml:space="preserve"> </w:t>
            </w:r>
          </w:p>
        </w:tc>
        <w:tc>
          <w:tcPr>
            <w:tcW w:w="1245" w:type="dxa"/>
          </w:tcPr>
          <w:p w:rsidR="00000000" w:rsidRDefault="00000000">
            <w:pPr>
              <w:tabs>
                <w:tab w:val="decimal" w:pos="504"/>
              </w:tabs>
              <w:spacing w:before="60" w:after="60"/>
              <w:jc w:val="center"/>
              <w:rPr>
                <w:sz w:val="20"/>
                <w:lang w:val="en-GB"/>
              </w:rPr>
            </w:pPr>
            <w:r>
              <w:rPr>
                <w:sz w:val="20"/>
                <w:lang w:val="en-GB"/>
              </w:rPr>
              <w:t>25,4</w:t>
            </w:r>
          </w:p>
        </w:tc>
        <w:tc>
          <w:tcPr>
            <w:tcW w:w="1559" w:type="dxa"/>
          </w:tcPr>
          <w:p w:rsidR="00000000" w:rsidRDefault="00000000">
            <w:pPr>
              <w:spacing w:before="60" w:after="60"/>
              <w:ind w:left="170"/>
              <w:jc w:val="left"/>
              <w:rPr>
                <w:sz w:val="20"/>
                <w:lang w:val="en-GB"/>
              </w:rPr>
            </w:pPr>
            <w:r>
              <w:rPr>
                <w:sz w:val="20"/>
                <w:lang w:val="en-GB"/>
              </w:rPr>
              <w:t>Tacna:  5,4</w:t>
            </w:r>
          </w:p>
        </w:tc>
        <w:tc>
          <w:tcPr>
            <w:tcW w:w="2268" w:type="dxa"/>
          </w:tcPr>
          <w:p w:rsidR="00000000" w:rsidRDefault="00000000">
            <w:pPr>
              <w:spacing w:before="60" w:after="60"/>
              <w:ind w:left="170"/>
              <w:jc w:val="left"/>
              <w:rPr>
                <w:sz w:val="20"/>
                <w:lang w:val="en-GB"/>
              </w:rPr>
            </w:pPr>
            <w:r>
              <w:rPr>
                <w:sz w:val="20"/>
                <w:lang w:val="en-GB"/>
              </w:rPr>
              <w:t>Huancavelica:  53,4</w:t>
            </w:r>
          </w:p>
        </w:tc>
      </w:tr>
      <w:tr w:rsidR="00000000">
        <w:tblPrEx>
          <w:tblCellMar>
            <w:top w:w="0" w:type="dxa"/>
            <w:bottom w:w="0" w:type="dxa"/>
          </w:tblCellMar>
        </w:tblPrEx>
        <w:trPr>
          <w:jc w:val="center"/>
        </w:trPr>
        <w:tc>
          <w:tcPr>
            <w:tcW w:w="4354" w:type="dxa"/>
            <w:vAlign w:val="center"/>
          </w:tcPr>
          <w:p w:rsidR="00000000" w:rsidRDefault="00000000">
            <w:pPr>
              <w:spacing w:before="60" w:after="60"/>
              <w:rPr>
                <w:sz w:val="20"/>
                <w:lang w:val="en-GB"/>
              </w:rPr>
            </w:pPr>
            <w:r>
              <w:rPr>
                <w:sz w:val="20"/>
                <w:lang w:val="en-GB"/>
              </w:rPr>
              <w:t>Percentage of births attended by trained personnel</w:t>
            </w:r>
            <w:r>
              <w:rPr>
                <w:rStyle w:val="FootnoteReference"/>
                <w:b/>
                <w:sz w:val="20"/>
                <w:lang w:val="en-GB"/>
              </w:rPr>
              <w:footnoteReference w:customMarkFollows="1" w:id="23"/>
              <w:t>22</w:t>
            </w:r>
            <w:r>
              <w:rPr>
                <w:rFonts w:ascii="Arial Unicode MS" w:eastAsia="Arial Unicode MS" w:hAnsi="Arial Unicode MS" w:cs="Arial Unicode MS"/>
                <w:sz w:val="20"/>
                <w:szCs w:val="24"/>
                <w:lang w:val="en-GB" w:eastAsia="fr-FR"/>
              </w:rPr>
              <w:t xml:space="preserve"> </w:t>
            </w:r>
          </w:p>
        </w:tc>
        <w:tc>
          <w:tcPr>
            <w:tcW w:w="1245" w:type="dxa"/>
          </w:tcPr>
          <w:p w:rsidR="00000000" w:rsidRDefault="00000000">
            <w:pPr>
              <w:tabs>
                <w:tab w:val="decimal" w:pos="504"/>
              </w:tabs>
              <w:spacing w:before="60" w:after="60"/>
              <w:jc w:val="center"/>
              <w:rPr>
                <w:sz w:val="20"/>
                <w:lang w:val="pt-BR"/>
              </w:rPr>
            </w:pPr>
            <w:r>
              <w:rPr>
                <w:sz w:val="20"/>
                <w:lang w:val="pt-BR"/>
              </w:rPr>
              <w:t>59,0</w:t>
            </w:r>
          </w:p>
        </w:tc>
        <w:tc>
          <w:tcPr>
            <w:tcW w:w="1559" w:type="dxa"/>
          </w:tcPr>
          <w:p w:rsidR="00000000" w:rsidRDefault="00000000">
            <w:pPr>
              <w:spacing w:before="60" w:after="60"/>
              <w:ind w:left="170"/>
              <w:jc w:val="left"/>
              <w:rPr>
                <w:sz w:val="20"/>
                <w:lang w:val="pt-BR"/>
              </w:rPr>
            </w:pPr>
            <w:r>
              <w:rPr>
                <w:sz w:val="20"/>
                <w:lang w:val="pt-BR"/>
              </w:rPr>
              <w:t>Lima:  91,0</w:t>
            </w:r>
          </w:p>
        </w:tc>
        <w:tc>
          <w:tcPr>
            <w:tcW w:w="2268" w:type="dxa"/>
          </w:tcPr>
          <w:p w:rsidR="00000000" w:rsidRDefault="00000000">
            <w:pPr>
              <w:spacing w:before="60" w:after="60"/>
              <w:ind w:left="170"/>
              <w:jc w:val="left"/>
              <w:rPr>
                <w:sz w:val="20"/>
                <w:lang w:val="pt-BR"/>
              </w:rPr>
            </w:pPr>
            <w:r>
              <w:rPr>
                <w:sz w:val="20"/>
                <w:lang w:val="pt-BR"/>
              </w:rPr>
              <w:t>Huancavelica:  21,0</w:t>
            </w:r>
          </w:p>
        </w:tc>
      </w:tr>
      <w:tr w:rsidR="00000000">
        <w:tblPrEx>
          <w:tblCellMar>
            <w:top w:w="0" w:type="dxa"/>
            <w:bottom w:w="0" w:type="dxa"/>
          </w:tblCellMar>
        </w:tblPrEx>
        <w:trPr>
          <w:jc w:val="center"/>
        </w:trPr>
        <w:tc>
          <w:tcPr>
            <w:tcW w:w="4354" w:type="dxa"/>
            <w:vAlign w:val="center"/>
          </w:tcPr>
          <w:p w:rsidR="00000000" w:rsidRDefault="00000000">
            <w:pPr>
              <w:spacing w:before="60" w:after="60"/>
              <w:rPr>
                <w:sz w:val="20"/>
                <w:lang w:val="pt-BR"/>
              </w:rPr>
            </w:pPr>
            <w:r>
              <w:rPr>
                <w:sz w:val="20"/>
                <w:lang w:val="pt-BR"/>
              </w:rPr>
              <w:t>Illiteracy rate*</w:t>
            </w:r>
          </w:p>
        </w:tc>
        <w:tc>
          <w:tcPr>
            <w:tcW w:w="1245" w:type="dxa"/>
          </w:tcPr>
          <w:p w:rsidR="00000000" w:rsidRDefault="00000000">
            <w:pPr>
              <w:tabs>
                <w:tab w:val="decimal" w:pos="504"/>
              </w:tabs>
              <w:spacing w:before="60" w:after="60"/>
              <w:jc w:val="center"/>
              <w:rPr>
                <w:sz w:val="20"/>
                <w:lang w:val="pt-BR"/>
              </w:rPr>
            </w:pPr>
            <w:r>
              <w:rPr>
                <w:sz w:val="20"/>
                <w:lang w:val="pt-BR"/>
              </w:rPr>
              <w:t>7,7</w:t>
            </w:r>
          </w:p>
        </w:tc>
        <w:tc>
          <w:tcPr>
            <w:tcW w:w="1559" w:type="dxa"/>
          </w:tcPr>
          <w:p w:rsidR="00000000" w:rsidRDefault="00000000">
            <w:pPr>
              <w:spacing w:before="60" w:after="60"/>
              <w:ind w:left="170"/>
              <w:jc w:val="left"/>
              <w:rPr>
                <w:sz w:val="20"/>
                <w:lang w:val="pt-BR"/>
              </w:rPr>
            </w:pPr>
            <w:r>
              <w:rPr>
                <w:sz w:val="20"/>
                <w:lang w:val="pt-BR"/>
              </w:rPr>
              <w:t>Tumbes:  1,9</w:t>
            </w:r>
          </w:p>
        </w:tc>
        <w:tc>
          <w:tcPr>
            <w:tcW w:w="2268" w:type="dxa"/>
          </w:tcPr>
          <w:p w:rsidR="00000000" w:rsidRDefault="00000000">
            <w:pPr>
              <w:spacing w:before="60" w:after="60"/>
              <w:ind w:left="170"/>
              <w:jc w:val="left"/>
              <w:rPr>
                <w:sz w:val="20"/>
                <w:lang w:val="pt-BR"/>
              </w:rPr>
            </w:pPr>
            <w:r>
              <w:rPr>
                <w:sz w:val="20"/>
                <w:lang w:val="pt-BR"/>
              </w:rPr>
              <w:t>Apurímac:  14,4</w:t>
            </w:r>
          </w:p>
        </w:tc>
      </w:tr>
      <w:tr w:rsidR="00000000">
        <w:tblPrEx>
          <w:tblCellMar>
            <w:top w:w="0" w:type="dxa"/>
            <w:bottom w:w="0" w:type="dxa"/>
          </w:tblCellMar>
        </w:tblPrEx>
        <w:trPr>
          <w:jc w:val="center"/>
        </w:trPr>
        <w:tc>
          <w:tcPr>
            <w:tcW w:w="4354" w:type="dxa"/>
            <w:vAlign w:val="center"/>
          </w:tcPr>
          <w:p w:rsidR="00000000" w:rsidRDefault="00000000">
            <w:pPr>
              <w:spacing w:before="60" w:after="60"/>
              <w:rPr>
                <w:sz w:val="20"/>
                <w:lang w:val="en-GB"/>
              </w:rPr>
            </w:pPr>
            <w:r>
              <w:rPr>
                <w:sz w:val="20"/>
                <w:lang w:val="en-GB"/>
              </w:rPr>
              <w:t>School grades completed by age 17*</w:t>
            </w:r>
          </w:p>
        </w:tc>
        <w:tc>
          <w:tcPr>
            <w:tcW w:w="1245" w:type="dxa"/>
          </w:tcPr>
          <w:p w:rsidR="00000000" w:rsidRDefault="00000000">
            <w:pPr>
              <w:tabs>
                <w:tab w:val="decimal" w:pos="504"/>
              </w:tabs>
              <w:spacing w:before="60" w:after="60"/>
              <w:jc w:val="center"/>
              <w:rPr>
                <w:sz w:val="20"/>
                <w:lang w:val="en-GB"/>
              </w:rPr>
            </w:pPr>
            <w:r>
              <w:rPr>
                <w:sz w:val="20"/>
                <w:lang w:val="en-GB"/>
              </w:rPr>
              <w:t>8,7</w:t>
            </w:r>
          </w:p>
        </w:tc>
        <w:tc>
          <w:tcPr>
            <w:tcW w:w="1559" w:type="dxa"/>
          </w:tcPr>
          <w:p w:rsidR="00000000" w:rsidRDefault="00000000">
            <w:pPr>
              <w:spacing w:before="60" w:after="60"/>
              <w:ind w:left="170"/>
              <w:jc w:val="left"/>
              <w:rPr>
                <w:sz w:val="20"/>
                <w:lang w:val="en-GB"/>
              </w:rPr>
            </w:pPr>
            <w:r>
              <w:rPr>
                <w:sz w:val="20"/>
                <w:lang w:val="en-GB"/>
              </w:rPr>
              <w:t>Lima:  9,8</w:t>
            </w:r>
          </w:p>
        </w:tc>
        <w:tc>
          <w:tcPr>
            <w:tcW w:w="2268" w:type="dxa"/>
          </w:tcPr>
          <w:p w:rsidR="00000000" w:rsidRDefault="00000000">
            <w:pPr>
              <w:spacing w:before="60" w:after="60"/>
              <w:ind w:left="170"/>
              <w:jc w:val="left"/>
              <w:rPr>
                <w:sz w:val="20"/>
                <w:lang w:val="en-GB"/>
              </w:rPr>
            </w:pPr>
            <w:r>
              <w:rPr>
                <w:sz w:val="20"/>
                <w:lang w:val="en-GB"/>
              </w:rPr>
              <w:t>Cajamarca:  6,8</w:t>
            </w:r>
          </w:p>
        </w:tc>
      </w:tr>
      <w:tr w:rsidR="00000000">
        <w:tblPrEx>
          <w:tblCellMar>
            <w:top w:w="0" w:type="dxa"/>
            <w:bottom w:w="0" w:type="dxa"/>
          </w:tblCellMar>
        </w:tblPrEx>
        <w:trPr>
          <w:jc w:val="center"/>
        </w:trPr>
        <w:tc>
          <w:tcPr>
            <w:tcW w:w="4354" w:type="dxa"/>
            <w:tcBorders>
              <w:bottom w:val="single" w:sz="4" w:space="0" w:color="auto"/>
            </w:tcBorders>
            <w:vAlign w:val="center"/>
          </w:tcPr>
          <w:p w:rsidR="00000000" w:rsidRDefault="00000000">
            <w:pPr>
              <w:spacing w:before="60" w:after="60"/>
              <w:jc w:val="left"/>
              <w:rPr>
                <w:sz w:val="20"/>
                <w:lang w:val="en-GB"/>
              </w:rPr>
            </w:pPr>
            <w:r>
              <w:rPr>
                <w:sz w:val="20"/>
                <w:lang w:val="en-GB"/>
              </w:rPr>
              <w:t>Percentage of children aged 15-17 who cannot read</w:t>
            </w:r>
            <w:r>
              <w:rPr>
                <w:sz w:val="20"/>
                <w:lang w:val="en-GB"/>
              </w:rPr>
              <w:br/>
              <w:t>or write*</w:t>
            </w:r>
          </w:p>
        </w:tc>
        <w:tc>
          <w:tcPr>
            <w:tcW w:w="1245" w:type="dxa"/>
            <w:tcBorders>
              <w:bottom w:val="single" w:sz="4" w:space="0" w:color="auto"/>
            </w:tcBorders>
          </w:tcPr>
          <w:p w:rsidR="00000000" w:rsidRDefault="00000000">
            <w:pPr>
              <w:tabs>
                <w:tab w:val="decimal" w:pos="504"/>
              </w:tabs>
              <w:spacing w:before="60" w:after="60"/>
              <w:jc w:val="center"/>
              <w:rPr>
                <w:sz w:val="20"/>
                <w:lang w:val="en-GB"/>
              </w:rPr>
            </w:pPr>
            <w:r>
              <w:rPr>
                <w:sz w:val="20"/>
                <w:lang w:val="en-GB"/>
              </w:rPr>
              <w:t>3,8</w:t>
            </w:r>
          </w:p>
        </w:tc>
        <w:tc>
          <w:tcPr>
            <w:tcW w:w="1559" w:type="dxa"/>
            <w:tcBorders>
              <w:bottom w:val="single" w:sz="4" w:space="0" w:color="auto"/>
            </w:tcBorders>
          </w:tcPr>
          <w:p w:rsidR="00000000" w:rsidRDefault="00000000">
            <w:pPr>
              <w:spacing w:before="60" w:after="60"/>
              <w:ind w:left="170"/>
              <w:jc w:val="left"/>
              <w:rPr>
                <w:sz w:val="20"/>
                <w:lang w:val="en-GB"/>
              </w:rPr>
            </w:pPr>
            <w:r>
              <w:rPr>
                <w:sz w:val="20"/>
                <w:lang w:val="en-GB"/>
              </w:rPr>
              <w:t>Lima:  1,1</w:t>
            </w:r>
          </w:p>
        </w:tc>
        <w:tc>
          <w:tcPr>
            <w:tcW w:w="2268" w:type="dxa"/>
            <w:tcBorders>
              <w:bottom w:val="single" w:sz="4" w:space="0" w:color="auto"/>
            </w:tcBorders>
          </w:tcPr>
          <w:p w:rsidR="00000000" w:rsidRDefault="00000000">
            <w:pPr>
              <w:spacing w:before="60" w:after="60"/>
              <w:ind w:left="170"/>
              <w:jc w:val="left"/>
              <w:rPr>
                <w:sz w:val="20"/>
                <w:lang w:val="en-GB"/>
              </w:rPr>
            </w:pPr>
            <w:r>
              <w:rPr>
                <w:sz w:val="20"/>
                <w:lang w:val="en-GB"/>
              </w:rPr>
              <w:t>Provinces of Pacitea and Huánuco:  28</w:t>
            </w:r>
          </w:p>
        </w:tc>
      </w:tr>
    </w:tbl>
    <w:p w:rsidR="00000000" w:rsidRDefault="00000000">
      <w:pPr>
        <w:tabs>
          <w:tab w:val="clear" w:pos="720"/>
        </w:tabs>
        <w:spacing w:before="60"/>
        <w:jc w:val="left"/>
        <w:rPr>
          <w:sz w:val="24"/>
          <w:lang w:val="en-GB"/>
        </w:rPr>
      </w:pPr>
      <w:r>
        <w:rPr>
          <w:sz w:val="20"/>
          <w:lang w:val="fr-CH"/>
        </w:rPr>
        <w:t xml:space="preserve">*  Taken from </w:t>
      </w:r>
      <w:r>
        <w:rPr>
          <w:i/>
          <w:sz w:val="20"/>
          <w:lang w:val="fr-CH"/>
        </w:rPr>
        <w:t>La Exclusión Social en el Perú</w:t>
      </w:r>
      <w:r>
        <w:rPr>
          <w:sz w:val="20"/>
          <w:lang w:val="fr-CH"/>
        </w:rPr>
        <w:t xml:space="preserve">  (Social Exclusion in Peru).  </w:t>
      </w:r>
      <w:r>
        <w:rPr>
          <w:sz w:val="20"/>
          <w:lang w:val="en-GB"/>
        </w:rPr>
        <w:t>UNICEF, June 2001.</w:t>
      </w:r>
    </w:p>
    <w:p w:rsidR="00000000" w:rsidRDefault="00000000">
      <w:pPr>
        <w:tabs>
          <w:tab w:val="clear" w:pos="720"/>
        </w:tabs>
        <w:jc w:val="center"/>
        <w:rPr>
          <w:sz w:val="24"/>
          <w:lang w:val="en-GB"/>
        </w:rPr>
      </w:pPr>
      <w:r>
        <w:rPr>
          <w:b/>
          <w:sz w:val="24"/>
          <w:lang w:val="en-GB"/>
        </w:rPr>
        <w:t>B.  Development in early childhood (0-5 years)</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71.</w:t>
      </w:r>
      <w:r>
        <w:rPr>
          <w:sz w:val="24"/>
          <w:lang w:val="en-GB"/>
        </w:rPr>
        <w:tab/>
        <w:t xml:space="preserve">It is established that children’s health, nutrition and various abilities begin to develop in their mother’s womb.  Hence the importance of caring for mothers and guaranteeing children a good start in life, for what happens to them at this stage has an impact throughout their lives.  </w:t>
      </w:r>
      <w:r>
        <w:rPr>
          <w:i/>
          <w:sz w:val="24"/>
          <w:lang w:val="en-GB"/>
        </w:rPr>
        <w:t>The right to life and to the maximum extent possible the survival and development of children</w:t>
      </w:r>
      <w:r>
        <w:rPr>
          <w:sz w:val="24"/>
          <w:lang w:val="en-GB"/>
        </w:rPr>
        <w:t xml:space="preserve"> are established in articles 6 and 24 of the Convention on the Rights of the Child.  This section of the report contains an analysis of the situation of this group of rights, beginning with maternal and perinatal health and infant mortality and ending with nutrition and the stimulation of development.</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72.</w:t>
      </w:r>
      <w:r>
        <w:rPr>
          <w:sz w:val="24"/>
          <w:lang w:val="en-GB"/>
        </w:rPr>
        <w:tab/>
        <w:t>The country’s current epidemiological profile reflects the diversity of its living standards and life styles, revealing a mosaic of problems ranging from maternal mortality associated with pregnancy and childbirth in rural areas to the increased incidence of accidents, injuries and violent deaths from various causes in urban areas.  The maternal and perinatal health figures are sufficient indicators of the disparity in this field between the country’s towns and its poorest and most remote areas.</w:t>
      </w:r>
    </w:p>
    <w:p w:rsidR="00000000" w:rsidRDefault="00000000">
      <w:pPr>
        <w:tabs>
          <w:tab w:val="clear" w:pos="720"/>
        </w:tabs>
        <w:jc w:val="left"/>
        <w:rPr>
          <w:sz w:val="24"/>
          <w:lang w:val="en-GB"/>
        </w:rPr>
      </w:pPr>
    </w:p>
    <w:p w:rsidR="00000000" w:rsidRDefault="00000000">
      <w:pPr>
        <w:tabs>
          <w:tab w:val="clear" w:pos="720"/>
        </w:tabs>
        <w:jc w:val="left"/>
        <w:rPr>
          <w:b/>
          <w:sz w:val="24"/>
          <w:lang w:val="en-GB"/>
        </w:rPr>
      </w:pPr>
      <w:r>
        <w:rPr>
          <w:b/>
          <w:sz w:val="24"/>
          <w:lang w:val="en-GB"/>
        </w:rPr>
        <w:t>1.</w:t>
      </w:r>
      <w:r>
        <w:rPr>
          <w:b/>
          <w:sz w:val="24"/>
          <w:lang w:val="en-GB"/>
        </w:rPr>
        <w:tab/>
        <w:t>The beginning of life</w:t>
      </w:r>
    </w:p>
    <w:p w:rsidR="00000000" w:rsidRDefault="00000000">
      <w:pPr>
        <w:tabs>
          <w:tab w:val="clear" w:pos="720"/>
        </w:tabs>
        <w:jc w:val="left"/>
        <w:rPr>
          <w:b/>
          <w:sz w:val="24"/>
          <w:lang w:val="en-GB"/>
        </w:rPr>
      </w:pPr>
    </w:p>
    <w:p w:rsidR="00000000" w:rsidRDefault="00000000">
      <w:pPr>
        <w:tabs>
          <w:tab w:val="clear" w:pos="720"/>
        </w:tabs>
        <w:ind w:firstLine="567"/>
        <w:jc w:val="left"/>
        <w:rPr>
          <w:sz w:val="24"/>
          <w:lang w:val="en-GB"/>
        </w:rPr>
      </w:pPr>
      <w:r>
        <w:rPr>
          <w:b/>
          <w:sz w:val="24"/>
          <w:lang w:val="en-GB"/>
        </w:rPr>
        <w:t>Pregnancy and childbirth</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73.</w:t>
      </w:r>
      <w:r>
        <w:rPr>
          <w:sz w:val="24"/>
          <w:lang w:val="en-GB"/>
        </w:rPr>
        <w:tab/>
        <w:t>For mothers and children in rural areas, especially in the mountain and forest regions, a healthy delivery in good conditions is still an unattained right.  The lack of access to health services having the capacity to take independent decisions and equipped with obstetric facilities and the scant cultural acceptance of childbirth attended by trained personnel are two of the underlying causes of this problem.</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74.</w:t>
      </w:r>
      <w:r>
        <w:rPr>
          <w:sz w:val="24"/>
          <w:lang w:val="en-GB"/>
        </w:rPr>
        <w:tab/>
        <w:t>Peru has one of the highest maternal mortality rates in Latin America.  This rate stood at 185 per 100,000 live births in 2000</w:t>
      </w:r>
      <w:r>
        <w:rPr>
          <w:rStyle w:val="FootnoteReference"/>
          <w:b/>
          <w:sz w:val="24"/>
          <w:lang w:val="en-GB"/>
        </w:rPr>
        <w:footnoteReference w:customMarkFollows="1" w:id="24"/>
        <w:t>23</w:t>
      </w:r>
      <w:r>
        <w:rPr>
          <w:sz w:val="24"/>
          <w:lang w:val="en-GB"/>
        </w:rPr>
        <w:t xml:space="preserve"> and remains a public health problem which impairs equality of opportunity with respect to the right to life.  Most of the deaths are connected with problems during pregnancy and inadequate care during childbirth and the perinatal period, for largely avoidable causes.  Added to these factors are the women’s age and level of education, the spacing of births and the women’s health and nutritional status.</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75.</w:t>
      </w:r>
      <w:r>
        <w:rPr>
          <w:sz w:val="24"/>
          <w:lang w:val="en-GB"/>
        </w:rPr>
        <w:tab/>
        <w:t>The presence of anaemia in pregnant women leads to insufficient oxygenization of the foetus and may cause perinatal death due to hypoxia; and among women with moderate anaemia there is an association with the presence of anaemia in their babies.  A total of 36 per cent of Peru’s women of childbearing age suffer from some degree of anaemia; in rural areas the figure is 41 per cent (ENDES-1966).</w:t>
      </w:r>
    </w:p>
    <w:p w:rsidR="00000000" w:rsidRDefault="00000000">
      <w:pPr>
        <w:tabs>
          <w:tab w:val="clear" w:pos="720"/>
        </w:tabs>
        <w:jc w:val="left"/>
        <w:rPr>
          <w:sz w:val="24"/>
          <w:lang w:val="en-GB"/>
        </w:rPr>
      </w:pPr>
    </w:p>
    <w:p w:rsidR="00000000" w:rsidRDefault="00000000">
      <w:pPr>
        <w:keepNext/>
        <w:tabs>
          <w:tab w:val="clear" w:pos="720"/>
        </w:tabs>
        <w:jc w:val="center"/>
        <w:rPr>
          <w:b/>
          <w:sz w:val="20"/>
          <w:lang w:val="en-GB"/>
        </w:rPr>
      </w:pPr>
      <w:r>
        <w:rPr>
          <w:b/>
          <w:sz w:val="20"/>
          <w:lang w:val="en-GB"/>
        </w:rPr>
        <w:t>Figures on the state of maternal and perinatal health in Peru, 1996-2000 </w:t>
      </w:r>
      <w:r>
        <w:rPr>
          <w:rStyle w:val="FootnoteReference"/>
          <w:b/>
          <w:bCs/>
          <w:sz w:val="24"/>
          <w:lang w:val="en-GB"/>
        </w:rPr>
        <w:footnoteReference w:customMarkFollows="1" w:id="25"/>
        <w:t>24</w:t>
      </w:r>
    </w:p>
    <w:p w:rsidR="00000000" w:rsidRDefault="00000000">
      <w:pPr>
        <w:keepNext/>
        <w:tabs>
          <w:tab w:val="clear" w:pos="720"/>
        </w:tabs>
        <w:jc w:val="left"/>
        <w:rPr>
          <w:sz w:val="20"/>
          <w:lang w:val="en-GB"/>
        </w:rPr>
      </w:pPr>
    </w:p>
    <w:tbl>
      <w:tblPr>
        <w:tblW w:w="5897" w:type="dxa"/>
        <w:jc w:val="center"/>
        <w:tblLayout w:type="fixed"/>
        <w:tblCellMar>
          <w:left w:w="0" w:type="dxa"/>
          <w:right w:w="0" w:type="dxa"/>
        </w:tblCellMar>
        <w:tblLook w:val="0000" w:firstRow="0" w:lastRow="0" w:firstColumn="0" w:lastColumn="0" w:noHBand="0" w:noVBand="0"/>
      </w:tblPr>
      <w:tblGrid>
        <w:gridCol w:w="4197"/>
        <w:gridCol w:w="709"/>
        <w:gridCol w:w="991"/>
      </w:tblGrid>
      <w:tr w:rsidR="00000000">
        <w:tblPrEx>
          <w:tblCellMar>
            <w:top w:w="0" w:type="dxa"/>
            <w:bottom w:w="0" w:type="dxa"/>
          </w:tblCellMar>
        </w:tblPrEx>
        <w:trPr>
          <w:trHeight w:val="20"/>
          <w:jc w:val="center"/>
        </w:trPr>
        <w:tc>
          <w:tcPr>
            <w:tcW w:w="4197" w:type="dxa"/>
            <w:tcBorders>
              <w:top w:val="single" w:sz="4" w:space="0" w:color="auto"/>
              <w:bottom w:val="single" w:sz="4" w:space="0" w:color="auto"/>
            </w:tcBorders>
          </w:tcPr>
          <w:p w:rsidR="00000000" w:rsidRDefault="00000000">
            <w:pPr>
              <w:keepNext/>
              <w:spacing w:before="60" w:after="60"/>
              <w:rPr>
                <w:i/>
                <w:iCs/>
                <w:sz w:val="20"/>
                <w:lang w:val="es-PE"/>
              </w:rPr>
            </w:pPr>
          </w:p>
        </w:tc>
        <w:tc>
          <w:tcPr>
            <w:tcW w:w="709" w:type="dxa"/>
            <w:tcBorders>
              <w:top w:val="single" w:sz="4" w:space="0" w:color="auto"/>
              <w:bottom w:val="single" w:sz="4" w:space="0" w:color="auto"/>
            </w:tcBorders>
          </w:tcPr>
          <w:p w:rsidR="00000000" w:rsidRDefault="00000000">
            <w:pPr>
              <w:keepNext/>
              <w:spacing w:before="60" w:after="60"/>
              <w:jc w:val="center"/>
              <w:rPr>
                <w:i/>
                <w:iCs/>
                <w:sz w:val="20"/>
                <w:lang w:val="es-PE"/>
              </w:rPr>
            </w:pPr>
            <w:r>
              <w:rPr>
                <w:bCs/>
                <w:i/>
                <w:iCs/>
                <w:sz w:val="20"/>
                <w:lang w:val="es-PE"/>
              </w:rPr>
              <w:t>1996</w:t>
            </w:r>
          </w:p>
        </w:tc>
        <w:tc>
          <w:tcPr>
            <w:tcW w:w="991" w:type="dxa"/>
            <w:tcBorders>
              <w:top w:val="single" w:sz="4" w:space="0" w:color="auto"/>
              <w:bottom w:val="single" w:sz="4" w:space="0" w:color="auto"/>
            </w:tcBorders>
          </w:tcPr>
          <w:p w:rsidR="00000000" w:rsidRDefault="00000000">
            <w:pPr>
              <w:keepNext/>
              <w:spacing w:before="60" w:after="60"/>
              <w:jc w:val="center"/>
              <w:rPr>
                <w:i/>
                <w:iCs/>
                <w:sz w:val="20"/>
                <w:lang w:val="es-PE"/>
              </w:rPr>
            </w:pPr>
            <w:r>
              <w:rPr>
                <w:bCs/>
                <w:i/>
                <w:iCs/>
                <w:sz w:val="20"/>
                <w:lang w:val="es-PE"/>
              </w:rPr>
              <w:t>2000</w:t>
            </w:r>
          </w:p>
        </w:tc>
      </w:tr>
      <w:tr w:rsidR="00000000">
        <w:tblPrEx>
          <w:tblCellMar>
            <w:top w:w="0" w:type="dxa"/>
            <w:bottom w:w="0" w:type="dxa"/>
          </w:tblCellMar>
        </w:tblPrEx>
        <w:trPr>
          <w:trHeight w:val="20"/>
          <w:jc w:val="center"/>
        </w:trPr>
        <w:tc>
          <w:tcPr>
            <w:tcW w:w="4197" w:type="dxa"/>
            <w:tcBorders>
              <w:top w:val="single" w:sz="4" w:space="0" w:color="auto"/>
            </w:tcBorders>
          </w:tcPr>
          <w:p w:rsidR="00000000" w:rsidRDefault="00000000">
            <w:pPr>
              <w:keepNext/>
              <w:spacing w:before="60" w:after="60"/>
              <w:rPr>
                <w:sz w:val="20"/>
                <w:lang w:val="es-PE"/>
              </w:rPr>
            </w:pPr>
            <w:r>
              <w:rPr>
                <w:sz w:val="20"/>
                <w:lang w:val="en-GB"/>
              </w:rPr>
              <w:t>Maternal mortality rate (per 100,000 live births)</w:t>
            </w:r>
          </w:p>
        </w:tc>
        <w:tc>
          <w:tcPr>
            <w:tcW w:w="709" w:type="dxa"/>
            <w:tcBorders>
              <w:top w:val="single" w:sz="4" w:space="0" w:color="auto"/>
            </w:tcBorders>
          </w:tcPr>
          <w:p w:rsidR="00000000" w:rsidRDefault="00000000">
            <w:pPr>
              <w:keepNext/>
              <w:spacing w:before="60" w:after="60"/>
              <w:ind w:right="227"/>
              <w:jc w:val="right"/>
              <w:rPr>
                <w:sz w:val="20"/>
                <w:lang w:val="es-PE"/>
              </w:rPr>
            </w:pPr>
          </w:p>
        </w:tc>
        <w:tc>
          <w:tcPr>
            <w:tcW w:w="991" w:type="dxa"/>
            <w:tcBorders>
              <w:top w:val="single" w:sz="4" w:space="0" w:color="auto"/>
            </w:tcBorders>
          </w:tcPr>
          <w:p w:rsidR="00000000" w:rsidRDefault="00000000">
            <w:pPr>
              <w:keepNext/>
              <w:spacing w:before="60" w:after="60"/>
              <w:ind w:right="227"/>
              <w:jc w:val="right"/>
              <w:rPr>
                <w:sz w:val="20"/>
                <w:lang w:val="es-PE"/>
              </w:rPr>
            </w:pPr>
          </w:p>
        </w:tc>
      </w:tr>
      <w:tr w:rsidR="00000000">
        <w:tblPrEx>
          <w:tblCellMar>
            <w:top w:w="0" w:type="dxa"/>
            <w:bottom w:w="0" w:type="dxa"/>
          </w:tblCellMar>
        </w:tblPrEx>
        <w:trPr>
          <w:trHeight w:val="20"/>
          <w:jc w:val="center"/>
        </w:trPr>
        <w:tc>
          <w:tcPr>
            <w:tcW w:w="4197" w:type="dxa"/>
          </w:tcPr>
          <w:p w:rsidR="00000000" w:rsidRDefault="00000000">
            <w:pPr>
              <w:keepNext/>
              <w:spacing w:before="60" w:after="60"/>
              <w:ind w:left="285"/>
              <w:rPr>
                <w:sz w:val="20"/>
                <w:lang w:val="es-PE"/>
              </w:rPr>
            </w:pPr>
            <w:r>
              <w:rPr>
                <w:sz w:val="20"/>
                <w:lang w:val="en-GB"/>
              </w:rPr>
              <w:t>National average</w:t>
            </w:r>
          </w:p>
        </w:tc>
        <w:tc>
          <w:tcPr>
            <w:tcW w:w="709" w:type="dxa"/>
          </w:tcPr>
          <w:p w:rsidR="00000000" w:rsidRDefault="00000000">
            <w:pPr>
              <w:keepNext/>
              <w:tabs>
                <w:tab w:val="decimal" w:pos="625"/>
              </w:tabs>
              <w:spacing w:before="60" w:after="60"/>
              <w:ind w:right="227"/>
              <w:jc w:val="right"/>
              <w:rPr>
                <w:bCs/>
                <w:sz w:val="20"/>
                <w:lang w:val="es-PE"/>
              </w:rPr>
            </w:pPr>
            <w:r>
              <w:rPr>
                <w:sz w:val="20"/>
                <w:lang w:val="es-PE"/>
              </w:rPr>
              <w:t>265</w:t>
            </w:r>
          </w:p>
        </w:tc>
        <w:tc>
          <w:tcPr>
            <w:tcW w:w="991" w:type="dxa"/>
          </w:tcPr>
          <w:p w:rsidR="00000000" w:rsidRDefault="00000000">
            <w:pPr>
              <w:keepNext/>
              <w:tabs>
                <w:tab w:val="clear" w:pos="720"/>
                <w:tab w:val="decimal" w:pos="725"/>
              </w:tabs>
              <w:spacing w:before="60" w:after="60"/>
              <w:ind w:right="227"/>
              <w:jc w:val="right"/>
              <w:rPr>
                <w:bCs/>
                <w:sz w:val="20"/>
                <w:lang w:val="es-PE"/>
              </w:rPr>
            </w:pPr>
            <w:r>
              <w:rPr>
                <w:sz w:val="20"/>
                <w:lang w:val="es-PE"/>
              </w:rPr>
              <w:t xml:space="preserve">   185</w:t>
            </w:r>
          </w:p>
        </w:tc>
      </w:tr>
      <w:tr w:rsidR="00000000">
        <w:tblPrEx>
          <w:tblCellMar>
            <w:top w:w="0" w:type="dxa"/>
            <w:bottom w:w="0" w:type="dxa"/>
          </w:tblCellMar>
        </w:tblPrEx>
        <w:trPr>
          <w:trHeight w:val="20"/>
          <w:jc w:val="center"/>
        </w:trPr>
        <w:tc>
          <w:tcPr>
            <w:tcW w:w="4197" w:type="dxa"/>
          </w:tcPr>
          <w:p w:rsidR="00000000" w:rsidRDefault="00000000">
            <w:pPr>
              <w:keepNext/>
              <w:spacing w:before="60" w:after="60"/>
              <w:ind w:left="285"/>
              <w:rPr>
                <w:sz w:val="20"/>
                <w:lang w:val="en-GB"/>
              </w:rPr>
            </w:pPr>
            <w:r>
              <w:rPr>
                <w:sz w:val="20"/>
                <w:lang w:val="en-GB"/>
              </w:rPr>
              <w:t>Puno and Amazonas</w:t>
            </w:r>
          </w:p>
        </w:tc>
        <w:tc>
          <w:tcPr>
            <w:tcW w:w="709" w:type="dxa"/>
          </w:tcPr>
          <w:p w:rsidR="00000000" w:rsidRDefault="00000000">
            <w:pPr>
              <w:keepNext/>
              <w:tabs>
                <w:tab w:val="decimal" w:pos="625"/>
              </w:tabs>
              <w:spacing w:before="60" w:after="60"/>
              <w:ind w:right="227"/>
              <w:jc w:val="right"/>
              <w:rPr>
                <w:sz w:val="20"/>
                <w:lang w:val="es-PE"/>
              </w:rPr>
            </w:pPr>
          </w:p>
        </w:tc>
        <w:tc>
          <w:tcPr>
            <w:tcW w:w="991" w:type="dxa"/>
          </w:tcPr>
          <w:p w:rsidR="00000000" w:rsidRDefault="00000000">
            <w:pPr>
              <w:keepNext/>
              <w:tabs>
                <w:tab w:val="clear" w:pos="720"/>
                <w:tab w:val="decimal" w:pos="725"/>
              </w:tabs>
              <w:spacing w:before="60" w:after="60"/>
              <w:ind w:right="227"/>
              <w:jc w:val="right"/>
              <w:rPr>
                <w:sz w:val="20"/>
                <w:lang w:val="es-PE"/>
              </w:rPr>
            </w:pPr>
            <w:r>
              <w:rPr>
                <w:sz w:val="20"/>
                <w:lang w:val="es-PE"/>
              </w:rPr>
              <w:t>+ 300</w:t>
            </w:r>
          </w:p>
        </w:tc>
      </w:tr>
      <w:tr w:rsidR="00000000">
        <w:tblPrEx>
          <w:tblCellMar>
            <w:top w:w="0" w:type="dxa"/>
            <w:bottom w:w="0" w:type="dxa"/>
          </w:tblCellMar>
        </w:tblPrEx>
        <w:trPr>
          <w:trHeight w:val="20"/>
          <w:jc w:val="center"/>
        </w:trPr>
        <w:tc>
          <w:tcPr>
            <w:tcW w:w="4197" w:type="dxa"/>
          </w:tcPr>
          <w:p w:rsidR="00000000" w:rsidRDefault="00000000">
            <w:pPr>
              <w:keepNext/>
              <w:spacing w:before="60" w:after="60"/>
              <w:ind w:left="285"/>
              <w:rPr>
                <w:sz w:val="20"/>
                <w:lang w:val="es-PE"/>
              </w:rPr>
            </w:pPr>
            <w:r>
              <w:rPr>
                <w:sz w:val="20"/>
                <w:lang w:val="es-PE"/>
              </w:rPr>
              <w:t>Lima</w:t>
            </w:r>
          </w:p>
        </w:tc>
        <w:tc>
          <w:tcPr>
            <w:tcW w:w="709" w:type="dxa"/>
          </w:tcPr>
          <w:p w:rsidR="00000000" w:rsidRDefault="00000000">
            <w:pPr>
              <w:keepNext/>
              <w:tabs>
                <w:tab w:val="decimal" w:pos="625"/>
              </w:tabs>
              <w:spacing w:before="60" w:after="60"/>
              <w:ind w:right="227"/>
              <w:jc w:val="right"/>
              <w:rPr>
                <w:sz w:val="20"/>
                <w:lang w:val="es-PE"/>
              </w:rPr>
            </w:pPr>
          </w:p>
        </w:tc>
        <w:tc>
          <w:tcPr>
            <w:tcW w:w="991" w:type="dxa"/>
          </w:tcPr>
          <w:p w:rsidR="00000000" w:rsidRDefault="00000000">
            <w:pPr>
              <w:keepNext/>
              <w:tabs>
                <w:tab w:val="clear" w:pos="720"/>
                <w:tab w:val="decimal" w:pos="725"/>
              </w:tabs>
              <w:spacing w:before="60" w:after="60"/>
              <w:ind w:right="227"/>
              <w:jc w:val="right"/>
              <w:rPr>
                <w:sz w:val="20"/>
                <w:lang w:val="es-PE"/>
              </w:rPr>
            </w:pPr>
            <w:r>
              <w:rPr>
                <w:sz w:val="20"/>
                <w:lang w:val="es-PE"/>
              </w:rPr>
              <w:t xml:space="preserve"> -   50</w:t>
            </w:r>
          </w:p>
        </w:tc>
      </w:tr>
      <w:tr w:rsidR="00000000">
        <w:tblPrEx>
          <w:tblCellMar>
            <w:top w:w="0" w:type="dxa"/>
            <w:bottom w:w="0" w:type="dxa"/>
          </w:tblCellMar>
        </w:tblPrEx>
        <w:trPr>
          <w:trHeight w:val="20"/>
          <w:jc w:val="center"/>
        </w:trPr>
        <w:tc>
          <w:tcPr>
            <w:tcW w:w="4197" w:type="dxa"/>
          </w:tcPr>
          <w:p w:rsidR="00000000" w:rsidRDefault="00000000">
            <w:pPr>
              <w:keepNext/>
              <w:spacing w:before="60" w:after="60"/>
              <w:rPr>
                <w:sz w:val="20"/>
                <w:lang w:val="es-PE"/>
              </w:rPr>
            </w:pPr>
            <w:r>
              <w:rPr>
                <w:sz w:val="20"/>
                <w:lang w:val="en-GB"/>
              </w:rPr>
              <w:t>Coverage of antenatal care (%)(at least one check)</w:t>
            </w:r>
          </w:p>
        </w:tc>
        <w:tc>
          <w:tcPr>
            <w:tcW w:w="709" w:type="dxa"/>
          </w:tcPr>
          <w:p w:rsidR="00000000" w:rsidRDefault="00000000">
            <w:pPr>
              <w:keepNext/>
              <w:tabs>
                <w:tab w:val="decimal" w:pos="625"/>
              </w:tabs>
              <w:spacing w:before="60" w:after="60"/>
              <w:ind w:right="227"/>
              <w:jc w:val="right"/>
              <w:rPr>
                <w:sz w:val="20"/>
                <w:lang w:val="es-PE"/>
              </w:rPr>
            </w:pPr>
          </w:p>
        </w:tc>
        <w:tc>
          <w:tcPr>
            <w:tcW w:w="991" w:type="dxa"/>
          </w:tcPr>
          <w:p w:rsidR="00000000" w:rsidRDefault="00000000">
            <w:pPr>
              <w:keepNext/>
              <w:tabs>
                <w:tab w:val="clear" w:pos="720"/>
                <w:tab w:val="decimal" w:pos="725"/>
              </w:tabs>
              <w:spacing w:before="60" w:after="60"/>
              <w:ind w:right="227"/>
              <w:jc w:val="right"/>
              <w:rPr>
                <w:sz w:val="20"/>
                <w:lang w:val="es-PE"/>
              </w:rPr>
            </w:pPr>
          </w:p>
        </w:tc>
      </w:tr>
      <w:tr w:rsidR="00000000">
        <w:tblPrEx>
          <w:tblCellMar>
            <w:top w:w="0" w:type="dxa"/>
            <w:bottom w:w="0" w:type="dxa"/>
          </w:tblCellMar>
        </w:tblPrEx>
        <w:trPr>
          <w:trHeight w:val="20"/>
          <w:jc w:val="center"/>
        </w:trPr>
        <w:tc>
          <w:tcPr>
            <w:tcW w:w="4197" w:type="dxa"/>
          </w:tcPr>
          <w:p w:rsidR="00000000" w:rsidRDefault="00000000">
            <w:pPr>
              <w:keepNext/>
              <w:spacing w:before="60" w:after="60"/>
              <w:ind w:left="285"/>
              <w:rPr>
                <w:sz w:val="20"/>
                <w:lang w:val="es-PE"/>
              </w:rPr>
            </w:pPr>
            <w:r>
              <w:rPr>
                <w:sz w:val="20"/>
              </w:rPr>
              <w:t>National average</w:t>
            </w:r>
          </w:p>
        </w:tc>
        <w:tc>
          <w:tcPr>
            <w:tcW w:w="709" w:type="dxa"/>
          </w:tcPr>
          <w:p w:rsidR="00000000" w:rsidRDefault="00000000">
            <w:pPr>
              <w:keepNext/>
              <w:tabs>
                <w:tab w:val="decimal" w:pos="625"/>
              </w:tabs>
              <w:spacing w:before="60" w:after="60"/>
              <w:ind w:right="227"/>
              <w:jc w:val="right"/>
              <w:rPr>
                <w:sz w:val="20"/>
                <w:lang w:val="es-PE"/>
              </w:rPr>
            </w:pPr>
            <w:r>
              <w:rPr>
                <w:sz w:val="20"/>
                <w:lang w:val="es-PE"/>
              </w:rPr>
              <w:t>60</w:t>
            </w:r>
          </w:p>
        </w:tc>
        <w:tc>
          <w:tcPr>
            <w:tcW w:w="991" w:type="dxa"/>
          </w:tcPr>
          <w:p w:rsidR="00000000" w:rsidRDefault="00000000">
            <w:pPr>
              <w:keepNext/>
              <w:tabs>
                <w:tab w:val="clear" w:pos="720"/>
                <w:tab w:val="decimal" w:pos="725"/>
              </w:tabs>
              <w:spacing w:before="60" w:after="60"/>
              <w:ind w:right="227"/>
              <w:jc w:val="right"/>
              <w:rPr>
                <w:sz w:val="20"/>
                <w:lang w:val="es-PE"/>
              </w:rPr>
            </w:pPr>
            <w:r>
              <w:rPr>
                <w:sz w:val="20"/>
                <w:lang w:val="es-PE"/>
              </w:rPr>
              <w:t>77</w:t>
            </w:r>
          </w:p>
        </w:tc>
      </w:tr>
      <w:tr w:rsidR="00000000">
        <w:tblPrEx>
          <w:tblCellMar>
            <w:top w:w="0" w:type="dxa"/>
            <w:bottom w:w="0" w:type="dxa"/>
          </w:tblCellMar>
        </w:tblPrEx>
        <w:trPr>
          <w:trHeight w:val="20"/>
          <w:jc w:val="center"/>
        </w:trPr>
        <w:tc>
          <w:tcPr>
            <w:tcW w:w="4197" w:type="dxa"/>
          </w:tcPr>
          <w:p w:rsidR="00000000" w:rsidRDefault="00000000">
            <w:pPr>
              <w:keepNext/>
              <w:tabs>
                <w:tab w:val="left" w:pos="1455"/>
              </w:tabs>
              <w:spacing w:before="60" w:after="60"/>
              <w:ind w:left="285"/>
              <w:rPr>
                <w:sz w:val="20"/>
                <w:lang w:val="es-PE"/>
              </w:rPr>
            </w:pPr>
            <w:r>
              <w:rPr>
                <w:sz w:val="20"/>
              </w:rPr>
              <w:t>Extremes:</w:t>
            </w:r>
            <w:r>
              <w:rPr>
                <w:sz w:val="20"/>
              </w:rPr>
              <w:tab/>
              <w:t>Huánaco</w:t>
            </w:r>
          </w:p>
        </w:tc>
        <w:tc>
          <w:tcPr>
            <w:tcW w:w="709" w:type="dxa"/>
          </w:tcPr>
          <w:p w:rsidR="00000000" w:rsidRDefault="00000000">
            <w:pPr>
              <w:keepNext/>
              <w:tabs>
                <w:tab w:val="decimal" w:pos="625"/>
              </w:tabs>
              <w:spacing w:before="60" w:after="60"/>
              <w:ind w:right="227"/>
              <w:jc w:val="right"/>
              <w:rPr>
                <w:sz w:val="20"/>
                <w:lang w:val="es-PE"/>
              </w:rPr>
            </w:pPr>
          </w:p>
        </w:tc>
        <w:tc>
          <w:tcPr>
            <w:tcW w:w="991" w:type="dxa"/>
          </w:tcPr>
          <w:p w:rsidR="00000000" w:rsidRDefault="00000000">
            <w:pPr>
              <w:keepNext/>
              <w:tabs>
                <w:tab w:val="clear" w:pos="720"/>
                <w:tab w:val="decimal" w:pos="725"/>
              </w:tabs>
              <w:spacing w:before="60" w:after="60"/>
              <w:ind w:right="227"/>
              <w:jc w:val="right"/>
              <w:rPr>
                <w:sz w:val="20"/>
                <w:lang w:val="es-PE"/>
              </w:rPr>
            </w:pPr>
            <w:r>
              <w:rPr>
                <w:sz w:val="20"/>
                <w:lang w:val="es-PE"/>
              </w:rPr>
              <w:t>66</w:t>
            </w:r>
          </w:p>
        </w:tc>
      </w:tr>
      <w:tr w:rsidR="00000000">
        <w:tblPrEx>
          <w:tblCellMar>
            <w:top w:w="0" w:type="dxa"/>
            <w:bottom w:w="0" w:type="dxa"/>
          </w:tblCellMar>
        </w:tblPrEx>
        <w:trPr>
          <w:trHeight w:val="20"/>
          <w:jc w:val="center"/>
        </w:trPr>
        <w:tc>
          <w:tcPr>
            <w:tcW w:w="4197" w:type="dxa"/>
          </w:tcPr>
          <w:p w:rsidR="00000000" w:rsidRDefault="00000000">
            <w:pPr>
              <w:keepNext/>
              <w:tabs>
                <w:tab w:val="left" w:pos="1455"/>
              </w:tabs>
              <w:spacing w:before="60" w:after="60"/>
              <w:ind w:left="285"/>
              <w:rPr>
                <w:sz w:val="20"/>
                <w:lang w:val="es-PE"/>
              </w:rPr>
            </w:pPr>
            <w:r>
              <w:rPr>
                <w:sz w:val="20"/>
                <w:lang w:val="es-PE"/>
              </w:rPr>
              <w:tab/>
            </w:r>
            <w:r>
              <w:rPr>
                <w:sz w:val="20"/>
                <w:lang w:val="es-PE"/>
              </w:rPr>
              <w:tab/>
              <w:t>Lima</w:t>
            </w:r>
          </w:p>
        </w:tc>
        <w:tc>
          <w:tcPr>
            <w:tcW w:w="709" w:type="dxa"/>
          </w:tcPr>
          <w:p w:rsidR="00000000" w:rsidRDefault="00000000">
            <w:pPr>
              <w:keepNext/>
              <w:tabs>
                <w:tab w:val="decimal" w:pos="625"/>
              </w:tabs>
              <w:spacing w:before="60" w:after="60"/>
              <w:ind w:right="227"/>
              <w:jc w:val="right"/>
              <w:rPr>
                <w:sz w:val="20"/>
                <w:lang w:val="es-PE"/>
              </w:rPr>
            </w:pPr>
          </w:p>
        </w:tc>
        <w:tc>
          <w:tcPr>
            <w:tcW w:w="991" w:type="dxa"/>
          </w:tcPr>
          <w:p w:rsidR="00000000" w:rsidRDefault="00000000">
            <w:pPr>
              <w:keepNext/>
              <w:tabs>
                <w:tab w:val="clear" w:pos="720"/>
                <w:tab w:val="decimal" w:pos="725"/>
              </w:tabs>
              <w:spacing w:before="60" w:after="60"/>
              <w:ind w:right="227"/>
              <w:jc w:val="right"/>
              <w:rPr>
                <w:sz w:val="20"/>
                <w:lang w:val="es-PE"/>
              </w:rPr>
            </w:pPr>
            <w:r>
              <w:rPr>
                <w:sz w:val="20"/>
                <w:lang w:val="es-PE"/>
              </w:rPr>
              <w:t>96</w:t>
            </w:r>
          </w:p>
        </w:tc>
      </w:tr>
      <w:tr w:rsidR="00000000">
        <w:tblPrEx>
          <w:tblCellMar>
            <w:top w:w="0" w:type="dxa"/>
            <w:bottom w:w="0" w:type="dxa"/>
          </w:tblCellMar>
        </w:tblPrEx>
        <w:trPr>
          <w:trHeight w:val="20"/>
          <w:jc w:val="center"/>
        </w:trPr>
        <w:tc>
          <w:tcPr>
            <w:tcW w:w="4197" w:type="dxa"/>
          </w:tcPr>
          <w:p w:rsidR="00000000" w:rsidRDefault="00000000">
            <w:pPr>
              <w:keepNext/>
              <w:spacing w:before="60" w:after="60"/>
              <w:rPr>
                <w:sz w:val="20"/>
                <w:lang w:val="es-PE"/>
              </w:rPr>
            </w:pPr>
            <w:r>
              <w:rPr>
                <w:sz w:val="20"/>
                <w:lang w:val="en-GB"/>
              </w:rPr>
              <w:t xml:space="preserve">Childbirth in an institution (%) </w:t>
            </w:r>
          </w:p>
        </w:tc>
        <w:tc>
          <w:tcPr>
            <w:tcW w:w="709" w:type="dxa"/>
          </w:tcPr>
          <w:p w:rsidR="00000000" w:rsidRDefault="00000000">
            <w:pPr>
              <w:keepNext/>
              <w:tabs>
                <w:tab w:val="decimal" w:pos="625"/>
              </w:tabs>
              <w:spacing w:before="60" w:after="60"/>
              <w:ind w:right="227"/>
              <w:jc w:val="right"/>
              <w:rPr>
                <w:sz w:val="20"/>
                <w:lang w:val="es-PE"/>
              </w:rPr>
            </w:pPr>
          </w:p>
        </w:tc>
        <w:tc>
          <w:tcPr>
            <w:tcW w:w="991" w:type="dxa"/>
          </w:tcPr>
          <w:p w:rsidR="00000000" w:rsidRDefault="00000000">
            <w:pPr>
              <w:keepNext/>
              <w:tabs>
                <w:tab w:val="clear" w:pos="720"/>
                <w:tab w:val="decimal" w:pos="725"/>
              </w:tabs>
              <w:spacing w:before="60" w:after="60"/>
              <w:ind w:right="227"/>
              <w:jc w:val="right"/>
              <w:rPr>
                <w:sz w:val="20"/>
                <w:lang w:val="es-PE"/>
              </w:rPr>
            </w:pPr>
          </w:p>
        </w:tc>
      </w:tr>
      <w:tr w:rsidR="00000000">
        <w:tblPrEx>
          <w:tblCellMar>
            <w:top w:w="0" w:type="dxa"/>
            <w:bottom w:w="0" w:type="dxa"/>
          </w:tblCellMar>
        </w:tblPrEx>
        <w:trPr>
          <w:trHeight w:val="20"/>
          <w:jc w:val="center"/>
        </w:trPr>
        <w:tc>
          <w:tcPr>
            <w:tcW w:w="4197" w:type="dxa"/>
          </w:tcPr>
          <w:p w:rsidR="00000000" w:rsidRDefault="00000000">
            <w:pPr>
              <w:keepNext/>
              <w:spacing w:before="60" w:after="60"/>
              <w:ind w:left="285"/>
              <w:rPr>
                <w:sz w:val="20"/>
                <w:lang w:val="es-PE"/>
              </w:rPr>
            </w:pPr>
            <w:r>
              <w:rPr>
                <w:sz w:val="20"/>
                <w:lang w:val="en-GB"/>
              </w:rPr>
              <w:t>National average</w:t>
            </w:r>
          </w:p>
        </w:tc>
        <w:tc>
          <w:tcPr>
            <w:tcW w:w="709" w:type="dxa"/>
          </w:tcPr>
          <w:p w:rsidR="00000000" w:rsidRDefault="00000000">
            <w:pPr>
              <w:keepNext/>
              <w:tabs>
                <w:tab w:val="decimal" w:pos="625"/>
              </w:tabs>
              <w:spacing w:before="60" w:after="60"/>
              <w:ind w:right="227"/>
              <w:jc w:val="right"/>
              <w:rPr>
                <w:sz w:val="20"/>
                <w:lang w:val="es-PE"/>
              </w:rPr>
            </w:pPr>
            <w:r>
              <w:rPr>
                <w:sz w:val="20"/>
                <w:lang w:val="es-PE"/>
              </w:rPr>
              <w:t>49,5</w:t>
            </w:r>
          </w:p>
        </w:tc>
        <w:tc>
          <w:tcPr>
            <w:tcW w:w="991" w:type="dxa"/>
          </w:tcPr>
          <w:p w:rsidR="00000000" w:rsidRDefault="00000000">
            <w:pPr>
              <w:keepNext/>
              <w:tabs>
                <w:tab w:val="clear" w:pos="720"/>
                <w:tab w:val="decimal" w:pos="725"/>
              </w:tabs>
              <w:spacing w:before="60" w:after="60"/>
              <w:ind w:right="227"/>
              <w:jc w:val="right"/>
              <w:rPr>
                <w:sz w:val="20"/>
                <w:lang w:val="es-PE"/>
              </w:rPr>
            </w:pPr>
            <w:r>
              <w:rPr>
                <w:sz w:val="20"/>
                <w:lang w:val="es-PE"/>
              </w:rPr>
              <w:t>58</w:t>
            </w:r>
          </w:p>
        </w:tc>
      </w:tr>
      <w:tr w:rsidR="00000000">
        <w:tblPrEx>
          <w:tblCellMar>
            <w:top w:w="0" w:type="dxa"/>
            <w:bottom w:w="0" w:type="dxa"/>
          </w:tblCellMar>
        </w:tblPrEx>
        <w:trPr>
          <w:trHeight w:val="20"/>
          <w:jc w:val="center"/>
        </w:trPr>
        <w:tc>
          <w:tcPr>
            <w:tcW w:w="4197" w:type="dxa"/>
          </w:tcPr>
          <w:p w:rsidR="00000000" w:rsidRDefault="00000000">
            <w:pPr>
              <w:keepNext/>
              <w:tabs>
                <w:tab w:val="left" w:pos="1455"/>
              </w:tabs>
              <w:spacing w:before="60" w:after="60"/>
              <w:ind w:left="285"/>
              <w:rPr>
                <w:sz w:val="20"/>
                <w:lang w:val="es-PE"/>
              </w:rPr>
            </w:pPr>
            <w:r>
              <w:rPr>
                <w:sz w:val="20"/>
                <w:lang w:val="en-GB"/>
              </w:rPr>
              <w:t>Extremes:</w:t>
            </w:r>
            <w:r>
              <w:rPr>
                <w:sz w:val="20"/>
                <w:lang w:val="en-GB"/>
              </w:rPr>
              <w:tab/>
              <w:t>Huancavelica</w:t>
            </w:r>
          </w:p>
        </w:tc>
        <w:tc>
          <w:tcPr>
            <w:tcW w:w="709" w:type="dxa"/>
          </w:tcPr>
          <w:p w:rsidR="00000000" w:rsidRDefault="00000000">
            <w:pPr>
              <w:keepNext/>
              <w:tabs>
                <w:tab w:val="decimal" w:pos="625"/>
              </w:tabs>
              <w:spacing w:before="60" w:after="60"/>
              <w:ind w:right="227"/>
              <w:jc w:val="right"/>
              <w:rPr>
                <w:sz w:val="20"/>
                <w:lang w:val="es-PE"/>
              </w:rPr>
            </w:pPr>
          </w:p>
        </w:tc>
        <w:tc>
          <w:tcPr>
            <w:tcW w:w="991" w:type="dxa"/>
          </w:tcPr>
          <w:p w:rsidR="00000000" w:rsidRDefault="00000000">
            <w:pPr>
              <w:keepNext/>
              <w:tabs>
                <w:tab w:val="clear" w:pos="720"/>
                <w:tab w:val="decimal" w:pos="725"/>
              </w:tabs>
              <w:spacing w:before="60" w:after="60"/>
              <w:ind w:right="227"/>
              <w:jc w:val="right"/>
              <w:rPr>
                <w:sz w:val="20"/>
                <w:lang w:val="es-PE"/>
              </w:rPr>
            </w:pPr>
            <w:r>
              <w:rPr>
                <w:sz w:val="20"/>
                <w:lang w:val="es-PE"/>
              </w:rPr>
              <w:t>19</w:t>
            </w:r>
          </w:p>
        </w:tc>
      </w:tr>
      <w:tr w:rsidR="00000000">
        <w:tblPrEx>
          <w:tblCellMar>
            <w:top w:w="0" w:type="dxa"/>
            <w:bottom w:w="0" w:type="dxa"/>
          </w:tblCellMar>
        </w:tblPrEx>
        <w:trPr>
          <w:trHeight w:val="20"/>
          <w:jc w:val="center"/>
        </w:trPr>
        <w:tc>
          <w:tcPr>
            <w:tcW w:w="4197" w:type="dxa"/>
            <w:tcBorders>
              <w:bottom w:val="single" w:sz="4" w:space="0" w:color="auto"/>
            </w:tcBorders>
          </w:tcPr>
          <w:p w:rsidR="00000000" w:rsidRDefault="00000000">
            <w:pPr>
              <w:keepNext/>
              <w:tabs>
                <w:tab w:val="left" w:pos="1455"/>
              </w:tabs>
              <w:spacing w:before="60" w:after="60"/>
              <w:ind w:left="285"/>
              <w:rPr>
                <w:sz w:val="20"/>
                <w:lang w:val="es-PE"/>
              </w:rPr>
            </w:pPr>
            <w:r>
              <w:rPr>
                <w:sz w:val="20"/>
                <w:lang w:val="es-PE"/>
              </w:rPr>
              <w:tab/>
            </w:r>
            <w:r>
              <w:rPr>
                <w:sz w:val="20"/>
                <w:lang w:val="es-PE"/>
              </w:rPr>
              <w:tab/>
              <w:t>Lima</w:t>
            </w:r>
          </w:p>
        </w:tc>
        <w:tc>
          <w:tcPr>
            <w:tcW w:w="709" w:type="dxa"/>
            <w:tcBorders>
              <w:bottom w:val="single" w:sz="4" w:space="0" w:color="auto"/>
            </w:tcBorders>
          </w:tcPr>
          <w:p w:rsidR="00000000" w:rsidRDefault="00000000">
            <w:pPr>
              <w:keepNext/>
              <w:tabs>
                <w:tab w:val="decimal" w:pos="625"/>
              </w:tabs>
              <w:spacing w:before="60" w:after="60"/>
              <w:ind w:right="227"/>
              <w:jc w:val="right"/>
              <w:rPr>
                <w:sz w:val="20"/>
                <w:lang w:val="es-PE"/>
              </w:rPr>
            </w:pPr>
          </w:p>
        </w:tc>
        <w:tc>
          <w:tcPr>
            <w:tcW w:w="991" w:type="dxa"/>
            <w:tcBorders>
              <w:bottom w:val="single" w:sz="4" w:space="0" w:color="auto"/>
            </w:tcBorders>
          </w:tcPr>
          <w:p w:rsidR="00000000" w:rsidRDefault="00000000">
            <w:pPr>
              <w:keepNext/>
              <w:tabs>
                <w:tab w:val="clear" w:pos="720"/>
                <w:tab w:val="decimal" w:pos="725"/>
              </w:tabs>
              <w:spacing w:before="60" w:after="60"/>
              <w:ind w:right="227"/>
              <w:jc w:val="right"/>
              <w:rPr>
                <w:sz w:val="20"/>
                <w:lang w:val="es-PE"/>
              </w:rPr>
            </w:pPr>
            <w:r>
              <w:rPr>
                <w:sz w:val="20"/>
                <w:lang w:val="es-PE"/>
              </w:rPr>
              <w:t>94</w:t>
            </w:r>
          </w:p>
        </w:tc>
      </w:tr>
    </w:tbl>
    <w:p w:rsidR="00000000" w:rsidRDefault="00000000">
      <w:pPr>
        <w:keepNext/>
        <w:tabs>
          <w:tab w:val="clear" w:pos="720"/>
        </w:tabs>
        <w:jc w:val="left"/>
        <w:rPr>
          <w:sz w:val="20"/>
          <w:lang w:val="en-GB"/>
        </w:rPr>
      </w:pPr>
    </w:p>
    <w:p w:rsidR="00000000" w:rsidRDefault="00000000">
      <w:pPr>
        <w:tabs>
          <w:tab w:val="clear" w:pos="720"/>
        </w:tabs>
        <w:jc w:val="left"/>
        <w:rPr>
          <w:sz w:val="24"/>
          <w:lang w:val="en-GB"/>
        </w:rPr>
      </w:pPr>
      <w:r>
        <w:rPr>
          <w:sz w:val="24"/>
          <w:lang w:val="en-GB"/>
        </w:rPr>
        <w:t>76.</w:t>
      </w:r>
      <w:r>
        <w:rPr>
          <w:sz w:val="24"/>
          <w:lang w:val="en-GB"/>
        </w:rPr>
        <w:tab/>
        <w:t xml:space="preserve">In order to increase the coverage of care for pregnant women and new-born babies in the rural areas of the Andes and the Amazon it is regarded as essential to improve </w:t>
      </w:r>
      <w:r>
        <w:rPr>
          <w:i/>
          <w:sz w:val="24"/>
          <w:lang w:val="en-GB"/>
        </w:rPr>
        <w:t>the population’s level of information</w:t>
      </w:r>
      <w:r>
        <w:rPr>
          <w:sz w:val="24"/>
          <w:lang w:val="en-GB"/>
        </w:rPr>
        <w:t xml:space="preserve"> about self-care and the nature of the available maternity services and </w:t>
      </w:r>
      <w:r>
        <w:rPr>
          <w:i/>
          <w:sz w:val="24"/>
          <w:lang w:val="en-GB"/>
        </w:rPr>
        <w:t>the quality and cultural relevance of these services</w:t>
      </w:r>
      <w:r>
        <w:rPr>
          <w:sz w:val="24"/>
          <w:lang w:val="en-GB"/>
        </w:rPr>
        <w:t xml:space="preserve"> and to ensure correct treatment by health personnel.</w:t>
      </w:r>
    </w:p>
    <w:p w:rsidR="00000000" w:rsidRDefault="00000000">
      <w:pPr>
        <w:tabs>
          <w:tab w:val="clear" w:pos="720"/>
        </w:tabs>
        <w:jc w:val="left"/>
        <w:rPr>
          <w:sz w:val="24"/>
          <w:lang w:val="en-GB"/>
        </w:rPr>
      </w:pPr>
    </w:p>
    <w:p w:rsidR="00000000" w:rsidRDefault="00000000">
      <w:pPr>
        <w:tabs>
          <w:tab w:val="clear" w:pos="720"/>
        </w:tabs>
        <w:ind w:firstLine="567"/>
        <w:jc w:val="left"/>
        <w:rPr>
          <w:sz w:val="24"/>
          <w:lang w:val="en-GB"/>
        </w:rPr>
      </w:pPr>
      <w:r>
        <w:rPr>
          <w:b/>
          <w:sz w:val="24"/>
          <w:lang w:val="en-GB"/>
        </w:rPr>
        <w:t>Infant mortality</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77.</w:t>
      </w:r>
      <w:r>
        <w:rPr>
          <w:sz w:val="24"/>
          <w:lang w:val="en-GB"/>
        </w:rPr>
        <w:tab/>
        <w:t>Peru still has one of the region’s highest infant mortality rates, despite the fact that between 1991 and 2000 it managed to reduce the national rate from 52 to 33 per 1,000 live births;</w:t>
      </w:r>
      <w:r>
        <w:rPr>
          <w:rStyle w:val="FootnoteReference"/>
          <w:b/>
          <w:sz w:val="24"/>
          <w:lang w:val="en-GB"/>
        </w:rPr>
        <w:footnoteReference w:customMarkFollows="1" w:id="26"/>
        <w:t>25</w:t>
      </w:r>
      <w:r>
        <w:rPr>
          <w:sz w:val="24"/>
          <w:lang w:val="en-GB"/>
        </w:rPr>
        <w:t xml:space="preserve"> this rate is made up chiefly of neonatal deaths due to causes associated with delivery and the perinatal period.</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78.</w:t>
      </w:r>
      <w:r>
        <w:rPr>
          <w:sz w:val="24"/>
          <w:lang w:val="en-GB"/>
        </w:rPr>
        <w:tab/>
        <w:t>However, this reduction in the infant mortality rate between 1996 and 2000 occurred in the population groups with the greatest resources (fourth and fifth quintiles); the rate rose in the poorest groups (second quintile).</w:t>
      </w:r>
      <w:r>
        <w:rPr>
          <w:rStyle w:val="FootnoteReference"/>
          <w:b/>
          <w:sz w:val="24"/>
          <w:lang w:val="en-GB"/>
        </w:rPr>
        <w:footnoteReference w:customMarkFollows="1" w:id="27"/>
        <w:t>26</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p>
    <w:p w:rsidR="00000000" w:rsidRDefault="00000000">
      <w:pPr>
        <w:tabs>
          <w:tab w:val="clear" w:pos="720"/>
        </w:tabs>
        <w:jc w:val="left"/>
        <w:rPr>
          <w:sz w:val="24"/>
          <w:lang w:val="en-GB"/>
        </w:rPr>
      </w:pPr>
    </w:p>
    <w:bookmarkStart w:id="8" w:name="_MON_1187253556"/>
    <w:bookmarkEnd w:id="8"/>
    <w:p w:rsidR="00000000" w:rsidRDefault="00000000">
      <w:pPr>
        <w:tabs>
          <w:tab w:val="clear" w:pos="720"/>
        </w:tabs>
        <w:jc w:val="left"/>
        <w:rPr>
          <w:sz w:val="24"/>
          <w:lang w:val="en-GB"/>
        </w:rPr>
      </w:pPr>
      <w:r>
        <w:object w:dxaOrig="9061" w:dyaOrig="6976">
          <v:shape id="_x0000_i1029" type="#_x0000_t75" style="width:453pt;height:298.5pt" o:ole="">
            <v:imagedata r:id="rId19" o:title="" croptop="5326f" cropbottom="4261f"/>
          </v:shape>
          <o:OLEObject Type="Embed" ProgID="Word.Picture.8" ShapeID="_x0000_i1029" DrawAspect="Content" ObjectID="_1394639981" r:id="rId20"/>
        </w:objec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79.</w:t>
      </w:r>
      <w:r>
        <w:rPr>
          <w:sz w:val="24"/>
          <w:lang w:val="en-GB"/>
        </w:rPr>
        <w:tab/>
        <w:t>As in other countries, in Peru infant mortality is associated with the mother’s age and education, the order of birth of her children, and the spacing of her pregnancies.  The following table</w:t>
      </w:r>
      <w:r>
        <w:rPr>
          <w:rStyle w:val="FootnoteReference"/>
          <w:b/>
          <w:sz w:val="24"/>
          <w:lang w:val="en-GB"/>
        </w:rPr>
        <w:footnoteReference w:customMarkFollows="1" w:id="28"/>
        <w:t>27</w:t>
      </w:r>
      <w:r>
        <w:rPr>
          <w:sz w:val="24"/>
          <w:lang w:val="en-GB"/>
        </w:rPr>
        <w:t xml:space="preserve"> gives figures on this point.</w:t>
      </w:r>
    </w:p>
    <w:p w:rsidR="00000000" w:rsidRDefault="00000000">
      <w:pPr>
        <w:tabs>
          <w:tab w:val="clear" w:pos="720"/>
        </w:tabs>
        <w:jc w:val="left"/>
        <w:rPr>
          <w:sz w:val="24"/>
          <w:lang w:val="en-GB"/>
        </w:rPr>
      </w:pPr>
    </w:p>
    <w:tbl>
      <w:tblPr>
        <w:tblW w:w="6521" w:type="dxa"/>
        <w:jc w:val="center"/>
        <w:tblLayout w:type="fixed"/>
        <w:tblCellMar>
          <w:left w:w="30" w:type="dxa"/>
          <w:right w:w="30" w:type="dxa"/>
        </w:tblCellMar>
        <w:tblLook w:val="0000" w:firstRow="0" w:lastRow="0" w:firstColumn="0" w:lastColumn="0" w:noHBand="0" w:noVBand="0"/>
      </w:tblPr>
      <w:tblGrid>
        <w:gridCol w:w="2767"/>
        <w:gridCol w:w="1778"/>
        <w:gridCol w:w="1976"/>
      </w:tblGrid>
      <w:tr w:rsidR="00000000">
        <w:tblPrEx>
          <w:tblCellMar>
            <w:top w:w="0" w:type="dxa"/>
            <w:bottom w:w="0" w:type="dxa"/>
          </w:tblCellMar>
        </w:tblPrEx>
        <w:trPr>
          <w:jc w:val="center"/>
        </w:trPr>
        <w:tc>
          <w:tcPr>
            <w:tcW w:w="2520" w:type="dxa"/>
            <w:tcBorders>
              <w:top w:val="single" w:sz="4" w:space="0" w:color="auto"/>
              <w:bottom w:val="single" w:sz="4" w:space="0" w:color="auto"/>
            </w:tcBorders>
            <w:vAlign w:val="center"/>
          </w:tcPr>
          <w:p w:rsidR="00000000" w:rsidRDefault="00000000">
            <w:pPr>
              <w:spacing w:before="60" w:after="60"/>
              <w:jc w:val="center"/>
              <w:rPr>
                <w:i/>
                <w:iCs/>
                <w:sz w:val="20"/>
                <w:lang w:val="en-GB"/>
              </w:rPr>
            </w:pPr>
          </w:p>
        </w:tc>
        <w:tc>
          <w:tcPr>
            <w:tcW w:w="1620" w:type="dxa"/>
            <w:tcBorders>
              <w:top w:val="single" w:sz="4" w:space="0" w:color="auto"/>
              <w:bottom w:val="single" w:sz="4" w:space="0" w:color="auto"/>
            </w:tcBorders>
            <w:vAlign w:val="center"/>
          </w:tcPr>
          <w:p w:rsidR="00000000" w:rsidRDefault="00000000">
            <w:pPr>
              <w:spacing w:before="60" w:after="60"/>
              <w:jc w:val="center"/>
              <w:rPr>
                <w:i/>
                <w:iCs/>
                <w:sz w:val="20"/>
                <w:lang w:val="en-GB"/>
              </w:rPr>
            </w:pPr>
            <w:r>
              <w:rPr>
                <w:i/>
                <w:iCs/>
                <w:sz w:val="20"/>
                <w:lang w:val="en-GB"/>
              </w:rPr>
              <w:t>Childbirth year 1996</w:t>
            </w:r>
          </w:p>
        </w:tc>
        <w:tc>
          <w:tcPr>
            <w:tcW w:w="1800" w:type="dxa"/>
            <w:tcBorders>
              <w:top w:val="single" w:sz="4" w:space="0" w:color="auto"/>
              <w:bottom w:val="single" w:sz="4" w:space="0" w:color="auto"/>
            </w:tcBorders>
            <w:vAlign w:val="center"/>
          </w:tcPr>
          <w:p w:rsidR="00000000" w:rsidRDefault="00000000">
            <w:pPr>
              <w:spacing w:before="60" w:after="60"/>
              <w:jc w:val="center"/>
              <w:rPr>
                <w:i/>
                <w:iCs/>
                <w:sz w:val="20"/>
                <w:lang w:val="en-GB"/>
              </w:rPr>
            </w:pPr>
            <w:r>
              <w:rPr>
                <w:i/>
                <w:iCs/>
                <w:sz w:val="20"/>
                <w:lang w:val="en-GB"/>
              </w:rPr>
              <w:t>Childbirth year 2000</w:t>
            </w:r>
          </w:p>
        </w:tc>
      </w:tr>
      <w:tr w:rsidR="00000000">
        <w:tblPrEx>
          <w:tblCellMar>
            <w:top w:w="0" w:type="dxa"/>
            <w:bottom w:w="0" w:type="dxa"/>
          </w:tblCellMar>
        </w:tblPrEx>
        <w:trPr>
          <w:jc w:val="center"/>
        </w:trPr>
        <w:tc>
          <w:tcPr>
            <w:tcW w:w="5940" w:type="dxa"/>
            <w:gridSpan w:val="3"/>
            <w:tcBorders>
              <w:top w:val="single" w:sz="4" w:space="0" w:color="auto"/>
              <w:bottom w:val="single" w:sz="4" w:space="0" w:color="auto"/>
            </w:tcBorders>
            <w:vAlign w:val="center"/>
          </w:tcPr>
          <w:p w:rsidR="00000000" w:rsidRDefault="00000000">
            <w:pPr>
              <w:spacing w:before="60" w:after="60"/>
              <w:rPr>
                <w:b/>
                <w:bCs/>
                <w:i/>
                <w:iCs/>
                <w:sz w:val="20"/>
                <w:lang w:val="en-GB"/>
              </w:rPr>
            </w:pPr>
            <w:r>
              <w:rPr>
                <w:i/>
                <w:iCs/>
                <w:sz w:val="20"/>
                <w:lang w:val="en-GB"/>
              </w:rPr>
              <w:t>M</w:t>
            </w:r>
            <w:r>
              <w:rPr>
                <w:i/>
                <w:iCs/>
                <w:lang w:val="en-GB"/>
              </w:rPr>
              <w:t>other’s level of education</w:t>
            </w:r>
          </w:p>
        </w:tc>
      </w:tr>
      <w:tr w:rsidR="00000000">
        <w:tblPrEx>
          <w:tblCellMar>
            <w:top w:w="0" w:type="dxa"/>
            <w:bottom w:w="0" w:type="dxa"/>
          </w:tblCellMar>
        </w:tblPrEx>
        <w:trPr>
          <w:jc w:val="center"/>
        </w:trPr>
        <w:tc>
          <w:tcPr>
            <w:tcW w:w="2520" w:type="dxa"/>
            <w:tcBorders>
              <w:top w:val="single" w:sz="4" w:space="0" w:color="auto"/>
            </w:tcBorders>
            <w:vAlign w:val="center"/>
          </w:tcPr>
          <w:p w:rsidR="00000000" w:rsidRDefault="00000000">
            <w:pPr>
              <w:spacing w:before="60" w:after="60"/>
              <w:ind w:left="308"/>
              <w:rPr>
                <w:sz w:val="20"/>
                <w:szCs w:val="24"/>
                <w:lang w:val="en-GB"/>
              </w:rPr>
            </w:pPr>
            <w:r>
              <w:rPr>
                <w:sz w:val="20"/>
                <w:lang w:val="en-GB"/>
              </w:rPr>
              <w:t>Primary</w:t>
            </w:r>
          </w:p>
        </w:tc>
        <w:tc>
          <w:tcPr>
            <w:tcW w:w="1620" w:type="dxa"/>
            <w:tcBorders>
              <w:top w:val="single" w:sz="4" w:space="0" w:color="auto"/>
            </w:tcBorders>
          </w:tcPr>
          <w:p w:rsidR="00000000" w:rsidRDefault="00000000">
            <w:pPr>
              <w:spacing w:before="60" w:after="60"/>
              <w:jc w:val="center"/>
              <w:rPr>
                <w:sz w:val="20"/>
                <w:lang w:val="en-GB"/>
              </w:rPr>
            </w:pPr>
            <w:r>
              <w:rPr>
                <w:sz w:val="20"/>
                <w:lang w:val="en-GB"/>
              </w:rPr>
              <w:t>62</w:t>
            </w:r>
          </w:p>
        </w:tc>
        <w:tc>
          <w:tcPr>
            <w:tcW w:w="1800" w:type="dxa"/>
            <w:tcBorders>
              <w:top w:val="single" w:sz="4" w:space="0" w:color="auto"/>
            </w:tcBorders>
            <w:vAlign w:val="center"/>
          </w:tcPr>
          <w:p w:rsidR="00000000" w:rsidRDefault="00000000">
            <w:pPr>
              <w:spacing w:before="60" w:after="60"/>
              <w:jc w:val="center"/>
              <w:rPr>
                <w:sz w:val="20"/>
                <w:lang w:val="en-GB"/>
              </w:rPr>
            </w:pPr>
            <w:r>
              <w:rPr>
                <w:sz w:val="20"/>
                <w:lang w:val="en-GB"/>
              </w:rPr>
              <w:t>54</w:t>
            </w:r>
          </w:p>
        </w:tc>
      </w:tr>
      <w:tr w:rsidR="00000000">
        <w:tblPrEx>
          <w:tblCellMar>
            <w:top w:w="0" w:type="dxa"/>
            <w:bottom w:w="0" w:type="dxa"/>
          </w:tblCellMar>
        </w:tblPrEx>
        <w:trPr>
          <w:jc w:val="center"/>
        </w:trPr>
        <w:tc>
          <w:tcPr>
            <w:tcW w:w="2520" w:type="dxa"/>
            <w:vAlign w:val="center"/>
          </w:tcPr>
          <w:p w:rsidR="00000000" w:rsidRDefault="00000000">
            <w:pPr>
              <w:spacing w:before="60" w:after="60"/>
              <w:ind w:left="308"/>
              <w:rPr>
                <w:sz w:val="20"/>
                <w:lang w:val="en-GB"/>
              </w:rPr>
            </w:pPr>
            <w:r>
              <w:rPr>
                <w:sz w:val="20"/>
                <w:lang w:val="en-GB"/>
              </w:rPr>
              <w:t>Secondary</w:t>
            </w:r>
          </w:p>
        </w:tc>
        <w:tc>
          <w:tcPr>
            <w:tcW w:w="1620" w:type="dxa"/>
          </w:tcPr>
          <w:p w:rsidR="00000000" w:rsidRDefault="00000000">
            <w:pPr>
              <w:spacing w:before="60" w:after="60"/>
              <w:jc w:val="center"/>
              <w:rPr>
                <w:sz w:val="20"/>
                <w:lang w:val="en-GB"/>
              </w:rPr>
            </w:pPr>
            <w:r>
              <w:rPr>
                <w:sz w:val="20"/>
                <w:lang w:val="en-GB"/>
              </w:rPr>
              <w:t>32</w:t>
            </w:r>
          </w:p>
        </w:tc>
        <w:tc>
          <w:tcPr>
            <w:tcW w:w="1800" w:type="dxa"/>
            <w:vAlign w:val="center"/>
          </w:tcPr>
          <w:p w:rsidR="00000000" w:rsidRDefault="00000000">
            <w:pPr>
              <w:spacing w:before="60" w:after="60"/>
              <w:jc w:val="center"/>
              <w:rPr>
                <w:sz w:val="20"/>
                <w:lang w:val="en-GB"/>
              </w:rPr>
            </w:pPr>
            <w:r>
              <w:rPr>
                <w:sz w:val="20"/>
                <w:lang w:val="en-GB"/>
              </w:rPr>
              <w:t>30</w:t>
            </w:r>
          </w:p>
        </w:tc>
      </w:tr>
      <w:tr w:rsidR="00000000">
        <w:tblPrEx>
          <w:tblCellMar>
            <w:top w:w="0" w:type="dxa"/>
            <w:bottom w:w="0" w:type="dxa"/>
          </w:tblCellMar>
        </w:tblPrEx>
        <w:trPr>
          <w:jc w:val="center"/>
        </w:trPr>
        <w:tc>
          <w:tcPr>
            <w:tcW w:w="2520" w:type="dxa"/>
            <w:vAlign w:val="center"/>
          </w:tcPr>
          <w:p w:rsidR="00000000" w:rsidRDefault="00000000">
            <w:pPr>
              <w:spacing w:before="60" w:after="60"/>
              <w:ind w:left="308"/>
              <w:rPr>
                <w:sz w:val="20"/>
                <w:lang w:val="en-GB"/>
              </w:rPr>
            </w:pPr>
            <w:r>
              <w:rPr>
                <w:sz w:val="20"/>
                <w:lang w:val="en-GB"/>
              </w:rPr>
              <w:t>No education</w:t>
            </w:r>
          </w:p>
        </w:tc>
        <w:tc>
          <w:tcPr>
            <w:tcW w:w="1620" w:type="dxa"/>
          </w:tcPr>
          <w:p w:rsidR="00000000" w:rsidRDefault="00000000">
            <w:pPr>
              <w:spacing w:before="60" w:after="60"/>
              <w:jc w:val="center"/>
              <w:rPr>
                <w:sz w:val="20"/>
                <w:lang w:val="en-GB"/>
              </w:rPr>
            </w:pPr>
            <w:r>
              <w:rPr>
                <w:sz w:val="20"/>
                <w:lang w:val="en-GB"/>
              </w:rPr>
              <w:t>79</w:t>
            </w:r>
          </w:p>
        </w:tc>
        <w:tc>
          <w:tcPr>
            <w:tcW w:w="1800" w:type="dxa"/>
            <w:vAlign w:val="center"/>
          </w:tcPr>
          <w:p w:rsidR="00000000" w:rsidRDefault="00000000">
            <w:pPr>
              <w:spacing w:before="60" w:after="60"/>
              <w:jc w:val="center"/>
              <w:rPr>
                <w:sz w:val="20"/>
                <w:lang w:val="en-GB"/>
              </w:rPr>
            </w:pPr>
            <w:r>
              <w:rPr>
                <w:sz w:val="20"/>
                <w:lang w:val="en-GB"/>
              </w:rPr>
              <w:t>73</w:t>
            </w:r>
          </w:p>
        </w:tc>
      </w:tr>
      <w:tr w:rsidR="00000000">
        <w:tblPrEx>
          <w:tblCellMar>
            <w:top w:w="0" w:type="dxa"/>
            <w:bottom w:w="0" w:type="dxa"/>
          </w:tblCellMar>
        </w:tblPrEx>
        <w:trPr>
          <w:jc w:val="center"/>
        </w:trPr>
        <w:tc>
          <w:tcPr>
            <w:tcW w:w="2520" w:type="dxa"/>
            <w:tcBorders>
              <w:bottom w:val="single" w:sz="4" w:space="0" w:color="auto"/>
            </w:tcBorders>
            <w:vAlign w:val="center"/>
          </w:tcPr>
          <w:p w:rsidR="00000000" w:rsidRDefault="00000000">
            <w:pPr>
              <w:spacing w:before="60" w:after="60"/>
              <w:ind w:left="308"/>
              <w:rPr>
                <w:sz w:val="20"/>
                <w:lang w:val="en-GB"/>
              </w:rPr>
            </w:pPr>
            <w:r>
              <w:rPr>
                <w:sz w:val="20"/>
                <w:lang w:val="en-GB"/>
              </w:rPr>
              <w:t>Higher</w:t>
            </w:r>
          </w:p>
        </w:tc>
        <w:tc>
          <w:tcPr>
            <w:tcW w:w="1620" w:type="dxa"/>
            <w:tcBorders>
              <w:bottom w:val="single" w:sz="4" w:space="0" w:color="auto"/>
            </w:tcBorders>
          </w:tcPr>
          <w:p w:rsidR="00000000" w:rsidRDefault="00000000">
            <w:pPr>
              <w:spacing w:before="60" w:after="60"/>
              <w:jc w:val="center"/>
              <w:rPr>
                <w:sz w:val="20"/>
                <w:lang w:val="en-GB"/>
              </w:rPr>
            </w:pPr>
            <w:r>
              <w:rPr>
                <w:sz w:val="20"/>
                <w:lang w:val="en-GB"/>
              </w:rPr>
              <w:t>26</w:t>
            </w:r>
          </w:p>
        </w:tc>
        <w:tc>
          <w:tcPr>
            <w:tcW w:w="1800" w:type="dxa"/>
            <w:tcBorders>
              <w:bottom w:val="single" w:sz="4" w:space="0" w:color="auto"/>
            </w:tcBorders>
            <w:vAlign w:val="center"/>
          </w:tcPr>
          <w:p w:rsidR="00000000" w:rsidRDefault="00000000">
            <w:pPr>
              <w:spacing w:before="60" w:after="60"/>
              <w:jc w:val="center"/>
              <w:rPr>
                <w:sz w:val="20"/>
                <w:lang w:val="en-GB"/>
              </w:rPr>
            </w:pPr>
            <w:r>
              <w:rPr>
                <w:sz w:val="20"/>
                <w:lang w:val="en-GB"/>
              </w:rPr>
              <w:t>20</w:t>
            </w:r>
          </w:p>
        </w:tc>
      </w:tr>
      <w:tr w:rsidR="00000000">
        <w:tblPrEx>
          <w:tblCellMar>
            <w:top w:w="0" w:type="dxa"/>
            <w:bottom w:w="0" w:type="dxa"/>
          </w:tblCellMar>
        </w:tblPrEx>
        <w:trPr>
          <w:jc w:val="center"/>
        </w:trPr>
        <w:tc>
          <w:tcPr>
            <w:tcW w:w="5940" w:type="dxa"/>
            <w:gridSpan w:val="3"/>
            <w:tcBorders>
              <w:top w:val="single" w:sz="4" w:space="0" w:color="auto"/>
              <w:bottom w:val="single" w:sz="4" w:space="0" w:color="auto"/>
            </w:tcBorders>
            <w:vAlign w:val="center"/>
          </w:tcPr>
          <w:p w:rsidR="00000000" w:rsidRDefault="00000000">
            <w:pPr>
              <w:spacing w:before="60" w:after="60"/>
              <w:rPr>
                <w:bCs/>
                <w:i/>
                <w:iCs/>
                <w:sz w:val="20"/>
                <w:szCs w:val="24"/>
                <w:lang w:val="es-ES"/>
              </w:rPr>
            </w:pPr>
            <w:r>
              <w:rPr>
                <w:i/>
                <w:iCs/>
                <w:sz w:val="20"/>
                <w:lang w:val="en-GB"/>
              </w:rPr>
              <w:t>A</w:t>
            </w:r>
            <w:r>
              <w:rPr>
                <w:i/>
                <w:iCs/>
                <w:lang w:val="en-GB"/>
              </w:rPr>
              <w:t>ge at delivery</w:t>
            </w:r>
          </w:p>
        </w:tc>
      </w:tr>
      <w:tr w:rsidR="00000000">
        <w:tblPrEx>
          <w:tblCellMar>
            <w:top w:w="0" w:type="dxa"/>
            <w:bottom w:w="0" w:type="dxa"/>
          </w:tblCellMar>
        </w:tblPrEx>
        <w:trPr>
          <w:jc w:val="center"/>
        </w:trPr>
        <w:tc>
          <w:tcPr>
            <w:tcW w:w="2520" w:type="dxa"/>
            <w:tcBorders>
              <w:top w:val="single" w:sz="4" w:space="0" w:color="auto"/>
            </w:tcBorders>
            <w:vAlign w:val="center"/>
          </w:tcPr>
          <w:p w:rsidR="00000000" w:rsidRDefault="00000000">
            <w:pPr>
              <w:spacing w:before="60" w:after="60"/>
              <w:ind w:left="308"/>
              <w:rPr>
                <w:sz w:val="20"/>
                <w:szCs w:val="24"/>
                <w:lang w:val="en-GB"/>
              </w:rPr>
            </w:pPr>
            <w:r>
              <w:rPr>
                <w:sz w:val="20"/>
                <w:szCs w:val="24"/>
                <w:lang w:val="en-GB"/>
              </w:rPr>
              <w:t>20 - 29</w:t>
            </w:r>
          </w:p>
        </w:tc>
        <w:tc>
          <w:tcPr>
            <w:tcW w:w="1620" w:type="dxa"/>
            <w:tcBorders>
              <w:top w:val="single" w:sz="4" w:space="0" w:color="auto"/>
            </w:tcBorders>
            <w:vAlign w:val="center"/>
          </w:tcPr>
          <w:p w:rsidR="00000000" w:rsidRDefault="00000000">
            <w:pPr>
              <w:spacing w:before="60" w:after="60"/>
              <w:jc w:val="center"/>
              <w:rPr>
                <w:sz w:val="20"/>
                <w:lang w:val="en-GB"/>
              </w:rPr>
            </w:pPr>
            <w:r>
              <w:rPr>
                <w:sz w:val="20"/>
                <w:lang w:val="en-GB"/>
              </w:rPr>
              <w:t>43</w:t>
            </w:r>
          </w:p>
        </w:tc>
        <w:tc>
          <w:tcPr>
            <w:tcW w:w="1800" w:type="dxa"/>
            <w:tcBorders>
              <w:top w:val="single" w:sz="4" w:space="0" w:color="auto"/>
            </w:tcBorders>
          </w:tcPr>
          <w:p w:rsidR="00000000" w:rsidRDefault="00000000">
            <w:pPr>
              <w:spacing w:before="60" w:after="60"/>
              <w:jc w:val="center"/>
              <w:rPr>
                <w:sz w:val="20"/>
                <w:lang w:val="en-GB"/>
              </w:rPr>
            </w:pPr>
            <w:r>
              <w:rPr>
                <w:sz w:val="20"/>
                <w:lang w:val="en-GB"/>
              </w:rPr>
              <w:t>40</w:t>
            </w:r>
          </w:p>
        </w:tc>
      </w:tr>
      <w:tr w:rsidR="00000000">
        <w:tblPrEx>
          <w:tblCellMar>
            <w:top w:w="0" w:type="dxa"/>
            <w:bottom w:w="0" w:type="dxa"/>
          </w:tblCellMar>
        </w:tblPrEx>
        <w:trPr>
          <w:jc w:val="center"/>
        </w:trPr>
        <w:tc>
          <w:tcPr>
            <w:tcW w:w="2520" w:type="dxa"/>
            <w:vAlign w:val="center"/>
          </w:tcPr>
          <w:p w:rsidR="00000000" w:rsidRDefault="00000000">
            <w:pPr>
              <w:spacing w:before="60" w:after="60"/>
              <w:ind w:left="308"/>
              <w:rPr>
                <w:sz w:val="20"/>
                <w:lang w:val="en-GB"/>
              </w:rPr>
            </w:pPr>
            <w:r>
              <w:rPr>
                <w:sz w:val="20"/>
                <w:lang w:val="en-GB"/>
              </w:rPr>
              <w:t>30 - 39</w:t>
            </w:r>
          </w:p>
        </w:tc>
        <w:tc>
          <w:tcPr>
            <w:tcW w:w="1620" w:type="dxa"/>
            <w:vAlign w:val="center"/>
          </w:tcPr>
          <w:p w:rsidR="00000000" w:rsidRDefault="00000000">
            <w:pPr>
              <w:spacing w:before="60" w:after="60"/>
              <w:jc w:val="center"/>
              <w:rPr>
                <w:sz w:val="20"/>
                <w:lang w:val="en-GB"/>
              </w:rPr>
            </w:pPr>
            <w:r>
              <w:rPr>
                <w:sz w:val="20"/>
                <w:lang w:val="en-GB"/>
              </w:rPr>
              <w:t>54</w:t>
            </w:r>
          </w:p>
        </w:tc>
        <w:tc>
          <w:tcPr>
            <w:tcW w:w="1800" w:type="dxa"/>
          </w:tcPr>
          <w:p w:rsidR="00000000" w:rsidRDefault="00000000">
            <w:pPr>
              <w:spacing w:before="60" w:after="60"/>
              <w:jc w:val="center"/>
              <w:rPr>
                <w:sz w:val="20"/>
                <w:lang w:val="en-GB"/>
              </w:rPr>
            </w:pPr>
            <w:r>
              <w:rPr>
                <w:sz w:val="20"/>
                <w:lang w:val="en-GB"/>
              </w:rPr>
              <w:t>41</w:t>
            </w:r>
          </w:p>
        </w:tc>
      </w:tr>
      <w:tr w:rsidR="00000000">
        <w:tblPrEx>
          <w:tblCellMar>
            <w:top w:w="0" w:type="dxa"/>
            <w:bottom w:w="0" w:type="dxa"/>
          </w:tblCellMar>
        </w:tblPrEx>
        <w:trPr>
          <w:jc w:val="center"/>
        </w:trPr>
        <w:tc>
          <w:tcPr>
            <w:tcW w:w="2520" w:type="dxa"/>
            <w:vAlign w:val="center"/>
          </w:tcPr>
          <w:p w:rsidR="00000000" w:rsidRDefault="00000000">
            <w:pPr>
              <w:spacing w:before="60" w:after="60"/>
              <w:ind w:left="308"/>
              <w:rPr>
                <w:sz w:val="20"/>
                <w:lang w:val="en-GB"/>
              </w:rPr>
            </w:pPr>
            <w:r>
              <w:rPr>
                <w:sz w:val="20"/>
                <w:lang w:val="en-GB"/>
              </w:rPr>
              <w:t>40 - 49</w:t>
            </w:r>
          </w:p>
        </w:tc>
        <w:tc>
          <w:tcPr>
            <w:tcW w:w="1620" w:type="dxa"/>
            <w:vAlign w:val="center"/>
          </w:tcPr>
          <w:p w:rsidR="00000000" w:rsidRDefault="00000000">
            <w:pPr>
              <w:spacing w:before="60" w:after="60"/>
              <w:jc w:val="center"/>
              <w:rPr>
                <w:sz w:val="20"/>
                <w:lang w:val="en-GB"/>
              </w:rPr>
            </w:pPr>
            <w:r>
              <w:rPr>
                <w:sz w:val="20"/>
                <w:lang w:val="en-GB"/>
              </w:rPr>
              <w:t>81</w:t>
            </w:r>
          </w:p>
        </w:tc>
        <w:tc>
          <w:tcPr>
            <w:tcW w:w="1800" w:type="dxa"/>
          </w:tcPr>
          <w:p w:rsidR="00000000" w:rsidRDefault="00000000">
            <w:pPr>
              <w:spacing w:before="60" w:after="60"/>
              <w:jc w:val="center"/>
              <w:rPr>
                <w:sz w:val="20"/>
                <w:lang w:val="en-GB"/>
              </w:rPr>
            </w:pPr>
            <w:r>
              <w:rPr>
                <w:sz w:val="20"/>
                <w:lang w:val="en-GB"/>
              </w:rPr>
              <w:t>80</w:t>
            </w:r>
          </w:p>
        </w:tc>
      </w:tr>
      <w:tr w:rsidR="00000000">
        <w:tblPrEx>
          <w:tblCellMar>
            <w:top w:w="0" w:type="dxa"/>
            <w:bottom w:w="0" w:type="dxa"/>
          </w:tblCellMar>
        </w:tblPrEx>
        <w:trPr>
          <w:jc w:val="center"/>
        </w:trPr>
        <w:tc>
          <w:tcPr>
            <w:tcW w:w="2520" w:type="dxa"/>
            <w:tcBorders>
              <w:bottom w:val="single" w:sz="4" w:space="0" w:color="auto"/>
            </w:tcBorders>
            <w:vAlign w:val="center"/>
          </w:tcPr>
          <w:p w:rsidR="00000000" w:rsidRDefault="00000000">
            <w:pPr>
              <w:spacing w:before="60" w:after="60"/>
              <w:ind w:left="308"/>
              <w:rPr>
                <w:sz w:val="20"/>
                <w:lang w:val="en-GB"/>
              </w:rPr>
            </w:pPr>
            <w:r>
              <w:rPr>
                <w:sz w:val="20"/>
                <w:lang w:val="en-GB"/>
              </w:rPr>
              <w:t>Under 20</w:t>
            </w:r>
          </w:p>
        </w:tc>
        <w:tc>
          <w:tcPr>
            <w:tcW w:w="1620" w:type="dxa"/>
            <w:tcBorders>
              <w:bottom w:val="single" w:sz="4" w:space="0" w:color="auto"/>
            </w:tcBorders>
            <w:vAlign w:val="center"/>
          </w:tcPr>
          <w:p w:rsidR="00000000" w:rsidRDefault="00000000">
            <w:pPr>
              <w:spacing w:before="60" w:after="60"/>
              <w:jc w:val="center"/>
              <w:rPr>
                <w:sz w:val="20"/>
                <w:lang w:val="en-GB"/>
              </w:rPr>
            </w:pPr>
            <w:r>
              <w:rPr>
                <w:sz w:val="20"/>
                <w:lang w:val="en-GB"/>
              </w:rPr>
              <w:t>59</w:t>
            </w:r>
          </w:p>
        </w:tc>
        <w:tc>
          <w:tcPr>
            <w:tcW w:w="1800" w:type="dxa"/>
            <w:tcBorders>
              <w:bottom w:val="single" w:sz="4" w:space="0" w:color="auto"/>
            </w:tcBorders>
          </w:tcPr>
          <w:p w:rsidR="00000000" w:rsidRDefault="00000000">
            <w:pPr>
              <w:spacing w:before="60" w:after="60"/>
              <w:jc w:val="center"/>
              <w:rPr>
                <w:sz w:val="20"/>
                <w:lang w:val="en-GB"/>
              </w:rPr>
            </w:pPr>
            <w:r>
              <w:rPr>
                <w:sz w:val="20"/>
                <w:lang w:val="en-GB"/>
              </w:rPr>
              <w:t>52</w:t>
            </w:r>
          </w:p>
        </w:tc>
      </w:tr>
    </w:tbl>
    <w:p w:rsidR="00000000" w:rsidRDefault="00000000">
      <w:pPr>
        <w:tabs>
          <w:tab w:val="clear" w:pos="720"/>
        </w:tabs>
        <w:jc w:val="left"/>
        <w:rPr>
          <w:sz w:val="16"/>
          <w:lang w:val="en-GB"/>
        </w:rPr>
      </w:pPr>
    </w:p>
    <w:p w:rsidR="00000000" w:rsidRDefault="00000000">
      <w:pPr>
        <w:tabs>
          <w:tab w:val="clear" w:pos="720"/>
        </w:tabs>
        <w:jc w:val="left"/>
        <w:rPr>
          <w:sz w:val="24"/>
          <w:lang w:val="en-GB"/>
        </w:rPr>
      </w:pPr>
      <w:r>
        <w:rPr>
          <w:sz w:val="24"/>
          <w:lang w:val="en-GB"/>
        </w:rPr>
        <w:t>80.</w:t>
      </w:r>
      <w:r>
        <w:rPr>
          <w:sz w:val="24"/>
          <w:lang w:val="en-GB"/>
        </w:rPr>
        <w:tab/>
        <w:t>For the adolescent-mother age group the mortality rate among babies aged under 12 months is currently 52 per 1,000 live births; the perinatal mortality rate among women aged 40-49 at the time of delivery is particularly high (47 per 1,000) compared with other age groups, especially the 20-29 group (18 per 1,000).</w:t>
      </w:r>
      <w:r>
        <w:rPr>
          <w:rStyle w:val="FootnoteReference"/>
          <w:b/>
          <w:sz w:val="24"/>
          <w:lang w:val="en-GB"/>
        </w:rPr>
        <w:footnoteReference w:customMarkFollows="1" w:id="29"/>
        <w:t>28</w:t>
      </w:r>
    </w:p>
    <w:p w:rsidR="00000000" w:rsidRDefault="00000000">
      <w:pPr>
        <w:tabs>
          <w:tab w:val="clear" w:pos="720"/>
        </w:tabs>
        <w:jc w:val="left"/>
        <w:rPr>
          <w:sz w:val="24"/>
          <w:lang w:val="en-GB"/>
        </w:rPr>
      </w:pPr>
      <w:r>
        <w:rPr>
          <w:sz w:val="24"/>
          <w:lang w:val="en-GB"/>
        </w:rPr>
        <w:t>81.</w:t>
      </w:r>
      <w:r>
        <w:rPr>
          <w:sz w:val="24"/>
          <w:lang w:val="en-GB"/>
        </w:rPr>
        <w:tab/>
        <w:t>By place of residence, the highest levels of perinatal mortality are found among women living in the departments of Pasco and Cusco, with rates of 40 and 48 perinatal deaths respectively for every thousand pregnancies lasting seven or more months.</w:t>
      </w:r>
      <w:r>
        <w:rPr>
          <w:rStyle w:val="FootnoteReference"/>
          <w:b/>
          <w:sz w:val="24"/>
          <w:lang w:val="en-GB"/>
        </w:rPr>
        <w:footnoteReference w:customMarkFollows="1" w:id="30"/>
        <w:t>29</w:t>
      </w:r>
    </w:p>
    <w:p w:rsidR="00000000" w:rsidRDefault="00000000">
      <w:pPr>
        <w:tabs>
          <w:tab w:val="clear" w:pos="720"/>
        </w:tabs>
        <w:jc w:val="left"/>
        <w:rPr>
          <w:sz w:val="18"/>
          <w:lang w:val="en-GB"/>
        </w:rPr>
      </w:pPr>
    </w:p>
    <w:p w:rsidR="00000000" w:rsidRDefault="00000000">
      <w:pPr>
        <w:tabs>
          <w:tab w:val="clear" w:pos="720"/>
        </w:tabs>
        <w:jc w:val="left"/>
        <w:rPr>
          <w:sz w:val="24"/>
          <w:lang w:val="en-GB"/>
        </w:rPr>
      </w:pPr>
      <w:r>
        <w:rPr>
          <w:sz w:val="24"/>
          <w:lang w:val="en-GB"/>
        </w:rPr>
        <w:t>82.</w:t>
      </w:r>
      <w:r>
        <w:rPr>
          <w:sz w:val="24"/>
          <w:lang w:val="en-GB"/>
        </w:rPr>
        <w:tab/>
        <w:t>Some information illustrating the main features of this problem is given below.</w:t>
      </w:r>
    </w:p>
    <w:p w:rsidR="00000000" w:rsidRDefault="00000000">
      <w:pPr>
        <w:tabs>
          <w:tab w:val="clear" w:pos="720"/>
        </w:tabs>
        <w:jc w:val="left"/>
        <w:rPr>
          <w:sz w:val="18"/>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422"/>
      </w:tblGrid>
      <w:tr w:rsidR="00000000">
        <w:tblPrEx>
          <w:tblCellMar>
            <w:top w:w="0" w:type="dxa"/>
            <w:bottom w:w="0" w:type="dxa"/>
          </w:tblCellMar>
        </w:tblPrEx>
        <w:trPr>
          <w:jc w:val="center"/>
        </w:trPr>
        <w:tc>
          <w:tcPr>
            <w:tcW w:w="9552" w:type="dxa"/>
            <w:tcBorders>
              <w:bottom w:val="single" w:sz="4" w:space="0" w:color="auto"/>
            </w:tcBorders>
          </w:tcPr>
          <w:p w:rsidR="00000000" w:rsidRDefault="00000000">
            <w:pPr>
              <w:tabs>
                <w:tab w:val="clear" w:pos="720"/>
              </w:tabs>
              <w:spacing w:before="180" w:after="180"/>
              <w:ind w:left="284" w:right="284"/>
              <w:jc w:val="center"/>
              <w:rPr>
                <w:b/>
                <w:sz w:val="20"/>
                <w:lang w:val="en-GB"/>
              </w:rPr>
            </w:pPr>
            <w:r>
              <w:rPr>
                <w:b/>
                <w:sz w:val="20"/>
                <w:lang w:val="en-GB"/>
              </w:rPr>
              <w:t>Infant mortality</w:t>
            </w:r>
            <w:r>
              <w:rPr>
                <w:rStyle w:val="FootnoteReference"/>
                <w:b/>
                <w:bCs/>
                <w:sz w:val="24"/>
                <w:lang w:val="en-GB"/>
              </w:rPr>
              <w:footnoteReference w:customMarkFollows="1" w:id="31"/>
              <w:t>30</w:t>
            </w:r>
          </w:p>
          <w:p w:rsidR="00000000" w:rsidRDefault="00000000">
            <w:pPr>
              <w:numPr>
                <w:ilvl w:val="0"/>
                <w:numId w:val="205"/>
              </w:numPr>
              <w:spacing w:before="180" w:after="180"/>
              <w:ind w:right="284"/>
              <w:jc w:val="left"/>
              <w:rPr>
                <w:sz w:val="20"/>
                <w:lang w:val="en-GB"/>
              </w:rPr>
            </w:pPr>
            <w:r>
              <w:rPr>
                <w:sz w:val="20"/>
                <w:lang w:val="en-GB"/>
              </w:rPr>
              <w:t>The annual rate is 60 per 1,000 live births in rural areas and 28 per 1,000 in urban areas; in 1996 the figures were 71 and 35 respectively;</w:t>
            </w:r>
          </w:p>
          <w:p w:rsidR="00000000" w:rsidRDefault="00000000">
            <w:pPr>
              <w:numPr>
                <w:ilvl w:val="0"/>
                <w:numId w:val="146"/>
              </w:numPr>
              <w:spacing w:before="180" w:after="180"/>
              <w:ind w:right="284"/>
              <w:jc w:val="left"/>
              <w:rPr>
                <w:sz w:val="20"/>
                <w:lang w:val="en-GB"/>
              </w:rPr>
            </w:pPr>
            <w:r>
              <w:rPr>
                <w:sz w:val="20"/>
                <w:lang w:val="en-GB"/>
              </w:rPr>
              <w:t>The departments with the highest infant mortality rates are Cusco, Huancavelica and Apurímac; the lowest rates are found in Lima, Callao and Tacna;</w:t>
            </w:r>
          </w:p>
          <w:p w:rsidR="00000000" w:rsidRDefault="00000000">
            <w:pPr>
              <w:numPr>
                <w:ilvl w:val="0"/>
                <w:numId w:val="146"/>
              </w:numPr>
              <w:tabs>
                <w:tab w:val="clear" w:pos="737"/>
                <w:tab w:val="left" w:pos="720"/>
              </w:tabs>
              <w:spacing w:before="180" w:after="180"/>
              <w:ind w:right="284"/>
              <w:jc w:val="left"/>
              <w:rPr>
                <w:b/>
                <w:sz w:val="20"/>
                <w:lang w:val="en-GB"/>
              </w:rPr>
            </w:pPr>
            <w:r>
              <w:rPr>
                <w:sz w:val="20"/>
                <w:lang w:val="en-GB"/>
              </w:rPr>
              <w:t>The probability of death for children of mothers with no education is three times higher than for children of mothers with higher education.</w:t>
            </w:r>
          </w:p>
        </w:tc>
      </w:tr>
    </w:tbl>
    <w:p w:rsidR="00000000" w:rsidRDefault="00000000">
      <w:pPr>
        <w:tabs>
          <w:tab w:val="clear" w:pos="720"/>
        </w:tabs>
        <w:jc w:val="left"/>
        <w:rPr>
          <w:sz w:val="20"/>
          <w:lang w:val="en-GB"/>
        </w:rPr>
      </w:pPr>
    </w:p>
    <w:p w:rsidR="00000000" w:rsidRDefault="00000000">
      <w:pPr>
        <w:tabs>
          <w:tab w:val="clear" w:pos="720"/>
        </w:tabs>
        <w:jc w:val="left"/>
        <w:rPr>
          <w:sz w:val="24"/>
          <w:lang w:val="en-GB"/>
        </w:rPr>
      </w:pPr>
      <w:r>
        <w:rPr>
          <w:sz w:val="24"/>
          <w:lang w:val="en-GB"/>
        </w:rPr>
        <w:t>83.</w:t>
      </w:r>
      <w:r>
        <w:rPr>
          <w:sz w:val="24"/>
          <w:lang w:val="en-GB"/>
        </w:rPr>
        <w:tab/>
        <w:t>An analysis of the causes of infant deaths in Peru shows that thousands of them are still occurring for avoidable reasons.  The annual total of such deaths was estimated to exceed 19,000 in 2000, with 8,000 babies dying during the first week of life and more than half (55%) during the first month; this latter proportion has remained the same for two decades and points to the need to increase the number of deliveries attended and new-born babies cared for in an institution, especially in rural mountain and forest areas.</w:t>
      </w:r>
      <w:r>
        <w:rPr>
          <w:rStyle w:val="FootnoteReference"/>
          <w:b/>
          <w:sz w:val="24"/>
          <w:lang w:val="en-GB"/>
        </w:rPr>
        <w:footnoteReference w:customMarkFollows="1" w:id="32"/>
        <w:t>31</w:t>
      </w:r>
    </w:p>
    <w:p w:rsidR="00000000" w:rsidRDefault="00000000">
      <w:pPr>
        <w:tabs>
          <w:tab w:val="clear" w:pos="720"/>
        </w:tabs>
        <w:jc w:val="left"/>
        <w:rPr>
          <w:sz w:val="18"/>
          <w:lang w:val="en-GB"/>
        </w:rPr>
      </w:pPr>
    </w:p>
    <w:p w:rsidR="00000000" w:rsidRDefault="00000000">
      <w:pPr>
        <w:tabs>
          <w:tab w:val="clear" w:pos="720"/>
        </w:tabs>
        <w:jc w:val="left"/>
        <w:rPr>
          <w:sz w:val="24"/>
          <w:lang w:val="en-GB"/>
        </w:rPr>
      </w:pPr>
      <w:r>
        <w:rPr>
          <w:sz w:val="24"/>
          <w:lang w:val="en-GB"/>
        </w:rPr>
        <w:t>84.</w:t>
      </w:r>
      <w:r>
        <w:rPr>
          <w:sz w:val="24"/>
          <w:lang w:val="en-GB"/>
        </w:rPr>
        <w:tab/>
        <w:t>The perinatal infant mortality rate is 23 per 1,000 pregnancies lasting seven months or longer</w:t>
      </w:r>
      <w:r>
        <w:rPr>
          <w:b/>
          <w:bCs/>
          <w:sz w:val="24"/>
          <w:vertAlign w:val="superscript"/>
          <w:lang w:val="en-GB"/>
        </w:rPr>
        <w:t>32</w:t>
      </w:r>
      <w:r>
        <w:rPr>
          <w:sz w:val="24"/>
          <w:lang w:val="en-GB"/>
        </w:rPr>
        <w:t>, with a similar number of stillbirths or early neonatal deaths.</w:t>
      </w:r>
    </w:p>
    <w:p w:rsidR="00000000" w:rsidRDefault="00000000">
      <w:pPr>
        <w:tabs>
          <w:tab w:val="clear" w:pos="720"/>
        </w:tabs>
        <w:jc w:val="left"/>
        <w:rPr>
          <w:sz w:val="18"/>
          <w:lang w:val="en-GB"/>
        </w:rPr>
      </w:pPr>
    </w:p>
    <w:p w:rsidR="00000000" w:rsidRDefault="00000000">
      <w:pPr>
        <w:tabs>
          <w:tab w:val="clear" w:pos="720"/>
        </w:tabs>
        <w:jc w:val="left"/>
        <w:rPr>
          <w:sz w:val="24"/>
          <w:lang w:val="en-GB"/>
        </w:rPr>
      </w:pPr>
      <w:r>
        <w:rPr>
          <w:sz w:val="24"/>
          <w:lang w:val="en-GB"/>
        </w:rPr>
        <w:t>85.</w:t>
      </w:r>
      <w:r>
        <w:rPr>
          <w:sz w:val="24"/>
          <w:lang w:val="en-GB"/>
        </w:rPr>
        <w:tab/>
        <w:t>Other causes of infant mortality are acute respiratory infections, traumatism, diarrhoea, and malnutrition.  The following table shows the success achieved in the control of immuno-preventible diseases affecting infant mortality.</w:t>
      </w:r>
    </w:p>
    <w:p w:rsidR="00000000" w:rsidRDefault="00000000">
      <w:pPr>
        <w:tabs>
          <w:tab w:val="clear" w:pos="720"/>
        </w:tabs>
        <w:jc w:val="left"/>
        <w:rPr>
          <w:sz w:val="18"/>
          <w:lang w:val="en-GB"/>
        </w:rPr>
      </w:pPr>
    </w:p>
    <w:p w:rsidR="00000000" w:rsidRDefault="00000000">
      <w:pPr>
        <w:tabs>
          <w:tab w:val="clear" w:pos="720"/>
        </w:tabs>
        <w:spacing w:after="200"/>
        <w:jc w:val="center"/>
        <w:rPr>
          <w:b/>
          <w:bCs/>
          <w:sz w:val="24"/>
          <w:lang w:val="en-GB"/>
        </w:rPr>
      </w:pPr>
      <w:r>
        <w:rPr>
          <w:b/>
          <w:bCs/>
          <w:sz w:val="20"/>
          <w:lang w:val="en-GB"/>
        </w:rPr>
        <w:t>Immunization coverage, 1992-2000 (%)</w:t>
      </w:r>
    </w:p>
    <w:tbl>
      <w:tblPr>
        <w:tblW w:w="0" w:type="auto"/>
        <w:jc w:val="center"/>
        <w:tblCellMar>
          <w:left w:w="0" w:type="dxa"/>
          <w:right w:w="0" w:type="dxa"/>
        </w:tblCellMar>
        <w:tblLook w:val="0000" w:firstRow="0" w:lastRow="0" w:firstColumn="0" w:lastColumn="0" w:noHBand="0" w:noVBand="0"/>
      </w:tblPr>
      <w:tblGrid>
        <w:gridCol w:w="1842"/>
        <w:gridCol w:w="1842"/>
        <w:gridCol w:w="1842"/>
        <w:gridCol w:w="1843"/>
        <w:gridCol w:w="1843"/>
      </w:tblGrid>
      <w:tr w:rsidR="00000000">
        <w:tblPrEx>
          <w:tblCellMar>
            <w:top w:w="0" w:type="dxa"/>
            <w:bottom w:w="0" w:type="dxa"/>
          </w:tblCellMar>
        </w:tblPrEx>
        <w:trPr>
          <w:jc w:val="center"/>
        </w:trPr>
        <w:tc>
          <w:tcPr>
            <w:tcW w:w="1842" w:type="dxa"/>
            <w:tcBorders>
              <w:top w:val="single" w:sz="4" w:space="0" w:color="auto"/>
              <w:bottom w:val="single" w:sz="4" w:space="0" w:color="auto"/>
            </w:tcBorders>
          </w:tcPr>
          <w:p w:rsidR="00000000" w:rsidRDefault="00000000">
            <w:pPr>
              <w:spacing w:before="60" w:after="60"/>
              <w:jc w:val="center"/>
              <w:rPr>
                <w:i/>
                <w:iCs/>
                <w:sz w:val="20"/>
                <w:lang w:val="en-GB"/>
              </w:rPr>
            </w:pPr>
            <w:r>
              <w:rPr>
                <w:i/>
                <w:iCs/>
                <w:sz w:val="20"/>
                <w:lang w:val="en-GB"/>
              </w:rPr>
              <w:t>Year</w:t>
            </w:r>
          </w:p>
        </w:tc>
        <w:tc>
          <w:tcPr>
            <w:tcW w:w="1842" w:type="dxa"/>
            <w:tcBorders>
              <w:top w:val="single" w:sz="4" w:space="0" w:color="auto"/>
              <w:bottom w:val="single" w:sz="4" w:space="0" w:color="auto"/>
            </w:tcBorders>
          </w:tcPr>
          <w:p w:rsidR="00000000" w:rsidRDefault="00000000">
            <w:pPr>
              <w:spacing w:before="60" w:after="60"/>
              <w:jc w:val="center"/>
              <w:rPr>
                <w:i/>
                <w:iCs/>
                <w:sz w:val="20"/>
                <w:lang w:val="en-GB"/>
              </w:rPr>
            </w:pPr>
            <w:r>
              <w:rPr>
                <w:i/>
                <w:iCs/>
                <w:sz w:val="20"/>
                <w:lang w:val="en-GB"/>
              </w:rPr>
              <w:t>Measles</w:t>
            </w:r>
          </w:p>
        </w:tc>
        <w:tc>
          <w:tcPr>
            <w:tcW w:w="1842" w:type="dxa"/>
            <w:tcBorders>
              <w:top w:val="single" w:sz="4" w:space="0" w:color="auto"/>
              <w:bottom w:val="single" w:sz="4" w:space="0" w:color="auto"/>
            </w:tcBorders>
          </w:tcPr>
          <w:p w:rsidR="00000000" w:rsidRDefault="00000000">
            <w:pPr>
              <w:spacing w:before="60" w:after="60"/>
              <w:jc w:val="center"/>
              <w:rPr>
                <w:i/>
                <w:iCs/>
                <w:sz w:val="20"/>
                <w:lang w:val="en-GB"/>
              </w:rPr>
            </w:pPr>
            <w:r>
              <w:rPr>
                <w:i/>
                <w:iCs/>
                <w:sz w:val="20"/>
                <w:lang w:val="en-GB"/>
              </w:rPr>
              <w:t>Triple (DPT)</w:t>
            </w:r>
          </w:p>
        </w:tc>
        <w:tc>
          <w:tcPr>
            <w:tcW w:w="1843" w:type="dxa"/>
            <w:tcBorders>
              <w:top w:val="single" w:sz="4" w:space="0" w:color="auto"/>
              <w:bottom w:val="single" w:sz="4" w:space="0" w:color="auto"/>
            </w:tcBorders>
          </w:tcPr>
          <w:p w:rsidR="00000000" w:rsidRDefault="00000000">
            <w:pPr>
              <w:spacing w:before="60" w:after="60"/>
              <w:jc w:val="center"/>
              <w:rPr>
                <w:i/>
                <w:iCs/>
                <w:sz w:val="20"/>
                <w:lang w:val="pt-BR"/>
              </w:rPr>
            </w:pPr>
            <w:r>
              <w:rPr>
                <w:i/>
                <w:iCs/>
                <w:sz w:val="20"/>
                <w:lang w:val="pt-BR"/>
              </w:rPr>
              <w:t>Poliomyelitis</w:t>
            </w:r>
          </w:p>
        </w:tc>
        <w:tc>
          <w:tcPr>
            <w:tcW w:w="1843" w:type="dxa"/>
            <w:tcBorders>
              <w:top w:val="single" w:sz="4" w:space="0" w:color="auto"/>
              <w:bottom w:val="single" w:sz="4" w:space="0" w:color="auto"/>
            </w:tcBorders>
          </w:tcPr>
          <w:p w:rsidR="00000000" w:rsidRDefault="00000000">
            <w:pPr>
              <w:spacing w:before="60" w:after="60"/>
              <w:jc w:val="center"/>
              <w:rPr>
                <w:i/>
                <w:iCs/>
                <w:sz w:val="20"/>
                <w:lang w:val="pt-BR"/>
              </w:rPr>
            </w:pPr>
            <w:r>
              <w:rPr>
                <w:i/>
                <w:iCs/>
                <w:sz w:val="20"/>
                <w:lang w:val="pt-BR"/>
              </w:rPr>
              <w:t>Tuberculosis (BCG)</w:t>
            </w:r>
          </w:p>
        </w:tc>
      </w:tr>
      <w:tr w:rsidR="00000000">
        <w:tblPrEx>
          <w:tblCellMar>
            <w:top w:w="0" w:type="dxa"/>
            <w:bottom w:w="0" w:type="dxa"/>
          </w:tblCellMar>
        </w:tblPrEx>
        <w:trPr>
          <w:jc w:val="center"/>
        </w:trPr>
        <w:tc>
          <w:tcPr>
            <w:tcW w:w="1842" w:type="dxa"/>
            <w:tcBorders>
              <w:top w:val="single" w:sz="4" w:space="0" w:color="auto"/>
            </w:tcBorders>
          </w:tcPr>
          <w:p w:rsidR="00000000" w:rsidRDefault="00000000">
            <w:pPr>
              <w:spacing w:before="60" w:after="60"/>
              <w:rPr>
                <w:sz w:val="20"/>
                <w:lang w:val="en-GB"/>
              </w:rPr>
            </w:pPr>
            <w:r>
              <w:rPr>
                <w:sz w:val="20"/>
                <w:lang w:val="en-GB"/>
              </w:rPr>
              <w:t>1992</w:t>
            </w:r>
          </w:p>
        </w:tc>
        <w:tc>
          <w:tcPr>
            <w:tcW w:w="1842" w:type="dxa"/>
            <w:tcBorders>
              <w:top w:val="single" w:sz="4" w:space="0" w:color="auto"/>
            </w:tcBorders>
          </w:tcPr>
          <w:p w:rsidR="00000000" w:rsidRDefault="00000000">
            <w:pPr>
              <w:spacing w:before="60" w:after="60"/>
              <w:jc w:val="center"/>
              <w:rPr>
                <w:sz w:val="20"/>
                <w:lang w:val="en-GB"/>
              </w:rPr>
            </w:pPr>
            <w:r>
              <w:rPr>
                <w:sz w:val="20"/>
                <w:lang w:val="en-GB"/>
              </w:rPr>
              <w:t>83.3</w:t>
            </w:r>
          </w:p>
        </w:tc>
        <w:tc>
          <w:tcPr>
            <w:tcW w:w="1842" w:type="dxa"/>
            <w:tcBorders>
              <w:top w:val="single" w:sz="4" w:space="0" w:color="auto"/>
            </w:tcBorders>
          </w:tcPr>
          <w:p w:rsidR="00000000" w:rsidRDefault="00000000">
            <w:pPr>
              <w:spacing w:before="60" w:after="60"/>
              <w:jc w:val="center"/>
              <w:rPr>
                <w:sz w:val="20"/>
                <w:lang w:val="en-GB"/>
              </w:rPr>
            </w:pPr>
            <w:r>
              <w:rPr>
                <w:sz w:val="20"/>
                <w:lang w:val="en-GB"/>
              </w:rPr>
              <w:t>82.9</w:t>
            </w:r>
          </w:p>
        </w:tc>
        <w:tc>
          <w:tcPr>
            <w:tcW w:w="1843" w:type="dxa"/>
            <w:tcBorders>
              <w:top w:val="single" w:sz="4" w:space="0" w:color="auto"/>
            </w:tcBorders>
          </w:tcPr>
          <w:p w:rsidR="00000000" w:rsidRDefault="00000000">
            <w:pPr>
              <w:spacing w:before="60" w:after="60"/>
              <w:jc w:val="center"/>
              <w:rPr>
                <w:sz w:val="20"/>
                <w:lang w:val="en-GB"/>
              </w:rPr>
            </w:pPr>
            <w:r>
              <w:rPr>
                <w:sz w:val="20"/>
                <w:lang w:val="en-GB"/>
              </w:rPr>
              <w:t>84.6</w:t>
            </w:r>
          </w:p>
        </w:tc>
        <w:tc>
          <w:tcPr>
            <w:tcW w:w="1843" w:type="dxa"/>
            <w:tcBorders>
              <w:top w:val="single" w:sz="4" w:space="0" w:color="auto"/>
            </w:tcBorders>
          </w:tcPr>
          <w:p w:rsidR="00000000" w:rsidRDefault="00000000">
            <w:pPr>
              <w:spacing w:before="60" w:after="60"/>
              <w:jc w:val="center"/>
              <w:rPr>
                <w:sz w:val="20"/>
                <w:lang w:val="en-GB"/>
              </w:rPr>
            </w:pPr>
            <w:r>
              <w:rPr>
                <w:sz w:val="20"/>
                <w:lang w:val="en-GB"/>
              </w:rPr>
              <w:t>85.2</w:t>
            </w:r>
          </w:p>
        </w:tc>
      </w:tr>
      <w:tr w:rsidR="00000000">
        <w:tblPrEx>
          <w:tblCellMar>
            <w:top w:w="0" w:type="dxa"/>
            <w:bottom w:w="0" w:type="dxa"/>
          </w:tblCellMar>
        </w:tblPrEx>
        <w:trPr>
          <w:jc w:val="center"/>
        </w:trPr>
        <w:tc>
          <w:tcPr>
            <w:tcW w:w="1842" w:type="dxa"/>
          </w:tcPr>
          <w:p w:rsidR="00000000" w:rsidRDefault="00000000">
            <w:pPr>
              <w:spacing w:before="60" w:after="60"/>
              <w:rPr>
                <w:sz w:val="20"/>
                <w:lang w:val="en-GB"/>
              </w:rPr>
            </w:pPr>
            <w:r>
              <w:rPr>
                <w:sz w:val="20"/>
                <w:lang w:val="en-GB"/>
              </w:rPr>
              <w:t>1993</w:t>
            </w:r>
          </w:p>
        </w:tc>
        <w:tc>
          <w:tcPr>
            <w:tcW w:w="1842" w:type="dxa"/>
          </w:tcPr>
          <w:p w:rsidR="00000000" w:rsidRDefault="00000000">
            <w:pPr>
              <w:spacing w:before="60" w:after="60"/>
              <w:jc w:val="center"/>
              <w:rPr>
                <w:sz w:val="20"/>
                <w:lang w:val="en-GB"/>
              </w:rPr>
            </w:pPr>
            <w:r>
              <w:rPr>
                <w:sz w:val="20"/>
                <w:lang w:val="en-GB"/>
              </w:rPr>
              <w:t>76.2</w:t>
            </w:r>
          </w:p>
        </w:tc>
        <w:tc>
          <w:tcPr>
            <w:tcW w:w="1842" w:type="dxa"/>
          </w:tcPr>
          <w:p w:rsidR="00000000" w:rsidRDefault="00000000">
            <w:pPr>
              <w:spacing w:before="60" w:after="60"/>
              <w:jc w:val="center"/>
              <w:rPr>
                <w:sz w:val="20"/>
                <w:lang w:val="en-GB"/>
              </w:rPr>
            </w:pPr>
            <w:r>
              <w:rPr>
                <w:sz w:val="20"/>
                <w:lang w:val="en-GB"/>
              </w:rPr>
              <w:t>86.9</w:t>
            </w:r>
          </w:p>
        </w:tc>
        <w:tc>
          <w:tcPr>
            <w:tcW w:w="1843" w:type="dxa"/>
          </w:tcPr>
          <w:p w:rsidR="00000000" w:rsidRDefault="00000000">
            <w:pPr>
              <w:spacing w:before="60" w:after="60"/>
              <w:jc w:val="center"/>
              <w:rPr>
                <w:sz w:val="20"/>
                <w:lang w:val="en-GB"/>
              </w:rPr>
            </w:pPr>
            <w:r>
              <w:rPr>
                <w:sz w:val="20"/>
                <w:lang w:val="en-GB"/>
              </w:rPr>
              <w:t>87.8</w:t>
            </w:r>
          </w:p>
        </w:tc>
        <w:tc>
          <w:tcPr>
            <w:tcW w:w="1843" w:type="dxa"/>
          </w:tcPr>
          <w:p w:rsidR="00000000" w:rsidRDefault="00000000">
            <w:pPr>
              <w:spacing w:before="60" w:after="60"/>
              <w:jc w:val="center"/>
              <w:rPr>
                <w:sz w:val="20"/>
                <w:lang w:val="en-GB"/>
              </w:rPr>
            </w:pPr>
            <w:r>
              <w:rPr>
                <w:sz w:val="20"/>
                <w:lang w:val="en-GB"/>
              </w:rPr>
              <w:t>88.5</w:t>
            </w:r>
          </w:p>
        </w:tc>
      </w:tr>
      <w:tr w:rsidR="00000000">
        <w:tblPrEx>
          <w:tblCellMar>
            <w:top w:w="0" w:type="dxa"/>
            <w:bottom w:w="0" w:type="dxa"/>
          </w:tblCellMar>
        </w:tblPrEx>
        <w:trPr>
          <w:jc w:val="center"/>
        </w:trPr>
        <w:tc>
          <w:tcPr>
            <w:tcW w:w="1842" w:type="dxa"/>
          </w:tcPr>
          <w:p w:rsidR="00000000" w:rsidRDefault="00000000">
            <w:pPr>
              <w:spacing w:before="60" w:after="60"/>
              <w:rPr>
                <w:sz w:val="20"/>
                <w:lang w:val="en-GB"/>
              </w:rPr>
            </w:pPr>
            <w:r>
              <w:rPr>
                <w:sz w:val="20"/>
                <w:lang w:val="en-GB"/>
              </w:rPr>
              <w:t>1994</w:t>
            </w:r>
          </w:p>
        </w:tc>
        <w:tc>
          <w:tcPr>
            <w:tcW w:w="1842" w:type="dxa"/>
          </w:tcPr>
          <w:p w:rsidR="00000000" w:rsidRDefault="00000000">
            <w:pPr>
              <w:spacing w:before="60" w:after="60"/>
              <w:jc w:val="center"/>
              <w:rPr>
                <w:sz w:val="20"/>
                <w:lang w:val="en-GB"/>
              </w:rPr>
            </w:pPr>
            <w:r>
              <w:rPr>
                <w:sz w:val="20"/>
                <w:lang w:val="en-GB"/>
              </w:rPr>
              <w:t>75.1</w:t>
            </w:r>
          </w:p>
        </w:tc>
        <w:tc>
          <w:tcPr>
            <w:tcW w:w="1842" w:type="dxa"/>
          </w:tcPr>
          <w:p w:rsidR="00000000" w:rsidRDefault="00000000">
            <w:pPr>
              <w:spacing w:before="60" w:after="60"/>
              <w:jc w:val="center"/>
              <w:rPr>
                <w:sz w:val="20"/>
                <w:lang w:val="en-GB"/>
              </w:rPr>
            </w:pPr>
            <w:r>
              <w:rPr>
                <w:sz w:val="20"/>
                <w:lang w:val="en-GB"/>
              </w:rPr>
              <w:t>87.4</w:t>
            </w:r>
          </w:p>
        </w:tc>
        <w:tc>
          <w:tcPr>
            <w:tcW w:w="1843" w:type="dxa"/>
          </w:tcPr>
          <w:p w:rsidR="00000000" w:rsidRDefault="00000000">
            <w:pPr>
              <w:spacing w:before="60" w:after="60"/>
              <w:jc w:val="center"/>
              <w:rPr>
                <w:sz w:val="20"/>
                <w:lang w:val="en-GB"/>
              </w:rPr>
            </w:pPr>
            <w:r>
              <w:rPr>
                <w:sz w:val="20"/>
                <w:lang w:val="en-GB"/>
              </w:rPr>
              <w:t>87.4</w:t>
            </w:r>
          </w:p>
        </w:tc>
        <w:tc>
          <w:tcPr>
            <w:tcW w:w="1843" w:type="dxa"/>
          </w:tcPr>
          <w:p w:rsidR="00000000" w:rsidRDefault="00000000">
            <w:pPr>
              <w:spacing w:before="60" w:after="60"/>
              <w:jc w:val="center"/>
              <w:rPr>
                <w:sz w:val="20"/>
                <w:lang w:val="en-GB"/>
              </w:rPr>
            </w:pPr>
            <w:r>
              <w:rPr>
                <w:sz w:val="20"/>
                <w:lang w:val="en-GB"/>
              </w:rPr>
              <w:t>92.1</w:t>
            </w:r>
          </w:p>
        </w:tc>
      </w:tr>
      <w:tr w:rsidR="00000000">
        <w:tblPrEx>
          <w:tblCellMar>
            <w:top w:w="0" w:type="dxa"/>
            <w:bottom w:w="0" w:type="dxa"/>
          </w:tblCellMar>
        </w:tblPrEx>
        <w:trPr>
          <w:jc w:val="center"/>
        </w:trPr>
        <w:tc>
          <w:tcPr>
            <w:tcW w:w="1842" w:type="dxa"/>
          </w:tcPr>
          <w:p w:rsidR="00000000" w:rsidRDefault="00000000">
            <w:pPr>
              <w:spacing w:before="60" w:after="60"/>
              <w:rPr>
                <w:sz w:val="20"/>
                <w:lang w:val="en-GB"/>
              </w:rPr>
            </w:pPr>
            <w:r>
              <w:rPr>
                <w:sz w:val="20"/>
                <w:lang w:val="en-GB"/>
              </w:rPr>
              <w:t>1995</w:t>
            </w:r>
          </w:p>
        </w:tc>
        <w:tc>
          <w:tcPr>
            <w:tcW w:w="1842" w:type="dxa"/>
          </w:tcPr>
          <w:p w:rsidR="00000000" w:rsidRDefault="00000000">
            <w:pPr>
              <w:spacing w:before="60" w:after="60"/>
              <w:jc w:val="center"/>
              <w:rPr>
                <w:sz w:val="20"/>
                <w:lang w:val="en-GB"/>
              </w:rPr>
            </w:pPr>
            <w:r>
              <w:rPr>
                <w:sz w:val="20"/>
                <w:lang w:val="en-GB"/>
              </w:rPr>
              <w:t>98.9</w:t>
            </w:r>
          </w:p>
        </w:tc>
        <w:tc>
          <w:tcPr>
            <w:tcW w:w="1842" w:type="dxa"/>
          </w:tcPr>
          <w:p w:rsidR="00000000" w:rsidRDefault="00000000">
            <w:pPr>
              <w:spacing w:before="60" w:after="60"/>
              <w:jc w:val="center"/>
              <w:rPr>
                <w:sz w:val="20"/>
                <w:lang w:val="en-GB"/>
              </w:rPr>
            </w:pPr>
            <w:r>
              <w:rPr>
                <w:sz w:val="20"/>
                <w:lang w:val="en-GB"/>
              </w:rPr>
              <w:t>94.8</w:t>
            </w:r>
          </w:p>
        </w:tc>
        <w:tc>
          <w:tcPr>
            <w:tcW w:w="1843" w:type="dxa"/>
          </w:tcPr>
          <w:p w:rsidR="00000000" w:rsidRDefault="00000000">
            <w:pPr>
              <w:spacing w:before="60" w:after="60"/>
              <w:jc w:val="center"/>
              <w:rPr>
                <w:sz w:val="20"/>
                <w:lang w:val="en-GB"/>
              </w:rPr>
            </w:pPr>
            <w:r>
              <w:rPr>
                <w:sz w:val="20"/>
                <w:lang w:val="en-GB"/>
              </w:rPr>
              <w:t>92.9</w:t>
            </w:r>
          </w:p>
        </w:tc>
        <w:tc>
          <w:tcPr>
            <w:tcW w:w="1843" w:type="dxa"/>
          </w:tcPr>
          <w:p w:rsidR="00000000" w:rsidRDefault="00000000">
            <w:pPr>
              <w:spacing w:before="60" w:after="60"/>
              <w:jc w:val="center"/>
              <w:rPr>
                <w:sz w:val="20"/>
                <w:lang w:val="en-GB"/>
              </w:rPr>
            </w:pPr>
            <w:r>
              <w:rPr>
                <w:sz w:val="20"/>
                <w:lang w:val="en-GB"/>
              </w:rPr>
              <w:t>96.2</w:t>
            </w:r>
          </w:p>
        </w:tc>
      </w:tr>
      <w:tr w:rsidR="00000000">
        <w:tblPrEx>
          <w:tblCellMar>
            <w:top w:w="0" w:type="dxa"/>
            <w:bottom w:w="0" w:type="dxa"/>
          </w:tblCellMar>
        </w:tblPrEx>
        <w:trPr>
          <w:jc w:val="center"/>
        </w:trPr>
        <w:tc>
          <w:tcPr>
            <w:tcW w:w="1842" w:type="dxa"/>
          </w:tcPr>
          <w:p w:rsidR="00000000" w:rsidRDefault="00000000">
            <w:pPr>
              <w:spacing w:before="60" w:after="60"/>
              <w:rPr>
                <w:sz w:val="20"/>
                <w:lang w:val="en-GB"/>
              </w:rPr>
            </w:pPr>
            <w:r>
              <w:rPr>
                <w:sz w:val="20"/>
                <w:lang w:val="en-GB"/>
              </w:rPr>
              <w:t>1996</w:t>
            </w:r>
          </w:p>
        </w:tc>
        <w:tc>
          <w:tcPr>
            <w:tcW w:w="1842" w:type="dxa"/>
          </w:tcPr>
          <w:p w:rsidR="00000000" w:rsidRDefault="00000000">
            <w:pPr>
              <w:spacing w:before="60" w:after="60"/>
              <w:jc w:val="center"/>
              <w:rPr>
                <w:sz w:val="20"/>
                <w:lang w:val="en-GB"/>
              </w:rPr>
            </w:pPr>
            <w:r>
              <w:rPr>
                <w:sz w:val="20"/>
                <w:lang w:val="en-GB"/>
              </w:rPr>
              <w:t>86.6</w:t>
            </w:r>
          </w:p>
        </w:tc>
        <w:tc>
          <w:tcPr>
            <w:tcW w:w="1842" w:type="dxa"/>
          </w:tcPr>
          <w:p w:rsidR="00000000" w:rsidRDefault="00000000">
            <w:pPr>
              <w:spacing w:before="60" w:after="60"/>
              <w:jc w:val="center"/>
              <w:rPr>
                <w:sz w:val="20"/>
                <w:lang w:val="en-GB"/>
              </w:rPr>
            </w:pPr>
            <w:r>
              <w:rPr>
                <w:sz w:val="20"/>
                <w:lang w:val="en-GB"/>
              </w:rPr>
              <w:t>100.5</w:t>
            </w:r>
          </w:p>
        </w:tc>
        <w:tc>
          <w:tcPr>
            <w:tcW w:w="1843" w:type="dxa"/>
          </w:tcPr>
          <w:p w:rsidR="00000000" w:rsidRDefault="00000000">
            <w:pPr>
              <w:spacing w:before="60" w:after="60"/>
              <w:jc w:val="center"/>
              <w:rPr>
                <w:sz w:val="20"/>
                <w:lang w:val="en-GB"/>
              </w:rPr>
            </w:pPr>
            <w:r>
              <w:rPr>
                <w:sz w:val="20"/>
                <w:lang w:val="en-GB"/>
              </w:rPr>
              <w:t>100.6</w:t>
            </w:r>
          </w:p>
        </w:tc>
        <w:tc>
          <w:tcPr>
            <w:tcW w:w="1843" w:type="dxa"/>
          </w:tcPr>
          <w:p w:rsidR="00000000" w:rsidRDefault="00000000">
            <w:pPr>
              <w:spacing w:before="60" w:after="60"/>
              <w:jc w:val="center"/>
              <w:rPr>
                <w:sz w:val="20"/>
                <w:lang w:val="en-GB"/>
              </w:rPr>
            </w:pPr>
            <w:r>
              <w:rPr>
                <w:sz w:val="20"/>
                <w:lang w:val="en-GB"/>
              </w:rPr>
              <w:t>96.9</w:t>
            </w:r>
          </w:p>
        </w:tc>
      </w:tr>
      <w:tr w:rsidR="00000000">
        <w:tblPrEx>
          <w:tblCellMar>
            <w:top w:w="0" w:type="dxa"/>
            <w:bottom w:w="0" w:type="dxa"/>
          </w:tblCellMar>
        </w:tblPrEx>
        <w:trPr>
          <w:jc w:val="center"/>
        </w:trPr>
        <w:tc>
          <w:tcPr>
            <w:tcW w:w="1842" w:type="dxa"/>
          </w:tcPr>
          <w:p w:rsidR="00000000" w:rsidRDefault="00000000">
            <w:pPr>
              <w:spacing w:before="60" w:after="60"/>
              <w:rPr>
                <w:sz w:val="20"/>
                <w:lang w:val="en-GB"/>
              </w:rPr>
            </w:pPr>
            <w:r>
              <w:rPr>
                <w:sz w:val="20"/>
                <w:lang w:val="en-GB"/>
              </w:rPr>
              <w:t>1997</w:t>
            </w:r>
          </w:p>
        </w:tc>
        <w:tc>
          <w:tcPr>
            <w:tcW w:w="1842" w:type="dxa"/>
          </w:tcPr>
          <w:p w:rsidR="00000000" w:rsidRDefault="00000000">
            <w:pPr>
              <w:spacing w:before="60" w:after="60"/>
              <w:jc w:val="center"/>
              <w:rPr>
                <w:sz w:val="20"/>
                <w:lang w:val="en-GB"/>
              </w:rPr>
            </w:pPr>
            <w:r>
              <w:rPr>
                <w:sz w:val="20"/>
                <w:lang w:val="en-GB"/>
              </w:rPr>
              <w:t>91.9</w:t>
            </w:r>
          </w:p>
        </w:tc>
        <w:tc>
          <w:tcPr>
            <w:tcW w:w="1842" w:type="dxa"/>
          </w:tcPr>
          <w:p w:rsidR="00000000" w:rsidRDefault="00000000">
            <w:pPr>
              <w:spacing w:before="60" w:after="60"/>
              <w:jc w:val="center"/>
              <w:rPr>
                <w:sz w:val="20"/>
                <w:lang w:val="en-GB"/>
              </w:rPr>
            </w:pPr>
            <w:r>
              <w:rPr>
                <w:sz w:val="20"/>
                <w:lang w:val="en-GB"/>
              </w:rPr>
              <w:t>98.6</w:t>
            </w:r>
          </w:p>
        </w:tc>
        <w:tc>
          <w:tcPr>
            <w:tcW w:w="1843" w:type="dxa"/>
          </w:tcPr>
          <w:p w:rsidR="00000000" w:rsidRDefault="00000000">
            <w:pPr>
              <w:spacing w:before="60" w:after="60"/>
              <w:jc w:val="center"/>
              <w:rPr>
                <w:sz w:val="20"/>
                <w:lang w:val="en-GB"/>
              </w:rPr>
            </w:pPr>
            <w:r>
              <w:rPr>
                <w:sz w:val="20"/>
                <w:lang w:val="en-GB"/>
              </w:rPr>
              <w:t>97.0</w:t>
            </w:r>
          </w:p>
        </w:tc>
        <w:tc>
          <w:tcPr>
            <w:tcW w:w="1843" w:type="dxa"/>
          </w:tcPr>
          <w:p w:rsidR="00000000" w:rsidRDefault="00000000">
            <w:pPr>
              <w:spacing w:before="60" w:after="60"/>
              <w:jc w:val="center"/>
              <w:rPr>
                <w:sz w:val="20"/>
                <w:lang w:val="en-GB"/>
              </w:rPr>
            </w:pPr>
            <w:r>
              <w:rPr>
                <w:sz w:val="20"/>
                <w:lang w:val="en-GB"/>
              </w:rPr>
              <w:t>98.5</w:t>
            </w:r>
          </w:p>
        </w:tc>
      </w:tr>
      <w:tr w:rsidR="00000000">
        <w:tblPrEx>
          <w:tblCellMar>
            <w:top w:w="0" w:type="dxa"/>
            <w:bottom w:w="0" w:type="dxa"/>
          </w:tblCellMar>
        </w:tblPrEx>
        <w:trPr>
          <w:jc w:val="center"/>
        </w:trPr>
        <w:tc>
          <w:tcPr>
            <w:tcW w:w="1842" w:type="dxa"/>
          </w:tcPr>
          <w:p w:rsidR="00000000" w:rsidRDefault="00000000">
            <w:pPr>
              <w:spacing w:before="60" w:after="60"/>
              <w:rPr>
                <w:sz w:val="20"/>
                <w:lang w:val="en-GB"/>
              </w:rPr>
            </w:pPr>
            <w:r>
              <w:rPr>
                <w:sz w:val="20"/>
                <w:lang w:val="en-GB"/>
              </w:rPr>
              <w:t>1998</w:t>
            </w:r>
          </w:p>
        </w:tc>
        <w:tc>
          <w:tcPr>
            <w:tcW w:w="1842" w:type="dxa"/>
          </w:tcPr>
          <w:p w:rsidR="00000000" w:rsidRDefault="00000000">
            <w:pPr>
              <w:spacing w:before="60" w:after="60"/>
              <w:jc w:val="center"/>
              <w:rPr>
                <w:sz w:val="20"/>
                <w:lang w:val="en-GB"/>
              </w:rPr>
            </w:pPr>
            <w:r>
              <w:rPr>
                <w:sz w:val="20"/>
                <w:lang w:val="en-GB"/>
              </w:rPr>
              <w:t>94.5</w:t>
            </w:r>
          </w:p>
        </w:tc>
        <w:tc>
          <w:tcPr>
            <w:tcW w:w="1842" w:type="dxa"/>
          </w:tcPr>
          <w:p w:rsidR="00000000" w:rsidRDefault="00000000">
            <w:pPr>
              <w:spacing w:before="60" w:after="60"/>
              <w:jc w:val="center"/>
              <w:rPr>
                <w:sz w:val="20"/>
                <w:lang w:val="en-GB"/>
              </w:rPr>
            </w:pPr>
            <w:r>
              <w:rPr>
                <w:sz w:val="20"/>
                <w:lang w:val="en-GB"/>
              </w:rPr>
              <w:t>99.6</w:t>
            </w:r>
          </w:p>
        </w:tc>
        <w:tc>
          <w:tcPr>
            <w:tcW w:w="1843" w:type="dxa"/>
          </w:tcPr>
          <w:p w:rsidR="00000000" w:rsidRDefault="00000000">
            <w:pPr>
              <w:spacing w:before="60" w:after="60"/>
              <w:jc w:val="center"/>
              <w:rPr>
                <w:sz w:val="20"/>
                <w:lang w:val="en-GB"/>
              </w:rPr>
            </w:pPr>
            <w:r>
              <w:rPr>
                <w:sz w:val="20"/>
                <w:lang w:val="en-GB"/>
              </w:rPr>
              <w:t>98.6</w:t>
            </w:r>
          </w:p>
        </w:tc>
        <w:tc>
          <w:tcPr>
            <w:tcW w:w="1843" w:type="dxa"/>
          </w:tcPr>
          <w:p w:rsidR="00000000" w:rsidRDefault="00000000">
            <w:pPr>
              <w:spacing w:before="60" w:after="60"/>
              <w:jc w:val="center"/>
              <w:rPr>
                <w:sz w:val="20"/>
                <w:lang w:val="en-GB"/>
              </w:rPr>
            </w:pPr>
            <w:r>
              <w:rPr>
                <w:sz w:val="20"/>
                <w:lang w:val="en-GB"/>
              </w:rPr>
              <w:t>96.2</w:t>
            </w:r>
          </w:p>
        </w:tc>
      </w:tr>
      <w:tr w:rsidR="00000000">
        <w:tblPrEx>
          <w:tblCellMar>
            <w:top w:w="0" w:type="dxa"/>
            <w:bottom w:w="0" w:type="dxa"/>
          </w:tblCellMar>
        </w:tblPrEx>
        <w:trPr>
          <w:jc w:val="center"/>
        </w:trPr>
        <w:tc>
          <w:tcPr>
            <w:tcW w:w="1842" w:type="dxa"/>
          </w:tcPr>
          <w:p w:rsidR="00000000" w:rsidRDefault="00000000">
            <w:pPr>
              <w:spacing w:before="60" w:after="60"/>
              <w:rPr>
                <w:sz w:val="20"/>
                <w:lang w:val="en-GB"/>
              </w:rPr>
            </w:pPr>
            <w:r>
              <w:rPr>
                <w:sz w:val="20"/>
                <w:lang w:val="en-GB"/>
              </w:rPr>
              <w:t>1999</w:t>
            </w:r>
          </w:p>
        </w:tc>
        <w:tc>
          <w:tcPr>
            <w:tcW w:w="1842" w:type="dxa"/>
          </w:tcPr>
          <w:p w:rsidR="00000000" w:rsidRDefault="00000000">
            <w:pPr>
              <w:spacing w:before="60" w:after="60"/>
              <w:jc w:val="center"/>
              <w:rPr>
                <w:sz w:val="20"/>
                <w:lang w:val="en-GB"/>
              </w:rPr>
            </w:pPr>
            <w:r>
              <w:rPr>
                <w:sz w:val="20"/>
                <w:lang w:val="en-GB"/>
              </w:rPr>
              <w:t>92.5</w:t>
            </w:r>
          </w:p>
        </w:tc>
        <w:tc>
          <w:tcPr>
            <w:tcW w:w="1842" w:type="dxa"/>
          </w:tcPr>
          <w:p w:rsidR="00000000" w:rsidRDefault="00000000">
            <w:pPr>
              <w:spacing w:before="60" w:after="60"/>
              <w:jc w:val="center"/>
              <w:rPr>
                <w:sz w:val="20"/>
                <w:lang w:val="en-GB"/>
              </w:rPr>
            </w:pPr>
            <w:r>
              <w:rPr>
                <w:sz w:val="20"/>
                <w:lang w:val="en-GB"/>
              </w:rPr>
              <w:t>98.9</w:t>
            </w:r>
          </w:p>
        </w:tc>
        <w:tc>
          <w:tcPr>
            <w:tcW w:w="1843" w:type="dxa"/>
          </w:tcPr>
          <w:p w:rsidR="00000000" w:rsidRDefault="00000000">
            <w:pPr>
              <w:spacing w:before="60" w:after="60"/>
              <w:jc w:val="center"/>
              <w:rPr>
                <w:sz w:val="20"/>
                <w:lang w:val="en-GB"/>
              </w:rPr>
            </w:pPr>
            <w:r>
              <w:rPr>
                <w:sz w:val="20"/>
                <w:lang w:val="en-GB"/>
              </w:rPr>
              <w:t>95.9</w:t>
            </w:r>
          </w:p>
        </w:tc>
        <w:tc>
          <w:tcPr>
            <w:tcW w:w="1843" w:type="dxa"/>
          </w:tcPr>
          <w:p w:rsidR="00000000" w:rsidRDefault="00000000">
            <w:pPr>
              <w:spacing w:before="60" w:after="60"/>
              <w:jc w:val="center"/>
              <w:rPr>
                <w:sz w:val="20"/>
                <w:lang w:val="en-GB"/>
              </w:rPr>
            </w:pPr>
            <w:r>
              <w:rPr>
                <w:sz w:val="20"/>
                <w:lang w:val="en-GB"/>
              </w:rPr>
              <w:t>97.0</w:t>
            </w:r>
          </w:p>
        </w:tc>
      </w:tr>
      <w:tr w:rsidR="00000000">
        <w:tblPrEx>
          <w:tblCellMar>
            <w:top w:w="0" w:type="dxa"/>
            <w:bottom w:w="0" w:type="dxa"/>
          </w:tblCellMar>
        </w:tblPrEx>
        <w:trPr>
          <w:jc w:val="center"/>
        </w:trPr>
        <w:tc>
          <w:tcPr>
            <w:tcW w:w="1842" w:type="dxa"/>
            <w:tcBorders>
              <w:bottom w:val="single" w:sz="4" w:space="0" w:color="auto"/>
            </w:tcBorders>
          </w:tcPr>
          <w:p w:rsidR="00000000" w:rsidRDefault="00000000">
            <w:pPr>
              <w:spacing w:before="60" w:after="60"/>
              <w:rPr>
                <w:sz w:val="20"/>
                <w:lang w:val="en-GB"/>
              </w:rPr>
            </w:pPr>
            <w:r>
              <w:rPr>
                <w:sz w:val="20"/>
                <w:lang w:val="en-GB"/>
              </w:rPr>
              <w:t>2000</w:t>
            </w:r>
          </w:p>
        </w:tc>
        <w:tc>
          <w:tcPr>
            <w:tcW w:w="1842" w:type="dxa"/>
            <w:tcBorders>
              <w:bottom w:val="single" w:sz="4" w:space="0" w:color="auto"/>
            </w:tcBorders>
          </w:tcPr>
          <w:p w:rsidR="00000000" w:rsidRDefault="00000000">
            <w:pPr>
              <w:spacing w:before="60" w:after="60"/>
              <w:jc w:val="center"/>
              <w:rPr>
                <w:sz w:val="20"/>
                <w:lang w:val="en-GB"/>
              </w:rPr>
            </w:pPr>
            <w:r>
              <w:rPr>
                <w:sz w:val="20"/>
                <w:lang w:val="en-GB"/>
              </w:rPr>
              <w:t>97.2</w:t>
            </w:r>
          </w:p>
        </w:tc>
        <w:tc>
          <w:tcPr>
            <w:tcW w:w="1842" w:type="dxa"/>
            <w:tcBorders>
              <w:bottom w:val="single" w:sz="4" w:space="0" w:color="auto"/>
            </w:tcBorders>
          </w:tcPr>
          <w:p w:rsidR="00000000" w:rsidRDefault="00000000">
            <w:pPr>
              <w:spacing w:before="60" w:after="60"/>
              <w:jc w:val="center"/>
              <w:rPr>
                <w:sz w:val="20"/>
                <w:lang w:val="en-GB"/>
              </w:rPr>
            </w:pPr>
            <w:r>
              <w:rPr>
                <w:sz w:val="20"/>
                <w:lang w:val="en-GB"/>
              </w:rPr>
              <w:t>97.7</w:t>
            </w:r>
          </w:p>
        </w:tc>
        <w:tc>
          <w:tcPr>
            <w:tcW w:w="1843" w:type="dxa"/>
            <w:tcBorders>
              <w:bottom w:val="single" w:sz="4" w:space="0" w:color="auto"/>
            </w:tcBorders>
          </w:tcPr>
          <w:p w:rsidR="00000000" w:rsidRDefault="00000000">
            <w:pPr>
              <w:spacing w:before="60" w:after="60"/>
              <w:jc w:val="center"/>
              <w:rPr>
                <w:sz w:val="20"/>
                <w:lang w:val="en-GB"/>
              </w:rPr>
            </w:pPr>
            <w:r>
              <w:rPr>
                <w:sz w:val="20"/>
                <w:lang w:val="en-GB"/>
              </w:rPr>
              <w:t>93.1</w:t>
            </w:r>
          </w:p>
        </w:tc>
        <w:tc>
          <w:tcPr>
            <w:tcW w:w="1843" w:type="dxa"/>
            <w:tcBorders>
              <w:bottom w:val="single" w:sz="4" w:space="0" w:color="auto"/>
            </w:tcBorders>
          </w:tcPr>
          <w:p w:rsidR="00000000" w:rsidRDefault="00000000">
            <w:pPr>
              <w:spacing w:before="60" w:after="60"/>
              <w:jc w:val="center"/>
              <w:rPr>
                <w:sz w:val="20"/>
                <w:lang w:val="en-GB"/>
              </w:rPr>
            </w:pPr>
            <w:r>
              <w:rPr>
                <w:sz w:val="20"/>
                <w:lang w:val="en-GB"/>
              </w:rPr>
              <w:t>93.2</w:t>
            </w:r>
          </w:p>
        </w:tc>
      </w:tr>
    </w:tbl>
    <w:p w:rsidR="00000000" w:rsidRDefault="00000000">
      <w:pPr>
        <w:tabs>
          <w:tab w:val="clear" w:pos="720"/>
        </w:tabs>
        <w:spacing w:before="80"/>
        <w:jc w:val="left"/>
        <w:rPr>
          <w:sz w:val="20"/>
          <w:lang w:val="en-GB"/>
        </w:rPr>
      </w:pPr>
      <w:r>
        <w:rPr>
          <w:sz w:val="20"/>
          <w:lang w:val="en-GB"/>
        </w:rPr>
        <w:tab/>
      </w:r>
      <w:r>
        <w:rPr>
          <w:i/>
          <w:sz w:val="20"/>
          <w:lang w:val="en-GB"/>
        </w:rPr>
        <w:t>Source</w:t>
      </w:r>
      <w:r>
        <w:rPr>
          <w:sz w:val="20"/>
          <w:lang w:val="en-GB"/>
        </w:rPr>
        <w:t>:  MINSA, Office of Statistics and Information.</w:t>
      </w:r>
    </w:p>
    <w:p w:rsidR="00000000" w:rsidRDefault="00000000">
      <w:pPr>
        <w:tabs>
          <w:tab w:val="clear" w:pos="720"/>
        </w:tabs>
        <w:jc w:val="left"/>
        <w:rPr>
          <w:sz w:val="24"/>
          <w:lang w:val="en-GB"/>
        </w:rPr>
      </w:pPr>
      <w:r>
        <w:rPr>
          <w:sz w:val="24"/>
          <w:lang w:val="en-GB"/>
        </w:rPr>
        <w:t>86.</w:t>
      </w:r>
      <w:r>
        <w:rPr>
          <w:sz w:val="24"/>
          <w:lang w:val="en-GB"/>
        </w:rPr>
        <w:tab/>
        <w:t>The Comprehensive Health Insurance Agency  was established recently (January 2002) as a financial mechanism of the Ministry of Health (MINSA) in order to help to reduce maternal and infant mortality and to provide access to health care for all pregnant women and for all children aged under four years, including the cost of medicines, treatment in hospital, diagnostic examinations, and medical materials.  The Agency’s intention is to provide free care for the poorest families.</w:t>
      </w:r>
    </w:p>
    <w:p w:rsidR="00000000" w:rsidRDefault="00000000">
      <w:pPr>
        <w:tabs>
          <w:tab w:val="clear" w:pos="720"/>
        </w:tabs>
        <w:jc w:val="left"/>
        <w:rPr>
          <w:sz w:val="24"/>
          <w:lang w:val="en-GB"/>
        </w:rPr>
      </w:pPr>
    </w:p>
    <w:p w:rsidR="00000000" w:rsidRDefault="00000000">
      <w:pPr>
        <w:tabs>
          <w:tab w:val="clear" w:pos="720"/>
        </w:tabs>
        <w:jc w:val="left"/>
        <w:rPr>
          <w:b/>
          <w:sz w:val="24"/>
          <w:lang w:val="en-GB"/>
        </w:rPr>
      </w:pPr>
      <w:r>
        <w:rPr>
          <w:b/>
          <w:sz w:val="24"/>
          <w:lang w:val="en-GB"/>
        </w:rPr>
        <w:t>2.</w:t>
      </w:r>
      <w:r>
        <w:rPr>
          <w:b/>
          <w:sz w:val="24"/>
          <w:lang w:val="en-GB"/>
        </w:rPr>
        <w:tab/>
        <w:t>Nutrition</w:t>
      </w:r>
    </w:p>
    <w:p w:rsidR="00000000" w:rsidRDefault="00000000">
      <w:pPr>
        <w:tabs>
          <w:tab w:val="clear" w:pos="720"/>
        </w:tabs>
        <w:jc w:val="left"/>
        <w:rPr>
          <w:b/>
          <w:sz w:val="24"/>
          <w:lang w:val="en-GB"/>
        </w:rPr>
      </w:pPr>
    </w:p>
    <w:p w:rsidR="00000000" w:rsidRDefault="00000000">
      <w:pPr>
        <w:tabs>
          <w:tab w:val="clear" w:pos="720"/>
        </w:tabs>
        <w:ind w:firstLine="567"/>
        <w:jc w:val="left"/>
        <w:rPr>
          <w:sz w:val="24"/>
          <w:lang w:val="en-GB"/>
        </w:rPr>
      </w:pPr>
      <w:r>
        <w:rPr>
          <w:b/>
          <w:sz w:val="24"/>
          <w:lang w:val="en-GB"/>
        </w:rPr>
        <w:t>Breastfeeding</w:t>
      </w:r>
      <w:r>
        <w:rPr>
          <w:rStyle w:val="FootnoteReference"/>
          <w:b/>
          <w:sz w:val="24"/>
          <w:lang w:val="en-GB"/>
        </w:rPr>
        <w:footnoteReference w:customMarkFollows="1" w:id="33"/>
        <w:t>33</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87.</w:t>
      </w:r>
      <w:r>
        <w:rPr>
          <w:sz w:val="24"/>
          <w:lang w:val="en-GB"/>
        </w:rPr>
        <w:tab/>
        <w:t>Breastfeeding is a widespread practice in Peru: 98 per cent of the babies born in the five years preceding  ENDES-2000 had been breastfed to some extent.  Fifty-four per cent of babies were breastfeeding within an hour of birth.</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88.</w:t>
      </w:r>
      <w:r>
        <w:rPr>
          <w:sz w:val="24"/>
          <w:lang w:val="en-GB"/>
        </w:rPr>
        <w:tab/>
        <w:t>In 2000 some 58 per cent of babies were exclusively breastfed up to the age of six months (19 per cent more than in 1996), and there was an increase in the average duration of exclusive breastfeeding from 2.7 months in 1996 to 4.2 months in 2000.  This increase was due to the effort made to mobilize resources and the implementation of institutionalized strategies and measures by MINSA.  However, exclusive breastfeeding remains under threat from cultural practices: the introduction of liquids and other diluted foods such as soups, broths and infusions of little nutritional content.</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89.</w:t>
      </w:r>
      <w:r>
        <w:rPr>
          <w:sz w:val="24"/>
          <w:lang w:val="en-GB"/>
        </w:rPr>
        <w:tab/>
        <w:t>Supplementary feeding of under-twos (during weaning) is usually insufficient in quantity, quality and frequency; this is a problem requiring priority attention, for it has an impact on a child’s nutritional state at a critical time when most of the development of the nervous system is completed.</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90.</w:t>
      </w:r>
      <w:r>
        <w:rPr>
          <w:sz w:val="24"/>
          <w:lang w:val="en-GB"/>
        </w:rPr>
        <w:tab/>
        <w:t>It is recognized that this problem and other child-nutrition problems call for improved training and further training by the personnel of the various health facilities.</w:t>
      </w:r>
    </w:p>
    <w:p w:rsidR="00000000" w:rsidRDefault="00000000">
      <w:pPr>
        <w:tabs>
          <w:tab w:val="clear" w:pos="720"/>
        </w:tabs>
        <w:jc w:val="left"/>
        <w:rPr>
          <w:sz w:val="24"/>
          <w:lang w:val="en-GB"/>
        </w:rPr>
      </w:pPr>
    </w:p>
    <w:p w:rsidR="00000000" w:rsidRDefault="00000000">
      <w:pPr>
        <w:tabs>
          <w:tab w:val="clear" w:pos="720"/>
        </w:tabs>
        <w:ind w:firstLine="567"/>
        <w:jc w:val="left"/>
        <w:rPr>
          <w:sz w:val="24"/>
          <w:lang w:val="en-GB"/>
        </w:rPr>
      </w:pPr>
      <w:r>
        <w:rPr>
          <w:b/>
          <w:sz w:val="24"/>
          <w:lang w:val="en-GB"/>
        </w:rPr>
        <w:t>Micronutrients</w:t>
      </w:r>
      <w:r>
        <w:rPr>
          <w:rStyle w:val="FootnoteReference"/>
          <w:b/>
          <w:sz w:val="24"/>
          <w:lang w:val="en-GB"/>
        </w:rPr>
        <w:footnoteReference w:customMarkFollows="1" w:id="34"/>
        <w:t>34</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91.</w:t>
      </w:r>
      <w:r>
        <w:rPr>
          <w:sz w:val="24"/>
          <w:lang w:val="en-GB"/>
        </w:rPr>
        <w:tab/>
        <w:t>Consumer surveys indicate that 58 per cent of under-twos do not take in enough energy.  They also indicate that 67 per cent of them consume insufficient vitamin A and 42 per cent insufficient iron.  These deficits are even greater in rural forest areas, where 77 per cent take in insufficient energy, 81 per cent insufficient vitamin A, and 81 per cent insufficient iron.</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92.</w:t>
      </w:r>
      <w:r>
        <w:rPr>
          <w:sz w:val="24"/>
          <w:lang w:val="en-GB"/>
        </w:rPr>
        <w:tab/>
        <w:t>In the case of vitamin-A intake, in 1999 MINSA, with PAHO and UNICEF support, introduced the provision of supplements in the areas of greatest risk with high rates of infant mortality, unsatisfied basic needs, and illiteracy.</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93.</w:t>
      </w:r>
      <w:r>
        <w:rPr>
          <w:sz w:val="24"/>
          <w:lang w:val="en-GB"/>
        </w:rPr>
        <w:tab/>
        <w:t>Anaemia, associated with a low intake of iron, is very widespread in Peru.  In 2000, 70 per cent of under-twos suffered from some degree of anaemia, most of the cases occurring among children living in the mountains (56%) and in the country’s other rural areas (53%).  Anaemia affects 71 per cent of under-fives in Cusco and more than 62 per cent in the departments of Tacna and Puno.</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94.</w:t>
      </w:r>
      <w:r>
        <w:rPr>
          <w:sz w:val="24"/>
          <w:lang w:val="en-GB"/>
        </w:rPr>
        <w:tab/>
        <w:t>In the case of disorders due to iodine deficiency Peru achieved the target of universal iodization of salt for human consumption.  The international agencies certified the virtual elimination of such disorders, and the conditions for sustainability have been maintained.</w:t>
      </w:r>
    </w:p>
    <w:p w:rsidR="00000000" w:rsidRDefault="00000000">
      <w:pPr>
        <w:tabs>
          <w:tab w:val="clear" w:pos="720"/>
        </w:tabs>
        <w:jc w:val="left"/>
        <w:rPr>
          <w:sz w:val="20"/>
          <w:lang w:val="en-GB"/>
        </w:rPr>
      </w:pPr>
    </w:p>
    <w:p w:rsidR="00000000" w:rsidRDefault="00000000">
      <w:pPr>
        <w:tabs>
          <w:tab w:val="clear" w:pos="720"/>
        </w:tabs>
        <w:jc w:val="left"/>
        <w:rPr>
          <w:sz w:val="24"/>
          <w:lang w:val="en-GB"/>
        </w:rPr>
      </w:pPr>
      <w:r>
        <w:rPr>
          <w:sz w:val="24"/>
          <w:lang w:val="en-GB"/>
        </w:rPr>
        <w:t>95.</w:t>
      </w:r>
      <w:r>
        <w:rPr>
          <w:sz w:val="24"/>
          <w:lang w:val="en-GB"/>
        </w:rPr>
        <w:tab/>
        <w:t>The micronutrient supplement programmes are being evaluated with a view to improving their coverage of the population at greatest risk.  Their effectiveness will depend on the extent to which they are adapted to the cultural patterns of the country’s different regions and on the design of access strategies for sparsely populated areas.</w:t>
      </w:r>
    </w:p>
    <w:p w:rsidR="00000000" w:rsidRDefault="00000000">
      <w:pPr>
        <w:tabs>
          <w:tab w:val="clear" w:pos="720"/>
        </w:tabs>
        <w:jc w:val="left"/>
        <w:rPr>
          <w:sz w:val="24"/>
          <w:lang w:val="en-GB"/>
        </w:rPr>
      </w:pPr>
    </w:p>
    <w:p w:rsidR="00000000" w:rsidRDefault="00000000">
      <w:pPr>
        <w:tabs>
          <w:tab w:val="clear" w:pos="720"/>
        </w:tabs>
        <w:ind w:firstLine="567"/>
        <w:jc w:val="left"/>
        <w:rPr>
          <w:sz w:val="24"/>
          <w:lang w:val="en-GB"/>
        </w:rPr>
      </w:pPr>
      <w:r>
        <w:rPr>
          <w:b/>
          <w:sz w:val="24"/>
          <w:lang w:val="en-GB"/>
        </w:rPr>
        <w:t>Chronic malnutrition</w:t>
      </w:r>
      <w:r>
        <w:rPr>
          <w:rStyle w:val="FootnoteReference"/>
          <w:b/>
          <w:bCs/>
          <w:sz w:val="24"/>
          <w:lang w:val="en-GB"/>
        </w:rPr>
        <w:footnoteReference w:customMarkFollows="1" w:id="35"/>
        <w:t>35</w:t>
      </w:r>
    </w:p>
    <w:p w:rsidR="00000000" w:rsidRDefault="00000000">
      <w:pPr>
        <w:tabs>
          <w:tab w:val="clear" w:pos="720"/>
        </w:tabs>
        <w:jc w:val="left"/>
        <w:rPr>
          <w:sz w:val="20"/>
          <w:lang w:val="en-GB"/>
        </w:rPr>
      </w:pPr>
    </w:p>
    <w:p w:rsidR="00000000" w:rsidRDefault="00000000">
      <w:pPr>
        <w:tabs>
          <w:tab w:val="clear" w:pos="720"/>
        </w:tabs>
        <w:jc w:val="left"/>
        <w:rPr>
          <w:sz w:val="24"/>
          <w:lang w:val="en-GB"/>
        </w:rPr>
      </w:pPr>
      <w:r>
        <w:rPr>
          <w:sz w:val="24"/>
          <w:lang w:val="en-GB"/>
        </w:rPr>
        <w:t>96.</w:t>
      </w:r>
      <w:r>
        <w:rPr>
          <w:sz w:val="24"/>
          <w:lang w:val="en-GB"/>
        </w:rPr>
        <w:tab/>
        <w:t>There have been no changes in the past five years in the chronic malnutrition rate among under-fives.  This means that 25 per cent of these children suffer from chronic malnutrition.  The three national surveys carried out in the past decade revealed a considerable gap between the incidence of chronic malnutrition in urban areas (13 per cent in 2000) and rural areas, where the rate remained unchanged (40 per cent in 1996 and 2000)</w:t>
      </w:r>
    </w:p>
    <w:p w:rsidR="00000000" w:rsidRDefault="00000000">
      <w:pPr>
        <w:tabs>
          <w:tab w:val="clear" w:pos="720"/>
        </w:tabs>
        <w:jc w:val="left"/>
        <w:rPr>
          <w:sz w:val="20"/>
          <w:lang w:val="en-GB"/>
        </w:rPr>
      </w:pPr>
    </w:p>
    <w:p w:rsidR="00000000" w:rsidRDefault="00000000">
      <w:pPr>
        <w:tabs>
          <w:tab w:val="clear" w:pos="720"/>
        </w:tabs>
        <w:jc w:val="left"/>
        <w:rPr>
          <w:sz w:val="24"/>
          <w:lang w:val="en-GB"/>
        </w:rPr>
      </w:pPr>
      <w:r>
        <w:rPr>
          <w:sz w:val="24"/>
          <w:lang w:val="en-GB"/>
        </w:rPr>
        <w:t>97.</w:t>
      </w:r>
      <w:r>
        <w:rPr>
          <w:sz w:val="24"/>
          <w:lang w:val="en-GB"/>
        </w:rPr>
        <w:tab/>
        <w:t>Underweight for height or acute malnutrition affects only one per cent of children and remains at a similar level as in earlier years.  It is an indicator of recent malnutrition resulting from poorer diet and/or the presence of illness in the recent past.</w:t>
      </w:r>
    </w:p>
    <w:p w:rsidR="00000000" w:rsidRDefault="00000000">
      <w:pPr>
        <w:tabs>
          <w:tab w:val="clear" w:pos="720"/>
        </w:tabs>
        <w:jc w:val="left"/>
        <w:rPr>
          <w:sz w:val="20"/>
          <w:lang w:val="en-GB"/>
        </w:rPr>
      </w:pPr>
    </w:p>
    <w:p w:rsidR="00000000" w:rsidRDefault="00000000">
      <w:pPr>
        <w:tabs>
          <w:tab w:val="clear" w:pos="720"/>
        </w:tabs>
        <w:jc w:val="left"/>
        <w:rPr>
          <w:sz w:val="24"/>
          <w:lang w:val="en-GB"/>
        </w:rPr>
      </w:pPr>
      <w:r>
        <w:rPr>
          <w:sz w:val="24"/>
          <w:lang w:val="en-GB"/>
        </w:rPr>
        <w:t>98.</w:t>
      </w:r>
      <w:r>
        <w:rPr>
          <w:sz w:val="24"/>
          <w:lang w:val="en-GB"/>
        </w:rPr>
        <w:tab/>
        <w:t>It must be stressed that the reduction of child malnutrition has not been enjoyed by the poorest population groups and has thus increased the inequity.  Given that malnutrition is closely associated with underdevelopment and poverty, it will not be possible to strengthen and improve the coordination of the existing nutrition programmes unless nutrition is made one of the first priorities on the national agenda.</w:t>
      </w:r>
    </w:p>
    <w:p w:rsidR="00000000" w:rsidRDefault="00000000">
      <w:pPr>
        <w:tabs>
          <w:tab w:val="clear" w:pos="720"/>
        </w:tabs>
        <w:jc w:val="left"/>
        <w:rPr>
          <w:sz w:val="24"/>
          <w:lang w:val="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422"/>
      </w:tblGrid>
      <w:tr w:rsidR="00000000">
        <w:tblPrEx>
          <w:tblCellMar>
            <w:top w:w="0" w:type="dxa"/>
            <w:bottom w:w="0" w:type="dxa"/>
          </w:tblCellMar>
        </w:tblPrEx>
        <w:tc>
          <w:tcPr>
            <w:tcW w:w="8522" w:type="dxa"/>
          </w:tcPr>
          <w:p w:rsidR="00000000" w:rsidRDefault="00000000">
            <w:pPr>
              <w:tabs>
                <w:tab w:val="clear" w:pos="720"/>
              </w:tabs>
              <w:spacing w:before="240"/>
              <w:ind w:left="284" w:right="284"/>
              <w:jc w:val="center"/>
              <w:rPr>
                <w:sz w:val="20"/>
                <w:lang w:val="en-GB"/>
              </w:rPr>
            </w:pPr>
            <w:r>
              <w:rPr>
                <w:b/>
                <w:sz w:val="20"/>
                <w:lang w:val="en-GB"/>
              </w:rPr>
              <w:t>National food aid programme (PRONAA)</w:t>
            </w:r>
          </w:p>
          <w:p w:rsidR="00000000" w:rsidRDefault="00000000">
            <w:pPr>
              <w:tabs>
                <w:tab w:val="clear" w:pos="720"/>
              </w:tabs>
              <w:ind w:left="284" w:right="284"/>
              <w:jc w:val="left"/>
              <w:rPr>
                <w:sz w:val="20"/>
                <w:lang w:val="en-GB"/>
              </w:rPr>
            </w:pPr>
          </w:p>
          <w:p w:rsidR="00000000" w:rsidRDefault="00000000">
            <w:pPr>
              <w:tabs>
                <w:tab w:val="clear" w:pos="720"/>
              </w:tabs>
              <w:ind w:left="284" w:right="284"/>
              <w:jc w:val="left"/>
              <w:rPr>
                <w:sz w:val="20"/>
                <w:lang w:val="en-GB"/>
              </w:rPr>
            </w:pPr>
            <w:r>
              <w:rPr>
                <w:sz w:val="20"/>
                <w:lang w:val="en-GB"/>
              </w:rPr>
              <w:t>The mission of this decentralized institution is “</w:t>
            </w:r>
            <w:r>
              <w:rPr>
                <w:b/>
                <w:sz w:val="20"/>
                <w:lang w:val="en-GB"/>
              </w:rPr>
              <w:t>To help to improve the dietary and nutritional standards of the population living in extreme poverty by carrying out food aid and food security programmes aimed principally at vulnerable groups at high nutritional risk”.</w:t>
            </w:r>
          </w:p>
          <w:p w:rsidR="00000000" w:rsidRDefault="00000000">
            <w:pPr>
              <w:tabs>
                <w:tab w:val="clear" w:pos="720"/>
              </w:tabs>
              <w:ind w:left="284" w:right="284"/>
              <w:jc w:val="left"/>
              <w:rPr>
                <w:sz w:val="20"/>
                <w:lang w:val="en-GB"/>
              </w:rPr>
            </w:pPr>
          </w:p>
          <w:p w:rsidR="00000000" w:rsidRDefault="00000000">
            <w:pPr>
              <w:tabs>
                <w:tab w:val="clear" w:pos="720"/>
              </w:tabs>
              <w:spacing w:after="120"/>
              <w:ind w:left="284" w:right="284"/>
              <w:jc w:val="left"/>
              <w:rPr>
                <w:sz w:val="20"/>
                <w:lang w:val="en-GB"/>
              </w:rPr>
            </w:pPr>
            <w:r>
              <w:rPr>
                <w:b/>
                <w:sz w:val="20"/>
                <w:lang w:val="en-GB"/>
              </w:rPr>
              <w:t>General objectives</w:t>
            </w:r>
          </w:p>
          <w:p w:rsidR="00000000" w:rsidRDefault="00000000">
            <w:pPr>
              <w:tabs>
                <w:tab w:val="clear" w:pos="720"/>
              </w:tabs>
              <w:spacing w:after="120"/>
              <w:ind w:left="1134" w:right="284" w:hanging="850"/>
              <w:jc w:val="left"/>
              <w:rPr>
                <w:sz w:val="20"/>
                <w:lang w:val="en-GB"/>
              </w:rPr>
            </w:pPr>
            <w:r>
              <w:rPr>
                <w:sz w:val="20"/>
                <w:lang w:val="en-GB"/>
              </w:rPr>
              <w:tab/>
              <w:t>(a)</w:t>
            </w:r>
            <w:r>
              <w:rPr>
                <w:sz w:val="20"/>
                <w:lang w:val="en-GB"/>
              </w:rPr>
              <w:tab/>
              <w:t>To promote the comprehensive development of women and families on the basis of gender equity;</w:t>
            </w:r>
          </w:p>
          <w:p w:rsidR="00000000" w:rsidRDefault="00000000">
            <w:pPr>
              <w:tabs>
                <w:tab w:val="clear" w:pos="720"/>
              </w:tabs>
              <w:spacing w:after="120"/>
              <w:ind w:left="1134" w:right="284" w:hanging="850"/>
              <w:jc w:val="left"/>
              <w:rPr>
                <w:sz w:val="20"/>
                <w:lang w:val="en-GB"/>
              </w:rPr>
            </w:pPr>
            <w:r>
              <w:rPr>
                <w:sz w:val="20"/>
                <w:lang w:val="en-GB"/>
              </w:rPr>
              <w:tab/>
              <w:t>(b)</w:t>
            </w:r>
            <w:r>
              <w:rPr>
                <w:sz w:val="20"/>
                <w:lang w:val="en-GB"/>
              </w:rPr>
              <w:tab/>
              <w:t>To promote the participatory and sustainable development of grass-roots social organizations and peasant and indigenous communities;</w:t>
            </w:r>
          </w:p>
          <w:p w:rsidR="00000000" w:rsidRDefault="00000000">
            <w:pPr>
              <w:tabs>
                <w:tab w:val="clear" w:pos="720"/>
              </w:tabs>
              <w:ind w:left="1135" w:right="284" w:hanging="851"/>
              <w:jc w:val="left"/>
              <w:rPr>
                <w:sz w:val="20"/>
                <w:lang w:val="en-GB"/>
              </w:rPr>
            </w:pPr>
            <w:r>
              <w:rPr>
                <w:sz w:val="20"/>
                <w:lang w:val="en-GB"/>
              </w:rPr>
              <w:tab/>
              <w:t>(c)</w:t>
            </w:r>
            <w:r>
              <w:rPr>
                <w:sz w:val="20"/>
                <w:lang w:val="en-GB"/>
              </w:rPr>
              <w:tab/>
              <w:t>To promote the development and comprehensive care of the populations at risk.</w:t>
            </w:r>
          </w:p>
          <w:p w:rsidR="00000000" w:rsidRDefault="00000000">
            <w:pPr>
              <w:tabs>
                <w:tab w:val="clear" w:pos="720"/>
              </w:tabs>
              <w:ind w:left="284" w:right="284"/>
              <w:jc w:val="left"/>
              <w:rPr>
                <w:sz w:val="20"/>
                <w:lang w:val="en-GB"/>
              </w:rPr>
            </w:pPr>
          </w:p>
          <w:p w:rsidR="00000000" w:rsidRDefault="00000000">
            <w:pPr>
              <w:tabs>
                <w:tab w:val="clear" w:pos="720"/>
              </w:tabs>
              <w:spacing w:after="120"/>
              <w:ind w:left="284" w:right="284"/>
              <w:jc w:val="left"/>
              <w:rPr>
                <w:sz w:val="20"/>
                <w:lang w:val="en-GB"/>
              </w:rPr>
            </w:pPr>
            <w:r>
              <w:rPr>
                <w:b/>
                <w:sz w:val="20"/>
                <w:lang w:val="en-GB"/>
              </w:rPr>
              <w:t>Specific objectives</w:t>
            </w:r>
          </w:p>
          <w:p w:rsidR="00000000" w:rsidRDefault="00000000">
            <w:pPr>
              <w:tabs>
                <w:tab w:val="clear" w:pos="720"/>
              </w:tabs>
              <w:ind w:left="1134" w:right="284" w:hanging="850"/>
              <w:jc w:val="left"/>
              <w:rPr>
                <w:sz w:val="20"/>
                <w:lang w:val="en-GB"/>
              </w:rPr>
            </w:pPr>
            <w:r>
              <w:rPr>
                <w:sz w:val="20"/>
                <w:lang w:val="en-GB"/>
              </w:rPr>
              <w:tab/>
              <w:t>(a)</w:t>
            </w:r>
            <w:r>
              <w:rPr>
                <w:sz w:val="20"/>
                <w:lang w:val="en-GB"/>
              </w:rPr>
              <w:tab/>
              <w:t>To promote participation by the people in order to secure the comprehensive development of an organized population;</w:t>
            </w:r>
          </w:p>
          <w:p w:rsidR="00000000" w:rsidRDefault="00000000">
            <w:pPr>
              <w:tabs>
                <w:tab w:val="clear" w:pos="720"/>
              </w:tabs>
              <w:ind w:left="284" w:right="284"/>
              <w:jc w:val="left"/>
              <w:rPr>
                <w:sz w:val="16"/>
                <w:lang w:val="en-GB"/>
              </w:rPr>
            </w:pPr>
          </w:p>
          <w:p w:rsidR="00000000" w:rsidRDefault="00000000">
            <w:pPr>
              <w:tabs>
                <w:tab w:val="clear" w:pos="720"/>
              </w:tabs>
              <w:spacing w:after="120"/>
              <w:ind w:left="1134" w:right="284" w:hanging="850"/>
              <w:jc w:val="left"/>
              <w:rPr>
                <w:sz w:val="20"/>
                <w:lang w:val="en-GB"/>
              </w:rPr>
            </w:pPr>
          </w:p>
          <w:p w:rsidR="00000000" w:rsidRDefault="00000000">
            <w:pPr>
              <w:tabs>
                <w:tab w:val="clear" w:pos="720"/>
              </w:tabs>
              <w:spacing w:after="120"/>
              <w:ind w:left="1134" w:right="284" w:hanging="850"/>
              <w:jc w:val="left"/>
              <w:rPr>
                <w:sz w:val="20"/>
                <w:lang w:val="en-GB"/>
              </w:rPr>
            </w:pPr>
            <w:r>
              <w:rPr>
                <w:sz w:val="20"/>
                <w:lang w:val="en-GB"/>
              </w:rPr>
              <w:tab/>
              <w:t>(b)</w:t>
            </w:r>
            <w:r>
              <w:rPr>
                <w:sz w:val="20"/>
                <w:lang w:val="en-GB"/>
              </w:rPr>
              <w:tab/>
              <w:t>In the medium term PRONAA must succeed in reaching the population in need of food aid and food security by taking advantage of its managerial capacity and its experience in programme leadership;</w:t>
            </w:r>
          </w:p>
          <w:p w:rsidR="00000000" w:rsidRDefault="00000000">
            <w:pPr>
              <w:tabs>
                <w:tab w:val="clear" w:pos="720"/>
              </w:tabs>
              <w:spacing w:after="120"/>
              <w:ind w:left="1134" w:right="284" w:hanging="850"/>
              <w:jc w:val="left"/>
              <w:rPr>
                <w:sz w:val="20"/>
                <w:lang w:val="en-GB"/>
              </w:rPr>
            </w:pPr>
            <w:r>
              <w:rPr>
                <w:sz w:val="20"/>
                <w:lang w:val="en-GB"/>
              </w:rPr>
              <w:tab/>
              <w:t>(c)</w:t>
            </w:r>
            <w:r>
              <w:rPr>
                <w:sz w:val="20"/>
                <w:lang w:val="en-GB"/>
              </w:rPr>
              <w:tab/>
              <w:t>To optimize the institution’s technical and administrative management capacity;</w:t>
            </w:r>
          </w:p>
          <w:p w:rsidR="00000000" w:rsidRDefault="00000000">
            <w:pPr>
              <w:tabs>
                <w:tab w:val="clear" w:pos="720"/>
              </w:tabs>
              <w:ind w:left="1135" w:right="284" w:hanging="851"/>
              <w:jc w:val="left"/>
              <w:rPr>
                <w:sz w:val="20"/>
                <w:lang w:val="en-GB"/>
              </w:rPr>
            </w:pPr>
            <w:r>
              <w:rPr>
                <w:sz w:val="20"/>
                <w:lang w:val="en-GB"/>
              </w:rPr>
              <w:tab/>
              <w:t>(d)</w:t>
            </w:r>
            <w:r>
              <w:rPr>
                <w:sz w:val="20"/>
                <w:lang w:val="en-GB"/>
              </w:rPr>
              <w:tab/>
              <w:t>To promote measures to enhance the institution’s image by converting it into an efficient and effective agency for the implementation of social programmes.</w:t>
            </w:r>
          </w:p>
          <w:p w:rsidR="00000000" w:rsidRDefault="00000000">
            <w:pPr>
              <w:tabs>
                <w:tab w:val="clear" w:pos="720"/>
              </w:tabs>
              <w:ind w:left="284" w:right="284"/>
              <w:jc w:val="left"/>
              <w:rPr>
                <w:sz w:val="20"/>
                <w:lang w:val="en-GB"/>
              </w:rPr>
            </w:pPr>
          </w:p>
          <w:p w:rsidR="00000000" w:rsidRDefault="00000000">
            <w:pPr>
              <w:tabs>
                <w:tab w:val="clear" w:pos="720"/>
              </w:tabs>
              <w:ind w:left="284" w:right="284"/>
              <w:jc w:val="left"/>
              <w:rPr>
                <w:sz w:val="20"/>
                <w:lang w:val="en-GB"/>
              </w:rPr>
            </w:pPr>
            <w:r>
              <w:rPr>
                <w:b/>
                <w:sz w:val="20"/>
                <w:lang w:val="en-GB"/>
              </w:rPr>
              <w:t>Target population</w:t>
            </w:r>
          </w:p>
          <w:p w:rsidR="00000000" w:rsidRDefault="00000000">
            <w:pPr>
              <w:tabs>
                <w:tab w:val="clear" w:pos="720"/>
              </w:tabs>
              <w:ind w:left="284" w:right="284"/>
              <w:jc w:val="left"/>
              <w:rPr>
                <w:sz w:val="20"/>
                <w:lang w:val="en-GB"/>
              </w:rPr>
            </w:pPr>
          </w:p>
          <w:p w:rsidR="00000000" w:rsidRDefault="00000000">
            <w:pPr>
              <w:tabs>
                <w:tab w:val="clear" w:pos="720"/>
              </w:tabs>
              <w:ind w:left="284" w:right="284"/>
              <w:jc w:val="left"/>
              <w:rPr>
                <w:sz w:val="20"/>
                <w:lang w:val="en-GB"/>
              </w:rPr>
            </w:pPr>
            <w:r>
              <w:rPr>
                <w:sz w:val="20"/>
                <w:lang w:val="en-GB"/>
              </w:rPr>
              <w:t>The target population consists of the groups living in conditions of extreme poverty and a situation of nutritional vulnerability.  Within this framework, priority attention is to be given to the following population groups:</w:t>
            </w:r>
          </w:p>
          <w:p w:rsidR="00000000" w:rsidRDefault="00000000">
            <w:pPr>
              <w:tabs>
                <w:tab w:val="clear" w:pos="720"/>
              </w:tabs>
              <w:ind w:left="284" w:right="284"/>
              <w:jc w:val="left"/>
              <w:rPr>
                <w:sz w:val="20"/>
                <w:lang w:val="en-GB"/>
              </w:rPr>
            </w:pPr>
          </w:p>
          <w:p w:rsidR="00000000" w:rsidRDefault="00000000">
            <w:pPr>
              <w:tabs>
                <w:tab w:val="clear" w:pos="720"/>
              </w:tabs>
              <w:spacing w:after="120"/>
              <w:ind w:left="284" w:right="284"/>
              <w:jc w:val="left"/>
              <w:rPr>
                <w:sz w:val="20"/>
                <w:lang w:val="en-GB"/>
              </w:rPr>
            </w:pPr>
            <w:r>
              <w:rPr>
                <w:sz w:val="20"/>
                <w:lang w:val="en-GB"/>
              </w:rPr>
              <w:tab/>
              <w:t>(a)</w:t>
            </w:r>
            <w:r>
              <w:rPr>
                <w:sz w:val="20"/>
                <w:lang w:val="en-GB"/>
              </w:rPr>
              <w:tab/>
              <w:t xml:space="preserve"> Children aged under five years, with the emphasis on the under-threes;</w:t>
            </w:r>
          </w:p>
          <w:p w:rsidR="00000000" w:rsidRDefault="00000000">
            <w:pPr>
              <w:tabs>
                <w:tab w:val="clear" w:pos="720"/>
              </w:tabs>
              <w:spacing w:after="120"/>
              <w:ind w:left="284" w:right="284"/>
              <w:jc w:val="left"/>
              <w:rPr>
                <w:sz w:val="20"/>
                <w:lang w:val="en-GB"/>
              </w:rPr>
            </w:pPr>
            <w:r>
              <w:rPr>
                <w:sz w:val="20"/>
                <w:lang w:val="en-GB"/>
              </w:rPr>
              <w:tab/>
              <w:t>(b)</w:t>
            </w:r>
            <w:r>
              <w:rPr>
                <w:sz w:val="20"/>
                <w:lang w:val="en-GB"/>
              </w:rPr>
              <w:tab/>
              <w:t xml:space="preserve"> Children of school age;</w:t>
            </w:r>
          </w:p>
          <w:p w:rsidR="00000000" w:rsidRDefault="00000000">
            <w:pPr>
              <w:tabs>
                <w:tab w:val="clear" w:pos="720"/>
              </w:tabs>
              <w:spacing w:after="120"/>
              <w:ind w:left="284" w:right="284"/>
              <w:jc w:val="left"/>
              <w:rPr>
                <w:sz w:val="20"/>
                <w:lang w:val="en-GB"/>
              </w:rPr>
            </w:pPr>
            <w:r>
              <w:rPr>
                <w:sz w:val="20"/>
                <w:lang w:val="en-GB"/>
              </w:rPr>
              <w:tab/>
              <w:t>(c)</w:t>
            </w:r>
            <w:r>
              <w:rPr>
                <w:sz w:val="20"/>
                <w:lang w:val="en-GB"/>
              </w:rPr>
              <w:tab/>
              <w:t xml:space="preserve"> Pregnant women and nursing mothers;</w:t>
            </w:r>
          </w:p>
          <w:p w:rsidR="00000000" w:rsidRDefault="00000000">
            <w:pPr>
              <w:tabs>
                <w:tab w:val="clear" w:pos="720"/>
              </w:tabs>
              <w:spacing w:after="120"/>
              <w:ind w:left="284" w:right="284"/>
              <w:jc w:val="left"/>
              <w:rPr>
                <w:sz w:val="20"/>
                <w:lang w:val="en-GB"/>
              </w:rPr>
            </w:pPr>
            <w:r>
              <w:rPr>
                <w:sz w:val="20"/>
                <w:lang w:val="en-GB"/>
              </w:rPr>
              <w:tab/>
              <w:t>(d)</w:t>
            </w:r>
            <w:r>
              <w:rPr>
                <w:sz w:val="20"/>
                <w:lang w:val="en-GB"/>
              </w:rPr>
              <w:tab/>
              <w:t xml:space="preserve"> Population groups in situations of nutritional risk (the sick and the elderly);</w:t>
            </w:r>
          </w:p>
          <w:p w:rsidR="00000000" w:rsidRDefault="00000000">
            <w:pPr>
              <w:tabs>
                <w:tab w:val="clear" w:pos="720"/>
              </w:tabs>
              <w:ind w:left="284" w:right="284"/>
              <w:jc w:val="left"/>
              <w:rPr>
                <w:sz w:val="20"/>
                <w:lang w:val="en-GB"/>
              </w:rPr>
            </w:pPr>
            <w:r>
              <w:rPr>
                <w:sz w:val="20"/>
                <w:lang w:val="en-GB"/>
              </w:rPr>
              <w:tab/>
              <w:t>(e)</w:t>
            </w:r>
            <w:r>
              <w:rPr>
                <w:sz w:val="20"/>
                <w:lang w:val="en-GB"/>
              </w:rPr>
              <w:tab/>
              <w:t xml:space="preserve"> Population groups in emergency situations (natural disasters or accidents).</w:t>
            </w:r>
          </w:p>
          <w:p w:rsidR="00000000" w:rsidRDefault="00000000">
            <w:pPr>
              <w:tabs>
                <w:tab w:val="clear" w:pos="720"/>
              </w:tabs>
              <w:ind w:left="284" w:right="284"/>
              <w:jc w:val="left"/>
              <w:rPr>
                <w:sz w:val="20"/>
                <w:lang w:val="en-GB"/>
              </w:rPr>
            </w:pPr>
          </w:p>
          <w:p w:rsidR="00000000" w:rsidRDefault="00000000">
            <w:pPr>
              <w:tabs>
                <w:tab w:val="clear" w:pos="720"/>
              </w:tabs>
              <w:ind w:left="284" w:right="284"/>
              <w:jc w:val="left"/>
              <w:rPr>
                <w:sz w:val="20"/>
                <w:lang w:val="en-GB"/>
              </w:rPr>
            </w:pPr>
            <w:r>
              <w:rPr>
                <w:sz w:val="20"/>
                <w:lang w:val="en-GB"/>
              </w:rPr>
              <w:t>The target population also includes organized groups (mothers’ clubs, public canteens and peasant communities) whose purposes are connected with the improvement of food security.  PRONAA also helps small agricultural producers and small-scale fishers by buying their products to guarantee the food security of the target population.</w:t>
            </w:r>
          </w:p>
          <w:p w:rsidR="00000000" w:rsidRDefault="00000000">
            <w:pPr>
              <w:tabs>
                <w:tab w:val="clear" w:pos="720"/>
              </w:tabs>
              <w:ind w:left="284" w:right="284"/>
              <w:jc w:val="left"/>
              <w:rPr>
                <w:sz w:val="20"/>
                <w:lang w:val="en-GB"/>
              </w:rPr>
            </w:pPr>
          </w:p>
          <w:p w:rsidR="00000000" w:rsidRDefault="00000000">
            <w:pPr>
              <w:tabs>
                <w:tab w:val="clear" w:pos="720"/>
              </w:tabs>
              <w:spacing w:after="120"/>
              <w:ind w:left="284" w:right="284"/>
              <w:jc w:val="left"/>
              <w:rPr>
                <w:sz w:val="20"/>
                <w:lang w:val="en-GB"/>
              </w:rPr>
            </w:pPr>
            <w:r>
              <w:rPr>
                <w:sz w:val="20"/>
                <w:lang w:val="en-GB"/>
              </w:rPr>
              <w:t>PRONAA has the following programmes for children:</w:t>
            </w:r>
            <w:r>
              <w:rPr>
                <w:rStyle w:val="FootnoteReference"/>
                <w:b/>
                <w:sz w:val="24"/>
                <w:lang w:val="en-GB"/>
              </w:rPr>
              <w:footnoteReference w:customMarkFollows="1" w:id="36"/>
              <w:t>36</w:t>
            </w:r>
          </w:p>
          <w:p w:rsidR="00000000" w:rsidRDefault="00000000">
            <w:pPr>
              <w:numPr>
                <w:ilvl w:val="0"/>
                <w:numId w:val="147"/>
              </w:numPr>
              <w:tabs>
                <w:tab w:val="clear" w:pos="720"/>
              </w:tabs>
              <w:spacing w:after="120"/>
              <w:ind w:left="924" w:right="284" w:hanging="357"/>
              <w:jc w:val="left"/>
              <w:rPr>
                <w:sz w:val="20"/>
                <w:lang w:val="en-GB"/>
              </w:rPr>
            </w:pPr>
            <w:r>
              <w:rPr>
                <w:b/>
                <w:sz w:val="20"/>
                <w:lang w:val="en-GB"/>
              </w:rPr>
              <w:t>Food Programme for Children (PAI)</w:t>
            </w:r>
            <w:r>
              <w:rPr>
                <w:sz w:val="20"/>
                <w:lang w:val="en-GB"/>
              </w:rPr>
              <w:t>, aimed at under-fives.  As of the first half of 2002 the PAI had reached out to 287,010 children and distributed 6,069 metric tons of food.</w:t>
            </w:r>
          </w:p>
          <w:p w:rsidR="00000000" w:rsidRDefault="00000000">
            <w:pPr>
              <w:numPr>
                <w:ilvl w:val="0"/>
                <w:numId w:val="147"/>
              </w:numPr>
              <w:tabs>
                <w:tab w:val="clear" w:pos="720"/>
              </w:tabs>
              <w:spacing w:after="120"/>
              <w:ind w:left="924" w:right="284" w:hanging="357"/>
              <w:jc w:val="left"/>
              <w:rPr>
                <w:sz w:val="20"/>
                <w:lang w:val="en-GB"/>
              </w:rPr>
            </w:pPr>
            <w:r>
              <w:rPr>
                <w:b/>
                <w:sz w:val="20"/>
                <w:lang w:val="en-GB"/>
              </w:rPr>
              <w:t>Food Programme for Schools (PAE)</w:t>
            </w:r>
            <w:r>
              <w:rPr>
                <w:sz w:val="20"/>
                <w:lang w:val="en-GB"/>
              </w:rPr>
              <w:t>, aimed at children aged six to 12.  As of the first half of 2002 the PAE had reached out to 802,936 children of school age and distributed 6,724 metric tons of food.</w:t>
            </w:r>
          </w:p>
          <w:p w:rsidR="00000000" w:rsidRDefault="00000000">
            <w:pPr>
              <w:numPr>
                <w:ilvl w:val="0"/>
                <w:numId w:val="147"/>
              </w:numPr>
              <w:tabs>
                <w:tab w:val="clear" w:pos="720"/>
              </w:tabs>
              <w:spacing w:after="240"/>
              <w:ind w:left="924" w:right="284" w:hanging="357"/>
              <w:jc w:val="left"/>
              <w:rPr>
                <w:sz w:val="20"/>
                <w:lang w:val="en-GB"/>
              </w:rPr>
            </w:pPr>
            <w:r>
              <w:rPr>
                <w:b/>
                <w:sz w:val="20"/>
                <w:lang w:val="en-GB"/>
              </w:rPr>
              <w:t>Children’s Programme</w:t>
            </w:r>
            <w:r>
              <w:rPr>
                <w:sz w:val="20"/>
                <w:lang w:val="en-GB"/>
              </w:rPr>
              <w:t>, aimed at children living in the hostels and homes run by the country’s various social institutions.  By the end of the first six months it had reached out to 14,469 children and distributed 317 metric tons of food.</w:t>
            </w:r>
          </w:p>
        </w:tc>
      </w:tr>
    </w:tbl>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b/>
          <w:sz w:val="24"/>
          <w:lang w:val="en-GB"/>
        </w:rPr>
        <w:t>3.</w:t>
      </w:r>
      <w:r>
        <w:rPr>
          <w:b/>
          <w:sz w:val="24"/>
          <w:lang w:val="en-GB"/>
        </w:rPr>
        <w:tab/>
        <w:t>Initial education</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99.</w:t>
      </w:r>
      <w:r>
        <w:rPr>
          <w:sz w:val="24"/>
          <w:lang w:val="en-GB"/>
        </w:rPr>
        <w:tab/>
        <w:t>Initial education is the first level of Peru’s education system and as such is intended to provide comprehensive and good-quality training to foster the development of children aged under six, respecting their identities and supporting the education services and the capacity of the family and the community to take better care of children’s early development.  This training is provided by initial education schools and special arrangements known as non-school programmes (PRONOEI).</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100.</w:t>
      </w:r>
      <w:r>
        <w:rPr>
          <w:sz w:val="24"/>
          <w:lang w:val="en-GB"/>
        </w:rPr>
        <w:tab/>
        <w:t>The net attendance rates in initial education have been as follows: for four years: boys - 49.5 per cent, and girls - 53 per cent; and for five years: boys - 66 per cent, and girls - 69 per cent.  By geographical region the figures are: Metropolitan Lima - 50 per cent; rest of the coast – 51 per cent; mountains - 40 per cent; and forest 47.5 per cent.  The following table shows the differences in the net attendance rates by region between 1997 and 2000.</w:t>
      </w:r>
    </w:p>
    <w:p w:rsidR="00000000" w:rsidRDefault="00000000">
      <w:pPr>
        <w:tabs>
          <w:tab w:val="clear" w:pos="720"/>
        </w:tabs>
        <w:jc w:val="left"/>
        <w:rPr>
          <w:sz w:val="24"/>
          <w:lang w:val="en-GB"/>
        </w:rPr>
      </w:pPr>
    </w:p>
    <w:tbl>
      <w:tblPr>
        <w:tblW w:w="0" w:type="auto"/>
        <w:jc w:val="center"/>
        <w:tblInd w:w="30" w:type="dxa"/>
        <w:tblLayout w:type="fixed"/>
        <w:tblCellMar>
          <w:left w:w="30" w:type="dxa"/>
          <w:right w:w="30" w:type="dxa"/>
        </w:tblCellMar>
        <w:tblLook w:val="0000" w:firstRow="0" w:lastRow="0" w:firstColumn="0" w:lastColumn="0" w:noHBand="0" w:noVBand="0"/>
      </w:tblPr>
      <w:tblGrid>
        <w:gridCol w:w="1724"/>
        <w:gridCol w:w="1060"/>
        <w:gridCol w:w="1260"/>
        <w:gridCol w:w="1260"/>
        <w:gridCol w:w="1260"/>
      </w:tblGrid>
      <w:tr w:rsidR="00000000">
        <w:tblPrEx>
          <w:tblCellMar>
            <w:top w:w="0" w:type="dxa"/>
            <w:bottom w:w="0" w:type="dxa"/>
          </w:tblCellMar>
        </w:tblPrEx>
        <w:trPr>
          <w:cantSplit/>
          <w:jc w:val="center"/>
        </w:trPr>
        <w:tc>
          <w:tcPr>
            <w:tcW w:w="1724" w:type="dxa"/>
            <w:vMerge w:val="restart"/>
            <w:tcBorders>
              <w:top w:val="single" w:sz="4" w:space="0" w:color="auto"/>
            </w:tcBorders>
            <w:vAlign w:val="center"/>
          </w:tcPr>
          <w:p w:rsidR="00000000" w:rsidRDefault="00000000">
            <w:pPr>
              <w:keepNext/>
              <w:spacing w:before="80" w:after="80"/>
              <w:jc w:val="center"/>
              <w:rPr>
                <w:bCs/>
                <w:i/>
                <w:iCs/>
                <w:sz w:val="20"/>
                <w:lang w:val="en-US"/>
              </w:rPr>
            </w:pPr>
            <w:r>
              <w:rPr>
                <w:bCs/>
                <w:i/>
                <w:iCs/>
                <w:sz w:val="20"/>
                <w:lang w:val="en-GB"/>
              </w:rPr>
              <w:t>Age</w:t>
            </w:r>
          </w:p>
        </w:tc>
        <w:tc>
          <w:tcPr>
            <w:tcW w:w="2320" w:type="dxa"/>
            <w:gridSpan w:val="2"/>
            <w:tcBorders>
              <w:top w:val="single" w:sz="4" w:space="0" w:color="auto"/>
            </w:tcBorders>
          </w:tcPr>
          <w:p w:rsidR="00000000" w:rsidRDefault="00000000">
            <w:pPr>
              <w:keepNext/>
              <w:pBdr>
                <w:bottom w:val="single" w:sz="4" w:space="1" w:color="auto"/>
              </w:pBdr>
              <w:spacing w:before="80" w:after="80"/>
              <w:jc w:val="center"/>
              <w:rPr>
                <w:bCs/>
                <w:i/>
                <w:iCs/>
                <w:sz w:val="20"/>
                <w:lang w:val="en-US"/>
              </w:rPr>
            </w:pPr>
            <w:r>
              <w:rPr>
                <w:bCs/>
                <w:i/>
                <w:iCs/>
                <w:sz w:val="20"/>
                <w:lang w:val="en-US"/>
              </w:rPr>
              <w:t>1997</w:t>
            </w:r>
          </w:p>
        </w:tc>
        <w:tc>
          <w:tcPr>
            <w:tcW w:w="2520" w:type="dxa"/>
            <w:gridSpan w:val="2"/>
            <w:tcBorders>
              <w:top w:val="single" w:sz="4" w:space="0" w:color="auto"/>
            </w:tcBorders>
          </w:tcPr>
          <w:p w:rsidR="00000000" w:rsidRDefault="00000000">
            <w:pPr>
              <w:pBdr>
                <w:bottom w:val="single" w:sz="4" w:space="1" w:color="auto"/>
              </w:pBdr>
              <w:spacing w:before="80" w:after="80"/>
              <w:ind w:left="113"/>
              <w:jc w:val="center"/>
              <w:rPr>
                <w:bCs/>
                <w:i/>
                <w:iCs/>
                <w:sz w:val="20"/>
                <w:lang w:val="en-US"/>
              </w:rPr>
            </w:pPr>
            <w:r>
              <w:rPr>
                <w:bCs/>
                <w:i/>
                <w:iCs/>
                <w:sz w:val="20"/>
                <w:lang w:val="en-US"/>
              </w:rPr>
              <w:t>2000</w:t>
            </w:r>
          </w:p>
        </w:tc>
      </w:tr>
      <w:tr w:rsidR="00000000">
        <w:tblPrEx>
          <w:tblCellMar>
            <w:top w:w="0" w:type="dxa"/>
            <w:bottom w:w="0" w:type="dxa"/>
          </w:tblCellMar>
        </w:tblPrEx>
        <w:trPr>
          <w:cantSplit/>
          <w:jc w:val="center"/>
        </w:trPr>
        <w:tc>
          <w:tcPr>
            <w:tcW w:w="1724" w:type="dxa"/>
            <w:vMerge/>
            <w:tcBorders>
              <w:bottom w:val="single" w:sz="4" w:space="0" w:color="auto"/>
            </w:tcBorders>
            <w:vAlign w:val="center"/>
          </w:tcPr>
          <w:p w:rsidR="00000000" w:rsidRDefault="00000000">
            <w:pPr>
              <w:keepNext/>
              <w:spacing w:before="80" w:after="80"/>
              <w:jc w:val="center"/>
              <w:rPr>
                <w:bCs/>
                <w:i/>
                <w:iCs/>
                <w:sz w:val="20"/>
                <w:lang w:val="en-US"/>
              </w:rPr>
            </w:pPr>
          </w:p>
        </w:tc>
        <w:tc>
          <w:tcPr>
            <w:tcW w:w="1060" w:type="dxa"/>
            <w:tcBorders>
              <w:bottom w:val="single" w:sz="4" w:space="0" w:color="auto"/>
            </w:tcBorders>
          </w:tcPr>
          <w:p w:rsidR="00000000" w:rsidRDefault="00000000">
            <w:pPr>
              <w:keepNext/>
              <w:spacing w:before="80" w:after="80"/>
              <w:jc w:val="center"/>
              <w:rPr>
                <w:bCs/>
                <w:i/>
                <w:iCs/>
                <w:sz w:val="20"/>
                <w:lang w:val="en-US"/>
              </w:rPr>
            </w:pPr>
            <w:r>
              <w:rPr>
                <w:bCs/>
                <w:i/>
                <w:iCs/>
                <w:sz w:val="20"/>
                <w:lang w:val="en-US"/>
              </w:rPr>
              <w:t>Urban</w:t>
            </w:r>
          </w:p>
        </w:tc>
        <w:tc>
          <w:tcPr>
            <w:tcW w:w="1260" w:type="dxa"/>
            <w:tcBorders>
              <w:bottom w:val="single" w:sz="4" w:space="0" w:color="auto"/>
            </w:tcBorders>
            <w:vAlign w:val="center"/>
          </w:tcPr>
          <w:p w:rsidR="00000000" w:rsidRDefault="00000000">
            <w:pPr>
              <w:spacing w:before="80" w:after="80"/>
              <w:jc w:val="center"/>
              <w:rPr>
                <w:bCs/>
                <w:i/>
                <w:iCs/>
                <w:sz w:val="20"/>
                <w:lang w:val="en-US"/>
              </w:rPr>
            </w:pPr>
            <w:r>
              <w:rPr>
                <w:bCs/>
                <w:i/>
                <w:iCs/>
                <w:sz w:val="20"/>
                <w:lang w:val="en-US"/>
              </w:rPr>
              <w:t>Rural</w:t>
            </w:r>
          </w:p>
        </w:tc>
        <w:tc>
          <w:tcPr>
            <w:tcW w:w="1260" w:type="dxa"/>
            <w:tcBorders>
              <w:bottom w:val="single" w:sz="4" w:space="0" w:color="auto"/>
            </w:tcBorders>
          </w:tcPr>
          <w:p w:rsidR="00000000" w:rsidRDefault="00000000">
            <w:pPr>
              <w:spacing w:before="80" w:after="80"/>
              <w:jc w:val="center"/>
              <w:rPr>
                <w:bCs/>
                <w:i/>
                <w:iCs/>
                <w:sz w:val="20"/>
                <w:lang w:val="en-US"/>
              </w:rPr>
            </w:pPr>
            <w:r>
              <w:rPr>
                <w:bCs/>
                <w:i/>
                <w:iCs/>
                <w:sz w:val="20"/>
                <w:lang w:val="en-US"/>
              </w:rPr>
              <w:t>Urban</w:t>
            </w:r>
          </w:p>
        </w:tc>
        <w:tc>
          <w:tcPr>
            <w:tcW w:w="1260" w:type="dxa"/>
            <w:tcBorders>
              <w:bottom w:val="single" w:sz="4" w:space="0" w:color="auto"/>
            </w:tcBorders>
            <w:vAlign w:val="center"/>
          </w:tcPr>
          <w:p w:rsidR="00000000" w:rsidRDefault="00000000">
            <w:pPr>
              <w:spacing w:before="80" w:after="80"/>
              <w:jc w:val="center"/>
              <w:rPr>
                <w:bCs/>
                <w:i/>
                <w:iCs/>
                <w:sz w:val="20"/>
                <w:lang w:val="en-GB"/>
              </w:rPr>
            </w:pPr>
            <w:r>
              <w:rPr>
                <w:bCs/>
                <w:i/>
                <w:iCs/>
                <w:sz w:val="20"/>
                <w:lang w:val="en-GB"/>
              </w:rPr>
              <w:t>Rural</w:t>
            </w:r>
          </w:p>
        </w:tc>
      </w:tr>
      <w:tr w:rsidR="00000000">
        <w:tblPrEx>
          <w:tblCellMar>
            <w:top w:w="0" w:type="dxa"/>
            <w:bottom w:w="0" w:type="dxa"/>
          </w:tblCellMar>
        </w:tblPrEx>
        <w:trPr>
          <w:jc w:val="center"/>
        </w:trPr>
        <w:tc>
          <w:tcPr>
            <w:tcW w:w="1724" w:type="dxa"/>
            <w:tcBorders>
              <w:top w:val="single" w:sz="4" w:space="0" w:color="auto"/>
            </w:tcBorders>
            <w:vAlign w:val="center"/>
          </w:tcPr>
          <w:p w:rsidR="00000000" w:rsidRDefault="00000000">
            <w:pPr>
              <w:keepNext/>
              <w:spacing w:before="80" w:after="80"/>
              <w:rPr>
                <w:bCs/>
                <w:sz w:val="20"/>
                <w:lang w:val="en-GB"/>
              </w:rPr>
            </w:pPr>
            <w:r>
              <w:rPr>
                <w:bCs/>
                <w:sz w:val="20"/>
                <w:lang w:val="en-GB"/>
              </w:rPr>
              <w:t>Three years</w:t>
            </w:r>
          </w:p>
        </w:tc>
        <w:tc>
          <w:tcPr>
            <w:tcW w:w="1060" w:type="dxa"/>
            <w:tcBorders>
              <w:top w:val="single" w:sz="4" w:space="0" w:color="auto"/>
            </w:tcBorders>
          </w:tcPr>
          <w:p w:rsidR="00000000" w:rsidRDefault="00000000">
            <w:pPr>
              <w:keepNext/>
              <w:spacing w:before="80" w:after="80"/>
              <w:jc w:val="center"/>
              <w:rPr>
                <w:bCs/>
                <w:sz w:val="20"/>
                <w:lang w:val="en-GB"/>
              </w:rPr>
            </w:pPr>
            <w:r>
              <w:rPr>
                <w:bCs/>
                <w:sz w:val="20"/>
                <w:lang w:val="en-GB"/>
              </w:rPr>
              <w:t>20,6</w:t>
            </w:r>
          </w:p>
        </w:tc>
        <w:tc>
          <w:tcPr>
            <w:tcW w:w="1260" w:type="dxa"/>
            <w:tcBorders>
              <w:top w:val="single" w:sz="4" w:space="0" w:color="auto"/>
            </w:tcBorders>
            <w:vAlign w:val="center"/>
          </w:tcPr>
          <w:p w:rsidR="00000000" w:rsidRDefault="00000000">
            <w:pPr>
              <w:spacing w:before="80" w:after="80"/>
              <w:jc w:val="center"/>
              <w:rPr>
                <w:bCs/>
                <w:sz w:val="20"/>
                <w:lang w:val="en-GB"/>
              </w:rPr>
            </w:pPr>
            <w:r>
              <w:rPr>
                <w:bCs/>
                <w:sz w:val="20"/>
                <w:lang w:val="en-GB"/>
              </w:rPr>
              <w:t>23,7</w:t>
            </w:r>
          </w:p>
        </w:tc>
        <w:tc>
          <w:tcPr>
            <w:tcW w:w="1260" w:type="dxa"/>
            <w:tcBorders>
              <w:top w:val="single" w:sz="4" w:space="0" w:color="auto"/>
            </w:tcBorders>
          </w:tcPr>
          <w:p w:rsidR="00000000" w:rsidRDefault="00000000">
            <w:pPr>
              <w:spacing w:before="80" w:after="80"/>
              <w:jc w:val="center"/>
              <w:rPr>
                <w:bCs/>
                <w:sz w:val="20"/>
                <w:lang w:val="en-GB"/>
              </w:rPr>
            </w:pPr>
            <w:r>
              <w:rPr>
                <w:bCs/>
                <w:sz w:val="20"/>
                <w:lang w:val="en-GB"/>
              </w:rPr>
              <w:t>29,2</w:t>
            </w:r>
          </w:p>
        </w:tc>
        <w:tc>
          <w:tcPr>
            <w:tcW w:w="1260" w:type="dxa"/>
            <w:tcBorders>
              <w:top w:val="single" w:sz="4" w:space="0" w:color="auto"/>
            </w:tcBorders>
          </w:tcPr>
          <w:p w:rsidR="00000000" w:rsidRDefault="00000000">
            <w:pPr>
              <w:spacing w:before="80" w:after="80"/>
              <w:jc w:val="center"/>
              <w:rPr>
                <w:bCs/>
                <w:sz w:val="20"/>
                <w:lang w:val="en-GB"/>
              </w:rPr>
            </w:pPr>
            <w:r>
              <w:rPr>
                <w:bCs/>
                <w:sz w:val="20"/>
                <w:lang w:val="en-GB"/>
              </w:rPr>
              <w:t>20,3</w:t>
            </w:r>
          </w:p>
        </w:tc>
      </w:tr>
      <w:tr w:rsidR="00000000">
        <w:tblPrEx>
          <w:tblCellMar>
            <w:top w:w="0" w:type="dxa"/>
            <w:bottom w:w="0" w:type="dxa"/>
          </w:tblCellMar>
        </w:tblPrEx>
        <w:trPr>
          <w:jc w:val="center"/>
        </w:trPr>
        <w:tc>
          <w:tcPr>
            <w:tcW w:w="1724" w:type="dxa"/>
            <w:vAlign w:val="center"/>
          </w:tcPr>
          <w:p w:rsidR="00000000" w:rsidRDefault="00000000">
            <w:pPr>
              <w:keepNext/>
              <w:spacing w:before="80" w:after="80"/>
              <w:rPr>
                <w:bCs/>
                <w:sz w:val="20"/>
                <w:lang w:val="en-GB"/>
              </w:rPr>
            </w:pPr>
            <w:r>
              <w:rPr>
                <w:bCs/>
                <w:sz w:val="20"/>
                <w:lang w:val="en-GB"/>
              </w:rPr>
              <w:t>Four years</w:t>
            </w:r>
          </w:p>
        </w:tc>
        <w:tc>
          <w:tcPr>
            <w:tcW w:w="1060" w:type="dxa"/>
          </w:tcPr>
          <w:p w:rsidR="00000000" w:rsidRDefault="00000000">
            <w:pPr>
              <w:keepNext/>
              <w:spacing w:before="80" w:after="80"/>
              <w:jc w:val="center"/>
              <w:rPr>
                <w:bCs/>
                <w:sz w:val="20"/>
                <w:lang w:val="en-GB"/>
              </w:rPr>
            </w:pPr>
            <w:r>
              <w:rPr>
                <w:bCs/>
                <w:sz w:val="20"/>
                <w:lang w:val="en-GB"/>
              </w:rPr>
              <w:t>54,7</w:t>
            </w:r>
          </w:p>
        </w:tc>
        <w:tc>
          <w:tcPr>
            <w:tcW w:w="1260" w:type="dxa"/>
            <w:vAlign w:val="center"/>
          </w:tcPr>
          <w:p w:rsidR="00000000" w:rsidRDefault="00000000">
            <w:pPr>
              <w:spacing w:before="80" w:after="80"/>
              <w:jc w:val="center"/>
              <w:rPr>
                <w:bCs/>
                <w:sz w:val="20"/>
                <w:lang w:val="en-GB"/>
              </w:rPr>
            </w:pPr>
            <w:r>
              <w:rPr>
                <w:bCs/>
                <w:sz w:val="20"/>
                <w:lang w:val="en-GB"/>
              </w:rPr>
              <w:t>37,1</w:t>
            </w:r>
          </w:p>
        </w:tc>
        <w:tc>
          <w:tcPr>
            <w:tcW w:w="1260" w:type="dxa"/>
          </w:tcPr>
          <w:p w:rsidR="00000000" w:rsidRDefault="00000000">
            <w:pPr>
              <w:spacing w:before="80" w:after="80"/>
              <w:jc w:val="center"/>
              <w:rPr>
                <w:bCs/>
                <w:sz w:val="20"/>
                <w:lang w:val="en-GB"/>
              </w:rPr>
            </w:pPr>
            <w:r>
              <w:rPr>
                <w:bCs/>
                <w:sz w:val="20"/>
                <w:lang w:val="en-GB"/>
              </w:rPr>
              <w:t>53,0</w:t>
            </w:r>
          </w:p>
        </w:tc>
        <w:tc>
          <w:tcPr>
            <w:tcW w:w="1260" w:type="dxa"/>
          </w:tcPr>
          <w:p w:rsidR="00000000" w:rsidRDefault="00000000">
            <w:pPr>
              <w:spacing w:before="80" w:after="80"/>
              <w:jc w:val="center"/>
              <w:rPr>
                <w:bCs/>
                <w:sz w:val="20"/>
                <w:lang w:val="en-GB"/>
              </w:rPr>
            </w:pPr>
            <w:r>
              <w:rPr>
                <w:bCs/>
                <w:sz w:val="20"/>
                <w:lang w:val="en-GB"/>
              </w:rPr>
              <w:t>49,7</w:t>
            </w:r>
          </w:p>
        </w:tc>
      </w:tr>
      <w:tr w:rsidR="00000000">
        <w:tblPrEx>
          <w:tblCellMar>
            <w:top w:w="0" w:type="dxa"/>
            <w:bottom w:w="0" w:type="dxa"/>
          </w:tblCellMar>
        </w:tblPrEx>
        <w:trPr>
          <w:jc w:val="center"/>
        </w:trPr>
        <w:tc>
          <w:tcPr>
            <w:tcW w:w="1724" w:type="dxa"/>
            <w:tcBorders>
              <w:bottom w:val="single" w:sz="4" w:space="0" w:color="auto"/>
            </w:tcBorders>
            <w:vAlign w:val="center"/>
          </w:tcPr>
          <w:p w:rsidR="00000000" w:rsidRDefault="00000000">
            <w:pPr>
              <w:keepNext/>
              <w:spacing w:before="80" w:after="80"/>
              <w:rPr>
                <w:bCs/>
                <w:sz w:val="20"/>
                <w:lang w:val="en-GB"/>
              </w:rPr>
            </w:pPr>
            <w:r>
              <w:rPr>
                <w:bCs/>
                <w:sz w:val="20"/>
                <w:lang w:val="en-GB"/>
              </w:rPr>
              <w:t>Five years</w:t>
            </w:r>
          </w:p>
        </w:tc>
        <w:tc>
          <w:tcPr>
            <w:tcW w:w="1060" w:type="dxa"/>
            <w:tcBorders>
              <w:bottom w:val="single" w:sz="4" w:space="0" w:color="auto"/>
            </w:tcBorders>
          </w:tcPr>
          <w:p w:rsidR="00000000" w:rsidRDefault="00000000">
            <w:pPr>
              <w:keepNext/>
              <w:spacing w:before="80" w:after="80"/>
              <w:jc w:val="center"/>
              <w:rPr>
                <w:bCs/>
                <w:sz w:val="20"/>
                <w:lang w:val="en-GB"/>
              </w:rPr>
            </w:pPr>
            <w:r>
              <w:rPr>
                <w:bCs/>
                <w:sz w:val="20"/>
                <w:lang w:val="en-GB"/>
              </w:rPr>
              <w:t>78,3</w:t>
            </w:r>
          </w:p>
        </w:tc>
        <w:tc>
          <w:tcPr>
            <w:tcW w:w="1260" w:type="dxa"/>
            <w:tcBorders>
              <w:bottom w:val="single" w:sz="4" w:space="0" w:color="auto"/>
            </w:tcBorders>
            <w:vAlign w:val="center"/>
          </w:tcPr>
          <w:p w:rsidR="00000000" w:rsidRDefault="00000000">
            <w:pPr>
              <w:spacing w:before="80" w:after="80"/>
              <w:jc w:val="center"/>
              <w:rPr>
                <w:bCs/>
                <w:sz w:val="20"/>
                <w:lang w:val="en-GB"/>
              </w:rPr>
            </w:pPr>
            <w:r>
              <w:rPr>
                <w:bCs/>
                <w:sz w:val="20"/>
                <w:lang w:val="en-GB"/>
              </w:rPr>
              <w:t>52,8</w:t>
            </w:r>
          </w:p>
        </w:tc>
        <w:tc>
          <w:tcPr>
            <w:tcW w:w="1260" w:type="dxa"/>
            <w:tcBorders>
              <w:bottom w:val="single" w:sz="4" w:space="0" w:color="auto"/>
            </w:tcBorders>
          </w:tcPr>
          <w:p w:rsidR="00000000" w:rsidRDefault="00000000">
            <w:pPr>
              <w:spacing w:before="80" w:after="80"/>
              <w:jc w:val="center"/>
              <w:rPr>
                <w:bCs/>
                <w:sz w:val="20"/>
                <w:lang w:val="en-GB"/>
              </w:rPr>
            </w:pPr>
            <w:r>
              <w:rPr>
                <w:bCs/>
                <w:sz w:val="20"/>
                <w:lang w:val="en-GB"/>
              </w:rPr>
              <w:t>74,2</w:t>
            </w:r>
          </w:p>
        </w:tc>
        <w:tc>
          <w:tcPr>
            <w:tcW w:w="1260" w:type="dxa"/>
            <w:tcBorders>
              <w:bottom w:val="single" w:sz="4" w:space="0" w:color="auto"/>
            </w:tcBorders>
          </w:tcPr>
          <w:p w:rsidR="00000000" w:rsidRDefault="00000000">
            <w:pPr>
              <w:spacing w:before="80" w:after="80"/>
              <w:jc w:val="center"/>
              <w:rPr>
                <w:bCs/>
                <w:sz w:val="20"/>
                <w:lang w:val="en-GB"/>
              </w:rPr>
            </w:pPr>
            <w:r>
              <w:rPr>
                <w:bCs/>
                <w:sz w:val="20"/>
                <w:lang w:val="en-GB"/>
              </w:rPr>
              <w:t>58,8</w:t>
            </w:r>
          </w:p>
        </w:tc>
      </w:tr>
    </w:tbl>
    <w:p w:rsidR="00000000" w:rsidRDefault="00000000">
      <w:pPr>
        <w:tabs>
          <w:tab w:val="clear" w:pos="720"/>
        </w:tabs>
        <w:spacing w:before="80"/>
        <w:ind w:left="567" w:firstLine="567"/>
        <w:jc w:val="left"/>
        <w:rPr>
          <w:sz w:val="20"/>
          <w:lang w:val="en-GB"/>
        </w:rPr>
      </w:pPr>
      <w:r>
        <w:rPr>
          <w:sz w:val="20"/>
          <w:lang w:val="en-GB"/>
        </w:rPr>
        <w:tab/>
      </w:r>
      <w:r>
        <w:rPr>
          <w:i/>
          <w:sz w:val="20"/>
          <w:lang w:val="en-GB"/>
        </w:rPr>
        <w:t>Source</w:t>
      </w:r>
      <w:r>
        <w:rPr>
          <w:sz w:val="20"/>
          <w:lang w:val="en-GB"/>
        </w:rPr>
        <w:t>: INEI.  National Housing Survey - Fourth Quarter.</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101.</w:t>
      </w:r>
      <w:r>
        <w:rPr>
          <w:sz w:val="24"/>
          <w:lang w:val="en-GB"/>
        </w:rPr>
        <w:tab/>
        <w:t>The non-school programmes</w:t>
      </w:r>
      <w:r>
        <w:rPr>
          <w:rStyle w:val="FootnoteReference"/>
          <w:b/>
          <w:sz w:val="24"/>
          <w:lang w:val="en-GB"/>
        </w:rPr>
        <w:footnoteReference w:customMarkFollows="1" w:id="37"/>
        <w:t>37</w:t>
      </w:r>
      <w:r>
        <w:rPr>
          <w:sz w:val="24"/>
          <w:lang w:val="en-GB"/>
        </w:rPr>
        <w:t xml:space="preserve"> number 17,000 for the whole country and cater for 400,000 children aged three to five years.  The direct and indirect educational provision for the under-threes is insufficient (especially as this is age at which the potential of the human being begins to flower): the coverage of three-year-olds was 41.5 per cent in 1999.  The non-school programmes for children aged four to five have little control over the results in poor areas and offer a very precarious service, generally limited to boring activities conducted in closed spaces.  For these and other reasons, children aged under six from extremely poor households continue to exhibit severe deficits in their early development, nutrition and health.</w:t>
      </w:r>
      <w:r>
        <w:rPr>
          <w:rStyle w:val="FootnoteReference"/>
          <w:b/>
          <w:sz w:val="24"/>
          <w:lang w:val="en-GB"/>
        </w:rPr>
        <w:footnoteReference w:customMarkFollows="1" w:id="38"/>
        <w:t>38</w:t>
      </w:r>
    </w:p>
    <w:p w:rsidR="00000000" w:rsidRDefault="00000000">
      <w:pPr>
        <w:tabs>
          <w:tab w:val="clear" w:pos="720"/>
        </w:tabs>
        <w:jc w:val="left"/>
        <w:rPr>
          <w:sz w:val="24"/>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843"/>
        <w:gridCol w:w="1268"/>
        <w:gridCol w:w="1128"/>
        <w:gridCol w:w="1128"/>
        <w:gridCol w:w="1055"/>
      </w:tblGrid>
      <w:tr w:rsidR="00000000">
        <w:tblPrEx>
          <w:tblCellMar>
            <w:top w:w="0" w:type="dxa"/>
            <w:bottom w:w="0" w:type="dxa"/>
          </w:tblCellMar>
        </w:tblPrEx>
        <w:trPr>
          <w:jc w:val="center"/>
        </w:trPr>
        <w:tc>
          <w:tcPr>
            <w:tcW w:w="9495" w:type="dxa"/>
            <w:gridSpan w:val="5"/>
          </w:tcPr>
          <w:p w:rsidR="00000000" w:rsidRDefault="00000000">
            <w:pPr>
              <w:tabs>
                <w:tab w:val="clear" w:pos="720"/>
              </w:tabs>
              <w:spacing w:before="240"/>
              <w:jc w:val="center"/>
              <w:rPr>
                <w:sz w:val="20"/>
                <w:lang w:val="en-GB"/>
              </w:rPr>
            </w:pPr>
            <w:r>
              <w:rPr>
                <w:b/>
                <w:sz w:val="20"/>
                <w:lang w:val="en-GB"/>
              </w:rPr>
              <w:t>National Wawa Wasi Programme (PNWW)</w:t>
            </w:r>
          </w:p>
          <w:p w:rsidR="00000000" w:rsidRDefault="00000000">
            <w:pPr>
              <w:tabs>
                <w:tab w:val="left" w:pos="851"/>
              </w:tabs>
              <w:spacing w:before="80" w:after="240"/>
              <w:ind w:left="284" w:right="284"/>
              <w:jc w:val="left"/>
              <w:rPr>
                <w:sz w:val="20"/>
                <w:lang w:val="es-ES"/>
              </w:rPr>
            </w:pPr>
            <w:r>
              <w:rPr>
                <w:sz w:val="20"/>
                <w:lang w:val="en-GB"/>
              </w:rPr>
              <w:t>The PNWW has been developed at the national level for children aged up to three years from poor and extremely poor homes.  It thus caters for the children of working mothers, providing a comprehensive service: a balanced diet, development stimulation, and preventive health care.  One of the pillars of this programme is the promotion and dissemination of a culture of correct upbringing designed to teach sound practices for the stimulation of children’s development.  This culture is defined as the knowledge, customs, attitudes and values possessed by the family and society in respect of the raising and care of children</w:t>
            </w:r>
          </w:p>
        </w:tc>
      </w:tr>
      <w:tr w:rsidR="00000000">
        <w:tblPrEx>
          <w:tblCellMar>
            <w:top w:w="0" w:type="dxa"/>
            <w:bottom w:w="0" w:type="dxa"/>
          </w:tblCellMar>
        </w:tblPrEx>
        <w:trPr>
          <w:jc w:val="center"/>
        </w:trPr>
        <w:tc>
          <w:tcPr>
            <w:tcW w:w="4890" w:type="dxa"/>
            <w:tcBorders>
              <w:bottom w:val="single" w:sz="4" w:space="0" w:color="auto"/>
            </w:tcBorders>
            <w:vAlign w:val="center"/>
          </w:tcPr>
          <w:p w:rsidR="00000000" w:rsidRDefault="00000000">
            <w:pPr>
              <w:spacing w:before="80" w:after="80"/>
              <w:jc w:val="center"/>
              <w:rPr>
                <w:sz w:val="20"/>
                <w:szCs w:val="24"/>
                <w:lang w:val="en-GB"/>
              </w:rPr>
            </w:pPr>
            <w:r>
              <w:rPr>
                <w:b/>
                <w:sz w:val="20"/>
                <w:lang w:val="en-GB"/>
              </w:rPr>
              <w:t>PNWW</w:t>
            </w:r>
          </w:p>
        </w:tc>
        <w:tc>
          <w:tcPr>
            <w:tcW w:w="1276" w:type="dxa"/>
            <w:tcBorders>
              <w:bottom w:val="single" w:sz="4" w:space="0" w:color="auto"/>
            </w:tcBorders>
            <w:vAlign w:val="center"/>
          </w:tcPr>
          <w:p w:rsidR="00000000" w:rsidRDefault="00000000">
            <w:pPr>
              <w:spacing w:before="80" w:after="80"/>
              <w:jc w:val="center"/>
              <w:rPr>
                <w:sz w:val="20"/>
                <w:szCs w:val="24"/>
                <w:lang w:val="en-GB"/>
              </w:rPr>
            </w:pPr>
            <w:r>
              <w:rPr>
                <w:bCs/>
                <w:sz w:val="20"/>
                <w:lang w:val="en-GB"/>
              </w:rPr>
              <w:t>1999</w:t>
            </w:r>
          </w:p>
        </w:tc>
        <w:tc>
          <w:tcPr>
            <w:tcW w:w="1134" w:type="dxa"/>
            <w:tcBorders>
              <w:bottom w:val="single" w:sz="4" w:space="0" w:color="auto"/>
            </w:tcBorders>
            <w:vAlign w:val="center"/>
          </w:tcPr>
          <w:p w:rsidR="00000000" w:rsidRDefault="00000000">
            <w:pPr>
              <w:spacing w:before="80" w:after="80"/>
              <w:jc w:val="center"/>
              <w:rPr>
                <w:sz w:val="20"/>
                <w:szCs w:val="24"/>
                <w:lang w:val="en-GB"/>
              </w:rPr>
            </w:pPr>
            <w:r>
              <w:rPr>
                <w:bCs/>
                <w:sz w:val="20"/>
                <w:lang w:val="en-GB"/>
              </w:rPr>
              <w:t>2000</w:t>
            </w:r>
          </w:p>
        </w:tc>
        <w:tc>
          <w:tcPr>
            <w:tcW w:w="1134" w:type="dxa"/>
            <w:tcBorders>
              <w:bottom w:val="single" w:sz="4" w:space="0" w:color="auto"/>
            </w:tcBorders>
          </w:tcPr>
          <w:p w:rsidR="00000000" w:rsidRDefault="00000000">
            <w:pPr>
              <w:spacing w:before="80" w:after="80"/>
              <w:jc w:val="center"/>
              <w:rPr>
                <w:sz w:val="20"/>
                <w:szCs w:val="24"/>
                <w:lang w:val="en-GB"/>
              </w:rPr>
            </w:pPr>
            <w:r>
              <w:rPr>
                <w:bCs/>
                <w:sz w:val="20"/>
                <w:lang w:val="en-GB"/>
              </w:rPr>
              <w:t>2001</w:t>
            </w:r>
          </w:p>
        </w:tc>
        <w:tc>
          <w:tcPr>
            <w:tcW w:w="1061" w:type="dxa"/>
            <w:tcBorders>
              <w:bottom w:val="single" w:sz="4" w:space="0" w:color="auto"/>
            </w:tcBorders>
            <w:vAlign w:val="center"/>
          </w:tcPr>
          <w:p w:rsidR="00000000" w:rsidRDefault="00000000">
            <w:pPr>
              <w:spacing w:before="80" w:after="80"/>
              <w:jc w:val="center"/>
              <w:rPr>
                <w:sz w:val="20"/>
                <w:szCs w:val="24"/>
                <w:lang w:val="en-GB"/>
              </w:rPr>
            </w:pPr>
            <w:r>
              <w:rPr>
                <w:rFonts w:eastAsia="Arial Unicode MS"/>
                <w:bCs/>
                <w:sz w:val="20"/>
                <w:lang w:val="en-GB"/>
              </w:rPr>
              <w:t>2002*</w:t>
            </w:r>
          </w:p>
        </w:tc>
      </w:tr>
      <w:tr w:rsidR="00000000">
        <w:tblPrEx>
          <w:tblCellMar>
            <w:top w:w="0" w:type="dxa"/>
            <w:bottom w:w="0" w:type="dxa"/>
          </w:tblCellMar>
        </w:tblPrEx>
        <w:trPr>
          <w:jc w:val="center"/>
        </w:trPr>
        <w:tc>
          <w:tcPr>
            <w:tcW w:w="4890" w:type="dxa"/>
            <w:vAlign w:val="center"/>
          </w:tcPr>
          <w:p w:rsidR="00000000" w:rsidRDefault="00000000">
            <w:pPr>
              <w:spacing w:before="80" w:after="80"/>
              <w:ind w:left="113"/>
              <w:rPr>
                <w:sz w:val="20"/>
                <w:szCs w:val="24"/>
                <w:lang w:val="en-GB"/>
              </w:rPr>
            </w:pPr>
            <w:r>
              <w:rPr>
                <w:sz w:val="20"/>
                <w:lang w:val="en-GB"/>
              </w:rPr>
              <w:t>Children covered by the programme</w:t>
            </w:r>
          </w:p>
        </w:tc>
        <w:tc>
          <w:tcPr>
            <w:tcW w:w="1276" w:type="dxa"/>
            <w:vAlign w:val="center"/>
          </w:tcPr>
          <w:p w:rsidR="00000000" w:rsidRDefault="00000000">
            <w:pPr>
              <w:tabs>
                <w:tab w:val="clear" w:pos="720"/>
              </w:tabs>
              <w:spacing w:before="80" w:after="80"/>
              <w:ind w:right="284"/>
              <w:jc w:val="right"/>
              <w:rPr>
                <w:sz w:val="20"/>
                <w:szCs w:val="24"/>
                <w:lang w:val="en-GB"/>
              </w:rPr>
            </w:pPr>
            <w:r>
              <w:rPr>
                <w:bCs/>
                <w:sz w:val="20"/>
                <w:lang w:val="en-GB"/>
              </w:rPr>
              <w:t>11</w:t>
            </w:r>
            <w:r>
              <w:rPr>
                <w:bCs/>
                <w:lang w:val="en-GB"/>
              </w:rPr>
              <w:t xml:space="preserve"> </w:t>
            </w:r>
            <w:r>
              <w:rPr>
                <w:bCs/>
                <w:sz w:val="20"/>
                <w:lang w:val="en-GB"/>
              </w:rPr>
              <w:t>736</w:t>
            </w:r>
          </w:p>
        </w:tc>
        <w:tc>
          <w:tcPr>
            <w:tcW w:w="1134" w:type="dxa"/>
            <w:vAlign w:val="center"/>
          </w:tcPr>
          <w:p w:rsidR="00000000" w:rsidRDefault="00000000">
            <w:pPr>
              <w:tabs>
                <w:tab w:val="clear" w:pos="720"/>
              </w:tabs>
              <w:spacing w:before="80" w:after="80"/>
              <w:ind w:right="284"/>
              <w:jc w:val="right"/>
              <w:rPr>
                <w:sz w:val="20"/>
                <w:szCs w:val="24"/>
                <w:lang w:val="en-GB"/>
              </w:rPr>
            </w:pPr>
            <w:r>
              <w:rPr>
                <w:bCs/>
                <w:sz w:val="20"/>
                <w:lang w:val="en-GB"/>
              </w:rPr>
              <w:t>24</w:t>
            </w:r>
            <w:r>
              <w:rPr>
                <w:bCs/>
                <w:lang w:val="en-GB"/>
              </w:rPr>
              <w:t xml:space="preserve"> </w:t>
            </w:r>
            <w:r>
              <w:rPr>
                <w:bCs/>
                <w:sz w:val="20"/>
                <w:lang w:val="en-GB"/>
              </w:rPr>
              <w:t>075</w:t>
            </w:r>
            <w:r>
              <w:rPr>
                <w:rFonts w:eastAsia="Arial Unicode MS"/>
                <w:bCs/>
                <w:sz w:val="20"/>
                <w:lang w:val="en-GB"/>
              </w:rPr>
              <w:t xml:space="preserve"> </w:t>
            </w:r>
          </w:p>
        </w:tc>
        <w:tc>
          <w:tcPr>
            <w:tcW w:w="1134" w:type="dxa"/>
            <w:vAlign w:val="center"/>
          </w:tcPr>
          <w:p w:rsidR="00000000" w:rsidRDefault="00000000">
            <w:pPr>
              <w:tabs>
                <w:tab w:val="clear" w:pos="720"/>
              </w:tabs>
              <w:spacing w:before="80" w:after="80"/>
              <w:ind w:right="284"/>
              <w:jc w:val="right"/>
              <w:rPr>
                <w:sz w:val="20"/>
                <w:szCs w:val="24"/>
                <w:lang w:val="en-GB"/>
              </w:rPr>
            </w:pPr>
            <w:r>
              <w:rPr>
                <w:bCs/>
                <w:sz w:val="20"/>
                <w:lang w:val="en-GB"/>
              </w:rPr>
              <w:t>28</w:t>
            </w:r>
            <w:r>
              <w:rPr>
                <w:bCs/>
                <w:lang w:val="en-GB"/>
              </w:rPr>
              <w:t xml:space="preserve"> </w:t>
            </w:r>
            <w:r>
              <w:rPr>
                <w:bCs/>
                <w:sz w:val="20"/>
                <w:lang w:val="en-GB"/>
              </w:rPr>
              <w:t>476</w:t>
            </w:r>
            <w:r>
              <w:rPr>
                <w:rFonts w:eastAsia="Arial Unicode MS"/>
                <w:bCs/>
                <w:sz w:val="20"/>
                <w:lang w:val="en-GB"/>
              </w:rPr>
              <w:t xml:space="preserve"> </w:t>
            </w:r>
          </w:p>
        </w:tc>
        <w:tc>
          <w:tcPr>
            <w:tcW w:w="1061" w:type="dxa"/>
            <w:vAlign w:val="center"/>
          </w:tcPr>
          <w:p w:rsidR="00000000" w:rsidRDefault="00000000">
            <w:pPr>
              <w:tabs>
                <w:tab w:val="clear" w:pos="720"/>
              </w:tabs>
              <w:spacing w:before="80" w:after="80"/>
              <w:ind w:right="284"/>
              <w:jc w:val="right"/>
              <w:rPr>
                <w:sz w:val="20"/>
                <w:szCs w:val="24"/>
                <w:lang w:val="en-GB"/>
              </w:rPr>
            </w:pPr>
            <w:r>
              <w:rPr>
                <w:rFonts w:eastAsia="Arial Unicode MS"/>
                <w:bCs/>
                <w:sz w:val="20"/>
                <w:lang w:val="en-GB"/>
              </w:rPr>
              <w:t>33</w:t>
            </w:r>
            <w:r>
              <w:rPr>
                <w:rFonts w:eastAsia="Arial Unicode MS"/>
                <w:bCs/>
                <w:lang w:val="en-GB"/>
              </w:rPr>
              <w:t xml:space="preserve"> </w:t>
            </w:r>
            <w:r>
              <w:rPr>
                <w:rFonts w:eastAsia="Arial Unicode MS"/>
                <w:bCs/>
                <w:sz w:val="20"/>
                <w:lang w:val="en-GB"/>
              </w:rPr>
              <w:t xml:space="preserve">517 </w:t>
            </w:r>
          </w:p>
        </w:tc>
      </w:tr>
      <w:tr w:rsidR="00000000">
        <w:tblPrEx>
          <w:tblCellMar>
            <w:top w:w="0" w:type="dxa"/>
            <w:bottom w:w="0" w:type="dxa"/>
          </w:tblCellMar>
        </w:tblPrEx>
        <w:trPr>
          <w:jc w:val="center"/>
        </w:trPr>
        <w:tc>
          <w:tcPr>
            <w:tcW w:w="4890" w:type="dxa"/>
            <w:vAlign w:val="center"/>
          </w:tcPr>
          <w:p w:rsidR="00000000" w:rsidRDefault="00000000">
            <w:pPr>
              <w:spacing w:before="80" w:after="80"/>
              <w:ind w:left="113"/>
              <w:rPr>
                <w:sz w:val="20"/>
                <w:szCs w:val="24"/>
                <w:lang w:val="en-GB"/>
              </w:rPr>
            </w:pPr>
            <w:r>
              <w:rPr>
                <w:sz w:val="20"/>
                <w:lang w:val="en-GB"/>
              </w:rPr>
              <w:t>Number of mothers-carers</w:t>
            </w:r>
          </w:p>
        </w:tc>
        <w:tc>
          <w:tcPr>
            <w:tcW w:w="1276" w:type="dxa"/>
            <w:vAlign w:val="center"/>
          </w:tcPr>
          <w:p w:rsidR="00000000" w:rsidRDefault="00000000">
            <w:pPr>
              <w:tabs>
                <w:tab w:val="clear" w:pos="720"/>
              </w:tabs>
              <w:spacing w:before="80" w:after="80"/>
              <w:ind w:right="284"/>
              <w:jc w:val="right"/>
              <w:rPr>
                <w:sz w:val="20"/>
                <w:szCs w:val="24"/>
                <w:lang w:val="en-GB"/>
              </w:rPr>
            </w:pPr>
            <w:r>
              <w:rPr>
                <w:bCs/>
                <w:sz w:val="20"/>
                <w:lang w:val="en-GB"/>
              </w:rPr>
              <w:t>1</w:t>
            </w:r>
            <w:r>
              <w:rPr>
                <w:bCs/>
                <w:lang w:val="en-GB"/>
              </w:rPr>
              <w:t xml:space="preserve"> </w:t>
            </w:r>
            <w:r>
              <w:rPr>
                <w:bCs/>
                <w:sz w:val="20"/>
                <w:lang w:val="en-GB"/>
              </w:rPr>
              <w:t>467</w:t>
            </w:r>
          </w:p>
        </w:tc>
        <w:tc>
          <w:tcPr>
            <w:tcW w:w="1134" w:type="dxa"/>
            <w:vAlign w:val="center"/>
          </w:tcPr>
          <w:p w:rsidR="00000000" w:rsidRDefault="00000000">
            <w:pPr>
              <w:tabs>
                <w:tab w:val="clear" w:pos="720"/>
              </w:tabs>
              <w:spacing w:before="80" w:after="80"/>
              <w:ind w:right="284"/>
              <w:jc w:val="right"/>
              <w:rPr>
                <w:sz w:val="20"/>
                <w:szCs w:val="24"/>
                <w:lang w:val="en-GB"/>
              </w:rPr>
            </w:pPr>
            <w:r>
              <w:rPr>
                <w:bCs/>
                <w:sz w:val="20"/>
                <w:lang w:val="en-GB"/>
              </w:rPr>
              <w:t>2</w:t>
            </w:r>
            <w:r>
              <w:rPr>
                <w:bCs/>
                <w:lang w:val="en-GB"/>
              </w:rPr>
              <w:t xml:space="preserve"> </w:t>
            </w:r>
            <w:r>
              <w:rPr>
                <w:bCs/>
                <w:sz w:val="20"/>
                <w:lang w:val="en-GB"/>
              </w:rPr>
              <w:t>960</w:t>
            </w:r>
            <w:r>
              <w:rPr>
                <w:rFonts w:eastAsia="Arial Unicode MS"/>
                <w:bCs/>
                <w:sz w:val="20"/>
                <w:lang w:val="en-GB"/>
              </w:rPr>
              <w:t xml:space="preserve"> </w:t>
            </w:r>
          </w:p>
        </w:tc>
        <w:tc>
          <w:tcPr>
            <w:tcW w:w="1134" w:type="dxa"/>
          </w:tcPr>
          <w:p w:rsidR="00000000" w:rsidRDefault="00000000">
            <w:pPr>
              <w:tabs>
                <w:tab w:val="clear" w:pos="720"/>
              </w:tabs>
              <w:spacing w:before="80" w:after="80"/>
              <w:ind w:right="284"/>
              <w:jc w:val="right"/>
              <w:rPr>
                <w:sz w:val="20"/>
                <w:szCs w:val="24"/>
                <w:lang w:val="en-GB"/>
              </w:rPr>
            </w:pPr>
            <w:r>
              <w:rPr>
                <w:bCs/>
                <w:sz w:val="20"/>
                <w:lang w:val="en-GB"/>
              </w:rPr>
              <w:t>3</w:t>
            </w:r>
            <w:r>
              <w:rPr>
                <w:bCs/>
                <w:lang w:val="en-GB"/>
              </w:rPr>
              <w:t xml:space="preserve"> </w:t>
            </w:r>
            <w:r>
              <w:rPr>
                <w:bCs/>
                <w:sz w:val="20"/>
                <w:lang w:val="en-GB"/>
              </w:rPr>
              <w:t xml:space="preserve">530 </w:t>
            </w:r>
          </w:p>
        </w:tc>
        <w:tc>
          <w:tcPr>
            <w:tcW w:w="1061" w:type="dxa"/>
            <w:vAlign w:val="center"/>
          </w:tcPr>
          <w:p w:rsidR="00000000" w:rsidRDefault="00000000">
            <w:pPr>
              <w:tabs>
                <w:tab w:val="clear" w:pos="720"/>
              </w:tabs>
              <w:spacing w:before="80" w:after="80"/>
              <w:ind w:right="284"/>
              <w:jc w:val="right"/>
              <w:rPr>
                <w:sz w:val="20"/>
                <w:szCs w:val="24"/>
                <w:lang w:val="en-GB"/>
              </w:rPr>
            </w:pPr>
            <w:r>
              <w:rPr>
                <w:rFonts w:eastAsia="Arial Unicode MS"/>
                <w:bCs/>
                <w:sz w:val="20"/>
                <w:lang w:val="en-GB"/>
              </w:rPr>
              <w:t>4</w:t>
            </w:r>
            <w:r>
              <w:rPr>
                <w:rFonts w:eastAsia="Arial Unicode MS"/>
                <w:bCs/>
                <w:lang w:val="en-GB"/>
              </w:rPr>
              <w:t xml:space="preserve"> </w:t>
            </w:r>
            <w:r>
              <w:rPr>
                <w:rFonts w:eastAsia="Arial Unicode MS"/>
                <w:bCs/>
                <w:sz w:val="20"/>
                <w:lang w:val="en-GB"/>
              </w:rPr>
              <w:t xml:space="preserve">149 </w:t>
            </w:r>
          </w:p>
        </w:tc>
      </w:tr>
      <w:tr w:rsidR="00000000">
        <w:tblPrEx>
          <w:tblCellMar>
            <w:top w:w="0" w:type="dxa"/>
            <w:bottom w:w="0" w:type="dxa"/>
          </w:tblCellMar>
        </w:tblPrEx>
        <w:trPr>
          <w:jc w:val="center"/>
        </w:trPr>
        <w:tc>
          <w:tcPr>
            <w:tcW w:w="4890" w:type="dxa"/>
            <w:tcBorders>
              <w:bottom w:val="single" w:sz="4" w:space="0" w:color="auto"/>
            </w:tcBorders>
            <w:vAlign w:val="center"/>
          </w:tcPr>
          <w:p w:rsidR="00000000" w:rsidRDefault="00000000">
            <w:pPr>
              <w:spacing w:before="80" w:after="80"/>
              <w:ind w:left="113"/>
              <w:rPr>
                <w:sz w:val="20"/>
                <w:szCs w:val="24"/>
                <w:lang w:val="en-GB"/>
              </w:rPr>
            </w:pPr>
            <w:r>
              <w:rPr>
                <w:sz w:val="20"/>
                <w:lang w:val="en-GB"/>
              </w:rPr>
              <w:t>Number of management committees</w:t>
            </w:r>
          </w:p>
        </w:tc>
        <w:tc>
          <w:tcPr>
            <w:tcW w:w="1276" w:type="dxa"/>
            <w:tcBorders>
              <w:bottom w:val="single" w:sz="4" w:space="0" w:color="auto"/>
            </w:tcBorders>
            <w:vAlign w:val="center"/>
          </w:tcPr>
          <w:p w:rsidR="00000000" w:rsidRDefault="00000000">
            <w:pPr>
              <w:tabs>
                <w:tab w:val="clear" w:pos="720"/>
              </w:tabs>
              <w:spacing w:before="80" w:after="80"/>
              <w:ind w:right="284"/>
              <w:jc w:val="right"/>
              <w:rPr>
                <w:sz w:val="20"/>
                <w:szCs w:val="24"/>
                <w:lang w:val="en-GB"/>
              </w:rPr>
            </w:pPr>
            <w:r>
              <w:rPr>
                <w:bCs/>
                <w:sz w:val="20"/>
                <w:lang w:val="en-GB"/>
              </w:rPr>
              <w:t>108</w:t>
            </w:r>
          </w:p>
        </w:tc>
        <w:tc>
          <w:tcPr>
            <w:tcW w:w="1134" w:type="dxa"/>
            <w:tcBorders>
              <w:bottom w:val="single" w:sz="4" w:space="0" w:color="auto"/>
            </w:tcBorders>
            <w:vAlign w:val="center"/>
          </w:tcPr>
          <w:p w:rsidR="00000000" w:rsidRDefault="00000000">
            <w:pPr>
              <w:tabs>
                <w:tab w:val="clear" w:pos="720"/>
              </w:tabs>
              <w:spacing w:before="80" w:after="80"/>
              <w:ind w:right="284"/>
              <w:jc w:val="right"/>
              <w:rPr>
                <w:sz w:val="20"/>
                <w:szCs w:val="24"/>
                <w:lang w:val="en-GB"/>
              </w:rPr>
            </w:pPr>
            <w:r>
              <w:rPr>
                <w:bCs/>
                <w:sz w:val="20"/>
                <w:lang w:val="en-GB"/>
              </w:rPr>
              <w:t>227</w:t>
            </w:r>
            <w:r>
              <w:rPr>
                <w:rFonts w:eastAsia="Arial Unicode MS"/>
                <w:bCs/>
                <w:sz w:val="20"/>
                <w:lang w:val="en-GB"/>
              </w:rPr>
              <w:t xml:space="preserve"> </w:t>
            </w:r>
          </w:p>
        </w:tc>
        <w:tc>
          <w:tcPr>
            <w:tcW w:w="1134" w:type="dxa"/>
            <w:tcBorders>
              <w:bottom w:val="single" w:sz="4" w:space="0" w:color="auto"/>
            </w:tcBorders>
          </w:tcPr>
          <w:p w:rsidR="00000000" w:rsidRDefault="00000000">
            <w:pPr>
              <w:tabs>
                <w:tab w:val="clear" w:pos="720"/>
              </w:tabs>
              <w:spacing w:before="80" w:after="80"/>
              <w:ind w:right="284"/>
              <w:jc w:val="right"/>
              <w:rPr>
                <w:sz w:val="20"/>
                <w:szCs w:val="24"/>
                <w:lang w:val="en-GB"/>
              </w:rPr>
            </w:pPr>
            <w:r>
              <w:rPr>
                <w:bCs/>
                <w:sz w:val="20"/>
                <w:lang w:val="en-GB"/>
              </w:rPr>
              <w:t xml:space="preserve">255 </w:t>
            </w:r>
          </w:p>
        </w:tc>
        <w:tc>
          <w:tcPr>
            <w:tcW w:w="1061" w:type="dxa"/>
            <w:tcBorders>
              <w:bottom w:val="single" w:sz="4" w:space="0" w:color="auto"/>
            </w:tcBorders>
            <w:vAlign w:val="center"/>
          </w:tcPr>
          <w:p w:rsidR="00000000" w:rsidRDefault="00000000">
            <w:pPr>
              <w:tabs>
                <w:tab w:val="clear" w:pos="720"/>
              </w:tabs>
              <w:spacing w:before="80" w:after="80"/>
              <w:ind w:right="284"/>
              <w:jc w:val="right"/>
              <w:rPr>
                <w:sz w:val="20"/>
                <w:szCs w:val="24"/>
                <w:lang w:val="en-GB"/>
              </w:rPr>
            </w:pPr>
            <w:r>
              <w:rPr>
                <w:rFonts w:eastAsia="Arial Unicode MS"/>
                <w:bCs/>
                <w:sz w:val="20"/>
                <w:lang w:val="en-GB"/>
              </w:rPr>
              <w:t xml:space="preserve">316 </w:t>
            </w:r>
          </w:p>
        </w:tc>
      </w:tr>
      <w:tr w:rsidR="00000000">
        <w:tblPrEx>
          <w:tblCellMar>
            <w:top w:w="0" w:type="dxa"/>
            <w:bottom w:w="0" w:type="dxa"/>
          </w:tblCellMar>
        </w:tblPrEx>
        <w:trPr>
          <w:jc w:val="center"/>
        </w:trPr>
        <w:tc>
          <w:tcPr>
            <w:tcW w:w="4890" w:type="dxa"/>
            <w:tcBorders>
              <w:bottom w:val="single" w:sz="4" w:space="0" w:color="auto"/>
            </w:tcBorders>
            <w:vAlign w:val="center"/>
          </w:tcPr>
          <w:p w:rsidR="00000000" w:rsidRDefault="00000000">
            <w:pPr>
              <w:spacing w:before="80" w:after="80"/>
              <w:ind w:left="113"/>
              <w:rPr>
                <w:sz w:val="20"/>
                <w:szCs w:val="24"/>
                <w:lang w:val="en-GB"/>
              </w:rPr>
            </w:pPr>
            <w:r>
              <w:rPr>
                <w:sz w:val="20"/>
                <w:lang w:val="en-GB"/>
              </w:rPr>
              <w:t>Number of Wawa Wasis</w:t>
            </w:r>
          </w:p>
        </w:tc>
        <w:tc>
          <w:tcPr>
            <w:tcW w:w="1276" w:type="dxa"/>
            <w:tcBorders>
              <w:bottom w:val="single" w:sz="4" w:space="0" w:color="auto"/>
            </w:tcBorders>
            <w:vAlign w:val="center"/>
          </w:tcPr>
          <w:p w:rsidR="00000000" w:rsidRDefault="00000000">
            <w:pPr>
              <w:tabs>
                <w:tab w:val="clear" w:pos="720"/>
              </w:tabs>
              <w:spacing w:before="80" w:after="80"/>
              <w:ind w:right="284"/>
              <w:jc w:val="right"/>
              <w:rPr>
                <w:sz w:val="20"/>
                <w:szCs w:val="24"/>
                <w:lang w:val="en-GB"/>
              </w:rPr>
            </w:pPr>
            <w:r>
              <w:rPr>
                <w:bCs/>
                <w:sz w:val="20"/>
                <w:lang w:val="en-GB"/>
              </w:rPr>
              <w:t>1</w:t>
            </w:r>
            <w:r>
              <w:rPr>
                <w:bCs/>
                <w:lang w:val="en-GB"/>
              </w:rPr>
              <w:t xml:space="preserve"> </w:t>
            </w:r>
            <w:r>
              <w:rPr>
                <w:bCs/>
                <w:sz w:val="20"/>
                <w:lang w:val="en-GB"/>
              </w:rPr>
              <w:t>074</w:t>
            </w:r>
          </w:p>
        </w:tc>
        <w:tc>
          <w:tcPr>
            <w:tcW w:w="1134" w:type="dxa"/>
            <w:tcBorders>
              <w:bottom w:val="single" w:sz="4" w:space="0" w:color="auto"/>
            </w:tcBorders>
            <w:vAlign w:val="center"/>
          </w:tcPr>
          <w:p w:rsidR="00000000" w:rsidRDefault="00000000">
            <w:pPr>
              <w:tabs>
                <w:tab w:val="clear" w:pos="720"/>
              </w:tabs>
              <w:spacing w:before="80" w:after="80"/>
              <w:ind w:right="284"/>
              <w:jc w:val="right"/>
              <w:rPr>
                <w:sz w:val="20"/>
                <w:szCs w:val="24"/>
                <w:lang w:val="en-GB"/>
              </w:rPr>
            </w:pPr>
            <w:r>
              <w:rPr>
                <w:bCs/>
                <w:sz w:val="20"/>
                <w:lang w:val="en-GB"/>
              </w:rPr>
              <w:t>2</w:t>
            </w:r>
            <w:r>
              <w:rPr>
                <w:bCs/>
                <w:lang w:val="en-GB"/>
              </w:rPr>
              <w:t xml:space="preserve"> </w:t>
            </w:r>
            <w:r>
              <w:rPr>
                <w:bCs/>
                <w:sz w:val="20"/>
                <w:lang w:val="en-GB"/>
              </w:rPr>
              <w:t>702</w:t>
            </w:r>
            <w:r>
              <w:rPr>
                <w:rFonts w:eastAsia="Arial Unicode MS"/>
                <w:bCs/>
                <w:sz w:val="20"/>
                <w:lang w:val="en-GB"/>
              </w:rPr>
              <w:t xml:space="preserve"> </w:t>
            </w:r>
          </w:p>
        </w:tc>
        <w:tc>
          <w:tcPr>
            <w:tcW w:w="1134" w:type="dxa"/>
            <w:tcBorders>
              <w:bottom w:val="single" w:sz="4" w:space="0" w:color="auto"/>
            </w:tcBorders>
            <w:vAlign w:val="center"/>
          </w:tcPr>
          <w:p w:rsidR="00000000" w:rsidRDefault="00000000">
            <w:pPr>
              <w:tabs>
                <w:tab w:val="clear" w:pos="720"/>
              </w:tabs>
              <w:spacing w:before="80" w:after="80"/>
              <w:ind w:right="284"/>
              <w:jc w:val="right"/>
              <w:rPr>
                <w:sz w:val="20"/>
                <w:szCs w:val="24"/>
                <w:lang w:val="en-GB"/>
              </w:rPr>
            </w:pPr>
            <w:r>
              <w:rPr>
                <w:bCs/>
                <w:sz w:val="20"/>
                <w:lang w:val="en-GB"/>
              </w:rPr>
              <w:t>3</w:t>
            </w:r>
            <w:r>
              <w:rPr>
                <w:bCs/>
                <w:lang w:val="en-GB"/>
              </w:rPr>
              <w:t xml:space="preserve"> </w:t>
            </w:r>
            <w:r>
              <w:rPr>
                <w:bCs/>
                <w:sz w:val="20"/>
                <w:lang w:val="en-GB"/>
              </w:rPr>
              <w:t>215</w:t>
            </w:r>
            <w:r>
              <w:rPr>
                <w:rFonts w:eastAsia="Arial Unicode MS"/>
                <w:bCs/>
                <w:sz w:val="20"/>
                <w:lang w:val="en-GB"/>
              </w:rPr>
              <w:t xml:space="preserve"> </w:t>
            </w:r>
          </w:p>
        </w:tc>
        <w:tc>
          <w:tcPr>
            <w:tcW w:w="1061" w:type="dxa"/>
            <w:tcBorders>
              <w:bottom w:val="single" w:sz="4" w:space="0" w:color="auto"/>
            </w:tcBorders>
            <w:vAlign w:val="center"/>
          </w:tcPr>
          <w:p w:rsidR="00000000" w:rsidRDefault="00000000">
            <w:pPr>
              <w:tabs>
                <w:tab w:val="clear" w:pos="720"/>
              </w:tabs>
              <w:spacing w:before="80" w:after="80"/>
              <w:ind w:right="284"/>
              <w:jc w:val="right"/>
              <w:rPr>
                <w:sz w:val="20"/>
                <w:szCs w:val="24"/>
                <w:lang w:val="en-GB"/>
              </w:rPr>
            </w:pPr>
            <w:r>
              <w:rPr>
                <w:bCs/>
                <w:sz w:val="20"/>
                <w:lang w:val="en-GB"/>
              </w:rPr>
              <w:t>3</w:t>
            </w:r>
            <w:r>
              <w:rPr>
                <w:bCs/>
                <w:lang w:val="en-GB"/>
              </w:rPr>
              <w:t xml:space="preserve"> </w:t>
            </w:r>
            <w:r>
              <w:rPr>
                <w:bCs/>
                <w:sz w:val="20"/>
                <w:lang w:val="en-GB"/>
              </w:rPr>
              <w:t>874</w:t>
            </w:r>
            <w:r>
              <w:rPr>
                <w:sz w:val="20"/>
                <w:lang w:val="en-GB"/>
              </w:rPr>
              <w:t xml:space="preserve"> </w:t>
            </w:r>
          </w:p>
        </w:tc>
      </w:tr>
    </w:tbl>
    <w:p w:rsidR="00000000" w:rsidRDefault="00000000">
      <w:pPr>
        <w:tabs>
          <w:tab w:val="clear" w:pos="720"/>
        </w:tabs>
        <w:spacing w:before="80"/>
        <w:ind w:firstLine="567"/>
        <w:jc w:val="left"/>
        <w:rPr>
          <w:sz w:val="20"/>
          <w:lang w:val="en-GB"/>
        </w:rPr>
      </w:pPr>
      <w:r>
        <w:rPr>
          <w:sz w:val="20"/>
          <w:lang w:val="en-GB"/>
        </w:rPr>
        <w:t>*  Figures up to June 2002</w:t>
      </w:r>
    </w:p>
    <w:p w:rsidR="00000000" w:rsidRDefault="00000000">
      <w:pPr>
        <w:tabs>
          <w:tab w:val="clear" w:pos="720"/>
        </w:tabs>
        <w:ind w:firstLine="567"/>
        <w:jc w:val="left"/>
        <w:rPr>
          <w:sz w:val="20"/>
          <w:lang w:val="en-GB"/>
        </w:rPr>
      </w:pPr>
      <w:r>
        <w:rPr>
          <w:i/>
          <w:sz w:val="20"/>
          <w:lang w:val="en-GB"/>
        </w:rPr>
        <w:t>Source</w:t>
      </w:r>
      <w:r>
        <w:rPr>
          <w:sz w:val="20"/>
          <w:lang w:val="en-GB"/>
        </w:rPr>
        <w:t>: National Wawa Wasi Programme</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102.</w:t>
      </w:r>
      <w:r>
        <w:rPr>
          <w:sz w:val="24"/>
          <w:lang w:val="en-GB"/>
        </w:rPr>
        <w:tab/>
        <w:t>The following projects are currently being executed in initial and primary education:</w:t>
      </w:r>
    </w:p>
    <w:p w:rsidR="00000000" w:rsidRDefault="00000000">
      <w:pPr>
        <w:tabs>
          <w:tab w:val="clear" w:pos="720"/>
        </w:tabs>
        <w:jc w:val="left"/>
        <w:rPr>
          <w:sz w:val="24"/>
          <w:lang w:val="en-GB"/>
        </w:rPr>
      </w:pPr>
    </w:p>
    <w:p w:rsidR="00000000" w:rsidRDefault="00000000">
      <w:pPr>
        <w:tabs>
          <w:tab w:val="clear" w:pos="720"/>
        </w:tabs>
        <w:ind w:left="1134" w:hanging="1134"/>
        <w:jc w:val="left"/>
        <w:rPr>
          <w:sz w:val="24"/>
          <w:lang w:val="en-GB"/>
        </w:rPr>
      </w:pPr>
      <w:r>
        <w:rPr>
          <w:sz w:val="24"/>
          <w:lang w:val="en-GB"/>
        </w:rPr>
        <w:tab/>
        <w:t>(a)</w:t>
      </w:r>
      <w:r>
        <w:rPr>
          <w:sz w:val="24"/>
          <w:lang w:val="en-GB"/>
        </w:rPr>
        <w:tab/>
      </w:r>
      <w:r>
        <w:rPr>
          <w:b/>
          <w:sz w:val="24"/>
          <w:lang w:val="en-GB"/>
        </w:rPr>
        <w:t>The radio brings us together.</w:t>
      </w:r>
      <w:r>
        <w:rPr>
          <w:sz w:val="24"/>
          <w:lang w:val="en-GB"/>
        </w:rPr>
        <w:t xml:space="preserve">  This project is designed to improve the quality and equity of basic education in rural areas by means of radio broadcasts; it is implemented by the Ministry of Education and funded by the Organization of American States.  Participating countries: Chile, Colombia, Mexico, Peru and Venezuela;</w:t>
      </w:r>
    </w:p>
    <w:p w:rsidR="00000000" w:rsidRDefault="00000000">
      <w:pPr>
        <w:tabs>
          <w:tab w:val="clear" w:pos="720"/>
        </w:tabs>
        <w:jc w:val="left"/>
        <w:rPr>
          <w:sz w:val="24"/>
          <w:lang w:val="en-GB"/>
        </w:rPr>
      </w:pPr>
    </w:p>
    <w:p w:rsidR="00000000" w:rsidRDefault="00000000">
      <w:pPr>
        <w:tabs>
          <w:tab w:val="clear" w:pos="720"/>
        </w:tabs>
        <w:ind w:left="1134" w:hanging="1134"/>
        <w:jc w:val="left"/>
        <w:rPr>
          <w:sz w:val="24"/>
          <w:lang w:val="en-GB"/>
        </w:rPr>
      </w:pPr>
      <w:r>
        <w:rPr>
          <w:sz w:val="24"/>
          <w:lang w:val="en-GB"/>
        </w:rPr>
        <w:tab/>
        <w:t>(b)</w:t>
      </w:r>
      <w:r>
        <w:rPr>
          <w:sz w:val="24"/>
          <w:lang w:val="en-GB"/>
        </w:rPr>
        <w:tab/>
      </w:r>
      <w:r>
        <w:rPr>
          <w:b/>
          <w:sz w:val="24"/>
          <w:lang w:val="en-GB"/>
        </w:rPr>
        <w:t>Schools of the future.</w:t>
      </w:r>
      <w:r>
        <w:rPr>
          <w:sz w:val="24"/>
          <w:lang w:val="en-GB"/>
        </w:rPr>
        <w:t xml:space="preserve">  This pilot project is designed to ensure that pupils use information technology in the form of special software by promoting the development of their abilities and attitudes and through introductory projects;</w:t>
      </w:r>
    </w:p>
    <w:p w:rsidR="00000000" w:rsidRDefault="00000000">
      <w:pPr>
        <w:tabs>
          <w:tab w:val="clear" w:pos="720"/>
        </w:tabs>
        <w:jc w:val="left"/>
        <w:rPr>
          <w:sz w:val="24"/>
          <w:lang w:val="en-GB"/>
        </w:rPr>
      </w:pPr>
    </w:p>
    <w:p w:rsidR="00000000" w:rsidRDefault="00000000">
      <w:pPr>
        <w:tabs>
          <w:tab w:val="clear" w:pos="720"/>
        </w:tabs>
        <w:ind w:left="1134" w:hanging="1134"/>
        <w:jc w:val="left"/>
        <w:rPr>
          <w:sz w:val="24"/>
          <w:lang w:val="en-GB"/>
        </w:rPr>
      </w:pPr>
      <w:r>
        <w:rPr>
          <w:sz w:val="24"/>
          <w:lang w:val="en-GB"/>
        </w:rPr>
        <w:tab/>
        <w:t>(c)</w:t>
      </w:r>
      <w:r>
        <w:rPr>
          <w:sz w:val="24"/>
          <w:lang w:val="en-GB"/>
        </w:rPr>
        <w:tab/>
      </w:r>
      <w:r>
        <w:rPr>
          <w:b/>
          <w:sz w:val="24"/>
          <w:lang w:val="en-GB"/>
        </w:rPr>
        <w:t>Educational materials project - Andrés Bello Agreement.</w:t>
      </w:r>
      <w:r>
        <w:rPr>
          <w:sz w:val="24"/>
          <w:lang w:val="en-GB"/>
        </w:rPr>
        <w:t xml:space="preserve">  This project is being implemented under the Andrés Bello Agreement, one of whose purposes is to improve education systems; the aim is to build up the national capacity of Bolivia, Ecuador and Peru to produce innovative educational materials to enhance the quality of education in primary schools in the areas of integrated communications, mathematical logic and science, and the environment.</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b/>
          <w:sz w:val="24"/>
          <w:lang w:val="en-GB"/>
        </w:rPr>
        <w:t>4.</w:t>
      </w:r>
      <w:r>
        <w:rPr>
          <w:b/>
          <w:sz w:val="24"/>
          <w:lang w:val="en-GB"/>
        </w:rPr>
        <w:tab/>
        <w:t>The right to a name</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103.</w:t>
      </w:r>
      <w:r>
        <w:rPr>
          <w:sz w:val="24"/>
          <w:lang w:val="en-GB"/>
        </w:rPr>
        <w:tab/>
        <w:t>It is essential for the purposes of personal identification for births to be recorded at a registry office and for the corresponding certificate to be issued.  The exercise of the right to a name depends not only on prompt registration but also on correction of failure to register a birth; the causes of such failure include:</w:t>
      </w:r>
    </w:p>
    <w:p w:rsidR="00000000" w:rsidRDefault="00000000">
      <w:pPr>
        <w:tabs>
          <w:tab w:val="clear" w:pos="720"/>
        </w:tabs>
        <w:jc w:val="left"/>
        <w:rPr>
          <w:sz w:val="24"/>
          <w:lang w:val="en-GB"/>
        </w:rPr>
      </w:pPr>
    </w:p>
    <w:p w:rsidR="00000000" w:rsidRDefault="00000000">
      <w:pPr>
        <w:numPr>
          <w:ilvl w:val="0"/>
          <w:numId w:val="148"/>
        </w:numPr>
        <w:tabs>
          <w:tab w:val="clear" w:pos="720"/>
        </w:tabs>
        <w:spacing w:after="200"/>
        <w:jc w:val="left"/>
        <w:rPr>
          <w:sz w:val="24"/>
          <w:lang w:val="en-GB"/>
        </w:rPr>
      </w:pPr>
      <w:r>
        <w:rPr>
          <w:sz w:val="24"/>
          <w:lang w:val="en-GB"/>
        </w:rPr>
        <w:t>Distance from a registry office</w:t>
      </w:r>
    </w:p>
    <w:p w:rsidR="00000000" w:rsidRDefault="00000000">
      <w:pPr>
        <w:numPr>
          <w:ilvl w:val="0"/>
          <w:numId w:val="148"/>
        </w:numPr>
        <w:tabs>
          <w:tab w:val="clear" w:pos="720"/>
        </w:tabs>
        <w:spacing w:after="200"/>
        <w:jc w:val="left"/>
        <w:rPr>
          <w:sz w:val="24"/>
          <w:lang w:val="en-GB"/>
        </w:rPr>
      </w:pPr>
      <w:r>
        <w:rPr>
          <w:sz w:val="24"/>
          <w:lang w:val="en-GB"/>
        </w:rPr>
        <w:t>Shortcomings of municipal registry offices</w:t>
      </w:r>
    </w:p>
    <w:p w:rsidR="00000000" w:rsidRDefault="00000000">
      <w:pPr>
        <w:numPr>
          <w:ilvl w:val="0"/>
          <w:numId w:val="148"/>
        </w:numPr>
        <w:tabs>
          <w:tab w:val="clear" w:pos="720"/>
        </w:tabs>
        <w:spacing w:after="200"/>
        <w:jc w:val="left"/>
        <w:rPr>
          <w:sz w:val="24"/>
          <w:lang w:val="en-GB"/>
        </w:rPr>
      </w:pPr>
      <w:r>
        <w:rPr>
          <w:sz w:val="24"/>
          <w:lang w:val="en-GB"/>
        </w:rPr>
        <w:t>Inadequate legal provisions which impair the credibility of the requirement of registration</w:t>
      </w:r>
    </w:p>
    <w:p w:rsidR="00000000" w:rsidRDefault="00000000">
      <w:pPr>
        <w:numPr>
          <w:ilvl w:val="0"/>
          <w:numId w:val="148"/>
        </w:numPr>
        <w:tabs>
          <w:tab w:val="clear" w:pos="720"/>
        </w:tabs>
        <w:spacing w:after="200"/>
        <w:jc w:val="left"/>
        <w:rPr>
          <w:sz w:val="24"/>
          <w:lang w:val="en-GB"/>
        </w:rPr>
      </w:pPr>
      <w:r>
        <w:rPr>
          <w:sz w:val="24"/>
          <w:lang w:val="en-GB"/>
        </w:rPr>
        <w:t>Discrimination against mothers at the time of registration</w:t>
      </w:r>
    </w:p>
    <w:p w:rsidR="00000000" w:rsidRDefault="00000000">
      <w:pPr>
        <w:numPr>
          <w:ilvl w:val="0"/>
          <w:numId w:val="148"/>
        </w:numPr>
        <w:tabs>
          <w:tab w:val="clear" w:pos="720"/>
        </w:tabs>
        <w:jc w:val="left"/>
        <w:rPr>
          <w:sz w:val="24"/>
          <w:lang w:val="en-GB"/>
        </w:rPr>
      </w:pPr>
      <w:r>
        <w:rPr>
          <w:sz w:val="24"/>
          <w:lang w:val="en-GB"/>
        </w:rPr>
        <w:t>Parents’ lack of awareness of the rights of the child</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104.</w:t>
      </w:r>
      <w:r>
        <w:rPr>
          <w:sz w:val="24"/>
          <w:lang w:val="en-GB"/>
        </w:rPr>
        <w:tab/>
        <w:t>In practice, it is usually the mother who goes to the civil registry office to register her child when he or she has been born of an extramarital relationship.  This is when the difficulty arises, for if the father is not present the current legislation (the Civil Code and the Regulations of the National Register of Identity and Civil Status) prohibits the registration of a child in his father’s name.</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105.</w:t>
      </w:r>
      <w:r>
        <w:rPr>
          <w:sz w:val="24"/>
          <w:lang w:val="en-GB"/>
        </w:rPr>
        <w:tab/>
        <w:t>The exact total of unregistered children is not known, but according to UNICEF</w:t>
      </w:r>
      <w:r>
        <w:rPr>
          <w:rStyle w:val="FootnoteReference"/>
          <w:b/>
          <w:sz w:val="24"/>
          <w:lang w:val="en-GB"/>
        </w:rPr>
        <w:footnoteReference w:customMarkFollows="1" w:id="39"/>
        <w:t>39</w:t>
      </w:r>
      <w:r>
        <w:rPr>
          <w:sz w:val="24"/>
          <w:lang w:val="en-GB"/>
        </w:rPr>
        <w:t xml:space="preserve"> 15 per cent (110,000) of Peru’s children are not registered with the relevant agencies.  Taking as a yardstick the district of Lima, where access to a registry office is relatively easy and nine per cent of children were not registered in 1997,</w:t>
      </w:r>
      <w:r>
        <w:rPr>
          <w:rStyle w:val="FootnoteReference"/>
          <w:b/>
          <w:sz w:val="24"/>
          <w:lang w:val="en-GB"/>
        </w:rPr>
        <w:footnoteReference w:customMarkFollows="1" w:id="40"/>
        <w:t>40</w:t>
      </w:r>
      <w:r>
        <w:rPr>
          <w:sz w:val="24"/>
          <w:lang w:val="en-GB"/>
        </w:rPr>
        <w:t xml:space="preserve"> it may be assumed that the percentage was substantially higher for rural children.</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106.</w:t>
      </w:r>
      <w:r>
        <w:rPr>
          <w:sz w:val="24"/>
          <w:lang w:val="en-GB"/>
        </w:rPr>
        <w:tab/>
        <w:t>One positive development was the approval in 2001 of a regulation establishing the obligation of adoptive parents to sign their child’s birth certificate as declarants of the birth.</w:t>
      </w:r>
    </w:p>
    <w:p w:rsidR="00000000" w:rsidRDefault="00000000">
      <w:pPr>
        <w:tabs>
          <w:tab w:val="clear" w:pos="720"/>
        </w:tabs>
        <w:jc w:val="left"/>
        <w:rPr>
          <w:sz w:val="24"/>
          <w:lang w:val="en-GB"/>
        </w:rPr>
      </w:pPr>
      <w:r>
        <w:rPr>
          <w:sz w:val="24"/>
          <w:lang w:val="en-GB"/>
        </w:rPr>
        <w:t>107.</w:t>
      </w:r>
      <w:r>
        <w:rPr>
          <w:sz w:val="24"/>
          <w:lang w:val="en-GB"/>
        </w:rPr>
        <w:tab/>
        <w:t>Furthermore, 2001 also saw the start-up of the minors’ identification project of the National Register of Identity and Civil Status (RENIEC) for six-year-olds, who will receive their national identity document free of charge.</w:t>
      </w:r>
    </w:p>
    <w:p w:rsidR="00000000" w:rsidRDefault="00000000">
      <w:pPr>
        <w:tabs>
          <w:tab w:val="clear" w:pos="720"/>
        </w:tabs>
        <w:jc w:val="left"/>
        <w:rPr>
          <w:sz w:val="24"/>
          <w:lang w:val="en-GB"/>
        </w:rPr>
      </w:pPr>
    </w:p>
    <w:p w:rsidR="00000000" w:rsidRDefault="00000000">
      <w:pPr>
        <w:keepNext/>
        <w:tabs>
          <w:tab w:val="clear" w:pos="720"/>
        </w:tabs>
        <w:jc w:val="center"/>
        <w:rPr>
          <w:sz w:val="24"/>
          <w:lang w:val="en-GB"/>
        </w:rPr>
      </w:pPr>
      <w:r>
        <w:rPr>
          <w:b/>
          <w:sz w:val="24"/>
          <w:lang w:val="en-GB"/>
        </w:rPr>
        <w:t>C.  Children and primary school (6-11 years)</w:t>
      </w:r>
    </w:p>
    <w:p w:rsidR="00000000" w:rsidRDefault="00000000">
      <w:pPr>
        <w:keepNext/>
        <w:tabs>
          <w:tab w:val="clear" w:pos="720"/>
        </w:tabs>
        <w:jc w:val="left"/>
        <w:rPr>
          <w:sz w:val="24"/>
          <w:lang w:val="en-GB"/>
        </w:rPr>
      </w:pPr>
    </w:p>
    <w:p w:rsidR="00000000" w:rsidRDefault="00000000">
      <w:pPr>
        <w:keepNext/>
        <w:tabs>
          <w:tab w:val="clear" w:pos="720"/>
        </w:tabs>
        <w:jc w:val="left"/>
        <w:rPr>
          <w:sz w:val="24"/>
          <w:lang w:val="en-GB"/>
        </w:rPr>
      </w:pPr>
      <w:r>
        <w:rPr>
          <w:sz w:val="24"/>
          <w:lang w:val="en-GB"/>
        </w:rPr>
        <w:t>108.</w:t>
      </w:r>
      <w:r>
        <w:rPr>
          <w:sz w:val="24"/>
          <w:lang w:val="en-GB"/>
        </w:rPr>
        <w:tab/>
        <w:t>Article 28 of the Convention on the Rights of the Child recognizes the right of the child to compulsory primary education available free to all and urges the State and the family to take measures to encourage regular attendance at school and the reduction of drop-out rates.  In the period 1999-2000, 88 per cent of pupils graduated from primary education, the repeated-year rate was nine per cent, and the drop-out rate three per cent.</w:t>
      </w:r>
      <w:r>
        <w:rPr>
          <w:rStyle w:val="FootnoteReference"/>
          <w:b/>
          <w:sz w:val="24"/>
          <w:lang w:val="en-GB"/>
        </w:rPr>
        <w:footnoteReference w:customMarkFollows="1" w:id="41"/>
        <w:t>41</w:t>
      </w:r>
      <w:r>
        <w:rPr>
          <w:sz w:val="24"/>
          <w:lang w:val="en-GB"/>
        </w:rPr>
        <w:t xml:space="preserve">  We now describe the main features of the exercise of this right by children in the Peru of today.</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b/>
          <w:sz w:val="24"/>
          <w:lang w:val="en-GB"/>
        </w:rPr>
        <w:t>1.</w:t>
      </w:r>
      <w:r>
        <w:rPr>
          <w:b/>
          <w:sz w:val="24"/>
          <w:lang w:val="en-GB"/>
        </w:rPr>
        <w:tab/>
        <w:t>School attendance and learning</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109.</w:t>
      </w:r>
      <w:r>
        <w:rPr>
          <w:sz w:val="24"/>
          <w:lang w:val="en-GB"/>
        </w:rPr>
        <w:tab/>
        <w:t>Peru is entering the new millennium with a high rate of scholastic failure, repeated years and drop-outs.  For example, the proportion of over-age pupils in primary schools is 23 per cent in rural areas and 15 per cent in urban areas; in 1997 the figures were 30 and 17 per cent.</w:t>
      </w:r>
      <w:r>
        <w:rPr>
          <w:rStyle w:val="FootnoteReference"/>
          <w:b/>
          <w:sz w:val="24"/>
          <w:lang w:val="en-GB"/>
        </w:rPr>
        <w:footnoteReference w:customMarkFollows="1" w:id="42"/>
        <w:t>42</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110.</w:t>
      </w:r>
      <w:r>
        <w:rPr>
          <w:sz w:val="24"/>
          <w:lang w:val="en-GB"/>
        </w:rPr>
        <w:tab/>
        <w:t>The gaps are even wider in the poorest rural areas, where failure to complete basic education reproduces the status of exclusion of thousands of children who reach adolescence and adulthood without developing their capacity to perform satisfactorily in the work and social contexts.</w:t>
      </w:r>
      <w:r>
        <w:rPr>
          <w:rStyle w:val="FootnoteReference"/>
          <w:b/>
          <w:sz w:val="24"/>
          <w:lang w:val="en-GB"/>
        </w:rPr>
        <w:footnoteReference w:customMarkFollows="1" w:id="43"/>
        <w:t>43</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111.</w:t>
      </w:r>
      <w:r>
        <w:rPr>
          <w:sz w:val="24"/>
          <w:lang w:val="en-GB"/>
        </w:rPr>
        <w:tab/>
        <w:t>The efforts made by the public and private education sectors have been insufficient to reduce the disparities of access to quality education services.  The inequalities between rural and urban schools and public and private schools persist in terms both of infrastructure and equipment and of curriculum content, technological facilities and actual hours of teaching.</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112.</w:t>
      </w:r>
      <w:r>
        <w:rPr>
          <w:sz w:val="24"/>
          <w:lang w:val="en-GB"/>
        </w:rPr>
        <w:tab/>
        <w:t>Moreover, the education system is short of adequately trained personnel and has scant interface with the local community (the cultural, linguistic, social and work context).  Single-teacher schools are common, particularly in rural areas.  A very high proportion of rural primary pupils has a very poor education service.  As a result they suffer very serious deficits in their basic reading and writing skills to which the system does not react promptly and effectively; they also lack the possibility of attending secondary school.</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113.</w:t>
      </w:r>
      <w:r>
        <w:rPr>
          <w:sz w:val="24"/>
          <w:lang w:val="en-GB"/>
        </w:rPr>
        <w:tab/>
        <w:t>Where rural education is concerned, it may also be pointed out that:</w:t>
      </w:r>
      <w:r>
        <w:rPr>
          <w:rStyle w:val="FootnoteReference"/>
          <w:b/>
          <w:sz w:val="24"/>
          <w:lang w:val="en-GB"/>
        </w:rPr>
        <w:footnoteReference w:customMarkFollows="1" w:id="44"/>
        <w:t>44</w:t>
      </w:r>
    </w:p>
    <w:p w:rsidR="00000000" w:rsidRDefault="00000000">
      <w:pPr>
        <w:tabs>
          <w:tab w:val="clear" w:pos="720"/>
        </w:tabs>
        <w:jc w:val="left"/>
        <w:rPr>
          <w:sz w:val="24"/>
          <w:lang w:val="en-GB"/>
        </w:rPr>
      </w:pPr>
    </w:p>
    <w:p w:rsidR="00000000" w:rsidRDefault="00000000">
      <w:pPr>
        <w:numPr>
          <w:ilvl w:val="0"/>
          <w:numId w:val="150"/>
        </w:numPr>
        <w:tabs>
          <w:tab w:val="clear" w:pos="720"/>
        </w:tabs>
        <w:spacing w:after="200"/>
        <w:jc w:val="left"/>
        <w:rPr>
          <w:sz w:val="24"/>
          <w:lang w:val="en-GB"/>
        </w:rPr>
      </w:pPr>
      <w:r>
        <w:rPr>
          <w:sz w:val="24"/>
          <w:lang w:val="en-GB"/>
        </w:rPr>
        <w:t>Rural schools have the highest indicators of educational inefficiency and the lowest academic standards;</w:t>
      </w:r>
    </w:p>
    <w:p w:rsidR="00000000" w:rsidRDefault="00000000">
      <w:pPr>
        <w:numPr>
          <w:ilvl w:val="0"/>
          <w:numId w:val="150"/>
        </w:numPr>
        <w:tabs>
          <w:tab w:val="clear" w:pos="720"/>
        </w:tabs>
        <w:spacing w:after="200"/>
        <w:jc w:val="left"/>
        <w:rPr>
          <w:sz w:val="24"/>
          <w:lang w:val="en-GB"/>
        </w:rPr>
      </w:pPr>
      <w:r>
        <w:rPr>
          <w:sz w:val="24"/>
          <w:lang w:val="en-GB"/>
        </w:rPr>
        <w:t>They have the highest rates of repeated years, drop-outs, total and partial absenteeism and over-age pupils;</w:t>
      </w:r>
    </w:p>
    <w:p w:rsidR="00000000" w:rsidRDefault="00000000">
      <w:pPr>
        <w:numPr>
          <w:ilvl w:val="0"/>
          <w:numId w:val="150"/>
        </w:numPr>
        <w:tabs>
          <w:tab w:val="clear" w:pos="720"/>
        </w:tabs>
        <w:spacing w:after="200"/>
        <w:jc w:val="left"/>
        <w:rPr>
          <w:sz w:val="24"/>
          <w:lang w:val="en-GB"/>
        </w:rPr>
      </w:pPr>
      <w:r>
        <w:rPr>
          <w:sz w:val="24"/>
          <w:lang w:val="en-GB"/>
        </w:rPr>
        <w:t>The neglect of education, especially with respect to the quality of the schooling of rural children, undermines the exercise of citizenship and democracy as forms of social co-existence;</w:t>
      </w:r>
    </w:p>
    <w:p w:rsidR="00000000" w:rsidRDefault="00000000">
      <w:pPr>
        <w:numPr>
          <w:ilvl w:val="0"/>
          <w:numId w:val="150"/>
        </w:numPr>
        <w:tabs>
          <w:tab w:val="clear" w:pos="720"/>
        </w:tabs>
        <w:spacing w:after="200"/>
        <w:jc w:val="left"/>
        <w:rPr>
          <w:sz w:val="24"/>
          <w:lang w:val="en-GB"/>
        </w:rPr>
      </w:pPr>
      <w:r>
        <w:rPr>
          <w:sz w:val="24"/>
          <w:lang w:val="en-GB"/>
        </w:rPr>
        <w:t>This problem is more acute in the case of rural girls, for they do not have the same opportunities as their male peers;</w:t>
      </w:r>
    </w:p>
    <w:p w:rsidR="00000000" w:rsidRDefault="00000000">
      <w:pPr>
        <w:numPr>
          <w:ilvl w:val="0"/>
          <w:numId w:val="150"/>
        </w:numPr>
        <w:tabs>
          <w:tab w:val="clear" w:pos="720"/>
        </w:tabs>
        <w:jc w:val="left"/>
        <w:rPr>
          <w:sz w:val="24"/>
          <w:lang w:val="en-GB"/>
        </w:rPr>
      </w:pPr>
      <w:r>
        <w:rPr>
          <w:sz w:val="24"/>
          <w:lang w:val="en-GB"/>
        </w:rPr>
        <w:t>The system lacks a cross-cultural approach.</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114.</w:t>
      </w:r>
      <w:r>
        <w:rPr>
          <w:sz w:val="24"/>
          <w:lang w:val="en-GB"/>
        </w:rPr>
        <w:tab/>
        <w:t>In many areas of Peru the mother tongue of pupils in rural schools is not Spanish, so that they cannot familiarize themselves with the usages and habits of their teachers, who come from urban areas or from other regions.</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115.</w:t>
      </w:r>
      <w:r>
        <w:rPr>
          <w:sz w:val="24"/>
          <w:lang w:val="en-GB"/>
        </w:rPr>
        <w:tab/>
        <w:t>In addition, out of ignorance many indigenous communities still do not believe in the advantages of a bilingual education, while the improvements in cross-cultural bilingual education promoted by the Ministry of Education are still insufficient.  Only 52 per cent</w:t>
      </w:r>
      <w:r>
        <w:rPr>
          <w:rStyle w:val="FootnoteReference"/>
          <w:b/>
          <w:sz w:val="24"/>
          <w:lang w:val="en-GB"/>
        </w:rPr>
        <w:footnoteReference w:customMarkFollows="1" w:id="45"/>
        <w:t>45</w:t>
      </w:r>
      <w:r>
        <w:rPr>
          <w:sz w:val="24"/>
          <w:lang w:val="en-GB"/>
        </w:rPr>
        <w:t xml:space="preserve"> of children in bilingual communities are currently taught by this method.  Furthermore, cross-cultural bilingual education is not an option in the rest of the education system, owing to a lack of belief in its potential to enrich pupils’ cultural identity.</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b/>
          <w:sz w:val="24"/>
          <w:lang w:val="en-GB"/>
        </w:rPr>
        <w:t>2.</w:t>
      </w:r>
      <w:r>
        <w:rPr>
          <w:b/>
          <w:sz w:val="24"/>
          <w:lang w:val="en-GB"/>
        </w:rPr>
        <w:tab/>
        <w:t>Education of rural girls</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116.</w:t>
      </w:r>
      <w:r>
        <w:rPr>
          <w:sz w:val="24"/>
          <w:lang w:val="en-GB"/>
        </w:rPr>
        <w:tab/>
        <w:t>Most of the girls excluded from the education system are from extremely poor families in rural areas.  For example, while five per cent of girls who are merely “poor” do not go to school, the figure is double that for the extremely poor.</w:t>
      </w:r>
      <w:r>
        <w:rPr>
          <w:rStyle w:val="FootnoteReference"/>
          <w:b/>
          <w:sz w:val="24"/>
          <w:lang w:val="en-GB"/>
        </w:rPr>
        <w:footnoteReference w:customMarkFollows="1" w:id="46"/>
        <w:t>46</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117.</w:t>
      </w:r>
      <w:r>
        <w:rPr>
          <w:sz w:val="24"/>
          <w:lang w:val="en-GB"/>
        </w:rPr>
        <w:tab/>
        <w:t>There are only 25,000 rural schools for 75,000 small settlements (1998).  Many girls do not have their “papers” on the day, and this makes it difficult for them to enrol at the right time.</w:t>
      </w:r>
      <w:r>
        <w:rPr>
          <w:rStyle w:val="FootnoteReference"/>
          <w:b/>
          <w:sz w:val="24"/>
          <w:lang w:val="en-GB"/>
        </w:rPr>
        <w:footnoteReference w:customMarkFollows="1" w:id="47"/>
        <w:t>47</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118.</w:t>
      </w:r>
      <w:r>
        <w:rPr>
          <w:sz w:val="24"/>
          <w:lang w:val="en-GB"/>
        </w:rPr>
        <w:tab/>
        <w:t>In urban areas boys attend school, on average, for slightly longer than girls (9.3 and 8.1 years respectively), but the gap is wider in rural areas, where girls attend school for an average of 2.9 years; and the gap between urban and rural girls widened from 4.5 years in 1996 to 5.2 years in 2000.  Similarly, the average for rural boys (4.7 years) is higher than for rural girls (2.9 years), and the gap widened from 1.5 years in 1996 to 1.8 years in 2000.</w:t>
      </w:r>
      <w:r>
        <w:rPr>
          <w:rStyle w:val="FootnoteReference"/>
          <w:b/>
          <w:sz w:val="24"/>
          <w:lang w:val="en-GB"/>
        </w:rPr>
        <w:footnoteReference w:customMarkFollows="1" w:id="48"/>
        <w:t>48</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119.</w:t>
      </w:r>
      <w:r>
        <w:rPr>
          <w:sz w:val="24"/>
          <w:lang w:val="en-GB"/>
        </w:rPr>
        <w:tab/>
        <w:t>Given the wide dispersal and remoteness of rural settlements and the difficulties which girls have in travelling to other settlements to attend school, the possibility of their receiving an education depends on whether there is a school in their community or village.  Furthermore, many of the schools do not offer the full primary course, and there are very few cases in which a family can afford to send children to school in a bigger settlement in the region; for girls this likelihood is even more remote.</w:t>
      </w:r>
    </w:p>
    <w:p w:rsidR="00000000" w:rsidRDefault="00000000">
      <w:pPr>
        <w:tabs>
          <w:tab w:val="clear" w:pos="720"/>
        </w:tabs>
        <w:jc w:val="left"/>
        <w:rPr>
          <w:sz w:val="20"/>
          <w:lang w:val="en-GB"/>
        </w:rPr>
      </w:pPr>
    </w:p>
    <w:p w:rsidR="00000000" w:rsidRDefault="00000000">
      <w:pPr>
        <w:tabs>
          <w:tab w:val="clear" w:pos="720"/>
        </w:tabs>
        <w:jc w:val="left"/>
        <w:rPr>
          <w:sz w:val="24"/>
          <w:lang w:val="en-GB"/>
        </w:rPr>
      </w:pPr>
      <w:r>
        <w:rPr>
          <w:sz w:val="24"/>
          <w:lang w:val="en-GB"/>
        </w:rPr>
        <w:t>120.</w:t>
      </w:r>
      <w:r>
        <w:rPr>
          <w:sz w:val="24"/>
          <w:lang w:val="en-GB"/>
        </w:rPr>
        <w:tab/>
        <w:t>Generally speaking, most of these girls do manage to establish a connection with a primary school.  A third of rural girls enrol in the first grade a year or two late.  Given the problem of over-age pupils, which is exacerbated by the repeated-year and drop-out rates, girls have a reduced possibility of completing their primary education and they drop out from the third and fourth grades.  In the third grade in rural schools 77 per cent of the girls are over-age, and the proportion rises to 88 per cent in the fourth grade.</w:t>
      </w:r>
      <w:r>
        <w:rPr>
          <w:rStyle w:val="FootnoteReference"/>
          <w:b/>
          <w:sz w:val="24"/>
          <w:lang w:val="en-GB"/>
        </w:rPr>
        <w:footnoteReference w:customMarkFollows="1" w:id="49"/>
        <w:t>49</w:t>
      </w:r>
    </w:p>
    <w:p w:rsidR="00000000" w:rsidRDefault="00000000">
      <w:pPr>
        <w:tabs>
          <w:tab w:val="clear" w:pos="720"/>
        </w:tabs>
        <w:jc w:val="left"/>
        <w:rPr>
          <w:sz w:val="20"/>
          <w:lang w:val="en-GB"/>
        </w:rPr>
      </w:pPr>
    </w:p>
    <w:p w:rsidR="00000000" w:rsidRDefault="00000000">
      <w:pPr>
        <w:tabs>
          <w:tab w:val="clear" w:pos="720"/>
        </w:tabs>
        <w:jc w:val="left"/>
        <w:rPr>
          <w:sz w:val="24"/>
          <w:lang w:val="en-GB"/>
        </w:rPr>
      </w:pPr>
      <w:r>
        <w:rPr>
          <w:sz w:val="24"/>
          <w:lang w:val="en-GB"/>
        </w:rPr>
        <w:t>121.</w:t>
      </w:r>
      <w:r>
        <w:rPr>
          <w:sz w:val="24"/>
          <w:lang w:val="en-GB"/>
        </w:rPr>
        <w:tab/>
        <w:t>There is no doubt that the factors determining whether rural girls enrol and remain in school include the stereotyped ideas and values which perceive women as having lower status and as performing the role of mothers, which does not require attendance at school; education is thus perceived as something which can be dispensed with or postponed.</w:t>
      </w:r>
    </w:p>
    <w:p w:rsidR="00000000" w:rsidRDefault="00000000">
      <w:pPr>
        <w:tabs>
          <w:tab w:val="clear" w:pos="720"/>
        </w:tabs>
        <w:jc w:val="left"/>
        <w:rPr>
          <w:sz w:val="20"/>
          <w:lang w:val="en-GB"/>
        </w:rPr>
      </w:pPr>
    </w:p>
    <w:p w:rsidR="00000000" w:rsidRDefault="00000000">
      <w:pPr>
        <w:tabs>
          <w:tab w:val="clear" w:pos="720"/>
        </w:tabs>
        <w:jc w:val="left"/>
        <w:rPr>
          <w:sz w:val="24"/>
          <w:lang w:val="en-GB"/>
        </w:rPr>
      </w:pPr>
      <w:r>
        <w:rPr>
          <w:sz w:val="24"/>
          <w:lang w:val="en-GB"/>
        </w:rPr>
        <w:t>122.</w:t>
      </w:r>
      <w:r>
        <w:rPr>
          <w:sz w:val="24"/>
          <w:lang w:val="en-GB"/>
        </w:rPr>
        <w:tab/>
        <w:t>The Peruvian State is promoting improvements in this area through the Education of Rural Girls (Promotion) Act (No. 27558),</w:t>
      </w:r>
      <w:r>
        <w:rPr>
          <w:rStyle w:val="FootnoteReference"/>
          <w:b/>
          <w:sz w:val="24"/>
          <w:lang w:val="en-GB"/>
        </w:rPr>
        <w:footnoteReference w:customMarkFollows="1" w:id="50"/>
        <w:t>50</w:t>
      </w:r>
      <w:r>
        <w:rPr>
          <w:sz w:val="24"/>
          <w:lang w:val="en-GB"/>
        </w:rPr>
        <w:t xml:space="preserve"> which sets the following objectives with respect to diversified educational services for rural girls:</w:t>
      </w:r>
    </w:p>
    <w:p w:rsidR="00000000" w:rsidRDefault="00000000">
      <w:pPr>
        <w:tabs>
          <w:tab w:val="clear" w:pos="720"/>
        </w:tabs>
        <w:jc w:val="left"/>
        <w:rPr>
          <w:sz w:val="20"/>
          <w:lang w:val="en-GB"/>
        </w:rPr>
      </w:pPr>
    </w:p>
    <w:p w:rsidR="00000000" w:rsidRDefault="00000000">
      <w:pPr>
        <w:tabs>
          <w:tab w:val="clear" w:pos="720"/>
        </w:tabs>
        <w:ind w:left="1134" w:hanging="1134"/>
        <w:jc w:val="left"/>
        <w:rPr>
          <w:sz w:val="24"/>
          <w:lang w:val="en-GB"/>
        </w:rPr>
      </w:pPr>
      <w:r>
        <w:rPr>
          <w:sz w:val="24"/>
          <w:lang w:val="en-GB"/>
        </w:rPr>
        <w:tab/>
        <w:t>(a)</w:t>
      </w:r>
      <w:r>
        <w:rPr>
          <w:sz w:val="24"/>
          <w:lang w:val="en-GB"/>
        </w:rPr>
        <w:tab/>
        <w:t>To provide for all children in rural schools goals and strategies which will accord them equity of access and quality in the education which they receive;</w:t>
      </w:r>
    </w:p>
    <w:p w:rsidR="00000000" w:rsidRDefault="00000000">
      <w:pPr>
        <w:tabs>
          <w:tab w:val="clear" w:pos="720"/>
        </w:tabs>
        <w:ind w:left="1134" w:hanging="1134"/>
        <w:jc w:val="left"/>
        <w:rPr>
          <w:sz w:val="16"/>
          <w:lang w:val="en-GB"/>
        </w:rPr>
      </w:pPr>
    </w:p>
    <w:p w:rsidR="00000000" w:rsidRDefault="00000000">
      <w:pPr>
        <w:tabs>
          <w:tab w:val="clear" w:pos="720"/>
        </w:tabs>
        <w:ind w:left="1134" w:hanging="1134"/>
        <w:jc w:val="left"/>
        <w:rPr>
          <w:sz w:val="24"/>
          <w:lang w:val="en-GB"/>
        </w:rPr>
      </w:pPr>
      <w:r>
        <w:rPr>
          <w:sz w:val="24"/>
          <w:lang w:val="en-GB"/>
        </w:rPr>
        <w:tab/>
        <w:t>(b)</w:t>
      </w:r>
      <w:r>
        <w:rPr>
          <w:sz w:val="24"/>
          <w:lang w:val="en-GB"/>
        </w:rPr>
        <w:tab/>
        <w:t>In the light of their specific needs and interests, to establish specific objectives for rural girls in initial, primary and secondary education; and</w:t>
      </w:r>
    </w:p>
    <w:p w:rsidR="00000000" w:rsidRDefault="00000000">
      <w:pPr>
        <w:tabs>
          <w:tab w:val="clear" w:pos="720"/>
        </w:tabs>
        <w:ind w:left="1134" w:hanging="1134"/>
        <w:jc w:val="left"/>
        <w:rPr>
          <w:sz w:val="16"/>
          <w:lang w:val="en-GB"/>
        </w:rPr>
      </w:pPr>
    </w:p>
    <w:p w:rsidR="00000000" w:rsidRDefault="00000000">
      <w:pPr>
        <w:tabs>
          <w:tab w:val="clear" w:pos="720"/>
        </w:tabs>
        <w:ind w:left="1134" w:hanging="1134"/>
        <w:jc w:val="left"/>
        <w:rPr>
          <w:sz w:val="24"/>
          <w:lang w:val="en-GB"/>
        </w:rPr>
      </w:pPr>
      <w:r>
        <w:rPr>
          <w:sz w:val="24"/>
          <w:lang w:val="en-GB"/>
        </w:rPr>
        <w:tab/>
        <w:t>(c)</w:t>
      </w:r>
      <w:r>
        <w:rPr>
          <w:sz w:val="24"/>
          <w:lang w:val="en-GB"/>
        </w:rPr>
        <w:tab/>
        <w:t>To provide a diversified curriculum in line with the social and cultural reality.</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With regard to enrolment the Act proposes:</w:t>
      </w:r>
    </w:p>
    <w:p w:rsidR="00000000" w:rsidRDefault="00000000">
      <w:pPr>
        <w:tabs>
          <w:tab w:val="clear" w:pos="720"/>
        </w:tabs>
        <w:jc w:val="left"/>
        <w:rPr>
          <w:sz w:val="20"/>
          <w:lang w:val="en-GB"/>
        </w:rPr>
      </w:pPr>
    </w:p>
    <w:p w:rsidR="00000000" w:rsidRDefault="00000000">
      <w:pPr>
        <w:tabs>
          <w:tab w:val="clear" w:pos="720"/>
        </w:tabs>
        <w:ind w:left="1134" w:hanging="1134"/>
        <w:jc w:val="left"/>
        <w:rPr>
          <w:sz w:val="24"/>
          <w:lang w:val="en-GB"/>
        </w:rPr>
      </w:pPr>
      <w:r>
        <w:rPr>
          <w:sz w:val="24"/>
          <w:lang w:val="en-GB"/>
        </w:rPr>
        <w:tab/>
        <w:t>(a)</w:t>
      </w:r>
      <w:r>
        <w:rPr>
          <w:sz w:val="24"/>
          <w:lang w:val="en-GB"/>
        </w:rPr>
        <w:tab/>
        <w:t>Universal enrolment in initial, primary and secondary education;</w:t>
      </w:r>
    </w:p>
    <w:p w:rsidR="00000000" w:rsidRDefault="00000000">
      <w:pPr>
        <w:tabs>
          <w:tab w:val="clear" w:pos="720"/>
        </w:tabs>
        <w:ind w:left="1134" w:hanging="1134"/>
        <w:jc w:val="left"/>
        <w:rPr>
          <w:sz w:val="16"/>
          <w:lang w:val="en-GB"/>
        </w:rPr>
      </w:pPr>
    </w:p>
    <w:p w:rsidR="00000000" w:rsidRDefault="00000000">
      <w:pPr>
        <w:tabs>
          <w:tab w:val="clear" w:pos="720"/>
        </w:tabs>
        <w:ind w:left="1134" w:hanging="1134"/>
        <w:jc w:val="left"/>
        <w:rPr>
          <w:sz w:val="24"/>
          <w:lang w:val="en-GB"/>
        </w:rPr>
      </w:pPr>
      <w:r>
        <w:rPr>
          <w:sz w:val="24"/>
          <w:lang w:val="en-GB"/>
        </w:rPr>
        <w:tab/>
        <w:t>(b)</w:t>
      </w:r>
      <w:r>
        <w:rPr>
          <w:sz w:val="24"/>
          <w:lang w:val="en-GB"/>
        </w:rPr>
        <w:tab/>
        <w:t>Enrolment at the correct age and continued attendance until completion of secondary education;</w:t>
      </w:r>
    </w:p>
    <w:p w:rsidR="00000000" w:rsidRDefault="00000000">
      <w:pPr>
        <w:tabs>
          <w:tab w:val="clear" w:pos="720"/>
        </w:tabs>
        <w:ind w:left="1134" w:hanging="1134"/>
        <w:jc w:val="left"/>
        <w:rPr>
          <w:sz w:val="16"/>
          <w:lang w:val="en-GB"/>
        </w:rPr>
      </w:pPr>
    </w:p>
    <w:p w:rsidR="00000000" w:rsidRDefault="00000000">
      <w:pPr>
        <w:tabs>
          <w:tab w:val="clear" w:pos="720"/>
        </w:tabs>
        <w:ind w:left="1134" w:hanging="1134"/>
        <w:jc w:val="left"/>
        <w:rPr>
          <w:spacing w:val="-2"/>
          <w:sz w:val="24"/>
          <w:lang w:val="en-GB"/>
        </w:rPr>
      </w:pPr>
      <w:r>
        <w:rPr>
          <w:spacing w:val="-2"/>
          <w:sz w:val="24"/>
          <w:lang w:val="en-GB"/>
        </w:rPr>
        <w:tab/>
        <w:t>(c)</w:t>
      </w:r>
      <w:r>
        <w:rPr>
          <w:spacing w:val="-2"/>
          <w:sz w:val="24"/>
          <w:lang w:val="en-GB"/>
        </w:rPr>
        <w:tab/>
        <w:t>Access to programmes combining in-school and non-school education for children who live in remote areas or have time problems obstructing regular school attendance.</w:t>
      </w:r>
    </w:p>
    <w:p w:rsidR="00000000" w:rsidRDefault="00000000">
      <w:pPr>
        <w:tabs>
          <w:tab w:val="clear" w:pos="720"/>
        </w:tabs>
        <w:jc w:val="left"/>
        <w:rPr>
          <w:sz w:val="24"/>
          <w:lang w:val="en-GB"/>
        </w:rPr>
      </w:pPr>
    </w:p>
    <w:p w:rsidR="00000000" w:rsidRDefault="00000000">
      <w:pPr>
        <w:tabs>
          <w:tab w:val="clear" w:pos="720"/>
        </w:tabs>
        <w:jc w:val="center"/>
        <w:rPr>
          <w:sz w:val="24"/>
          <w:lang w:val="en-GB"/>
        </w:rPr>
      </w:pPr>
      <w:r>
        <w:rPr>
          <w:b/>
          <w:sz w:val="24"/>
          <w:lang w:val="en-GB"/>
        </w:rPr>
        <w:t>D.  Adolescents (12-17 years)</w:t>
      </w:r>
    </w:p>
    <w:p w:rsidR="00000000" w:rsidRDefault="00000000">
      <w:pPr>
        <w:tabs>
          <w:tab w:val="clear" w:pos="720"/>
        </w:tabs>
        <w:jc w:val="left"/>
        <w:rPr>
          <w:sz w:val="20"/>
          <w:lang w:val="en-GB"/>
        </w:rPr>
      </w:pPr>
    </w:p>
    <w:p w:rsidR="00000000" w:rsidRDefault="00000000">
      <w:pPr>
        <w:tabs>
          <w:tab w:val="clear" w:pos="720"/>
        </w:tabs>
        <w:jc w:val="left"/>
        <w:rPr>
          <w:sz w:val="24"/>
          <w:lang w:val="en-GB"/>
        </w:rPr>
      </w:pPr>
      <w:r>
        <w:rPr>
          <w:sz w:val="24"/>
          <w:lang w:val="en-GB"/>
        </w:rPr>
        <w:t>123.</w:t>
      </w:r>
      <w:r>
        <w:rPr>
          <w:sz w:val="24"/>
          <w:lang w:val="en-GB"/>
        </w:rPr>
        <w:tab/>
        <w:t>Adolescence can mean different things in a multicultural country like Peru.  In the rural areas of the Andes and the Amazon adolescence is a brief, almost non-existent period whose main feature is the search for a partner and the start of married life.  In urban areas adolescence lasts for several years, almost always characterized by the search for job or study opportunities.  Other differences between Peru’s adolescents stem from their differing family dynamics, quality of life and images of success.</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124.</w:t>
      </w:r>
      <w:r>
        <w:rPr>
          <w:sz w:val="24"/>
          <w:lang w:val="en-GB"/>
        </w:rPr>
        <w:tab/>
        <w:t>Peru has a total of 3.7 million adolescents, two thirds of them living in urban areas.</w:t>
      </w:r>
      <w:r>
        <w:rPr>
          <w:rStyle w:val="FootnoteReference"/>
          <w:b/>
          <w:sz w:val="24"/>
          <w:lang w:val="en-GB"/>
        </w:rPr>
        <w:footnoteReference w:customMarkFollows="1" w:id="51"/>
        <w:t>51</w:t>
      </w:r>
      <w:r>
        <w:rPr>
          <w:sz w:val="24"/>
          <w:lang w:val="en-GB"/>
        </w:rPr>
        <w:t xml:space="preserve">  Most adolescents migrate from the countryside to the towns in search of opportunities for work and a career.  Most adolescents have the following problems:</w:t>
      </w:r>
    </w:p>
    <w:p w:rsidR="00000000" w:rsidRDefault="00000000">
      <w:pPr>
        <w:tabs>
          <w:tab w:val="clear" w:pos="720"/>
        </w:tabs>
        <w:jc w:val="left"/>
        <w:rPr>
          <w:sz w:val="24"/>
          <w:lang w:val="en-GB"/>
        </w:rPr>
      </w:pPr>
    </w:p>
    <w:p w:rsidR="00000000" w:rsidRDefault="00000000">
      <w:pPr>
        <w:numPr>
          <w:ilvl w:val="0"/>
          <w:numId w:val="151"/>
        </w:numPr>
        <w:tabs>
          <w:tab w:val="clear" w:pos="720"/>
        </w:tabs>
        <w:spacing w:after="200"/>
        <w:jc w:val="left"/>
        <w:rPr>
          <w:sz w:val="24"/>
          <w:lang w:val="en-GB"/>
        </w:rPr>
      </w:pPr>
      <w:r>
        <w:rPr>
          <w:sz w:val="24"/>
          <w:lang w:val="en-GB"/>
        </w:rPr>
        <w:t>Little access to basic education and health services;</w:t>
      </w:r>
    </w:p>
    <w:p w:rsidR="00000000" w:rsidRDefault="00000000">
      <w:pPr>
        <w:numPr>
          <w:ilvl w:val="0"/>
          <w:numId w:val="151"/>
        </w:numPr>
        <w:tabs>
          <w:tab w:val="clear" w:pos="720"/>
        </w:tabs>
        <w:spacing w:after="200"/>
        <w:jc w:val="left"/>
        <w:rPr>
          <w:sz w:val="24"/>
          <w:lang w:val="en-GB"/>
        </w:rPr>
      </w:pPr>
      <w:r>
        <w:rPr>
          <w:sz w:val="24"/>
          <w:lang w:val="en-GB"/>
        </w:rPr>
        <w:t>Scant opportunities for participation and interface with their environment;</w:t>
      </w:r>
    </w:p>
    <w:p w:rsidR="00000000" w:rsidRDefault="00000000">
      <w:pPr>
        <w:numPr>
          <w:ilvl w:val="0"/>
          <w:numId w:val="151"/>
        </w:numPr>
        <w:tabs>
          <w:tab w:val="clear" w:pos="720"/>
        </w:tabs>
        <w:spacing w:after="200"/>
        <w:jc w:val="left"/>
        <w:rPr>
          <w:sz w:val="24"/>
          <w:lang w:val="en-GB"/>
        </w:rPr>
      </w:pPr>
      <w:r>
        <w:rPr>
          <w:sz w:val="24"/>
          <w:lang w:val="en-GB"/>
        </w:rPr>
        <w:t>Risky sexual conduct based on early initiation into sex life with poor protection, leading to early pregnancies;</w:t>
      </w:r>
    </w:p>
    <w:p w:rsidR="00000000" w:rsidRDefault="00000000">
      <w:pPr>
        <w:numPr>
          <w:ilvl w:val="0"/>
          <w:numId w:val="151"/>
        </w:numPr>
        <w:tabs>
          <w:tab w:val="clear" w:pos="720"/>
        </w:tabs>
        <w:spacing w:after="200"/>
        <w:jc w:val="left"/>
        <w:rPr>
          <w:sz w:val="24"/>
          <w:lang w:val="en-GB"/>
        </w:rPr>
      </w:pPr>
      <w:r>
        <w:rPr>
          <w:sz w:val="24"/>
          <w:lang w:val="en-GB"/>
        </w:rPr>
        <w:t>Vulnerability to addictive habits;</w:t>
      </w:r>
    </w:p>
    <w:p w:rsidR="00000000" w:rsidRDefault="00000000">
      <w:pPr>
        <w:numPr>
          <w:ilvl w:val="0"/>
          <w:numId w:val="153"/>
        </w:numPr>
        <w:tabs>
          <w:tab w:val="clear" w:pos="720"/>
        </w:tabs>
        <w:jc w:val="left"/>
        <w:rPr>
          <w:sz w:val="24"/>
          <w:lang w:val="en-GB"/>
        </w:rPr>
      </w:pPr>
      <w:r>
        <w:rPr>
          <w:sz w:val="24"/>
          <w:lang w:val="en-GB"/>
        </w:rPr>
        <w:t>Increased involvement in violence (gangs of roughnecks and juvenile and school gangs).</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125.</w:t>
      </w:r>
      <w:r>
        <w:rPr>
          <w:sz w:val="24"/>
          <w:lang w:val="en-GB"/>
        </w:rPr>
        <w:tab/>
        <w:t>These problems have many causes.  They include poverty (a third of adolescents are extremely poor), poor communication at home, violence in and outside the family, weak exercise of parental responsibility, and lack of suitable facilities for adolescents (among which schools and communication media may be included).  Furthermore, many adolescents are unaware of their rights and others are affected by a widespread public perception that adolescents are very dangerous people.</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b/>
          <w:sz w:val="24"/>
          <w:lang w:val="en-GB"/>
        </w:rPr>
        <w:t>1.</w:t>
      </w:r>
      <w:r>
        <w:rPr>
          <w:b/>
          <w:sz w:val="24"/>
          <w:lang w:val="en-GB"/>
        </w:rPr>
        <w:tab/>
        <w:t>Access to health and education services</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126.</w:t>
      </w:r>
      <w:r>
        <w:rPr>
          <w:sz w:val="24"/>
          <w:lang w:val="en-GB"/>
        </w:rPr>
        <w:tab/>
        <w:t>Owing to the problems with basic education mentioned above and to other problems stemming from exclusion, 23 per cent of adolescents, most of them girls, do not attend school; many girls drop out of school as a result of pregnancy or maternity despite the benefit of a legal framework which protects adolescent girls who have or are expecting a child against having to drop out of school.  The over-age population in secondary schools stands at 28 per cent in rural areas and 20 per cent in urban areas.</w:t>
      </w:r>
      <w:r>
        <w:rPr>
          <w:rStyle w:val="FootnoteReference"/>
          <w:b/>
          <w:sz w:val="24"/>
          <w:lang w:val="en-GB"/>
        </w:rPr>
        <w:footnoteReference w:customMarkFollows="1" w:id="52"/>
        <w:t>52</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127.</w:t>
      </w:r>
      <w:r>
        <w:rPr>
          <w:sz w:val="24"/>
          <w:lang w:val="en-GB"/>
        </w:rPr>
        <w:tab/>
        <w:t>In 1999-2000 the graduation rate from secondary school was 89 per cent, the repeated-year rate seven per cent, and the drop-out rate four per cent.</w:t>
      </w:r>
      <w:r>
        <w:rPr>
          <w:rStyle w:val="FootnoteReference"/>
          <w:b/>
          <w:sz w:val="24"/>
          <w:lang w:val="en-GB"/>
        </w:rPr>
        <w:footnoteReference w:customMarkFollows="1" w:id="53"/>
        <w:t>53</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128.</w:t>
      </w:r>
      <w:r>
        <w:rPr>
          <w:sz w:val="24"/>
          <w:lang w:val="en-GB"/>
        </w:rPr>
        <w:tab/>
        <w:t>The health services and special programmes for adolescents (sexual and reproductive health, mental health, vocational guidance, education projects) are still limited in coverage and quality.  The reasons for this are the low volume of public investment in this area and the lack of prevention programmes, together with ignorance of the available services on the part of families and adolescents themselves.</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129.</w:t>
      </w:r>
      <w:r>
        <w:rPr>
          <w:sz w:val="24"/>
          <w:lang w:val="en-GB"/>
        </w:rPr>
        <w:tab/>
        <w:t>The morbidity and mortality rates connected with risky sexual conduct and situations of violence are high; the situation calls for the available integrated services to be expanded and adapted to the needs and cultural patterns of adolescents.</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b/>
          <w:sz w:val="24"/>
          <w:lang w:val="en-GB"/>
        </w:rPr>
        <w:t>2.</w:t>
      </w:r>
      <w:r>
        <w:rPr>
          <w:b/>
          <w:sz w:val="24"/>
          <w:lang w:val="en-GB"/>
        </w:rPr>
        <w:tab/>
        <w:t>Opportunities for participation by adolescents</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130.</w:t>
      </w:r>
      <w:r>
        <w:rPr>
          <w:sz w:val="24"/>
          <w:lang w:val="en-GB"/>
        </w:rPr>
        <w:tab/>
        <w:t>Adolescents seek spaces where they can get together with each other, practice alternative life styles, and exercise their right to express their opinions about matters which concern them. Society is not yet providing sufficient opportunities for this kind of participation either in the family, the schools, the community or the communication media.  The lack of such opportunities is one of the reasons for adolescent violence, including the gang culture.</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131.</w:t>
      </w:r>
      <w:r>
        <w:rPr>
          <w:sz w:val="24"/>
          <w:lang w:val="en-GB"/>
        </w:rPr>
        <w:tab/>
        <w:t>There is a lack of activities to develop adolescents’ independence and inadequate provision of opportunities to acquire democratic habits and exercise shared power.  The Convention on the Rights of the Child recognizes the freedom of association for lawful purposes; it is therefore necessary to equip adolescents with all the tools for the development of the abilities and skills which will empower them and enable them to exercise their right to participate.</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b/>
          <w:sz w:val="24"/>
          <w:lang w:val="en-GB"/>
        </w:rPr>
        <w:t>3.</w:t>
      </w:r>
      <w:r>
        <w:rPr>
          <w:b/>
          <w:sz w:val="24"/>
          <w:lang w:val="en-GB"/>
        </w:rPr>
        <w:tab/>
        <w:t>Sex and reproduction counselling</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132.</w:t>
      </w:r>
      <w:r>
        <w:rPr>
          <w:sz w:val="24"/>
          <w:lang w:val="en-GB"/>
        </w:rPr>
        <w:tab/>
        <w:t>Adolescent pregnancy is a problem in all regions of the country, although it is more prevalent in rural areas, and it is the third commonest cause of death - from complications during pregnancy, delivery and the perinatal period, as well as from abortion.  There is no family planning service for adolescents even though the need for one is obvious and such a service is one of the few available means of tackling this problem, the root of which lies precisely in the lack of guidance and services aimed directly at preventing all the risks associated with an active sex life.</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133.</w:t>
      </w:r>
      <w:r>
        <w:rPr>
          <w:sz w:val="24"/>
          <w:lang w:val="en-GB"/>
        </w:rPr>
        <w:tab/>
        <w:t>According to ENDES-2000, 11 per cent of adolescent girls between the ages of 15 and 19 were already mothers, and more than a third of them had no education; such girls are putting at risk their own lives and the lives of their children, for it has been shown that a mother’s health, education and nutrition are decisive factors for the survival and full development of her child, as well as for her own survival.</w:t>
      </w:r>
    </w:p>
    <w:p w:rsidR="00000000" w:rsidRDefault="00000000">
      <w:pPr>
        <w:tabs>
          <w:tab w:val="clear" w:pos="720"/>
        </w:tabs>
        <w:jc w:val="left"/>
        <w:rPr>
          <w:sz w:val="24"/>
          <w:lang w:val="en-GB"/>
        </w:rPr>
      </w:pPr>
    </w:p>
    <w:p w:rsidR="00000000" w:rsidRDefault="00000000">
      <w:pPr>
        <w:tabs>
          <w:tab w:val="clear" w:pos="720"/>
        </w:tabs>
        <w:jc w:val="left"/>
        <w:rPr>
          <w:spacing w:val="-2"/>
          <w:sz w:val="24"/>
          <w:lang w:val="en-GB"/>
        </w:rPr>
      </w:pPr>
      <w:r>
        <w:rPr>
          <w:spacing w:val="-2"/>
          <w:sz w:val="24"/>
          <w:lang w:val="en-GB"/>
        </w:rPr>
        <w:t>134.</w:t>
      </w:r>
      <w:r>
        <w:rPr>
          <w:spacing w:val="-2"/>
          <w:sz w:val="24"/>
          <w:lang w:val="en-GB"/>
        </w:rPr>
        <w:tab/>
        <w:t>Fifteen per cent of the pregnant women using the health services of the Ministry of Health were adolescents.  When analysing this data it should be borne in mind that in 1998 the free school insurance programme paid for 3,015 antenatal checks and 1,440 attended deliveries for adolescent girls.  This shows a clear discrepancy between the number of checks and the number of attended deliveries and points to the need to mobilize other grass-roots resources to help pregnant adolescents, as well as to run information programmes to prevent unwanted early pregnancies.</w:t>
      </w:r>
      <w:r>
        <w:rPr>
          <w:rStyle w:val="FootnoteReference"/>
          <w:b/>
          <w:spacing w:val="-2"/>
          <w:sz w:val="24"/>
          <w:lang w:val="en-GB"/>
        </w:rPr>
        <w:footnoteReference w:customMarkFollows="1" w:id="54"/>
        <w:t>54</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135.</w:t>
      </w:r>
      <w:r>
        <w:rPr>
          <w:sz w:val="24"/>
          <w:lang w:val="en-GB"/>
        </w:rPr>
        <w:tab/>
        <w:t>The cases of HIV/AIDS among young people are due to unsafe sexual relations during adolescence, the lack of appropriate sex education, and ignorance of means of protection.  The male to female ratio of AIDS sufferers is 3:1, and vertical transmission from seropositive mothers to their children is on the increase, as is the number of infected women.  This increased risk in women is associated with their lack of bargaining power with their partners when it comes to the use of contraceptives.  It is calculated that in December 1999 Peru had 4,500 children aged under 15 living with HIV/AIDS.</w:t>
      </w:r>
      <w:r>
        <w:rPr>
          <w:rStyle w:val="FootnoteReference"/>
          <w:b/>
          <w:sz w:val="24"/>
          <w:lang w:val="en-GB"/>
        </w:rPr>
        <w:footnoteReference w:customMarkFollows="1" w:id="55"/>
        <w:t>55</w:t>
      </w:r>
    </w:p>
    <w:p w:rsidR="00000000" w:rsidRDefault="00000000">
      <w:pPr>
        <w:tabs>
          <w:tab w:val="clear" w:pos="720"/>
        </w:tabs>
        <w:jc w:val="left"/>
        <w:rPr>
          <w:sz w:val="24"/>
          <w:lang w:val="en-GB"/>
        </w:rPr>
      </w:pPr>
      <w:r>
        <w:rPr>
          <w:sz w:val="24"/>
          <w:lang w:val="en-GB"/>
        </w:rPr>
        <w:t>136.</w:t>
      </w:r>
      <w:r>
        <w:rPr>
          <w:sz w:val="24"/>
          <w:lang w:val="en-GB"/>
        </w:rPr>
        <w:tab/>
        <w:t>We now offer some statistics</w:t>
      </w:r>
      <w:r>
        <w:rPr>
          <w:rStyle w:val="FootnoteReference"/>
          <w:b/>
          <w:sz w:val="24"/>
          <w:lang w:val="en-GB"/>
        </w:rPr>
        <w:footnoteReference w:customMarkFollows="1" w:id="56"/>
        <w:t>56</w:t>
      </w:r>
      <w:r>
        <w:rPr>
          <w:sz w:val="24"/>
          <w:lang w:val="en-GB"/>
        </w:rPr>
        <w:t xml:space="preserve"> relating abortion to pregnancy which indicate a growing problem.</w:t>
      </w:r>
    </w:p>
    <w:p w:rsidR="00000000" w:rsidRDefault="00000000">
      <w:pPr>
        <w:tabs>
          <w:tab w:val="clear" w:pos="720"/>
        </w:tabs>
        <w:jc w:val="left"/>
        <w:rPr>
          <w:sz w:val="24"/>
          <w:lang w:val="en-GB"/>
        </w:rPr>
      </w:pPr>
    </w:p>
    <w:tbl>
      <w:tblPr>
        <w:tblW w:w="0" w:type="auto"/>
        <w:jc w:val="center"/>
        <w:tblInd w:w="70" w:type="dxa"/>
        <w:tblCellMar>
          <w:left w:w="70" w:type="dxa"/>
          <w:right w:w="70" w:type="dxa"/>
        </w:tblCellMar>
        <w:tblLook w:val="0000" w:firstRow="0" w:lastRow="0" w:firstColumn="0" w:lastColumn="0" w:noHBand="0" w:noVBand="0"/>
      </w:tblPr>
      <w:tblGrid>
        <w:gridCol w:w="1305"/>
        <w:gridCol w:w="1480"/>
        <w:gridCol w:w="1588"/>
        <w:gridCol w:w="1480"/>
        <w:gridCol w:w="1588"/>
      </w:tblGrid>
      <w:tr w:rsidR="00000000">
        <w:tblPrEx>
          <w:tblCellMar>
            <w:top w:w="0" w:type="dxa"/>
            <w:bottom w:w="0" w:type="dxa"/>
          </w:tblCellMar>
        </w:tblPrEx>
        <w:trPr>
          <w:cantSplit/>
          <w:jc w:val="center"/>
        </w:trPr>
        <w:tc>
          <w:tcPr>
            <w:tcW w:w="1305" w:type="dxa"/>
            <w:vMerge w:val="restart"/>
            <w:tcBorders>
              <w:top w:val="single" w:sz="4" w:space="0" w:color="auto"/>
            </w:tcBorders>
            <w:vAlign w:val="center"/>
          </w:tcPr>
          <w:p w:rsidR="00000000" w:rsidRDefault="00000000">
            <w:pPr>
              <w:keepNext/>
              <w:spacing w:before="80" w:after="80"/>
              <w:jc w:val="center"/>
              <w:rPr>
                <w:bCs/>
                <w:i/>
                <w:iCs/>
                <w:sz w:val="20"/>
                <w:lang w:val="en-GB"/>
              </w:rPr>
            </w:pPr>
            <w:r>
              <w:rPr>
                <w:bCs/>
                <w:i/>
                <w:iCs/>
                <w:sz w:val="20"/>
                <w:lang w:val="en-GB"/>
              </w:rPr>
              <w:t>Year</w:t>
            </w:r>
          </w:p>
        </w:tc>
        <w:tc>
          <w:tcPr>
            <w:tcW w:w="3068" w:type="dxa"/>
            <w:gridSpan w:val="2"/>
            <w:tcBorders>
              <w:top w:val="single" w:sz="4" w:space="0" w:color="auto"/>
            </w:tcBorders>
            <w:vAlign w:val="center"/>
          </w:tcPr>
          <w:p w:rsidR="00000000" w:rsidRDefault="00000000">
            <w:pPr>
              <w:keepNext/>
              <w:pBdr>
                <w:bottom w:val="single" w:sz="4" w:space="1" w:color="auto"/>
              </w:pBdr>
              <w:spacing w:before="80" w:after="80"/>
              <w:jc w:val="center"/>
              <w:rPr>
                <w:bCs/>
                <w:i/>
                <w:iCs/>
                <w:sz w:val="20"/>
                <w:lang w:val="en-GB"/>
              </w:rPr>
            </w:pPr>
            <w:r>
              <w:rPr>
                <w:bCs/>
                <w:i/>
                <w:iCs/>
                <w:sz w:val="20"/>
                <w:lang w:val="en-GB"/>
              </w:rPr>
              <w:t>10-14 years</w:t>
            </w:r>
          </w:p>
        </w:tc>
        <w:tc>
          <w:tcPr>
            <w:tcW w:w="3068" w:type="dxa"/>
            <w:gridSpan w:val="2"/>
            <w:tcBorders>
              <w:top w:val="single" w:sz="4" w:space="0" w:color="auto"/>
            </w:tcBorders>
            <w:vAlign w:val="center"/>
          </w:tcPr>
          <w:p w:rsidR="00000000" w:rsidRDefault="00000000">
            <w:pPr>
              <w:keepNext/>
              <w:pBdr>
                <w:bottom w:val="single" w:sz="4" w:space="1" w:color="auto"/>
              </w:pBdr>
              <w:spacing w:before="80" w:after="80"/>
              <w:ind w:left="113"/>
              <w:jc w:val="center"/>
              <w:rPr>
                <w:bCs/>
                <w:i/>
                <w:iCs/>
                <w:sz w:val="20"/>
                <w:lang w:val="en-GB"/>
              </w:rPr>
            </w:pPr>
            <w:r>
              <w:rPr>
                <w:bCs/>
                <w:i/>
                <w:iCs/>
                <w:sz w:val="20"/>
                <w:lang w:val="en-GB"/>
              </w:rPr>
              <w:t>15-19 years</w:t>
            </w:r>
          </w:p>
        </w:tc>
      </w:tr>
      <w:tr w:rsidR="00000000">
        <w:tblPrEx>
          <w:tblCellMar>
            <w:top w:w="0" w:type="dxa"/>
            <w:bottom w:w="0" w:type="dxa"/>
          </w:tblCellMar>
        </w:tblPrEx>
        <w:trPr>
          <w:cantSplit/>
          <w:jc w:val="center"/>
        </w:trPr>
        <w:tc>
          <w:tcPr>
            <w:tcW w:w="1305" w:type="dxa"/>
            <w:vMerge/>
            <w:tcBorders>
              <w:bottom w:val="single" w:sz="4" w:space="0" w:color="auto"/>
            </w:tcBorders>
            <w:vAlign w:val="center"/>
          </w:tcPr>
          <w:p w:rsidR="00000000" w:rsidRDefault="00000000">
            <w:pPr>
              <w:keepNext/>
              <w:spacing w:before="80" w:after="80"/>
              <w:jc w:val="center"/>
              <w:rPr>
                <w:bCs/>
                <w:i/>
                <w:iCs/>
                <w:sz w:val="20"/>
                <w:lang w:val="en-GB"/>
              </w:rPr>
            </w:pPr>
          </w:p>
        </w:tc>
        <w:tc>
          <w:tcPr>
            <w:tcW w:w="1480" w:type="dxa"/>
            <w:tcBorders>
              <w:bottom w:val="single" w:sz="4" w:space="0" w:color="auto"/>
            </w:tcBorders>
            <w:vAlign w:val="center"/>
          </w:tcPr>
          <w:p w:rsidR="00000000" w:rsidRDefault="00000000">
            <w:pPr>
              <w:keepNext/>
              <w:spacing w:before="80" w:after="80"/>
              <w:jc w:val="center"/>
              <w:rPr>
                <w:bCs/>
                <w:i/>
                <w:iCs/>
                <w:sz w:val="20"/>
              </w:rPr>
            </w:pPr>
            <w:r>
              <w:rPr>
                <w:bCs/>
                <w:i/>
                <w:iCs/>
                <w:sz w:val="20"/>
                <w:lang w:val="fr-CH"/>
              </w:rPr>
              <w:t>Abortions</w:t>
            </w:r>
          </w:p>
        </w:tc>
        <w:tc>
          <w:tcPr>
            <w:tcW w:w="1588" w:type="dxa"/>
            <w:tcBorders>
              <w:bottom w:val="single" w:sz="4" w:space="0" w:color="auto"/>
            </w:tcBorders>
            <w:vAlign w:val="center"/>
          </w:tcPr>
          <w:p w:rsidR="00000000" w:rsidRDefault="00000000">
            <w:pPr>
              <w:keepNext/>
              <w:spacing w:before="80" w:after="80"/>
              <w:jc w:val="center"/>
              <w:rPr>
                <w:bCs/>
                <w:i/>
                <w:iCs/>
                <w:sz w:val="20"/>
                <w:lang w:val="fr-CH"/>
              </w:rPr>
            </w:pPr>
            <w:r>
              <w:rPr>
                <w:bCs/>
                <w:i/>
                <w:iCs/>
                <w:sz w:val="20"/>
                <w:lang w:val="fr-CH"/>
              </w:rPr>
              <w:t>Pregnancies</w:t>
            </w:r>
          </w:p>
        </w:tc>
        <w:tc>
          <w:tcPr>
            <w:tcW w:w="1480" w:type="dxa"/>
            <w:tcBorders>
              <w:bottom w:val="single" w:sz="4" w:space="0" w:color="auto"/>
            </w:tcBorders>
            <w:vAlign w:val="center"/>
          </w:tcPr>
          <w:p w:rsidR="00000000" w:rsidRDefault="00000000">
            <w:pPr>
              <w:keepNext/>
              <w:spacing w:before="80" w:after="80"/>
              <w:jc w:val="center"/>
              <w:rPr>
                <w:bCs/>
                <w:i/>
                <w:iCs/>
                <w:sz w:val="20"/>
              </w:rPr>
            </w:pPr>
            <w:r>
              <w:rPr>
                <w:bCs/>
                <w:i/>
                <w:iCs/>
                <w:sz w:val="20"/>
                <w:lang w:val="fr-CH"/>
              </w:rPr>
              <w:t>Abortions</w:t>
            </w:r>
          </w:p>
        </w:tc>
        <w:tc>
          <w:tcPr>
            <w:tcW w:w="1588" w:type="dxa"/>
            <w:tcBorders>
              <w:bottom w:val="single" w:sz="4" w:space="0" w:color="auto"/>
            </w:tcBorders>
            <w:vAlign w:val="center"/>
          </w:tcPr>
          <w:p w:rsidR="00000000" w:rsidRDefault="00000000">
            <w:pPr>
              <w:keepNext/>
              <w:spacing w:before="80" w:after="80"/>
              <w:jc w:val="center"/>
              <w:rPr>
                <w:bCs/>
                <w:i/>
                <w:iCs/>
                <w:sz w:val="20"/>
                <w:lang w:val="en-GB"/>
              </w:rPr>
            </w:pPr>
            <w:r>
              <w:rPr>
                <w:bCs/>
                <w:i/>
                <w:iCs/>
                <w:sz w:val="20"/>
                <w:lang w:val="en-GB"/>
              </w:rPr>
              <w:t>Pregnancies</w:t>
            </w:r>
          </w:p>
        </w:tc>
      </w:tr>
      <w:tr w:rsidR="00000000">
        <w:tblPrEx>
          <w:tblCellMar>
            <w:top w:w="0" w:type="dxa"/>
            <w:bottom w:w="0" w:type="dxa"/>
          </w:tblCellMar>
        </w:tblPrEx>
        <w:trPr>
          <w:jc w:val="center"/>
        </w:trPr>
        <w:tc>
          <w:tcPr>
            <w:tcW w:w="1305" w:type="dxa"/>
            <w:tcBorders>
              <w:top w:val="single" w:sz="4" w:space="0" w:color="auto"/>
            </w:tcBorders>
          </w:tcPr>
          <w:p w:rsidR="00000000" w:rsidRDefault="00000000">
            <w:pPr>
              <w:keepNext/>
              <w:spacing w:before="80" w:after="80"/>
              <w:rPr>
                <w:sz w:val="20"/>
                <w:lang w:val="en-GB"/>
              </w:rPr>
            </w:pPr>
            <w:r>
              <w:rPr>
                <w:sz w:val="20"/>
                <w:lang w:val="en-GB"/>
              </w:rPr>
              <w:t>1996</w:t>
            </w:r>
          </w:p>
        </w:tc>
        <w:tc>
          <w:tcPr>
            <w:tcW w:w="1480" w:type="dxa"/>
            <w:tcBorders>
              <w:top w:val="single" w:sz="4" w:space="0" w:color="auto"/>
            </w:tcBorders>
          </w:tcPr>
          <w:p w:rsidR="00000000" w:rsidRDefault="00000000">
            <w:pPr>
              <w:keepNext/>
              <w:tabs>
                <w:tab w:val="decimal" w:pos="787"/>
              </w:tabs>
              <w:spacing w:before="80" w:after="80"/>
              <w:ind w:right="510"/>
              <w:jc w:val="right"/>
              <w:rPr>
                <w:sz w:val="20"/>
                <w:lang w:val="en-GB"/>
              </w:rPr>
            </w:pPr>
            <w:r>
              <w:rPr>
                <w:sz w:val="20"/>
                <w:lang w:val="en-GB"/>
              </w:rPr>
              <w:t>61</w:t>
            </w:r>
          </w:p>
        </w:tc>
        <w:tc>
          <w:tcPr>
            <w:tcW w:w="1588" w:type="dxa"/>
            <w:tcBorders>
              <w:top w:val="single" w:sz="4" w:space="0" w:color="auto"/>
            </w:tcBorders>
          </w:tcPr>
          <w:p w:rsidR="00000000" w:rsidRDefault="00000000">
            <w:pPr>
              <w:keepNext/>
              <w:spacing w:before="80" w:after="80"/>
              <w:ind w:right="510"/>
              <w:jc w:val="right"/>
              <w:rPr>
                <w:sz w:val="20"/>
                <w:lang w:val="en-GB"/>
              </w:rPr>
            </w:pPr>
            <w:r>
              <w:rPr>
                <w:sz w:val="20"/>
                <w:lang w:val="en-GB"/>
              </w:rPr>
              <w:t>3 100</w:t>
            </w:r>
          </w:p>
        </w:tc>
        <w:tc>
          <w:tcPr>
            <w:tcW w:w="1480" w:type="dxa"/>
            <w:tcBorders>
              <w:top w:val="single" w:sz="4" w:space="0" w:color="auto"/>
            </w:tcBorders>
          </w:tcPr>
          <w:p w:rsidR="00000000" w:rsidRDefault="00000000">
            <w:pPr>
              <w:keepNext/>
              <w:spacing w:before="80" w:after="80"/>
              <w:ind w:right="510"/>
              <w:jc w:val="right"/>
              <w:rPr>
                <w:sz w:val="20"/>
                <w:lang w:val="en-GB"/>
              </w:rPr>
            </w:pPr>
            <w:r>
              <w:rPr>
                <w:sz w:val="20"/>
                <w:lang w:val="en-GB"/>
              </w:rPr>
              <w:t>1 665</w:t>
            </w:r>
          </w:p>
        </w:tc>
        <w:tc>
          <w:tcPr>
            <w:tcW w:w="1588" w:type="dxa"/>
            <w:tcBorders>
              <w:top w:val="single" w:sz="4" w:space="0" w:color="auto"/>
            </w:tcBorders>
          </w:tcPr>
          <w:p w:rsidR="00000000" w:rsidRDefault="00000000">
            <w:pPr>
              <w:keepNext/>
              <w:spacing w:before="80" w:after="80"/>
              <w:ind w:right="510"/>
              <w:jc w:val="right"/>
              <w:rPr>
                <w:sz w:val="20"/>
                <w:lang w:val="en-GB"/>
              </w:rPr>
            </w:pPr>
            <w:r>
              <w:rPr>
                <w:sz w:val="20"/>
                <w:lang w:val="en-GB"/>
              </w:rPr>
              <w:t>100 868</w:t>
            </w:r>
          </w:p>
        </w:tc>
      </w:tr>
      <w:tr w:rsidR="00000000">
        <w:tblPrEx>
          <w:tblCellMar>
            <w:top w:w="0" w:type="dxa"/>
            <w:bottom w:w="0" w:type="dxa"/>
          </w:tblCellMar>
        </w:tblPrEx>
        <w:trPr>
          <w:jc w:val="center"/>
        </w:trPr>
        <w:tc>
          <w:tcPr>
            <w:tcW w:w="1305" w:type="dxa"/>
          </w:tcPr>
          <w:p w:rsidR="00000000" w:rsidRDefault="00000000">
            <w:pPr>
              <w:keepNext/>
              <w:spacing w:before="80" w:after="80"/>
              <w:rPr>
                <w:sz w:val="20"/>
                <w:lang w:val="en-GB"/>
              </w:rPr>
            </w:pPr>
            <w:r>
              <w:rPr>
                <w:sz w:val="20"/>
                <w:lang w:val="en-GB"/>
              </w:rPr>
              <w:t>1997</w:t>
            </w:r>
          </w:p>
        </w:tc>
        <w:tc>
          <w:tcPr>
            <w:tcW w:w="1480" w:type="dxa"/>
          </w:tcPr>
          <w:p w:rsidR="00000000" w:rsidRDefault="00000000">
            <w:pPr>
              <w:keepNext/>
              <w:tabs>
                <w:tab w:val="decimal" w:pos="787"/>
              </w:tabs>
              <w:spacing w:before="80" w:after="80"/>
              <w:ind w:right="510"/>
              <w:jc w:val="right"/>
              <w:rPr>
                <w:sz w:val="20"/>
                <w:lang w:val="en-GB"/>
              </w:rPr>
            </w:pPr>
            <w:r>
              <w:rPr>
                <w:sz w:val="20"/>
                <w:lang w:val="en-GB"/>
              </w:rPr>
              <w:t>74</w:t>
            </w:r>
          </w:p>
        </w:tc>
        <w:tc>
          <w:tcPr>
            <w:tcW w:w="1588" w:type="dxa"/>
          </w:tcPr>
          <w:p w:rsidR="00000000" w:rsidRDefault="00000000">
            <w:pPr>
              <w:keepNext/>
              <w:spacing w:before="80" w:after="80"/>
              <w:ind w:right="510"/>
              <w:jc w:val="right"/>
              <w:rPr>
                <w:sz w:val="20"/>
                <w:lang w:val="en-GB"/>
              </w:rPr>
            </w:pPr>
            <w:r>
              <w:rPr>
                <w:sz w:val="20"/>
                <w:lang w:val="en-GB"/>
              </w:rPr>
              <w:t>3 282</w:t>
            </w:r>
          </w:p>
        </w:tc>
        <w:tc>
          <w:tcPr>
            <w:tcW w:w="1480" w:type="dxa"/>
          </w:tcPr>
          <w:p w:rsidR="00000000" w:rsidRDefault="00000000">
            <w:pPr>
              <w:keepNext/>
              <w:spacing w:before="80" w:after="80"/>
              <w:ind w:right="510"/>
              <w:jc w:val="right"/>
              <w:rPr>
                <w:sz w:val="20"/>
                <w:lang w:val="en-GB"/>
              </w:rPr>
            </w:pPr>
            <w:r>
              <w:rPr>
                <w:sz w:val="20"/>
                <w:lang w:val="en-GB"/>
              </w:rPr>
              <w:t>1 830</w:t>
            </w:r>
          </w:p>
        </w:tc>
        <w:tc>
          <w:tcPr>
            <w:tcW w:w="1588" w:type="dxa"/>
          </w:tcPr>
          <w:p w:rsidR="00000000" w:rsidRDefault="00000000">
            <w:pPr>
              <w:keepNext/>
              <w:spacing w:before="80" w:after="80"/>
              <w:ind w:right="510"/>
              <w:jc w:val="right"/>
              <w:rPr>
                <w:sz w:val="20"/>
                <w:lang w:val="en-GB"/>
              </w:rPr>
            </w:pPr>
            <w:r>
              <w:rPr>
                <w:sz w:val="20"/>
                <w:lang w:val="en-GB"/>
              </w:rPr>
              <w:t>105 081</w:t>
            </w:r>
          </w:p>
        </w:tc>
      </w:tr>
      <w:tr w:rsidR="00000000">
        <w:tblPrEx>
          <w:tblCellMar>
            <w:top w:w="0" w:type="dxa"/>
            <w:bottom w:w="0" w:type="dxa"/>
          </w:tblCellMar>
        </w:tblPrEx>
        <w:trPr>
          <w:jc w:val="center"/>
        </w:trPr>
        <w:tc>
          <w:tcPr>
            <w:tcW w:w="1305" w:type="dxa"/>
          </w:tcPr>
          <w:p w:rsidR="00000000" w:rsidRDefault="00000000">
            <w:pPr>
              <w:keepNext/>
              <w:spacing w:before="80" w:after="80"/>
              <w:rPr>
                <w:sz w:val="20"/>
                <w:lang w:val="en-GB"/>
              </w:rPr>
            </w:pPr>
            <w:r>
              <w:rPr>
                <w:sz w:val="20"/>
                <w:lang w:val="en-GB"/>
              </w:rPr>
              <w:t>1998</w:t>
            </w:r>
          </w:p>
        </w:tc>
        <w:tc>
          <w:tcPr>
            <w:tcW w:w="1480" w:type="dxa"/>
          </w:tcPr>
          <w:p w:rsidR="00000000" w:rsidRDefault="00000000">
            <w:pPr>
              <w:keepNext/>
              <w:tabs>
                <w:tab w:val="decimal" w:pos="787"/>
              </w:tabs>
              <w:spacing w:before="80" w:after="80"/>
              <w:ind w:right="510"/>
              <w:jc w:val="right"/>
              <w:rPr>
                <w:sz w:val="20"/>
                <w:lang w:val="en-GB"/>
              </w:rPr>
            </w:pPr>
            <w:r>
              <w:rPr>
                <w:sz w:val="20"/>
                <w:lang w:val="en-GB"/>
              </w:rPr>
              <w:t>102</w:t>
            </w:r>
          </w:p>
        </w:tc>
        <w:tc>
          <w:tcPr>
            <w:tcW w:w="1588" w:type="dxa"/>
          </w:tcPr>
          <w:p w:rsidR="00000000" w:rsidRDefault="00000000">
            <w:pPr>
              <w:keepNext/>
              <w:spacing w:before="80" w:after="80"/>
              <w:ind w:right="510"/>
              <w:jc w:val="right"/>
              <w:rPr>
                <w:sz w:val="20"/>
                <w:lang w:val="en-GB"/>
              </w:rPr>
            </w:pPr>
            <w:r>
              <w:rPr>
                <w:sz w:val="20"/>
                <w:lang w:val="en-GB"/>
              </w:rPr>
              <w:t>3 740</w:t>
            </w:r>
          </w:p>
        </w:tc>
        <w:tc>
          <w:tcPr>
            <w:tcW w:w="1480" w:type="dxa"/>
          </w:tcPr>
          <w:p w:rsidR="00000000" w:rsidRDefault="00000000">
            <w:pPr>
              <w:keepNext/>
              <w:spacing w:before="80" w:after="80"/>
              <w:ind w:right="510"/>
              <w:jc w:val="right"/>
              <w:rPr>
                <w:sz w:val="20"/>
                <w:lang w:val="en-GB"/>
              </w:rPr>
            </w:pPr>
            <w:r>
              <w:rPr>
                <w:sz w:val="20"/>
                <w:lang w:val="en-GB"/>
              </w:rPr>
              <w:t>1 739</w:t>
            </w:r>
          </w:p>
        </w:tc>
        <w:tc>
          <w:tcPr>
            <w:tcW w:w="1588" w:type="dxa"/>
          </w:tcPr>
          <w:p w:rsidR="00000000" w:rsidRDefault="00000000">
            <w:pPr>
              <w:keepNext/>
              <w:spacing w:before="80" w:after="80"/>
              <w:ind w:right="510"/>
              <w:jc w:val="right"/>
              <w:rPr>
                <w:sz w:val="20"/>
                <w:lang w:val="en-GB"/>
              </w:rPr>
            </w:pPr>
            <w:r>
              <w:rPr>
                <w:sz w:val="20"/>
                <w:lang w:val="en-GB"/>
              </w:rPr>
              <w:t>114 400</w:t>
            </w:r>
          </w:p>
        </w:tc>
      </w:tr>
      <w:tr w:rsidR="00000000">
        <w:tblPrEx>
          <w:tblCellMar>
            <w:top w:w="0" w:type="dxa"/>
            <w:bottom w:w="0" w:type="dxa"/>
          </w:tblCellMar>
        </w:tblPrEx>
        <w:trPr>
          <w:jc w:val="center"/>
        </w:trPr>
        <w:tc>
          <w:tcPr>
            <w:tcW w:w="1305" w:type="dxa"/>
          </w:tcPr>
          <w:p w:rsidR="00000000" w:rsidRDefault="00000000">
            <w:pPr>
              <w:keepNext/>
              <w:spacing w:before="80" w:after="80"/>
              <w:rPr>
                <w:sz w:val="20"/>
                <w:lang w:val="en-GB"/>
              </w:rPr>
            </w:pPr>
            <w:r>
              <w:rPr>
                <w:sz w:val="20"/>
                <w:lang w:val="en-GB"/>
              </w:rPr>
              <w:t>1999</w:t>
            </w:r>
          </w:p>
        </w:tc>
        <w:tc>
          <w:tcPr>
            <w:tcW w:w="1480" w:type="dxa"/>
          </w:tcPr>
          <w:p w:rsidR="00000000" w:rsidRDefault="00000000">
            <w:pPr>
              <w:keepNext/>
              <w:tabs>
                <w:tab w:val="decimal" w:pos="787"/>
              </w:tabs>
              <w:spacing w:before="80" w:after="80"/>
              <w:ind w:right="510"/>
              <w:jc w:val="right"/>
              <w:rPr>
                <w:sz w:val="20"/>
                <w:lang w:val="en-GB"/>
              </w:rPr>
            </w:pPr>
            <w:r>
              <w:rPr>
                <w:sz w:val="20"/>
                <w:lang w:val="en-GB"/>
              </w:rPr>
              <w:t>96</w:t>
            </w:r>
          </w:p>
        </w:tc>
        <w:tc>
          <w:tcPr>
            <w:tcW w:w="1588" w:type="dxa"/>
          </w:tcPr>
          <w:p w:rsidR="00000000" w:rsidRDefault="00000000">
            <w:pPr>
              <w:keepNext/>
              <w:spacing w:before="80" w:after="80"/>
              <w:ind w:right="510"/>
              <w:jc w:val="right"/>
              <w:rPr>
                <w:sz w:val="20"/>
                <w:lang w:val="en-GB"/>
              </w:rPr>
            </w:pPr>
            <w:r>
              <w:rPr>
                <w:sz w:val="20"/>
                <w:lang w:val="en-GB"/>
              </w:rPr>
              <w:t>5 054</w:t>
            </w:r>
          </w:p>
        </w:tc>
        <w:tc>
          <w:tcPr>
            <w:tcW w:w="1480" w:type="dxa"/>
          </w:tcPr>
          <w:p w:rsidR="00000000" w:rsidRDefault="00000000">
            <w:pPr>
              <w:keepNext/>
              <w:spacing w:before="80" w:after="80"/>
              <w:ind w:right="510"/>
              <w:jc w:val="right"/>
              <w:rPr>
                <w:sz w:val="20"/>
                <w:lang w:val="en-GB"/>
              </w:rPr>
            </w:pPr>
            <w:r>
              <w:rPr>
                <w:sz w:val="20"/>
                <w:lang w:val="en-GB"/>
              </w:rPr>
              <w:t>1 907</w:t>
            </w:r>
          </w:p>
        </w:tc>
        <w:tc>
          <w:tcPr>
            <w:tcW w:w="1588" w:type="dxa"/>
          </w:tcPr>
          <w:p w:rsidR="00000000" w:rsidRDefault="00000000">
            <w:pPr>
              <w:keepNext/>
              <w:spacing w:before="80" w:after="80"/>
              <w:ind w:right="510"/>
              <w:jc w:val="right"/>
              <w:rPr>
                <w:sz w:val="20"/>
                <w:lang w:val="en-GB"/>
              </w:rPr>
            </w:pPr>
            <w:r>
              <w:rPr>
                <w:sz w:val="20"/>
                <w:lang w:val="en-GB"/>
              </w:rPr>
              <w:t>133 983</w:t>
            </w:r>
          </w:p>
        </w:tc>
      </w:tr>
      <w:tr w:rsidR="00000000">
        <w:tblPrEx>
          <w:tblCellMar>
            <w:top w:w="0" w:type="dxa"/>
            <w:bottom w:w="0" w:type="dxa"/>
          </w:tblCellMar>
        </w:tblPrEx>
        <w:trPr>
          <w:jc w:val="center"/>
        </w:trPr>
        <w:tc>
          <w:tcPr>
            <w:tcW w:w="1305" w:type="dxa"/>
            <w:tcBorders>
              <w:bottom w:val="single" w:sz="4" w:space="0" w:color="auto"/>
            </w:tcBorders>
          </w:tcPr>
          <w:p w:rsidR="00000000" w:rsidRDefault="00000000">
            <w:pPr>
              <w:keepNext/>
              <w:spacing w:before="80" w:after="80"/>
              <w:rPr>
                <w:sz w:val="20"/>
                <w:lang w:val="en-GB"/>
              </w:rPr>
            </w:pPr>
            <w:r>
              <w:rPr>
                <w:sz w:val="20"/>
                <w:lang w:val="en-GB"/>
              </w:rPr>
              <w:t>2001</w:t>
            </w:r>
          </w:p>
        </w:tc>
        <w:tc>
          <w:tcPr>
            <w:tcW w:w="1480" w:type="dxa"/>
            <w:tcBorders>
              <w:bottom w:val="single" w:sz="4" w:space="0" w:color="auto"/>
            </w:tcBorders>
          </w:tcPr>
          <w:p w:rsidR="00000000" w:rsidRDefault="00000000">
            <w:pPr>
              <w:keepNext/>
              <w:tabs>
                <w:tab w:val="decimal" w:pos="787"/>
              </w:tabs>
              <w:spacing w:before="80" w:after="80"/>
              <w:ind w:right="510"/>
              <w:jc w:val="right"/>
              <w:rPr>
                <w:sz w:val="20"/>
                <w:lang w:val="en-GB"/>
              </w:rPr>
            </w:pPr>
            <w:r>
              <w:rPr>
                <w:sz w:val="20"/>
                <w:lang w:val="en-GB"/>
              </w:rPr>
              <w:t>-</w:t>
            </w:r>
          </w:p>
        </w:tc>
        <w:tc>
          <w:tcPr>
            <w:tcW w:w="1588" w:type="dxa"/>
            <w:tcBorders>
              <w:bottom w:val="single" w:sz="4" w:space="0" w:color="auto"/>
            </w:tcBorders>
          </w:tcPr>
          <w:p w:rsidR="00000000" w:rsidRDefault="00000000">
            <w:pPr>
              <w:keepNext/>
              <w:spacing w:before="80" w:after="80"/>
              <w:ind w:right="510"/>
              <w:jc w:val="right"/>
              <w:rPr>
                <w:sz w:val="20"/>
                <w:lang w:val="en-GB"/>
              </w:rPr>
            </w:pPr>
            <w:r>
              <w:rPr>
                <w:sz w:val="20"/>
                <w:lang w:val="en-GB"/>
              </w:rPr>
              <w:t>-</w:t>
            </w:r>
          </w:p>
        </w:tc>
        <w:tc>
          <w:tcPr>
            <w:tcW w:w="1480" w:type="dxa"/>
            <w:tcBorders>
              <w:bottom w:val="single" w:sz="4" w:space="0" w:color="auto"/>
            </w:tcBorders>
          </w:tcPr>
          <w:p w:rsidR="00000000" w:rsidRDefault="00000000">
            <w:pPr>
              <w:keepNext/>
              <w:spacing w:before="80" w:after="80"/>
              <w:ind w:right="510"/>
              <w:jc w:val="right"/>
              <w:rPr>
                <w:sz w:val="20"/>
                <w:lang w:val="en-GB"/>
              </w:rPr>
            </w:pPr>
            <w:r>
              <w:rPr>
                <w:sz w:val="20"/>
                <w:lang w:val="en-GB"/>
              </w:rPr>
              <w:t>4 765</w:t>
            </w:r>
          </w:p>
        </w:tc>
        <w:tc>
          <w:tcPr>
            <w:tcW w:w="1588" w:type="dxa"/>
            <w:tcBorders>
              <w:bottom w:val="single" w:sz="4" w:space="0" w:color="auto"/>
            </w:tcBorders>
          </w:tcPr>
          <w:p w:rsidR="00000000" w:rsidRDefault="00000000">
            <w:pPr>
              <w:keepNext/>
              <w:spacing w:before="80" w:after="80"/>
              <w:ind w:right="510"/>
              <w:jc w:val="right"/>
              <w:rPr>
                <w:sz w:val="20"/>
                <w:lang w:val="en-GB"/>
              </w:rPr>
            </w:pPr>
            <w:r>
              <w:rPr>
                <w:sz w:val="20"/>
                <w:lang w:val="en-GB"/>
              </w:rPr>
              <w:t>132 762</w:t>
            </w:r>
          </w:p>
        </w:tc>
      </w:tr>
    </w:tbl>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b/>
          <w:sz w:val="24"/>
          <w:lang w:val="en-GB"/>
        </w:rPr>
        <w:t>4.</w:t>
      </w:r>
      <w:r>
        <w:rPr>
          <w:b/>
          <w:sz w:val="24"/>
          <w:lang w:val="en-GB"/>
        </w:rPr>
        <w:tab/>
        <w:t>Addictive behaviour and drug abuse</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137.</w:t>
      </w:r>
      <w:r>
        <w:rPr>
          <w:sz w:val="24"/>
          <w:lang w:val="en-GB"/>
        </w:rPr>
        <w:tab/>
        <w:t>Drug addiction is a public health problem in Peru.  The statistical records show that adolescents of both sexes remain the population at greatest risk of drug use.  The use and abuse of legal drugs such as alcohol and tobacco are the gateway to the use of illegal drugs.</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138.</w:t>
      </w:r>
      <w:r>
        <w:rPr>
          <w:sz w:val="24"/>
          <w:lang w:val="en-GB"/>
        </w:rPr>
        <w:tab/>
        <w:t>The following table shows the percentage of adolescents who have used a legal drug in the past year.</w:t>
      </w:r>
      <w:r>
        <w:rPr>
          <w:rStyle w:val="FootnoteReference"/>
          <w:b/>
          <w:sz w:val="24"/>
          <w:lang w:val="en-GB"/>
        </w:rPr>
        <w:footnoteReference w:customMarkFollows="1" w:id="57"/>
        <w:t>57</w:t>
      </w:r>
    </w:p>
    <w:p w:rsidR="00000000" w:rsidRDefault="00000000">
      <w:pPr>
        <w:tabs>
          <w:tab w:val="clear" w:pos="720"/>
        </w:tabs>
        <w:jc w:val="left"/>
        <w:rPr>
          <w:sz w:val="24"/>
          <w:lang w:val="en-GB"/>
        </w:rPr>
      </w:pPr>
    </w:p>
    <w:tbl>
      <w:tblPr>
        <w:tblW w:w="7371" w:type="dxa"/>
        <w:jc w:val="center"/>
        <w:tblLayout w:type="fixed"/>
        <w:tblCellMar>
          <w:left w:w="70" w:type="dxa"/>
          <w:right w:w="70" w:type="dxa"/>
        </w:tblCellMar>
        <w:tblLook w:val="0000" w:firstRow="0" w:lastRow="0" w:firstColumn="0" w:lastColumn="0" w:noHBand="0" w:noVBand="0"/>
      </w:tblPr>
      <w:tblGrid>
        <w:gridCol w:w="3686"/>
        <w:gridCol w:w="1228"/>
        <w:gridCol w:w="1228"/>
        <w:gridCol w:w="1229"/>
      </w:tblGrid>
      <w:tr w:rsidR="00000000">
        <w:tblPrEx>
          <w:tblCellMar>
            <w:top w:w="0" w:type="dxa"/>
            <w:bottom w:w="0" w:type="dxa"/>
          </w:tblCellMar>
        </w:tblPrEx>
        <w:trPr>
          <w:cantSplit/>
          <w:trHeight w:val="20"/>
          <w:jc w:val="center"/>
        </w:trPr>
        <w:tc>
          <w:tcPr>
            <w:tcW w:w="3686" w:type="dxa"/>
            <w:vMerge w:val="restart"/>
            <w:tcBorders>
              <w:top w:val="single" w:sz="4" w:space="0" w:color="auto"/>
            </w:tcBorders>
            <w:vAlign w:val="center"/>
          </w:tcPr>
          <w:p w:rsidR="00000000" w:rsidRDefault="00000000">
            <w:pPr>
              <w:spacing w:before="60" w:after="60"/>
              <w:jc w:val="center"/>
              <w:rPr>
                <w:bCs/>
                <w:i/>
                <w:iCs/>
                <w:sz w:val="20"/>
                <w:lang w:val="en-GB"/>
              </w:rPr>
            </w:pPr>
            <w:r>
              <w:rPr>
                <w:bCs/>
                <w:i/>
                <w:iCs/>
                <w:sz w:val="20"/>
                <w:lang w:val="en-GB"/>
              </w:rPr>
              <w:t>Legal drug</w:t>
            </w:r>
          </w:p>
        </w:tc>
        <w:tc>
          <w:tcPr>
            <w:tcW w:w="3685" w:type="dxa"/>
            <w:gridSpan w:val="3"/>
            <w:tcBorders>
              <w:top w:val="single" w:sz="4" w:space="0" w:color="auto"/>
              <w:bottom w:val="single" w:sz="4" w:space="0" w:color="auto"/>
            </w:tcBorders>
            <w:vAlign w:val="center"/>
          </w:tcPr>
          <w:p w:rsidR="00000000" w:rsidRDefault="00000000">
            <w:pPr>
              <w:spacing w:before="60" w:after="60"/>
              <w:jc w:val="center"/>
              <w:rPr>
                <w:bCs/>
                <w:i/>
                <w:iCs/>
                <w:sz w:val="20"/>
                <w:lang w:val="en-GB"/>
              </w:rPr>
            </w:pPr>
            <w:r>
              <w:rPr>
                <w:bCs/>
                <w:i/>
                <w:iCs/>
                <w:sz w:val="20"/>
                <w:lang w:val="en-GB"/>
              </w:rPr>
              <w:t>Age group</w:t>
            </w:r>
          </w:p>
        </w:tc>
      </w:tr>
      <w:tr w:rsidR="00000000">
        <w:tblPrEx>
          <w:tblCellMar>
            <w:top w:w="0" w:type="dxa"/>
            <w:bottom w:w="0" w:type="dxa"/>
          </w:tblCellMar>
        </w:tblPrEx>
        <w:trPr>
          <w:cantSplit/>
          <w:trHeight w:val="20"/>
          <w:jc w:val="center"/>
        </w:trPr>
        <w:tc>
          <w:tcPr>
            <w:tcW w:w="3686" w:type="dxa"/>
            <w:vMerge/>
            <w:tcBorders>
              <w:bottom w:val="single" w:sz="4" w:space="0" w:color="auto"/>
            </w:tcBorders>
          </w:tcPr>
          <w:p w:rsidR="00000000" w:rsidRDefault="00000000">
            <w:pPr>
              <w:spacing w:before="60" w:after="60"/>
              <w:jc w:val="center"/>
              <w:rPr>
                <w:bCs/>
                <w:i/>
                <w:iCs/>
                <w:sz w:val="20"/>
                <w:lang w:val="en-GB"/>
              </w:rPr>
            </w:pPr>
          </w:p>
        </w:tc>
        <w:tc>
          <w:tcPr>
            <w:tcW w:w="1228" w:type="dxa"/>
            <w:tcBorders>
              <w:top w:val="single" w:sz="4" w:space="0" w:color="auto"/>
              <w:bottom w:val="single" w:sz="4" w:space="0" w:color="auto"/>
            </w:tcBorders>
          </w:tcPr>
          <w:p w:rsidR="00000000" w:rsidRDefault="00000000">
            <w:pPr>
              <w:spacing w:before="60" w:after="60"/>
              <w:jc w:val="center"/>
              <w:rPr>
                <w:bCs/>
                <w:i/>
                <w:iCs/>
                <w:sz w:val="20"/>
                <w:lang w:val="en-GB"/>
              </w:rPr>
            </w:pPr>
            <w:r>
              <w:rPr>
                <w:bCs/>
                <w:i/>
                <w:iCs/>
                <w:sz w:val="20"/>
                <w:lang w:val="en-GB"/>
              </w:rPr>
              <w:t>12 - 13</w:t>
            </w:r>
          </w:p>
        </w:tc>
        <w:tc>
          <w:tcPr>
            <w:tcW w:w="1228" w:type="dxa"/>
            <w:tcBorders>
              <w:top w:val="single" w:sz="4" w:space="0" w:color="auto"/>
              <w:bottom w:val="single" w:sz="4" w:space="0" w:color="auto"/>
            </w:tcBorders>
          </w:tcPr>
          <w:p w:rsidR="00000000" w:rsidRDefault="00000000">
            <w:pPr>
              <w:spacing w:before="60" w:after="60"/>
              <w:jc w:val="center"/>
              <w:rPr>
                <w:bCs/>
                <w:i/>
                <w:iCs/>
                <w:sz w:val="20"/>
                <w:lang w:val="en-GB"/>
              </w:rPr>
            </w:pPr>
            <w:r>
              <w:rPr>
                <w:bCs/>
                <w:i/>
                <w:iCs/>
                <w:sz w:val="20"/>
                <w:lang w:val="en-GB"/>
              </w:rPr>
              <w:t>14 - 16</w:t>
            </w:r>
          </w:p>
        </w:tc>
        <w:tc>
          <w:tcPr>
            <w:tcW w:w="1229" w:type="dxa"/>
            <w:tcBorders>
              <w:top w:val="single" w:sz="4" w:space="0" w:color="auto"/>
              <w:bottom w:val="single" w:sz="4" w:space="0" w:color="auto"/>
            </w:tcBorders>
          </w:tcPr>
          <w:p w:rsidR="00000000" w:rsidRDefault="00000000">
            <w:pPr>
              <w:spacing w:before="60" w:after="60"/>
              <w:jc w:val="center"/>
              <w:rPr>
                <w:bCs/>
                <w:i/>
                <w:iCs/>
                <w:sz w:val="20"/>
                <w:lang w:val="en-GB"/>
              </w:rPr>
            </w:pPr>
            <w:r>
              <w:rPr>
                <w:bCs/>
                <w:i/>
                <w:iCs/>
                <w:sz w:val="20"/>
                <w:lang w:val="en-GB"/>
              </w:rPr>
              <w:t>17 - 19</w:t>
            </w:r>
          </w:p>
        </w:tc>
      </w:tr>
      <w:tr w:rsidR="00000000">
        <w:tblPrEx>
          <w:tblCellMar>
            <w:top w:w="0" w:type="dxa"/>
            <w:bottom w:w="0" w:type="dxa"/>
          </w:tblCellMar>
        </w:tblPrEx>
        <w:trPr>
          <w:trHeight w:val="20"/>
          <w:jc w:val="center"/>
        </w:trPr>
        <w:tc>
          <w:tcPr>
            <w:tcW w:w="3686" w:type="dxa"/>
            <w:tcBorders>
              <w:top w:val="single" w:sz="4" w:space="0" w:color="auto"/>
            </w:tcBorders>
            <w:vAlign w:val="center"/>
          </w:tcPr>
          <w:p w:rsidR="00000000" w:rsidRDefault="00000000">
            <w:pPr>
              <w:spacing w:before="60" w:after="60"/>
              <w:rPr>
                <w:bCs/>
                <w:sz w:val="20"/>
                <w:lang w:val="en-GB"/>
              </w:rPr>
            </w:pPr>
            <w:r>
              <w:rPr>
                <w:bCs/>
                <w:sz w:val="20"/>
                <w:lang w:val="en-GB"/>
              </w:rPr>
              <w:t>Alcohol</w:t>
            </w:r>
          </w:p>
        </w:tc>
        <w:tc>
          <w:tcPr>
            <w:tcW w:w="1228" w:type="dxa"/>
            <w:tcBorders>
              <w:top w:val="single" w:sz="4" w:space="0" w:color="auto"/>
            </w:tcBorders>
            <w:vAlign w:val="center"/>
          </w:tcPr>
          <w:p w:rsidR="00000000" w:rsidRDefault="00000000">
            <w:pPr>
              <w:tabs>
                <w:tab w:val="decimal" w:pos="639"/>
              </w:tabs>
              <w:spacing w:before="60" w:after="60"/>
              <w:rPr>
                <w:bCs/>
                <w:sz w:val="20"/>
                <w:lang w:val="en-GB"/>
              </w:rPr>
            </w:pPr>
            <w:r>
              <w:rPr>
                <w:bCs/>
                <w:sz w:val="20"/>
                <w:lang w:val="en-GB"/>
              </w:rPr>
              <w:t>48</w:t>
            </w:r>
          </w:p>
        </w:tc>
        <w:tc>
          <w:tcPr>
            <w:tcW w:w="1228" w:type="dxa"/>
            <w:tcBorders>
              <w:top w:val="single" w:sz="4" w:space="0" w:color="auto"/>
            </w:tcBorders>
            <w:vAlign w:val="center"/>
          </w:tcPr>
          <w:p w:rsidR="00000000" w:rsidRDefault="00000000">
            <w:pPr>
              <w:tabs>
                <w:tab w:val="decimal" w:pos="639"/>
              </w:tabs>
              <w:spacing w:before="60" w:after="60"/>
              <w:rPr>
                <w:bCs/>
                <w:sz w:val="20"/>
                <w:lang w:val="en-GB"/>
              </w:rPr>
            </w:pPr>
            <w:r>
              <w:rPr>
                <w:bCs/>
                <w:sz w:val="20"/>
                <w:lang w:val="en-GB"/>
              </w:rPr>
              <w:t>60</w:t>
            </w:r>
          </w:p>
        </w:tc>
        <w:tc>
          <w:tcPr>
            <w:tcW w:w="1229" w:type="dxa"/>
            <w:tcBorders>
              <w:top w:val="single" w:sz="4" w:space="0" w:color="auto"/>
            </w:tcBorders>
            <w:vAlign w:val="center"/>
          </w:tcPr>
          <w:p w:rsidR="00000000" w:rsidRDefault="00000000">
            <w:pPr>
              <w:tabs>
                <w:tab w:val="decimal" w:pos="639"/>
              </w:tabs>
              <w:spacing w:before="60" w:after="60"/>
              <w:rPr>
                <w:bCs/>
                <w:sz w:val="20"/>
                <w:lang w:val="en-GB"/>
              </w:rPr>
            </w:pPr>
            <w:r>
              <w:rPr>
                <w:bCs/>
                <w:sz w:val="20"/>
                <w:lang w:val="en-GB"/>
              </w:rPr>
              <w:t>77</w:t>
            </w:r>
          </w:p>
        </w:tc>
      </w:tr>
      <w:tr w:rsidR="00000000">
        <w:tblPrEx>
          <w:tblCellMar>
            <w:top w:w="0" w:type="dxa"/>
            <w:bottom w:w="0" w:type="dxa"/>
          </w:tblCellMar>
        </w:tblPrEx>
        <w:trPr>
          <w:trHeight w:val="20"/>
          <w:jc w:val="center"/>
        </w:trPr>
        <w:tc>
          <w:tcPr>
            <w:tcW w:w="3686" w:type="dxa"/>
            <w:vAlign w:val="center"/>
          </w:tcPr>
          <w:p w:rsidR="00000000" w:rsidRDefault="00000000">
            <w:pPr>
              <w:spacing w:before="60" w:after="60"/>
              <w:rPr>
                <w:bCs/>
                <w:sz w:val="20"/>
                <w:lang w:val="en-GB"/>
              </w:rPr>
            </w:pPr>
            <w:r>
              <w:rPr>
                <w:bCs/>
                <w:sz w:val="20"/>
                <w:lang w:val="en-GB"/>
              </w:rPr>
              <w:t>Tobacco</w:t>
            </w:r>
          </w:p>
        </w:tc>
        <w:tc>
          <w:tcPr>
            <w:tcW w:w="1228" w:type="dxa"/>
            <w:vAlign w:val="center"/>
          </w:tcPr>
          <w:p w:rsidR="00000000" w:rsidRDefault="00000000">
            <w:pPr>
              <w:tabs>
                <w:tab w:val="decimal" w:pos="639"/>
              </w:tabs>
              <w:spacing w:before="60" w:after="60"/>
              <w:rPr>
                <w:bCs/>
                <w:sz w:val="20"/>
                <w:lang w:val="en-GB"/>
              </w:rPr>
            </w:pPr>
            <w:r>
              <w:rPr>
                <w:bCs/>
                <w:sz w:val="20"/>
                <w:lang w:val="en-GB"/>
              </w:rPr>
              <w:t>11</w:t>
            </w:r>
          </w:p>
        </w:tc>
        <w:tc>
          <w:tcPr>
            <w:tcW w:w="1228" w:type="dxa"/>
            <w:vAlign w:val="center"/>
          </w:tcPr>
          <w:p w:rsidR="00000000" w:rsidRDefault="00000000">
            <w:pPr>
              <w:tabs>
                <w:tab w:val="decimal" w:pos="639"/>
              </w:tabs>
              <w:spacing w:before="60" w:after="60"/>
              <w:rPr>
                <w:bCs/>
                <w:sz w:val="20"/>
                <w:lang w:val="en-GB"/>
              </w:rPr>
            </w:pPr>
            <w:r>
              <w:rPr>
                <w:bCs/>
                <w:sz w:val="20"/>
                <w:lang w:val="en-GB"/>
              </w:rPr>
              <w:t>31</w:t>
            </w:r>
          </w:p>
        </w:tc>
        <w:tc>
          <w:tcPr>
            <w:tcW w:w="1229" w:type="dxa"/>
            <w:vAlign w:val="center"/>
          </w:tcPr>
          <w:p w:rsidR="00000000" w:rsidRDefault="00000000">
            <w:pPr>
              <w:tabs>
                <w:tab w:val="decimal" w:pos="639"/>
              </w:tabs>
              <w:spacing w:before="60" w:after="60"/>
              <w:rPr>
                <w:bCs/>
                <w:sz w:val="20"/>
                <w:lang w:val="en-GB"/>
              </w:rPr>
            </w:pPr>
            <w:r>
              <w:rPr>
                <w:bCs/>
                <w:sz w:val="20"/>
                <w:lang w:val="en-GB"/>
              </w:rPr>
              <w:t>47</w:t>
            </w:r>
          </w:p>
        </w:tc>
      </w:tr>
      <w:tr w:rsidR="00000000">
        <w:tblPrEx>
          <w:tblCellMar>
            <w:top w:w="0" w:type="dxa"/>
            <w:bottom w:w="0" w:type="dxa"/>
          </w:tblCellMar>
        </w:tblPrEx>
        <w:trPr>
          <w:trHeight w:val="20"/>
          <w:jc w:val="center"/>
        </w:trPr>
        <w:tc>
          <w:tcPr>
            <w:tcW w:w="3686" w:type="dxa"/>
            <w:tcBorders>
              <w:bottom w:val="single" w:sz="4" w:space="0" w:color="auto"/>
            </w:tcBorders>
            <w:vAlign w:val="center"/>
          </w:tcPr>
          <w:p w:rsidR="00000000" w:rsidRDefault="00000000">
            <w:pPr>
              <w:spacing w:before="60" w:after="60"/>
              <w:rPr>
                <w:bCs/>
                <w:sz w:val="20"/>
                <w:lang w:val="en-GB"/>
              </w:rPr>
            </w:pPr>
            <w:r>
              <w:rPr>
                <w:bCs/>
                <w:sz w:val="20"/>
                <w:lang w:val="en-GB"/>
              </w:rPr>
              <w:t>Tranqillizers</w:t>
            </w:r>
          </w:p>
        </w:tc>
        <w:tc>
          <w:tcPr>
            <w:tcW w:w="1228" w:type="dxa"/>
            <w:tcBorders>
              <w:bottom w:val="single" w:sz="4" w:space="0" w:color="auto"/>
            </w:tcBorders>
            <w:vAlign w:val="center"/>
          </w:tcPr>
          <w:p w:rsidR="00000000" w:rsidRDefault="00000000">
            <w:pPr>
              <w:tabs>
                <w:tab w:val="decimal" w:pos="639"/>
              </w:tabs>
              <w:spacing w:before="60" w:after="60"/>
              <w:rPr>
                <w:bCs/>
                <w:sz w:val="20"/>
                <w:lang w:val="en-GB"/>
              </w:rPr>
            </w:pPr>
            <w:r>
              <w:rPr>
                <w:bCs/>
                <w:sz w:val="20"/>
                <w:lang w:val="en-GB"/>
              </w:rPr>
              <w:t>1</w:t>
            </w:r>
          </w:p>
        </w:tc>
        <w:tc>
          <w:tcPr>
            <w:tcW w:w="1228" w:type="dxa"/>
            <w:tcBorders>
              <w:bottom w:val="single" w:sz="4" w:space="0" w:color="auto"/>
            </w:tcBorders>
            <w:vAlign w:val="center"/>
          </w:tcPr>
          <w:p w:rsidR="00000000" w:rsidRDefault="00000000">
            <w:pPr>
              <w:tabs>
                <w:tab w:val="decimal" w:pos="639"/>
              </w:tabs>
              <w:spacing w:before="60" w:after="60"/>
              <w:rPr>
                <w:bCs/>
                <w:sz w:val="20"/>
                <w:lang w:val="en-GB"/>
              </w:rPr>
            </w:pPr>
            <w:r>
              <w:rPr>
                <w:bCs/>
                <w:sz w:val="20"/>
                <w:lang w:val="en-GB"/>
              </w:rPr>
              <w:t>1</w:t>
            </w:r>
          </w:p>
        </w:tc>
        <w:tc>
          <w:tcPr>
            <w:tcW w:w="1229" w:type="dxa"/>
            <w:tcBorders>
              <w:bottom w:val="single" w:sz="4" w:space="0" w:color="auto"/>
            </w:tcBorders>
            <w:vAlign w:val="center"/>
          </w:tcPr>
          <w:p w:rsidR="00000000" w:rsidRDefault="00000000">
            <w:pPr>
              <w:tabs>
                <w:tab w:val="decimal" w:pos="639"/>
              </w:tabs>
              <w:spacing w:before="60" w:after="60"/>
              <w:rPr>
                <w:bCs/>
                <w:sz w:val="20"/>
                <w:lang w:val="en-GB"/>
              </w:rPr>
            </w:pPr>
            <w:r>
              <w:rPr>
                <w:bCs/>
                <w:sz w:val="20"/>
                <w:lang w:val="en-GB"/>
              </w:rPr>
              <w:t>3</w:t>
            </w:r>
          </w:p>
        </w:tc>
      </w:tr>
    </w:tbl>
    <w:p w:rsidR="00000000" w:rsidRDefault="00000000">
      <w:pPr>
        <w:tabs>
          <w:tab w:val="clear" w:pos="720"/>
        </w:tabs>
        <w:jc w:val="left"/>
        <w:rPr>
          <w:sz w:val="20"/>
          <w:lang w:val="en-GB"/>
        </w:rPr>
      </w:pPr>
    </w:p>
    <w:p w:rsidR="00000000" w:rsidRDefault="00000000">
      <w:pPr>
        <w:tabs>
          <w:tab w:val="clear" w:pos="720"/>
        </w:tabs>
        <w:jc w:val="left"/>
        <w:rPr>
          <w:sz w:val="24"/>
          <w:lang w:val="en-GB"/>
        </w:rPr>
      </w:pPr>
      <w:r>
        <w:rPr>
          <w:sz w:val="24"/>
          <w:lang w:val="en-GB"/>
        </w:rPr>
        <w:t>139.</w:t>
      </w:r>
      <w:r>
        <w:rPr>
          <w:sz w:val="24"/>
          <w:lang w:val="en-GB"/>
        </w:rPr>
        <w:tab/>
        <w:t>The age at which a drug is first used provides information about the age groups at risk, on which the treatment and prevention measures must be concentrated.</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140.</w:t>
      </w:r>
      <w:r>
        <w:rPr>
          <w:sz w:val="24"/>
          <w:lang w:val="en-GB"/>
        </w:rPr>
        <w:tab/>
        <w:t>Analysis of the likelihood of a person’s beginning to use a drug shows that initiation occurs at very early ages, especially in the case of legal drugs.  However, it is a well known fact that the likelihood of drug use increases sharply from the age of puberty (12 years).  Of the illegal drugs, marihuana is the most likely to be used, mainly from the age of 15.</w:t>
      </w:r>
      <w:r>
        <w:rPr>
          <w:rStyle w:val="FootnoteReference"/>
          <w:b/>
          <w:sz w:val="24"/>
          <w:lang w:val="en-GB"/>
        </w:rPr>
        <w:footnoteReference w:customMarkFollows="1" w:id="58"/>
        <w:t>58</w:t>
      </w:r>
    </w:p>
    <w:p w:rsidR="00000000" w:rsidRDefault="00000000">
      <w:pPr>
        <w:tabs>
          <w:tab w:val="clear" w:pos="720"/>
        </w:tabs>
        <w:jc w:val="left"/>
        <w:rPr>
          <w:sz w:val="18"/>
          <w:lang w:val="en-GB"/>
        </w:rPr>
      </w:pPr>
    </w:p>
    <w:p w:rsidR="00000000" w:rsidRDefault="00000000">
      <w:pPr>
        <w:keepNext/>
        <w:tabs>
          <w:tab w:val="clear" w:pos="720"/>
        </w:tabs>
        <w:spacing w:after="200"/>
        <w:jc w:val="center"/>
        <w:rPr>
          <w:b/>
          <w:sz w:val="24"/>
          <w:lang w:val="en-GB"/>
        </w:rPr>
      </w:pPr>
      <w:r>
        <w:rPr>
          <w:b/>
          <w:sz w:val="20"/>
          <w:lang w:val="en-GB"/>
        </w:rPr>
        <w:t>Incidence of use (%)</w:t>
      </w:r>
    </w:p>
    <w:tbl>
      <w:tblPr>
        <w:tblW w:w="0" w:type="auto"/>
        <w:jc w:val="center"/>
        <w:tblLayout w:type="fixed"/>
        <w:tblCellMar>
          <w:left w:w="70" w:type="dxa"/>
          <w:right w:w="70" w:type="dxa"/>
        </w:tblCellMar>
        <w:tblLook w:val="0000" w:firstRow="0" w:lastRow="0" w:firstColumn="0" w:lastColumn="0" w:noHBand="0" w:noVBand="0"/>
      </w:tblPr>
      <w:tblGrid>
        <w:gridCol w:w="2244"/>
        <w:gridCol w:w="1654"/>
        <w:gridCol w:w="1559"/>
        <w:gridCol w:w="1984"/>
      </w:tblGrid>
      <w:tr w:rsidR="00000000">
        <w:tblPrEx>
          <w:tblCellMar>
            <w:top w:w="0" w:type="dxa"/>
            <w:bottom w:w="0" w:type="dxa"/>
          </w:tblCellMar>
        </w:tblPrEx>
        <w:trPr>
          <w:cantSplit/>
          <w:jc w:val="center"/>
        </w:trPr>
        <w:tc>
          <w:tcPr>
            <w:tcW w:w="2244" w:type="dxa"/>
            <w:vMerge w:val="restart"/>
            <w:tcBorders>
              <w:top w:val="single" w:sz="4" w:space="0" w:color="auto"/>
            </w:tcBorders>
            <w:vAlign w:val="center"/>
          </w:tcPr>
          <w:p w:rsidR="00000000" w:rsidRDefault="00000000">
            <w:pPr>
              <w:keepNext/>
              <w:spacing w:before="60" w:after="80"/>
              <w:jc w:val="center"/>
              <w:rPr>
                <w:bCs/>
                <w:sz w:val="20"/>
                <w:highlight w:val="darkRed"/>
                <w:lang w:val="en-GB"/>
              </w:rPr>
            </w:pPr>
            <w:r>
              <w:rPr>
                <w:bCs/>
                <w:sz w:val="20"/>
                <w:lang w:val="en-GB"/>
              </w:rPr>
              <w:t>Drug</w:t>
            </w:r>
          </w:p>
        </w:tc>
        <w:tc>
          <w:tcPr>
            <w:tcW w:w="5197" w:type="dxa"/>
            <w:gridSpan w:val="3"/>
            <w:tcBorders>
              <w:top w:val="single" w:sz="4" w:space="0" w:color="auto"/>
              <w:bottom w:val="single" w:sz="4" w:space="0" w:color="auto"/>
            </w:tcBorders>
            <w:vAlign w:val="center"/>
          </w:tcPr>
          <w:p w:rsidR="00000000" w:rsidRDefault="00000000">
            <w:pPr>
              <w:keepNext/>
              <w:spacing w:before="60" w:after="80"/>
              <w:jc w:val="center"/>
              <w:rPr>
                <w:bCs/>
                <w:i/>
                <w:iCs/>
                <w:sz w:val="20"/>
                <w:highlight w:val="darkRed"/>
                <w:lang w:val="en-GB"/>
              </w:rPr>
            </w:pPr>
            <w:r>
              <w:rPr>
                <w:bCs/>
                <w:i/>
                <w:iCs/>
                <w:sz w:val="20"/>
                <w:lang w:val="en-GB"/>
              </w:rPr>
              <w:t>Age group</w:t>
            </w:r>
          </w:p>
        </w:tc>
      </w:tr>
      <w:tr w:rsidR="00000000">
        <w:tblPrEx>
          <w:tblCellMar>
            <w:top w:w="0" w:type="dxa"/>
            <w:bottom w:w="0" w:type="dxa"/>
          </w:tblCellMar>
        </w:tblPrEx>
        <w:trPr>
          <w:cantSplit/>
          <w:jc w:val="center"/>
        </w:trPr>
        <w:tc>
          <w:tcPr>
            <w:tcW w:w="2244" w:type="dxa"/>
            <w:vMerge/>
            <w:tcBorders>
              <w:bottom w:val="single" w:sz="4" w:space="0" w:color="auto"/>
            </w:tcBorders>
            <w:vAlign w:val="center"/>
          </w:tcPr>
          <w:p w:rsidR="00000000" w:rsidRDefault="00000000">
            <w:pPr>
              <w:keepNext/>
              <w:spacing w:before="60" w:after="80"/>
              <w:jc w:val="center"/>
              <w:rPr>
                <w:bCs/>
                <w:sz w:val="20"/>
                <w:highlight w:val="darkRed"/>
                <w:lang w:val="en-GB"/>
              </w:rPr>
            </w:pPr>
          </w:p>
        </w:tc>
        <w:tc>
          <w:tcPr>
            <w:tcW w:w="1654" w:type="dxa"/>
            <w:tcBorders>
              <w:top w:val="single" w:sz="4" w:space="0" w:color="auto"/>
              <w:bottom w:val="single" w:sz="4" w:space="0" w:color="auto"/>
            </w:tcBorders>
            <w:vAlign w:val="center"/>
          </w:tcPr>
          <w:p w:rsidR="00000000" w:rsidRDefault="00000000">
            <w:pPr>
              <w:keepNext/>
              <w:spacing w:before="60" w:after="80"/>
              <w:jc w:val="center"/>
              <w:rPr>
                <w:bCs/>
                <w:i/>
                <w:iCs/>
                <w:sz w:val="20"/>
                <w:highlight w:val="darkRed"/>
                <w:lang w:val="pt-BR"/>
              </w:rPr>
            </w:pPr>
            <w:r>
              <w:rPr>
                <w:bCs/>
                <w:i/>
                <w:iCs/>
                <w:sz w:val="20"/>
                <w:lang w:val="pt-BR"/>
              </w:rPr>
              <w:t>12 a 13</w:t>
            </w:r>
          </w:p>
        </w:tc>
        <w:tc>
          <w:tcPr>
            <w:tcW w:w="1559" w:type="dxa"/>
            <w:tcBorders>
              <w:top w:val="single" w:sz="4" w:space="0" w:color="auto"/>
              <w:bottom w:val="single" w:sz="4" w:space="0" w:color="auto"/>
            </w:tcBorders>
            <w:vAlign w:val="center"/>
          </w:tcPr>
          <w:p w:rsidR="00000000" w:rsidRDefault="00000000">
            <w:pPr>
              <w:keepNext/>
              <w:spacing w:before="60" w:after="80"/>
              <w:jc w:val="center"/>
              <w:rPr>
                <w:bCs/>
                <w:i/>
                <w:iCs/>
                <w:sz w:val="20"/>
                <w:highlight w:val="darkRed"/>
                <w:lang w:val="pt-BR"/>
              </w:rPr>
            </w:pPr>
            <w:r>
              <w:rPr>
                <w:bCs/>
                <w:i/>
                <w:iCs/>
                <w:sz w:val="20"/>
                <w:lang w:val="pt-BR"/>
              </w:rPr>
              <w:t>14 a 16</w:t>
            </w:r>
          </w:p>
        </w:tc>
        <w:tc>
          <w:tcPr>
            <w:tcW w:w="1984" w:type="dxa"/>
            <w:tcBorders>
              <w:top w:val="single" w:sz="4" w:space="0" w:color="auto"/>
              <w:bottom w:val="single" w:sz="4" w:space="0" w:color="auto"/>
            </w:tcBorders>
            <w:vAlign w:val="center"/>
          </w:tcPr>
          <w:p w:rsidR="00000000" w:rsidRDefault="00000000">
            <w:pPr>
              <w:keepNext/>
              <w:spacing w:before="60" w:after="80"/>
              <w:jc w:val="center"/>
              <w:rPr>
                <w:bCs/>
                <w:i/>
                <w:iCs/>
                <w:sz w:val="20"/>
                <w:highlight w:val="darkRed"/>
                <w:lang w:val="pt-BR"/>
              </w:rPr>
            </w:pPr>
            <w:r>
              <w:rPr>
                <w:bCs/>
                <w:i/>
                <w:iCs/>
                <w:sz w:val="20"/>
                <w:lang w:val="pt-BR"/>
              </w:rPr>
              <w:t>17 a 19</w:t>
            </w:r>
          </w:p>
        </w:tc>
      </w:tr>
      <w:tr w:rsidR="00000000">
        <w:tblPrEx>
          <w:tblCellMar>
            <w:top w:w="0" w:type="dxa"/>
            <w:bottom w:w="0" w:type="dxa"/>
          </w:tblCellMar>
        </w:tblPrEx>
        <w:trPr>
          <w:jc w:val="center"/>
        </w:trPr>
        <w:tc>
          <w:tcPr>
            <w:tcW w:w="2244" w:type="dxa"/>
            <w:tcBorders>
              <w:top w:val="single" w:sz="4" w:space="0" w:color="auto"/>
            </w:tcBorders>
          </w:tcPr>
          <w:p w:rsidR="00000000" w:rsidRDefault="00000000">
            <w:pPr>
              <w:keepNext/>
              <w:spacing w:before="60" w:after="80"/>
              <w:rPr>
                <w:bCs/>
                <w:sz w:val="20"/>
                <w:lang w:val="en-GB"/>
              </w:rPr>
            </w:pPr>
            <w:r>
              <w:rPr>
                <w:bCs/>
                <w:sz w:val="20"/>
                <w:lang w:val="en-GB"/>
              </w:rPr>
              <w:t>Marihuana</w:t>
            </w:r>
          </w:p>
        </w:tc>
        <w:tc>
          <w:tcPr>
            <w:tcW w:w="1654" w:type="dxa"/>
            <w:tcBorders>
              <w:top w:val="single" w:sz="4" w:space="0" w:color="auto"/>
            </w:tcBorders>
          </w:tcPr>
          <w:p w:rsidR="00000000" w:rsidRDefault="00000000">
            <w:pPr>
              <w:keepNext/>
              <w:spacing w:before="60" w:after="80"/>
              <w:jc w:val="center"/>
              <w:rPr>
                <w:bCs/>
                <w:sz w:val="20"/>
                <w:lang w:val="en-GB"/>
              </w:rPr>
            </w:pPr>
            <w:r>
              <w:rPr>
                <w:bCs/>
                <w:sz w:val="20"/>
                <w:lang w:val="en-GB"/>
              </w:rPr>
              <w:t>0,1</w:t>
            </w:r>
          </w:p>
        </w:tc>
        <w:tc>
          <w:tcPr>
            <w:tcW w:w="1559" w:type="dxa"/>
            <w:tcBorders>
              <w:top w:val="single" w:sz="4" w:space="0" w:color="auto"/>
            </w:tcBorders>
          </w:tcPr>
          <w:p w:rsidR="00000000" w:rsidRDefault="00000000">
            <w:pPr>
              <w:keepNext/>
              <w:spacing w:before="60" w:after="80"/>
              <w:jc w:val="center"/>
              <w:rPr>
                <w:bCs/>
                <w:sz w:val="20"/>
                <w:lang w:val="en-GB"/>
              </w:rPr>
            </w:pPr>
            <w:r>
              <w:rPr>
                <w:bCs/>
                <w:sz w:val="20"/>
                <w:lang w:val="en-GB"/>
              </w:rPr>
              <w:t>1,8</w:t>
            </w:r>
          </w:p>
        </w:tc>
        <w:tc>
          <w:tcPr>
            <w:tcW w:w="1984" w:type="dxa"/>
            <w:tcBorders>
              <w:top w:val="single" w:sz="4" w:space="0" w:color="auto"/>
            </w:tcBorders>
          </w:tcPr>
          <w:p w:rsidR="00000000" w:rsidRDefault="00000000">
            <w:pPr>
              <w:keepNext/>
              <w:spacing w:before="60" w:after="80"/>
              <w:jc w:val="center"/>
              <w:rPr>
                <w:bCs/>
                <w:sz w:val="20"/>
                <w:lang w:val="en-GB"/>
              </w:rPr>
            </w:pPr>
            <w:r>
              <w:rPr>
                <w:bCs/>
                <w:sz w:val="20"/>
                <w:lang w:val="en-GB"/>
              </w:rPr>
              <w:t>4,6</w:t>
            </w:r>
          </w:p>
        </w:tc>
      </w:tr>
      <w:tr w:rsidR="00000000">
        <w:tblPrEx>
          <w:tblCellMar>
            <w:top w:w="0" w:type="dxa"/>
            <w:bottom w:w="0" w:type="dxa"/>
          </w:tblCellMar>
        </w:tblPrEx>
        <w:trPr>
          <w:jc w:val="center"/>
        </w:trPr>
        <w:tc>
          <w:tcPr>
            <w:tcW w:w="2244" w:type="dxa"/>
          </w:tcPr>
          <w:p w:rsidR="00000000" w:rsidRDefault="00000000">
            <w:pPr>
              <w:keepNext/>
              <w:spacing w:before="60" w:after="80"/>
              <w:rPr>
                <w:bCs/>
                <w:sz w:val="20"/>
                <w:lang w:val="en-GB"/>
              </w:rPr>
            </w:pPr>
            <w:r>
              <w:rPr>
                <w:bCs/>
                <w:sz w:val="20"/>
                <w:lang w:val="en-GB"/>
              </w:rPr>
              <w:t>Basic paste</w:t>
            </w:r>
          </w:p>
        </w:tc>
        <w:tc>
          <w:tcPr>
            <w:tcW w:w="1654" w:type="dxa"/>
          </w:tcPr>
          <w:p w:rsidR="00000000" w:rsidRDefault="00000000">
            <w:pPr>
              <w:keepNext/>
              <w:spacing w:before="60" w:after="80"/>
              <w:jc w:val="center"/>
              <w:rPr>
                <w:bCs/>
                <w:sz w:val="20"/>
              </w:rPr>
            </w:pPr>
            <w:r>
              <w:rPr>
                <w:bCs/>
                <w:sz w:val="20"/>
              </w:rPr>
              <w:t>0,1</w:t>
            </w:r>
          </w:p>
        </w:tc>
        <w:tc>
          <w:tcPr>
            <w:tcW w:w="1559" w:type="dxa"/>
          </w:tcPr>
          <w:p w:rsidR="00000000" w:rsidRDefault="00000000">
            <w:pPr>
              <w:keepNext/>
              <w:spacing w:before="60" w:after="80"/>
              <w:jc w:val="center"/>
              <w:rPr>
                <w:bCs/>
                <w:sz w:val="20"/>
              </w:rPr>
            </w:pPr>
            <w:r>
              <w:rPr>
                <w:bCs/>
                <w:sz w:val="20"/>
              </w:rPr>
              <w:t>1,1</w:t>
            </w:r>
          </w:p>
        </w:tc>
        <w:tc>
          <w:tcPr>
            <w:tcW w:w="1984" w:type="dxa"/>
          </w:tcPr>
          <w:p w:rsidR="00000000" w:rsidRDefault="00000000">
            <w:pPr>
              <w:keepNext/>
              <w:spacing w:before="60" w:after="80"/>
              <w:jc w:val="center"/>
              <w:rPr>
                <w:bCs/>
                <w:sz w:val="20"/>
              </w:rPr>
            </w:pPr>
            <w:r>
              <w:rPr>
                <w:bCs/>
                <w:sz w:val="20"/>
              </w:rPr>
              <w:t>2,6</w:t>
            </w:r>
          </w:p>
        </w:tc>
      </w:tr>
      <w:tr w:rsidR="00000000">
        <w:tblPrEx>
          <w:tblCellMar>
            <w:top w:w="0" w:type="dxa"/>
            <w:bottom w:w="0" w:type="dxa"/>
          </w:tblCellMar>
        </w:tblPrEx>
        <w:trPr>
          <w:jc w:val="center"/>
        </w:trPr>
        <w:tc>
          <w:tcPr>
            <w:tcW w:w="2244" w:type="dxa"/>
          </w:tcPr>
          <w:p w:rsidR="00000000" w:rsidRDefault="00000000">
            <w:pPr>
              <w:spacing w:before="60" w:after="80"/>
              <w:rPr>
                <w:bCs/>
                <w:sz w:val="20"/>
              </w:rPr>
            </w:pPr>
            <w:r>
              <w:rPr>
                <w:bCs/>
                <w:sz w:val="20"/>
              </w:rPr>
              <w:t>Cocaine</w:t>
            </w:r>
          </w:p>
        </w:tc>
        <w:tc>
          <w:tcPr>
            <w:tcW w:w="1654" w:type="dxa"/>
          </w:tcPr>
          <w:p w:rsidR="00000000" w:rsidRDefault="00000000">
            <w:pPr>
              <w:spacing w:before="60" w:after="80"/>
              <w:jc w:val="center"/>
              <w:rPr>
                <w:bCs/>
                <w:sz w:val="20"/>
              </w:rPr>
            </w:pPr>
            <w:r>
              <w:rPr>
                <w:bCs/>
                <w:sz w:val="20"/>
              </w:rPr>
              <w:t>0,0</w:t>
            </w:r>
          </w:p>
        </w:tc>
        <w:tc>
          <w:tcPr>
            <w:tcW w:w="1559" w:type="dxa"/>
          </w:tcPr>
          <w:p w:rsidR="00000000" w:rsidRDefault="00000000">
            <w:pPr>
              <w:spacing w:before="60" w:after="80"/>
              <w:jc w:val="center"/>
              <w:rPr>
                <w:bCs/>
                <w:sz w:val="20"/>
              </w:rPr>
            </w:pPr>
            <w:r>
              <w:rPr>
                <w:bCs/>
                <w:sz w:val="20"/>
              </w:rPr>
              <w:t>0,2</w:t>
            </w:r>
          </w:p>
        </w:tc>
        <w:tc>
          <w:tcPr>
            <w:tcW w:w="1984" w:type="dxa"/>
          </w:tcPr>
          <w:p w:rsidR="00000000" w:rsidRDefault="00000000">
            <w:pPr>
              <w:spacing w:before="60" w:after="80"/>
              <w:jc w:val="center"/>
              <w:rPr>
                <w:bCs/>
                <w:sz w:val="20"/>
              </w:rPr>
            </w:pPr>
            <w:r>
              <w:rPr>
                <w:bCs/>
                <w:sz w:val="20"/>
              </w:rPr>
              <w:t>2,9</w:t>
            </w:r>
          </w:p>
        </w:tc>
      </w:tr>
      <w:tr w:rsidR="00000000">
        <w:tblPrEx>
          <w:tblCellMar>
            <w:top w:w="0" w:type="dxa"/>
            <w:bottom w:w="0" w:type="dxa"/>
          </w:tblCellMar>
        </w:tblPrEx>
        <w:trPr>
          <w:jc w:val="center"/>
        </w:trPr>
        <w:tc>
          <w:tcPr>
            <w:tcW w:w="2244" w:type="dxa"/>
          </w:tcPr>
          <w:p w:rsidR="00000000" w:rsidRDefault="00000000">
            <w:pPr>
              <w:spacing w:before="60" w:after="80"/>
              <w:rPr>
                <w:bCs/>
                <w:sz w:val="20"/>
              </w:rPr>
            </w:pPr>
            <w:r>
              <w:rPr>
                <w:bCs/>
                <w:sz w:val="20"/>
              </w:rPr>
              <w:t>Inhalants</w:t>
            </w:r>
          </w:p>
        </w:tc>
        <w:tc>
          <w:tcPr>
            <w:tcW w:w="1654" w:type="dxa"/>
          </w:tcPr>
          <w:p w:rsidR="00000000" w:rsidRDefault="00000000">
            <w:pPr>
              <w:spacing w:before="60" w:after="80"/>
              <w:jc w:val="center"/>
              <w:rPr>
                <w:bCs/>
                <w:sz w:val="20"/>
              </w:rPr>
            </w:pPr>
            <w:r>
              <w:rPr>
                <w:bCs/>
                <w:sz w:val="20"/>
              </w:rPr>
              <w:t>1,8</w:t>
            </w:r>
          </w:p>
        </w:tc>
        <w:tc>
          <w:tcPr>
            <w:tcW w:w="1559" w:type="dxa"/>
          </w:tcPr>
          <w:p w:rsidR="00000000" w:rsidRDefault="00000000">
            <w:pPr>
              <w:spacing w:before="60" w:after="80"/>
              <w:jc w:val="center"/>
              <w:rPr>
                <w:bCs/>
                <w:sz w:val="20"/>
              </w:rPr>
            </w:pPr>
            <w:r>
              <w:rPr>
                <w:bCs/>
                <w:sz w:val="20"/>
              </w:rPr>
              <w:t>2,7</w:t>
            </w:r>
          </w:p>
        </w:tc>
        <w:tc>
          <w:tcPr>
            <w:tcW w:w="1984" w:type="dxa"/>
          </w:tcPr>
          <w:p w:rsidR="00000000" w:rsidRDefault="00000000">
            <w:pPr>
              <w:spacing w:before="60" w:after="80"/>
              <w:jc w:val="center"/>
              <w:rPr>
                <w:bCs/>
                <w:sz w:val="20"/>
              </w:rPr>
            </w:pPr>
            <w:r>
              <w:rPr>
                <w:bCs/>
                <w:sz w:val="20"/>
              </w:rPr>
              <w:t>3,5</w:t>
            </w:r>
          </w:p>
        </w:tc>
      </w:tr>
      <w:tr w:rsidR="00000000">
        <w:tblPrEx>
          <w:tblCellMar>
            <w:top w:w="0" w:type="dxa"/>
            <w:bottom w:w="0" w:type="dxa"/>
          </w:tblCellMar>
        </w:tblPrEx>
        <w:trPr>
          <w:jc w:val="center"/>
        </w:trPr>
        <w:tc>
          <w:tcPr>
            <w:tcW w:w="2244" w:type="dxa"/>
            <w:tcBorders>
              <w:bottom w:val="single" w:sz="4" w:space="0" w:color="auto"/>
            </w:tcBorders>
          </w:tcPr>
          <w:p w:rsidR="00000000" w:rsidRDefault="00000000">
            <w:pPr>
              <w:spacing w:before="60" w:after="80"/>
              <w:rPr>
                <w:bCs/>
                <w:sz w:val="20"/>
              </w:rPr>
            </w:pPr>
            <w:r>
              <w:rPr>
                <w:bCs/>
                <w:sz w:val="20"/>
              </w:rPr>
              <w:t>Tranquillizers</w:t>
            </w:r>
          </w:p>
        </w:tc>
        <w:tc>
          <w:tcPr>
            <w:tcW w:w="1654" w:type="dxa"/>
            <w:tcBorders>
              <w:bottom w:val="single" w:sz="4" w:space="0" w:color="auto"/>
            </w:tcBorders>
          </w:tcPr>
          <w:p w:rsidR="00000000" w:rsidRDefault="00000000">
            <w:pPr>
              <w:spacing w:before="60" w:after="80"/>
              <w:jc w:val="center"/>
              <w:rPr>
                <w:bCs/>
                <w:sz w:val="20"/>
                <w:lang w:val="en-GB"/>
              </w:rPr>
            </w:pPr>
            <w:r>
              <w:rPr>
                <w:bCs/>
                <w:sz w:val="20"/>
                <w:lang w:val="en-GB"/>
              </w:rPr>
              <w:t>1,6</w:t>
            </w:r>
          </w:p>
        </w:tc>
        <w:tc>
          <w:tcPr>
            <w:tcW w:w="1559" w:type="dxa"/>
            <w:tcBorders>
              <w:bottom w:val="single" w:sz="4" w:space="0" w:color="auto"/>
            </w:tcBorders>
          </w:tcPr>
          <w:p w:rsidR="00000000" w:rsidRDefault="00000000">
            <w:pPr>
              <w:spacing w:before="60" w:after="80"/>
              <w:jc w:val="center"/>
              <w:rPr>
                <w:bCs/>
                <w:sz w:val="20"/>
                <w:lang w:val="en-GB"/>
              </w:rPr>
            </w:pPr>
            <w:r>
              <w:rPr>
                <w:bCs/>
                <w:sz w:val="20"/>
                <w:lang w:val="en-GB"/>
              </w:rPr>
              <w:t>2,4</w:t>
            </w:r>
          </w:p>
        </w:tc>
        <w:tc>
          <w:tcPr>
            <w:tcW w:w="1984" w:type="dxa"/>
            <w:tcBorders>
              <w:bottom w:val="single" w:sz="4" w:space="0" w:color="auto"/>
            </w:tcBorders>
          </w:tcPr>
          <w:p w:rsidR="00000000" w:rsidRDefault="00000000">
            <w:pPr>
              <w:spacing w:before="60" w:after="80"/>
              <w:jc w:val="center"/>
              <w:rPr>
                <w:bCs/>
                <w:sz w:val="20"/>
                <w:lang w:val="en-GB"/>
              </w:rPr>
            </w:pPr>
            <w:r>
              <w:rPr>
                <w:bCs/>
                <w:sz w:val="20"/>
                <w:lang w:val="en-GB"/>
              </w:rPr>
              <w:t>3,5</w:t>
            </w:r>
          </w:p>
        </w:tc>
      </w:tr>
    </w:tbl>
    <w:p w:rsidR="00000000" w:rsidRDefault="00000000">
      <w:pPr>
        <w:tabs>
          <w:tab w:val="clear" w:pos="720"/>
        </w:tabs>
        <w:spacing w:before="80"/>
        <w:ind w:firstLine="567"/>
        <w:jc w:val="left"/>
        <w:rPr>
          <w:sz w:val="24"/>
          <w:lang w:val="en-GB"/>
        </w:rPr>
      </w:pPr>
      <w:r>
        <w:rPr>
          <w:sz w:val="20"/>
          <w:lang w:val="en-GB"/>
        </w:rPr>
        <w:tab/>
      </w:r>
      <w:r>
        <w:rPr>
          <w:i/>
          <w:sz w:val="20"/>
          <w:lang w:val="en-GB"/>
        </w:rPr>
        <w:t>Source</w:t>
      </w:r>
      <w:r>
        <w:rPr>
          <w:sz w:val="20"/>
          <w:lang w:val="en-GB"/>
        </w:rPr>
        <w:t>: National Survey of Drug Prevention and Use.  CONTRADROGAS.</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141.</w:t>
      </w:r>
      <w:r>
        <w:rPr>
          <w:sz w:val="24"/>
          <w:lang w:val="en-GB"/>
        </w:rPr>
        <w:tab/>
        <w:t>The Act regulating treatment communities in Peru stipulates that these communities must treat females, males and children in separate facilities.  In addition, any one facility must treat only adults, only adolescents aged 12 to 17, or only children under 12.</w:t>
      </w:r>
      <w:r>
        <w:rPr>
          <w:rStyle w:val="FootnoteReference"/>
          <w:b/>
          <w:sz w:val="24"/>
          <w:lang w:val="en-GB"/>
        </w:rPr>
        <w:footnoteReference w:customMarkFollows="1" w:id="59"/>
        <w:t>59</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142.</w:t>
      </w:r>
      <w:r>
        <w:rPr>
          <w:sz w:val="24"/>
          <w:lang w:val="en-GB"/>
        </w:rPr>
        <w:tab/>
        <w:t>Over 90 per cent of such facilities are for adult males; nine facilities (8.6%) are exclusively for children; and one (1%) exclusively for women.  There are no treatment communities exclusively for adolescents; adolescents are sometimes treated in the facilities for children and sometimes in those for adults.</w:t>
      </w:r>
      <w:r>
        <w:rPr>
          <w:rStyle w:val="FootnoteReference"/>
          <w:b/>
          <w:sz w:val="24"/>
          <w:lang w:val="en-GB"/>
        </w:rPr>
        <w:footnoteReference w:customMarkFollows="1" w:id="60"/>
        <w:t>60</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143.</w:t>
      </w:r>
      <w:r>
        <w:rPr>
          <w:sz w:val="24"/>
          <w:lang w:val="en-GB"/>
        </w:rPr>
        <w:tab/>
        <w:t>Risk factors for adolescent drug use:</w:t>
      </w:r>
    </w:p>
    <w:p w:rsidR="00000000" w:rsidRDefault="00000000">
      <w:pPr>
        <w:tabs>
          <w:tab w:val="clear" w:pos="720"/>
        </w:tabs>
        <w:jc w:val="left"/>
        <w:rPr>
          <w:sz w:val="24"/>
          <w:lang w:val="en-GB"/>
        </w:rPr>
      </w:pPr>
    </w:p>
    <w:p w:rsidR="00000000" w:rsidRDefault="00000000">
      <w:pPr>
        <w:numPr>
          <w:ilvl w:val="0"/>
          <w:numId w:val="154"/>
        </w:numPr>
        <w:tabs>
          <w:tab w:val="clear" w:pos="720"/>
        </w:tabs>
        <w:spacing w:after="200"/>
        <w:jc w:val="left"/>
        <w:rPr>
          <w:sz w:val="24"/>
          <w:lang w:val="en-GB"/>
        </w:rPr>
      </w:pPr>
      <w:r>
        <w:rPr>
          <w:sz w:val="24"/>
          <w:lang w:val="en-GB"/>
        </w:rPr>
        <w:t>Personal: insufficient development of social skills and lack of life projects; low tolerance of frustration; unassertiveness; insecurity; search for new sensations; lack of opportunities;</w:t>
      </w:r>
    </w:p>
    <w:p w:rsidR="00000000" w:rsidRDefault="00000000">
      <w:pPr>
        <w:numPr>
          <w:ilvl w:val="0"/>
          <w:numId w:val="154"/>
        </w:numPr>
        <w:tabs>
          <w:tab w:val="clear" w:pos="720"/>
        </w:tabs>
        <w:spacing w:after="200"/>
        <w:jc w:val="left"/>
        <w:rPr>
          <w:sz w:val="24"/>
          <w:lang w:val="en-GB"/>
        </w:rPr>
      </w:pPr>
      <w:r>
        <w:rPr>
          <w:sz w:val="24"/>
          <w:lang w:val="en-GB"/>
        </w:rPr>
        <w:t>Family: family disfunction; lack of communication and unsuitable ways of communicating; domestic violence; permissiveness and encouragement of use by peers and parents and other family members;</w:t>
      </w:r>
    </w:p>
    <w:p w:rsidR="00000000" w:rsidRDefault="00000000">
      <w:pPr>
        <w:numPr>
          <w:ilvl w:val="0"/>
          <w:numId w:val="154"/>
        </w:numPr>
        <w:tabs>
          <w:tab w:val="clear" w:pos="720"/>
        </w:tabs>
        <w:spacing w:after="200"/>
        <w:jc w:val="left"/>
        <w:rPr>
          <w:sz w:val="24"/>
          <w:lang w:val="en-GB"/>
        </w:rPr>
      </w:pPr>
      <w:r>
        <w:rPr>
          <w:sz w:val="24"/>
          <w:lang w:val="en-GB"/>
        </w:rPr>
        <w:t>Social: social pressure; culture of drug use, particularly alcohol and tobacco, encouraged by the advertising media; poor management of leisure time; lack of recreational facilities adapted to the characteristics of the population; group pressures; unsuitable role models;</w:t>
      </w:r>
    </w:p>
    <w:p w:rsidR="00000000" w:rsidRDefault="00000000">
      <w:pPr>
        <w:numPr>
          <w:ilvl w:val="0"/>
          <w:numId w:val="154"/>
        </w:numPr>
        <w:tabs>
          <w:tab w:val="clear" w:pos="720"/>
        </w:tabs>
        <w:jc w:val="left"/>
        <w:rPr>
          <w:sz w:val="24"/>
          <w:lang w:val="en-GB"/>
        </w:rPr>
      </w:pPr>
      <w:r>
        <w:rPr>
          <w:sz w:val="24"/>
          <w:lang w:val="en-GB"/>
        </w:rPr>
        <w:t>Factors associated with the drugs themselves (stereotype of use associated with social success and status, and ease of use).</w:t>
      </w:r>
    </w:p>
    <w:p w:rsidR="00000000" w:rsidRDefault="00000000">
      <w:pPr>
        <w:tabs>
          <w:tab w:val="clear" w:pos="720"/>
        </w:tabs>
        <w:jc w:val="left"/>
        <w:rPr>
          <w:sz w:val="24"/>
          <w:lang w:val="en-G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422"/>
      </w:tblGrid>
      <w:tr w:rsidR="00000000">
        <w:tblPrEx>
          <w:tblCellMar>
            <w:top w:w="0" w:type="dxa"/>
            <w:bottom w:w="0" w:type="dxa"/>
          </w:tblCellMar>
        </w:tblPrEx>
        <w:trPr>
          <w:jc w:val="center"/>
        </w:trPr>
        <w:tc>
          <w:tcPr>
            <w:tcW w:w="8522" w:type="dxa"/>
          </w:tcPr>
          <w:p w:rsidR="00000000" w:rsidRDefault="00000000">
            <w:pPr>
              <w:keepNext/>
              <w:tabs>
                <w:tab w:val="clear" w:pos="720"/>
              </w:tabs>
              <w:spacing w:before="240"/>
              <w:ind w:left="284" w:right="284"/>
              <w:jc w:val="center"/>
              <w:rPr>
                <w:sz w:val="20"/>
                <w:lang w:val="en-GB"/>
              </w:rPr>
            </w:pPr>
            <w:r>
              <w:rPr>
                <w:b/>
                <w:sz w:val="20"/>
                <w:lang w:val="en-GB"/>
              </w:rPr>
              <w:t>The project “Peruvian Family for a Healthy Life”</w:t>
            </w:r>
          </w:p>
          <w:p w:rsidR="00000000" w:rsidRDefault="00000000">
            <w:pPr>
              <w:keepNext/>
              <w:tabs>
                <w:tab w:val="clear" w:pos="720"/>
              </w:tabs>
              <w:ind w:left="284" w:right="284"/>
              <w:jc w:val="left"/>
              <w:rPr>
                <w:sz w:val="20"/>
                <w:lang w:val="en-GB"/>
              </w:rPr>
            </w:pPr>
          </w:p>
          <w:p w:rsidR="00000000" w:rsidRDefault="00000000">
            <w:pPr>
              <w:keepNext/>
              <w:tabs>
                <w:tab w:val="clear" w:pos="720"/>
              </w:tabs>
              <w:ind w:left="284" w:right="284"/>
              <w:jc w:val="left"/>
              <w:rPr>
                <w:sz w:val="20"/>
                <w:lang w:val="en-GB"/>
              </w:rPr>
            </w:pPr>
            <w:r>
              <w:rPr>
                <w:sz w:val="20"/>
                <w:lang w:val="en-GB"/>
              </w:rPr>
              <w:t>The aim of this project is to prevent and reduce drug use by children and adolescents by taking an environmental approach which perceives this phenomenon as having many causes - of a social, economic, cultural, family and personal nature - which are interdependent and in flux and therefore susceptible to change and alteration.</w:t>
            </w:r>
          </w:p>
          <w:p w:rsidR="00000000" w:rsidRDefault="00000000">
            <w:pPr>
              <w:keepNext/>
              <w:tabs>
                <w:tab w:val="clear" w:pos="720"/>
              </w:tabs>
              <w:ind w:left="284" w:right="284"/>
              <w:jc w:val="left"/>
              <w:rPr>
                <w:sz w:val="20"/>
                <w:lang w:val="en-GB"/>
              </w:rPr>
            </w:pPr>
          </w:p>
          <w:p w:rsidR="00000000" w:rsidRDefault="00000000">
            <w:pPr>
              <w:keepNext/>
              <w:tabs>
                <w:tab w:val="clear" w:pos="720"/>
              </w:tabs>
              <w:ind w:left="284" w:right="284"/>
              <w:jc w:val="left"/>
              <w:rPr>
                <w:sz w:val="20"/>
                <w:lang w:val="en-GB"/>
              </w:rPr>
            </w:pPr>
            <w:r>
              <w:rPr>
                <w:b/>
                <w:sz w:val="20"/>
                <w:lang w:val="en-GB"/>
              </w:rPr>
              <w:t>General objective:</w:t>
            </w:r>
          </w:p>
          <w:p w:rsidR="00000000" w:rsidRDefault="00000000">
            <w:pPr>
              <w:keepNext/>
              <w:tabs>
                <w:tab w:val="clear" w:pos="720"/>
              </w:tabs>
              <w:ind w:left="284" w:right="284"/>
              <w:jc w:val="left"/>
              <w:rPr>
                <w:sz w:val="20"/>
                <w:lang w:val="en-GB"/>
              </w:rPr>
            </w:pPr>
          </w:p>
          <w:p w:rsidR="00000000" w:rsidRDefault="00000000">
            <w:pPr>
              <w:keepNext/>
              <w:tabs>
                <w:tab w:val="clear" w:pos="720"/>
              </w:tabs>
              <w:ind w:left="284" w:right="284"/>
              <w:jc w:val="left"/>
              <w:rPr>
                <w:sz w:val="20"/>
                <w:lang w:val="en-GB"/>
              </w:rPr>
            </w:pPr>
            <w:r>
              <w:rPr>
                <w:sz w:val="20"/>
                <w:lang w:val="en-GB"/>
              </w:rPr>
              <w:t>To build up local networks specializing in grass-roots prevention of drug use by enhancing the educational capital represented by local leaders, who will carry on sustained educational and preventive activities designed to boost the factors of prevention and reduce the factors of risk.</w:t>
            </w:r>
          </w:p>
          <w:p w:rsidR="00000000" w:rsidRDefault="00000000">
            <w:pPr>
              <w:tabs>
                <w:tab w:val="clear" w:pos="720"/>
              </w:tabs>
              <w:ind w:left="284" w:right="284"/>
              <w:jc w:val="left"/>
              <w:rPr>
                <w:sz w:val="20"/>
                <w:lang w:val="en-GB"/>
              </w:rPr>
            </w:pPr>
          </w:p>
          <w:p w:rsidR="00000000" w:rsidRDefault="00000000">
            <w:pPr>
              <w:tabs>
                <w:tab w:val="clear" w:pos="720"/>
              </w:tabs>
              <w:ind w:left="284" w:right="284"/>
              <w:jc w:val="left"/>
              <w:rPr>
                <w:sz w:val="20"/>
                <w:lang w:val="en-GB"/>
              </w:rPr>
            </w:pPr>
            <w:r>
              <w:rPr>
                <w:b/>
                <w:sz w:val="20"/>
                <w:lang w:val="en-GB"/>
              </w:rPr>
              <w:t>Project strategy:</w:t>
            </w:r>
          </w:p>
          <w:p w:rsidR="00000000" w:rsidRDefault="00000000">
            <w:pPr>
              <w:tabs>
                <w:tab w:val="clear" w:pos="720"/>
              </w:tabs>
              <w:ind w:left="284" w:right="284"/>
              <w:jc w:val="left"/>
              <w:rPr>
                <w:sz w:val="20"/>
                <w:lang w:val="en-GB"/>
              </w:rPr>
            </w:pPr>
          </w:p>
          <w:p w:rsidR="00000000" w:rsidRDefault="00000000">
            <w:pPr>
              <w:tabs>
                <w:tab w:val="clear" w:pos="720"/>
              </w:tabs>
              <w:spacing w:after="240"/>
              <w:ind w:left="284" w:right="284"/>
              <w:jc w:val="left"/>
              <w:rPr>
                <w:sz w:val="20"/>
                <w:lang w:val="en-GB"/>
              </w:rPr>
            </w:pPr>
            <w:r>
              <w:rPr>
                <w:sz w:val="20"/>
                <w:lang w:val="en-GB"/>
              </w:rPr>
              <w:t>To give priority to the work with local social networks to ensure grass-roots mobilization and the  sharing of responsibility, securing the active involvement of all local grass-roots actors, children, adolescents, parents, teachers, community leaders and institutions in the promotion of the factors which provide protection against drug use.</w:t>
            </w:r>
          </w:p>
        </w:tc>
      </w:tr>
    </w:tbl>
    <w:p w:rsidR="00000000" w:rsidRDefault="00000000">
      <w:pPr>
        <w:tabs>
          <w:tab w:val="clear" w:pos="720"/>
        </w:tabs>
        <w:jc w:val="left"/>
        <w:rPr>
          <w:sz w:val="24"/>
          <w:lang w:val="en-GB"/>
        </w:rPr>
      </w:pPr>
    </w:p>
    <w:p w:rsidR="00000000" w:rsidRDefault="00000000">
      <w:pPr>
        <w:tabs>
          <w:tab w:val="clear" w:pos="720"/>
        </w:tabs>
        <w:jc w:val="center"/>
        <w:rPr>
          <w:b/>
          <w:sz w:val="24"/>
          <w:lang w:val="en-GB"/>
        </w:rPr>
      </w:pPr>
      <w:r>
        <w:rPr>
          <w:b/>
          <w:sz w:val="24"/>
          <w:lang w:val="en-GB"/>
        </w:rPr>
        <w:t>E.  Rights for the whole of childhood (0-17 years)</w:t>
      </w:r>
    </w:p>
    <w:p w:rsidR="00000000" w:rsidRDefault="00000000">
      <w:pPr>
        <w:tabs>
          <w:tab w:val="clear" w:pos="720"/>
        </w:tabs>
        <w:jc w:val="left"/>
        <w:rPr>
          <w:b/>
          <w:sz w:val="24"/>
          <w:lang w:val="en-GB"/>
        </w:rPr>
      </w:pPr>
    </w:p>
    <w:p w:rsidR="00000000" w:rsidRDefault="00000000">
      <w:pPr>
        <w:tabs>
          <w:tab w:val="clear" w:pos="720"/>
        </w:tabs>
        <w:jc w:val="left"/>
        <w:rPr>
          <w:sz w:val="24"/>
          <w:lang w:val="en-GB"/>
        </w:rPr>
      </w:pPr>
      <w:r>
        <w:rPr>
          <w:b/>
          <w:sz w:val="24"/>
          <w:lang w:val="en-GB"/>
        </w:rPr>
        <w:t>1.</w:t>
      </w:r>
      <w:r>
        <w:rPr>
          <w:b/>
          <w:sz w:val="24"/>
          <w:lang w:val="en-GB"/>
        </w:rPr>
        <w:tab/>
        <w:t>Children in need of special protection</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144.</w:t>
      </w:r>
      <w:r>
        <w:rPr>
          <w:sz w:val="24"/>
          <w:lang w:val="en-GB"/>
        </w:rPr>
        <w:tab/>
        <w:t xml:space="preserve">Article 19 of the Convention on the Rights of the Child calls on States to take all appropriate legislative, administrative, social and educational measures to protect the child from all forms of physical or mental violence, injury or abuse, neglect or negligent treatment, including sexual abuse.  Violence against children is thus a violation of their human rights.  </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145.</w:t>
      </w:r>
      <w:r>
        <w:rPr>
          <w:sz w:val="24"/>
          <w:lang w:val="en-GB"/>
        </w:rPr>
        <w:tab/>
        <w:t>In recent years States have been recognizing such phenomena as domestic violence, maltreatment of children, sexual violence and adolescent suicide as public health problems owing both to their widespread occurrence and to the effects and consequences for children in the short and long terms.</w:t>
      </w:r>
    </w:p>
    <w:p w:rsidR="00000000" w:rsidRDefault="00000000">
      <w:pPr>
        <w:tabs>
          <w:tab w:val="clear" w:pos="720"/>
        </w:tabs>
        <w:jc w:val="left"/>
        <w:rPr>
          <w:sz w:val="24"/>
          <w:lang w:val="en-GB"/>
        </w:rPr>
      </w:pPr>
    </w:p>
    <w:p w:rsidR="00000000" w:rsidRDefault="00000000">
      <w:pPr>
        <w:tabs>
          <w:tab w:val="clear" w:pos="720"/>
        </w:tabs>
        <w:ind w:firstLine="567"/>
        <w:jc w:val="left"/>
        <w:rPr>
          <w:sz w:val="24"/>
          <w:lang w:val="en-GB"/>
        </w:rPr>
      </w:pPr>
      <w:r>
        <w:rPr>
          <w:b/>
          <w:sz w:val="24"/>
          <w:lang w:val="en-GB"/>
        </w:rPr>
        <w:t>Victims of political violence</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146.</w:t>
      </w:r>
      <w:r>
        <w:rPr>
          <w:sz w:val="24"/>
          <w:lang w:val="en-GB"/>
        </w:rPr>
        <w:tab/>
        <w:t>It is calculated that some 1.6 million persons have been affected by political violence, 30 per cent of them children.  According to the Programme of Support for the Resettlement and Development of Emergency Zones (PAR), about 600,000 of these persons, including children orphaned by the fighting, moved away from their home communities because of the armed conflict.</w:t>
      </w:r>
      <w:r>
        <w:rPr>
          <w:rStyle w:val="FootnoteReference"/>
          <w:b/>
          <w:sz w:val="24"/>
          <w:lang w:val="en-GB"/>
        </w:rPr>
        <w:footnoteReference w:customMarkFollows="1" w:id="61"/>
        <w:t>61</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147.</w:t>
      </w:r>
      <w:r>
        <w:rPr>
          <w:sz w:val="24"/>
          <w:lang w:val="en-GB"/>
        </w:rPr>
        <w:tab/>
        <w:t>The PAR  gave priority to the strategy of returning displaced persons to their places of origin and developed as its working methods support for production activities, social support, and the treatment of mental health problems, in the departments of Ayacucho, Apurímac, Junín, Huancavelica, Huánuco and San Martín.</w:t>
      </w:r>
    </w:p>
    <w:p w:rsidR="00000000" w:rsidRDefault="00000000">
      <w:pPr>
        <w:tabs>
          <w:tab w:val="clear" w:pos="720"/>
        </w:tabs>
        <w:jc w:val="left"/>
        <w:rPr>
          <w:sz w:val="24"/>
          <w:lang w:val="en-GB"/>
        </w:rPr>
      </w:pPr>
    </w:p>
    <w:p w:rsidR="00000000" w:rsidRDefault="00000000">
      <w:pPr>
        <w:tabs>
          <w:tab w:val="clear" w:pos="720"/>
        </w:tabs>
        <w:jc w:val="center"/>
        <w:rPr>
          <w:sz w:val="20"/>
          <w:lang w:val="en-GB"/>
        </w:rPr>
      </w:pPr>
      <w:r>
        <w:rPr>
          <w:b/>
          <w:sz w:val="20"/>
          <w:lang w:val="en-GB"/>
        </w:rPr>
        <w:t>Programme of Support for the Resettlement and Development</w:t>
      </w:r>
      <w:r>
        <w:rPr>
          <w:b/>
          <w:sz w:val="20"/>
          <w:lang w:val="en-GB"/>
        </w:rPr>
        <w:br/>
        <w:t>of Emergency Zones (PAR)</w:t>
      </w:r>
    </w:p>
    <w:p w:rsidR="00000000" w:rsidRDefault="00000000">
      <w:pPr>
        <w:tabs>
          <w:tab w:val="clear" w:pos="720"/>
        </w:tabs>
        <w:jc w:val="left"/>
        <w:rPr>
          <w:sz w:val="20"/>
          <w:lang w:val="en-GB"/>
        </w:rPr>
      </w:pPr>
    </w:p>
    <w:tbl>
      <w:tblPr>
        <w:tblW w:w="0" w:type="auto"/>
        <w:jc w:val="center"/>
        <w:tblBorders>
          <w:top w:val="single" w:sz="4" w:space="0" w:color="auto"/>
          <w:left w:val="single" w:sz="4" w:space="0" w:color="auto"/>
          <w:bottom w:val="single" w:sz="4" w:space="0" w:color="auto"/>
          <w:right w:val="single" w:sz="4" w:space="0" w:color="auto"/>
        </w:tblBorders>
        <w:shd w:val="clear" w:color="auto" w:fill="E6E6E6"/>
        <w:tblCellMar>
          <w:left w:w="0" w:type="dxa"/>
          <w:right w:w="0" w:type="dxa"/>
        </w:tblCellMar>
        <w:tblLook w:val="0000" w:firstRow="0" w:lastRow="0" w:firstColumn="0" w:lastColumn="0" w:noHBand="0" w:noVBand="0"/>
      </w:tblPr>
      <w:tblGrid>
        <w:gridCol w:w="2303"/>
        <w:gridCol w:w="2987"/>
        <w:gridCol w:w="1619"/>
        <w:gridCol w:w="2303"/>
      </w:tblGrid>
      <w:tr w:rsidR="00000000">
        <w:tblPrEx>
          <w:tblCellMar>
            <w:top w:w="0" w:type="dxa"/>
            <w:bottom w:w="0" w:type="dxa"/>
          </w:tblCellMar>
        </w:tblPrEx>
        <w:trPr>
          <w:jc w:val="center"/>
        </w:trPr>
        <w:tc>
          <w:tcPr>
            <w:tcW w:w="9212" w:type="dxa"/>
            <w:gridSpan w:val="4"/>
            <w:shd w:val="clear" w:color="auto" w:fill="E6E6E6"/>
          </w:tcPr>
          <w:p w:rsidR="00000000" w:rsidRDefault="00000000">
            <w:pPr>
              <w:spacing w:before="120" w:after="120"/>
              <w:jc w:val="center"/>
              <w:rPr>
                <w:b/>
                <w:bCs/>
                <w:sz w:val="24"/>
                <w:lang w:val="en-GB"/>
              </w:rPr>
            </w:pPr>
            <w:r>
              <w:rPr>
                <w:b/>
                <w:bCs/>
                <w:lang w:val="en-GB"/>
              </w:rPr>
              <w:t>Allocation of PAR investments 1994-2000</w:t>
            </w:r>
          </w:p>
        </w:tc>
      </w:tr>
      <w:tr w:rsidR="00000000">
        <w:tblPrEx>
          <w:tblCellMar>
            <w:top w:w="0" w:type="dxa"/>
            <w:bottom w:w="0" w:type="dxa"/>
          </w:tblCellMar>
        </w:tblPrEx>
        <w:trPr>
          <w:jc w:val="center"/>
        </w:trPr>
        <w:tc>
          <w:tcPr>
            <w:tcW w:w="2303" w:type="dxa"/>
            <w:shd w:val="clear" w:color="auto" w:fill="E6E6E6"/>
          </w:tcPr>
          <w:p w:rsidR="00000000" w:rsidRDefault="00000000">
            <w:pPr>
              <w:spacing w:before="120" w:after="120"/>
              <w:rPr>
                <w:noProof/>
                <w:sz w:val="20"/>
                <w:lang w:val="en-GB"/>
              </w:rPr>
            </w:pPr>
          </w:p>
        </w:tc>
        <w:tc>
          <w:tcPr>
            <w:tcW w:w="2987" w:type="dxa"/>
            <w:shd w:val="clear" w:color="auto" w:fill="E6E6E6"/>
          </w:tcPr>
          <w:p w:rsidR="00000000" w:rsidRDefault="00000000">
            <w:pPr>
              <w:spacing w:before="120" w:after="120"/>
              <w:rPr>
                <w:noProof/>
                <w:sz w:val="20"/>
                <w:lang w:val="en-GB"/>
              </w:rPr>
            </w:pPr>
          </w:p>
        </w:tc>
        <w:tc>
          <w:tcPr>
            <w:tcW w:w="1619" w:type="dxa"/>
            <w:shd w:val="clear" w:color="auto" w:fill="E6E6E6"/>
          </w:tcPr>
          <w:p w:rsidR="00000000" w:rsidRDefault="00000000">
            <w:pPr>
              <w:spacing w:before="120" w:after="120"/>
              <w:jc w:val="center"/>
              <w:rPr>
                <w:i/>
                <w:iCs/>
                <w:sz w:val="20"/>
                <w:lang w:val="en-GB"/>
              </w:rPr>
            </w:pPr>
            <w:r>
              <w:rPr>
                <w:i/>
                <w:iCs/>
                <w:sz w:val="20"/>
                <w:lang w:val="en-GB"/>
              </w:rPr>
              <w:t>Settlements</w:t>
            </w:r>
          </w:p>
        </w:tc>
        <w:tc>
          <w:tcPr>
            <w:tcW w:w="2303" w:type="dxa"/>
            <w:shd w:val="clear" w:color="auto" w:fill="E6E6E6"/>
          </w:tcPr>
          <w:p w:rsidR="00000000" w:rsidRDefault="00000000">
            <w:pPr>
              <w:spacing w:before="120" w:after="120"/>
              <w:jc w:val="center"/>
              <w:rPr>
                <w:i/>
                <w:iCs/>
                <w:sz w:val="20"/>
                <w:lang w:val="en-GB"/>
              </w:rPr>
            </w:pPr>
            <w:r>
              <w:rPr>
                <w:i/>
                <w:iCs/>
                <w:sz w:val="20"/>
                <w:lang w:val="en-GB"/>
              </w:rPr>
              <w:t>Population assisted</w:t>
            </w:r>
          </w:p>
        </w:tc>
      </w:tr>
      <w:tr w:rsidR="00000000">
        <w:tblPrEx>
          <w:tblCellMar>
            <w:top w:w="0" w:type="dxa"/>
            <w:bottom w:w="0" w:type="dxa"/>
          </w:tblCellMar>
        </w:tblPrEx>
        <w:trPr>
          <w:trHeight w:hRule="exact" w:val="851"/>
          <w:jc w:val="center"/>
        </w:trPr>
        <w:tc>
          <w:tcPr>
            <w:tcW w:w="2303" w:type="dxa"/>
            <w:shd w:val="clear" w:color="auto" w:fill="E6E6E6"/>
          </w:tcPr>
          <w:p w:rsidR="00000000" w:rsidRDefault="00000000">
            <w:pPr>
              <w:rPr>
                <w:lang w:val="en-GB"/>
              </w:rPr>
            </w:pPr>
            <w:r>
              <w:rPr>
                <w:noProof/>
                <w:sz w:val="20"/>
              </w:rPr>
              <w:pict>
                <v:oval id="_x0000_s1098" style="position:absolute;left:0;text-align:left;margin-left:9pt;margin-top:7.9pt;width:90pt;height:27pt;z-index:32;mso-position-horizontal-relative:text;mso-position-vertical-relative:text">
                  <v:textbox style="mso-next-textbox:#_x0000_s1098" inset="0,0,0,0">
                    <w:txbxContent>
                      <w:p w:rsidR="00000000" w:rsidRDefault="00000000">
                        <w:pPr>
                          <w:spacing w:before="40"/>
                          <w:jc w:val="center"/>
                          <w:rPr>
                            <w:b/>
                            <w:bCs/>
                            <w:sz w:val="28"/>
                          </w:rPr>
                        </w:pPr>
                        <w:r>
                          <w:rPr>
                            <w:b/>
                            <w:bCs/>
                            <w:sz w:val="20"/>
                            <w:lang w:val="en-GB"/>
                          </w:rPr>
                          <w:t>Resettlement</w:t>
                        </w:r>
                      </w:p>
                    </w:txbxContent>
                  </v:textbox>
                </v:oval>
              </w:pict>
            </w:r>
          </w:p>
        </w:tc>
        <w:tc>
          <w:tcPr>
            <w:tcW w:w="2987" w:type="dxa"/>
            <w:shd w:val="clear" w:color="auto" w:fill="E6E6E6"/>
          </w:tcPr>
          <w:p w:rsidR="00000000" w:rsidRDefault="00000000">
            <w:pPr>
              <w:rPr>
                <w:lang w:val="en-GB"/>
              </w:rPr>
            </w:pPr>
            <w:r>
              <w:rPr>
                <w:noProof/>
                <w:sz w:val="20"/>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99" type="#_x0000_t13" style="position:absolute;left:0;text-align:left;margin-left:14.95pt;margin-top:4pt;width:121.9pt;height:29.75pt;z-index:33;mso-position-horizontal-relative:text;mso-position-vertical-relative:text" adj="16072,2142">
                  <v:textbox inset="0,0,0,0">
                    <w:txbxContent>
                      <w:p w:rsidR="00000000" w:rsidRDefault="00000000">
                        <w:pPr>
                          <w:jc w:val="center"/>
                          <w:rPr>
                            <w:b/>
                            <w:bCs/>
                          </w:rPr>
                        </w:pPr>
                        <w:r>
                          <w:rPr>
                            <w:b/>
                            <w:bCs/>
                            <w:sz w:val="18"/>
                            <w:lang w:val="en-GB"/>
                          </w:rPr>
                          <w:t>109 organized return operations</w:t>
                        </w:r>
                      </w:p>
                    </w:txbxContent>
                  </v:textbox>
                </v:shape>
              </w:pict>
            </w:r>
          </w:p>
        </w:tc>
        <w:tc>
          <w:tcPr>
            <w:tcW w:w="1619" w:type="dxa"/>
            <w:shd w:val="clear" w:color="auto" w:fill="E6E6E6"/>
            <w:vAlign w:val="center"/>
          </w:tcPr>
          <w:p w:rsidR="00000000" w:rsidRDefault="00000000">
            <w:pPr>
              <w:jc w:val="center"/>
              <w:rPr>
                <w:lang w:val="en-GB"/>
              </w:rPr>
            </w:pPr>
            <w:r>
              <w:rPr>
                <w:lang w:val="en-GB"/>
              </w:rPr>
              <w:t>227</w:t>
            </w:r>
          </w:p>
        </w:tc>
        <w:tc>
          <w:tcPr>
            <w:tcW w:w="2303" w:type="dxa"/>
            <w:shd w:val="clear" w:color="auto" w:fill="E6E6E6"/>
            <w:vAlign w:val="center"/>
          </w:tcPr>
          <w:p w:rsidR="00000000" w:rsidRDefault="00000000">
            <w:pPr>
              <w:jc w:val="center"/>
              <w:rPr>
                <w:lang w:val="en-GB"/>
              </w:rPr>
            </w:pPr>
            <w:r>
              <w:rPr>
                <w:lang w:val="en-GB"/>
              </w:rPr>
              <w:t>21 306</w:t>
            </w:r>
          </w:p>
        </w:tc>
      </w:tr>
      <w:tr w:rsidR="00000000">
        <w:tblPrEx>
          <w:tblCellMar>
            <w:top w:w="0" w:type="dxa"/>
            <w:bottom w:w="0" w:type="dxa"/>
          </w:tblCellMar>
        </w:tblPrEx>
        <w:trPr>
          <w:trHeight w:hRule="exact" w:val="851"/>
          <w:jc w:val="center"/>
        </w:trPr>
        <w:tc>
          <w:tcPr>
            <w:tcW w:w="2303" w:type="dxa"/>
            <w:shd w:val="clear" w:color="auto" w:fill="E6E6E6"/>
          </w:tcPr>
          <w:p w:rsidR="00000000" w:rsidRDefault="00000000">
            <w:pPr>
              <w:rPr>
                <w:lang w:val="en-GB"/>
              </w:rPr>
            </w:pPr>
            <w:r>
              <w:rPr>
                <w:noProof/>
                <w:sz w:val="20"/>
              </w:rPr>
              <w:pict>
                <v:oval id="_x0000_s1100" style="position:absolute;left:0;text-align:left;margin-left:9pt;margin-top:7.9pt;width:90pt;height:27pt;z-index:34;mso-position-horizontal-relative:text;mso-position-vertical-relative:text">
                  <v:textbox inset="0,0,0,0">
                    <w:txbxContent>
                      <w:p w:rsidR="00000000" w:rsidRDefault="00000000">
                        <w:pPr>
                          <w:jc w:val="center"/>
                          <w:rPr>
                            <w:b/>
                            <w:bCs/>
                            <w:sz w:val="28"/>
                          </w:rPr>
                        </w:pPr>
                        <w:r>
                          <w:rPr>
                            <w:b/>
                            <w:bCs/>
                            <w:sz w:val="20"/>
                            <w:lang w:val="en-GB"/>
                          </w:rPr>
                          <w:t>Housing</w:t>
                        </w:r>
                      </w:p>
                    </w:txbxContent>
                  </v:textbox>
                </v:oval>
              </w:pict>
            </w:r>
          </w:p>
        </w:tc>
        <w:tc>
          <w:tcPr>
            <w:tcW w:w="2987" w:type="dxa"/>
            <w:shd w:val="clear" w:color="auto" w:fill="E6E6E6"/>
          </w:tcPr>
          <w:p w:rsidR="00000000" w:rsidRDefault="00000000">
            <w:pPr>
              <w:rPr>
                <w:lang w:val="en-GB"/>
              </w:rPr>
            </w:pPr>
            <w:r>
              <w:rPr>
                <w:noProof/>
                <w:sz w:val="20"/>
              </w:rPr>
              <w:pict>
                <v:shape id="_x0000_s1104" type="#_x0000_t13" style="position:absolute;left:0;text-align:left;margin-left:14.95pt;margin-top:4pt;width:121.9pt;height:29.75pt;z-index:38;mso-position-horizontal-relative:text;mso-position-vertical-relative:text" adj="16204,1597">
                  <v:textbox inset="0,0,0,0">
                    <w:txbxContent>
                      <w:p w:rsidR="00000000" w:rsidRDefault="00000000">
                        <w:pPr>
                          <w:jc w:val="center"/>
                          <w:rPr>
                            <w:b/>
                            <w:bCs/>
                          </w:rPr>
                        </w:pPr>
                        <w:r>
                          <w:rPr>
                            <w:b/>
                            <w:bCs/>
                            <w:sz w:val="18"/>
                            <w:lang w:val="en-GB"/>
                          </w:rPr>
                          <w:t>13,085 units built/rehabilitated</w:t>
                        </w:r>
                      </w:p>
                    </w:txbxContent>
                  </v:textbox>
                </v:shape>
              </w:pict>
            </w:r>
          </w:p>
        </w:tc>
        <w:tc>
          <w:tcPr>
            <w:tcW w:w="1619" w:type="dxa"/>
            <w:shd w:val="clear" w:color="auto" w:fill="E6E6E6"/>
            <w:vAlign w:val="center"/>
          </w:tcPr>
          <w:p w:rsidR="00000000" w:rsidRDefault="00000000">
            <w:pPr>
              <w:ind w:right="680"/>
              <w:jc w:val="right"/>
              <w:rPr>
                <w:lang w:val="en-GB"/>
              </w:rPr>
            </w:pPr>
            <w:r>
              <w:rPr>
                <w:lang w:val="en-GB"/>
              </w:rPr>
              <w:t>393</w:t>
            </w:r>
          </w:p>
        </w:tc>
        <w:tc>
          <w:tcPr>
            <w:tcW w:w="2303" w:type="dxa"/>
            <w:shd w:val="clear" w:color="auto" w:fill="E6E6E6"/>
            <w:vAlign w:val="center"/>
          </w:tcPr>
          <w:p w:rsidR="00000000" w:rsidRDefault="00000000">
            <w:pPr>
              <w:ind w:right="737"/>
              <w:jc w:val="right"/>
              <w:rPr>
                <w:lang w:val="en-GB"/>
              </w:rPr>
            </w:pPr>
            <w:r>
              <w:rPr>
                <w:lang w:val="en-GB"/>
              </w:rPr>
              <w:t>70 930</w:t>
            </w:r>
          </w:p>
        </w:tc>
      </w:tr>
      <w:tr w:rsidR="00000000">
        <w:tblPrEx>
          <w:tblCellMar>
            <w:top w:w="0" w:type="dxa"/>
            <w:bottom w:w="0" w:type="dxa"/>
          </w:tblCellMar>
        </w:tblPrEx>
        <w:trPr>
          <w:trHeight w:hRule="exact" w:val="851"/>
          <w:jc w:val="center"/>
        </w:trPr>
        <w:tc>
          <w:tcPr>
            <w:tcW w:w="2303" w:type="dxa"/>
            <w:shd w:val="clear" w:color="auto" w:fill="E6E6E6"/>
          </w:tcPr>
          <w:p w:rsidR="00000000" w:rsidRDefault="00000000">
            <w:pPr>
              <w:rPr>
                <w:lang w:val="en-GB"/>
              </w:rPr>
            </w:pPr>
            <w:r>
              <w:rPr>
                <w:noProof/>
                <w:sz w:val="20"/>
              </w:rPr>
              <w:pict>
                <v:oval id="_x0000_s1101" style="position:absolute;left:0;text-align:left;margin-left:9pt;margin-top:7.9pt;width:90pt;height:27pt;z-index:35;mso-position-horizontal-relative:text;mso-position-vertical-relative:text">
                  <v:textbox style="mso-next-textbox:#_x0000_s1101" inset="0,0,0,0">
                    <w:txbxContent>
                      <w:p w:rsidR="00000000" w:rsidRDefault="00000000">
                        <w:pPr>
                          <w:jc w:val="center"/>
                          <w:rPr>
                            <w:b/>
                            <w:bCs/>
                            <w:sz w:val="28"/>
                          </w:rPr>
                        </w:pPr>
                        <w:r>
                          <w:rPr>
                            <w:b/>
                            <w:bCs/>
                            <w:sz w:val="20"/>
                            <w:lang w:val="en-GB"/>
                          </w:rPr>
                          <w:t>Education</w:t>
                        </w:r>
                      </w:p>
                    </w:txbxContent>
                  </v:textbox>
                </v:oval>
              </w:pict>
            </w:r>
          </w:p>
        </w:tc>
        <w:tc>
          <w:tcPr>
            <w:tcW w:w="2987" w:type="dxa"/>
            <w:shd w:val="clear" w:color="auto" w:fill="E6E6E6"/>
          </w:tcPr>
          <w:p w:rsidR="00000000" w:rsidRDefault="00000000">
            <w:pPr>
              <w:rPr>
                <w:lang w:val="en-GB"/>
              </w:rPr>
            </w:pPr>
            <w:r>
              <w:rPr>
                <w:noProof/>
                <w:sz w:val="20"/>
              </w:rPr>
              <w:pict>
                <v:shape id="_x0000_s1105" type="#_x0000_t13" style="position:absolute;left:0;text-align:left;margin-left:14.95pt;margin-top:4pt;width:121.9pt;height:29.75pt;z-index:39;mso-position-horizontal-relative:text;mso-position-vertical-relative:text">
                  <v:textbox inset="0,0,0,0">
                    <w:txbxContent>
                      <w:p w:rsidR="00000000" w:rsidRDefault="00000000">
                        <w:pPr>
                          <w:jc w:val="center"/>
                          <w:rPr>
                            <w:b/>
                            <w:bCs/>
                          </w:rPr>
                        </w:pPr>
                        <w:r>
                          <w:rPr>
                            <w:b/>
                            <w:bCs/>
                            <w:sz w:val="18"/>
                            <w:lang w:val="en-GB"/>
                          </w:rPr>
                          <w:t>1,222 classroms</w:t>
                        </w:r>
                      </w:p>
                    </w:txbxContent>
                  </v:textbox>
                </v:shape>
              </w:pict>
            </w:r>
          </w:p>
        </w:tc>
        <w:tc>
          <w:tcPr>
            <w:tcW w:w="1619" w:type="dxa"/>
            <w:shd w:val="clear" w:color="auto" w:fill="E6E6E6"/>
            <w:vAlign w:val="center"/>
          </w:tcPr>
          <w:p w:rsidR="00000000" w:rsidRDefault="00000000">
            <w:pPr>
              <w:ind w:right="680"/>
              <w:jc w:val="right"/>
              <w:rPr>
                <w:lang w:val="en-GB"/>
              </w:rPr>
            </w:pPr>
            <w:r>
              <w:rPr>
                <w:lang w:val="en-GB"/>
              </w:rPr>
              <w:t>418</w:t>
            </w:r>
          </w:p>
        </w:tc>
        <w:tc>
          <w:tcPr>
            <w:tcW w:w="2303" w:type="dxa"/>
            <w:shd w:val="clear" w:color="auto" w:fill="E6E6E6"/>
            <w:vAlign w:val="center"/>
          </w:tcPr>
          <w:p w:rsidR="00000000" w:rsidRDefault="00000000">
            <w:pPr>
              <w:ind w:right="737"/>
              <w:jc w:val="right"/>
              <w:rPr>
                <w:lang w:val="en-GB"/>
              </w:rPr>
            </w:pPr>
            <w:r>
              <w:rPr>
                <w:lang w:val="en-GB"/>
              </w:rPr>
              <w:t>61 680</w:t>
            </w:r>
          </w:p>
        </w:tc>
      </w:tr>
      <w:tr w:rsidR="00000000">
        <w:tblPrEx>
          <w:tblCellMar>
            <w:top w:w="0" w:type="dxa"/>
            <w:bottom w:w="0" w:type="dxa"/>
          </w:tblCellMar>
        </w:tblPrEx>
        <w:trPr>
          <w:trHeight w:hRule="exact" w:val="851"/>
          <w:jc w:val="center"/>
        </w:trPr>
        <w:tc>
          <w:tcPr>
            <w:tcW w:w="2303" w:type="dxa"/>
            <w:shd w:val="clear" w:color="auto" w:fill="E6E6E6"/>
          </w:tcPr>
          <w:p w:rsidR="00000000" w:rsidRDefault="00000000">
            <w:pPr>
              <w:rPr>
                <w:lang w:val="en-GB"/>
              </w:rPr>
            </w:pPr>
            <w:r>
              <w:rPr>
                <w:noProof/>
                <w:sz w:val="20"/>
              </w:rPr>
              <w:pict>
                <v:oval id="_x0000_s1102" style="position:absolute;left:0;text-align:left;margin-left:9pt;margin-top:7.9pt;width:90pt;height:27pt;z-index:36;mso-position-horizontal-relative:text;mso-position-vertical-relative:text">
                  <v:textbox inset="0,0,0,0">
                    <w:txbxContent>
                      <w:p w:rsidR="00000000" w:rsidRDefault="00000000">
                        <w:pPr>
                          <w:jc w:val="center"/>
                          <w:rPr>
                            <w:b/>
                            <w:bCs/>
                            <w:sz w:val="28"/>
                          </w:rPr>
                        </w:pPr>
                        <w:r>
                          <w:rPr>
                            <w:b/>
                            <w:bCs/>
                            <w:sz w:val="20"/>
                            <w:lang w:val="en-GB"/>
                          </w:rPr>
                          <w:t>Health</w:t>
                        </w:r>
                      </w:p>
                    </w:txbxContent>
                  </v:textbox>
                </v:oval>
              </w:pict>
            </w:r>
          </w:p>
        </w:tc>
        <w:tc>
          <w:tcPr>
            <w:tcW w:w="2987" w:type="dxa"/>
            <w:shd w:val="clear" w:color="auto" w:fill="E6E6E6"/>
          </w:tcPr>
          <w:p w:rsidR="00000000" w:rsidRDefault="00000000">
            <w:pPr>
              <w:rPr>
                <w:lang w:val="en-GB"/>
              </w:rPr>
            </w:pPr>
            <w:r>
              <w:rPr>
                <w:noProof/>
                <w:sz w:val="20"/>
              </w:rPr>
              <w:pict>
                <v:shape id="_x0000_s1106" type="#_x0000_t13" style="position:absolute;left:0;text-align:left;margin-left:14.95pt;margin-top:4pt;width:121.9pt;height:35.45pt;z-index:40;mso-position-horizontal-relative:text;mso-position-vertical-relative:text" adj="16337,1418">
                  <v:textbox inset="0,0,0,0">
                    <w:txbxContent>
                      <w:p w:rsidR="00000000" w:rsidRDefault="00000000">
                        <w:pPr>
                          <w:jc w:val="center"/>
                          <w:rPr>
                            <w:b/>
                            <w:bCs/>
                            <w:sz w:val="16"/>
                            <w:lang w:val="en-GB"/>
                          </w:rPr>
                        </w:pPr>
                        <w:r>
                          <w:rPr>
                            <w:b/>
                            <w:bCs/>
                            <w:sz w:val="16"/>
                            <w:lang w:val="en-GB"/>
                          </w:rPr>
                          <w:t>62 health posts</w:t>
                        </w:r>
                      </w:p>
                      <w:p w:rsidR="00000000" w:rsidRDefault="00000000">
                        <w:pPr>
                          <w:jc w:val="center"/>
                          <w:rPr>
                            <w:b/>
                            <w:bCs/>
                            <w:sz w:val="16"/>
                            <w:lang w:val="en-GB"/>
                          </w:rPr>
                        </w:pPr>
                        <w:r>
                          <w:rPr>
                            <w:b/>
                            <w:bCs/>
                            <w:sz w:val="16"/>
                            <w:lang w:val="en-GB"/>
                          </w:rPr>
                          <w:t>255 drinking-water systems</w:t>
                        </w:r>
                      </w:p>
                      <w:p w:rsidR="00000000" w:rsidRDefault="00000000">
                        <w:pPr>
                          <w:jc w:val="center"/>
                          <w:rPr>
                            <w:b/>
                            <w:bCs/>
                          </w:rPr>
                        </w:pPr>
                        <w:r>
                          <w:rPr>
                            <w:b/>
                            <w:bCs/>
                            <w:sz w:val="16"/>
                            <w:lang w:val="en-GB"/>
                          </w:rPr>
                          <w:t>12 sewerage systems</w:t>
                        </w:r>
                      </w:p>
                    </w:txbxContent>
                  </v:textbox>
                </v:shape>
              </w:pict>
            </w:r>
          </w:p>
        </w:tc>
        <w:tc>
          <w:tcPr>
            <w:tcW w:w="1619" w:type="dxa"/>
            <w:shd w:val="clear" w:color="auto" w:fill="E6E6E6"/>
            <w:vAlign w:val="center"/>
          </w:tcPr>
          <w:p w:rsidR="00000000" w:rsidRDefault="00000000">
            <w:pPr>
              <w:ind w:right="680"/>
              <w:jc w:val="right"/>
              <w:rPr>
                <w:lang w:val="en-GB"/>
              </w:rPr>
            </w:pPr>
            <w:r>
              <w:rPr>
                <w:lang w:val="en-GB"/>
              </w:rPr>
              <w:t>62</w:t>
            </w:r>
          </w:p>
          <w:p w:rsidR="00000000" w:rsidRDefault="00000000">
            <w:pPr>
              <w:ind w:right="680"/>
              <w:jc w:val="right"/>
              <w:rPr>
                <w:lang w:val="en-GB"/>
              </w:rPr>
            </w:pPr>
            <w:r>
              <w:rPr>
                <w:lang w:val="en-GB"/>
              </w:rPr>
              <w:t>255</w:t>
            </w:r>
          </w:p>
          <w:p w:rsidR="00000000" w:rsidRDefault="00000000">
            <w:pPr>
              <w:ind w:right="680"/>
              <w:jc w:val="right"/>
              <w:rPr>
                <w:lang w:val="en-GB"/>
              </w:rPr>
            </w:pPr>
            <w:r>
              <w:rPr>
                <w:lang w:val="en-GB"/>
              </w:rPr>
              <w:t>12</w:t>
            </w:r>
          </w:p>
        </w:tc>
        <w:tc>
          <w:tcPr>
            <w:tcW w:w="2303" w:type="dxa"/>
            <w:shd w:val="clear" w:color="auto" w:fill="E6E6E6"/>
            <w:vAlign w:val="center"/>
          </w:tcPr>
          <w:p w:rsidR="00000000" w:rsidRDefault="00000000">
            <w:pPr>
              <w:tabs>
                <w:tab w:val="clear" w:pos="720"/>
              </w:tabs>
              <w:ind w:right="737"/>
              <w:jc w:val="right"/>
              <w:rPr>
                <w:lang w:val="en-GB"/>
              </w:rPr>
            </w:pPr>
            <w:r>
              <w:rPr>
                <w:lang w:val="en-GB"/>
              </w:rPr>
              <w:t>40 340</w:t>
            </w:r>
            <w:r>
              <w:rPr>
                <w:lang w:val="en-GB"/>
              </w:rPr>
              <w:br/>
              <w:t>128 930</w:t>
            </w:r>
          </w:p>
          <w:p w:rsidR="00000000" w:rsidRDefault="00000000">
            <w:pPr>
              <w:tabs>
                <w:tab w:val="clear" w:pos="720"/>
              </w:tabs>
              <w:ind w:right="737"/>
              <w:jc w:val="right"/>
              <w:rPr>
                <w:lang w:val="en-GB"/>
              </w:rPr>
            </w:pPr>
            <w:r>
              <w:rPr>
                <w:lang w:val="en-GB"/>
              </w:rPr>
              <w:t>12 260</w:t>
            </w:r>
          </w:p>
          <w:p w:rsidR="00000000" w:rsidRDefault="00000000">
            <w:pPr>
              <w:ind w:right="737"/>
              <w:jc w:val="right"/>
              <w:rPr>
                <w:lang w:val="en-GB"/>
              </w:rPr>
            </w:pPr>
          </w:p>
        </w:tc>
      </w:tr>
      <w:tr w:rsidR="00000000">
        <w:tblPrEx>
          <w:tblCellMar>
            <w:top w:w="0" w:type="dxa"/>
            <w:bottom w:w="0" w:type="dxa"/>
          </w:tblCellMar>
        </w:tblPrEx>
        <w:trPr>
          <w:trHeight w:hRule="exact" w:val="964"/>
          <w:jc w:val="center"/>
        </w:trPr>
        <w:tc>
          <w:tcPr>
            <w:tcW w:w="2303" w:type="dxa"/>
            <w:shd w:val="clear" w:color="auto" w:fill="E6E6E6"/>
          </w:tcPr>
          <w:p w:rsidR="00000000" w:rsidRDefault="00000000">
            <w:pPr>
              <w:rPr>
                <w:lang w:val="en-GB"/>
              </w:rPr>
            </w:pPr>
            <w:r>
              <w:rPr>
                <w:noProof/>
                <w:sz w:val="20"/>
              </w:rPr>
              <w:pict>
                <v:oval id="_x0000_s1103" style="position:absolute;left:0;text-align:left;margin-left:9pt;margin-top:7.9pt;width:90pt;height:27pt;z-index:37;mso-position-horizontal-relative:text;mso-position-vertical-relative:text">
                  <v:textbox inset="0,0,0,0">
                    <w:txbxContent>
                      <w:p w:rsidR="00000000" w:rsidRDefault="00000000">
                        <w:pPr>
                          <w:jc w:val="center"/>
                          <w:rPr>
                            <w:b/>
                            <w:bCs/>
                            <w:sz w:val="28"/>
                          </w:rPr>
                        </w:pPr>
                        <w:r>
                          <w:rPr>
                            <w:b/>
                            <w:bCs/>
                            <w:sz w:val="20"/>
                            <w:lang w:val="en-GB"/>
                          </w:rPr>
                          <w:t>Citizenship</w:t>
                        </w:r>
                      </w:p>
                    </w:txbxContent>
                  </v:textbox>
                </v:oval>
              </w:pict>
            </w:r>
          </w:p>
        </w:tc>
        <w:tc>
          <w:tcPr>
            <w:tcW w:w="2987" w:type="dxa"/>
            <w:shd w:val="clear" w:color="auto" w:fill="E6E6E6"/>
          </w:tcPr>
          <w:p w:rsidR="00000000" w:rsidRDefault="00000000">
            <w:pPr>
              <w:rPr>
                <w:lang w:val="en-GB"/>
              </w:rPr>
            </w:pPr>
            <w:r>
              <w:rPr>
                <w:noProof/>
                <w:sz w:val="20"/>
              </w:rPr>
              <w:pict>
                <v:shape id="_x0000_s1107" type="#_x0000_t13" style="position:absolute;left:0;text-align:left;margin-left:14.95pt;margin-top:3.1pt;width:121.9pt;height:41.1pt;z-index:41;mso-position-horizontal-relative:text;mso-position-vertical-relative:text" adj="16470,0">
                  <v:textbox inset="0,0,0,0">
                    <w:txbxContent>
                      <w:p w:rsidR="00000000" w:rsidRDefault="00000000">
                        <w:pPr>
                          <w:jc w:val="center"/>
                          <w:rPr>
                            <w:b/>
                            <w:bCs/>
                            <w:sz w:val="18"/>
                            <w:lang w:val="en-GB"/>
                          </w:rPr>
                        </w:pPr>
                        <w:r>
                          <w:rPr>
                            <w:b/>
                            <w:bCs/>
                            <w:sz w:val="18"/>
                            <w:lang w:val="en-GB"/>
                          </w:rPr>
                          <w:t>764,900 undocumented persons registered</w:t>
                        </w:r>
                      </w:p>
                      <w:p w:rsidR="00000000" w:rsidRDefault="00000000">
                        <w:pPr>
                          <w:jc w:val="center"/>
                          <w:rPr>
                            <w:b/>
                            <w:bCs/>
                            <w:lang w:val="en-GB"/>
                          </w:rPr>
                        </w:pPr>
                        <w:r>
                          <w:rPr>
                            <w:b/>
                            <w:bCs/>
                            <w:sz w:val="18"/>
                            <w:lang w:val="en-GB"/>
                          </w:rPr>
                          <w:t>920 DDHH training events</w:t>
                        </w:r>
                      </w:p>
                      <w:p w:rsidR="00000000" w:rsidRDefault="00000000">
                        <w:pPr>
                          <w:jc w:val="center"/>
                          <w:rPr>
                            <w:b/>
                            <w:bCs/>
                            <w:lang w:val="en-GB"/>
                          </w:rPr>
                        </w:pPr>
                      </w:p>
                    </w:txbxContent>
                  </v:textbox>
                </v:shape>
              </w:pict>
            </w:r>
          </w:p>
        </w:tc>
        <w:tc>
          <w:tcPr>
            <w:tcW w:w="1619" w:type="dxa"/>
            <w:shd w:val="clear" w:color="auto" w:fill="E6E6E6"/>
            <w:vAlign w:val="center"/>
          </w:tcPr>
          <w:p w:rsidR="00000000" w:rsidRDefault="00000000">
            <w:pPr>
              <w:jc w:val="center"/>
              <w:rPr>
                <w:lang w:val="en-GB"/>
              </w:rPr>
            </w:pPr>
            <w:r>
              <w:rPr>
                <w:lang w:val="en-GB"/>
              </w:rPr>
              <w:t>Nationwide</w:t>
            </w:r>
          </w:p>
          <w:p w:rsidR="00000000" w:rsidRDefault="00000000">
            <w:pPr>
              <w:ind w:right="680"/>
              <w:jc w:val="right"/>
              <w:rPr>
                <w:lang w:val="en-GB"/>
              </w:rPr>
            </w:pPr>
            <w:r>
              <w:rPr>
                <w:lang w:val="en-GB"/>
              </w:rPr>
              <w:t>320</w:t>
            </w:r>
          </w:p>
        </w:tc>
        <w:tc>
          <w:tcPr>
            <w:tcW w:w="2303" w:type="dxa"/>
            <w:shd w:val="clear" w:color="auto" w:fill="E6E6E6"/>
            <w:vAlign w:val="center"/>
          </w:tcPr>
          <w:p w:rsidR="00000000" w:rsidRDefault="00000000">
            <w:pPr>
              <w:ind w:right="737"/>
              <w:jc w:val="right"/>
              <w:rPr>
                <w:lang w:val="en-GB"/>
              </w:rPr>
            </w:pPr>
            <w:r>
              <w:rPr>
                <w:lang w:val="en-GB"/>
              </w:rPr>
              <w:t>764 900</w:t>
            </w:r>
          </w:p>
          <w:p w:rsidR="00000000" w:rsidRDefault="00000000">
            <w:pPr>
              <w:ind w:right="737"/>
              <w:jc w:val="right"/>
              <w:rPr>
                <w:lang w:val="en-GB"/>
              </w:rPr>
            </w:pPr>
            <w:r>
              <w:rPr>
                <w:lang w:val="en-GB"/>
              </w:rPr>
              <w:t>25 320</w:t>
            </w:r>
          </w:p>
        </w:tc>
      </w:tr>
      <w:tr w:rsidR="00000000">
        <w:tblPrEx>
          <w:tblCellMar>
            <w:top w:w="0" w:type="dxa"/>
            <w:bottom w:w="0" w:type="dxa"/>
          </w:tblCellMar>
        </w:tblPrEx>
        <w:trPr>
          <w:trHeight w:hRule="exact" w:val="851"/>
          <w:jc w:val="center"/>
        </w:trPr>
        <w:tc>
          <w:tcPr>
            <w:tcW w:w="2303" w:type="dxa"/>
            <w:shd w:val="clear" w:color="auto" w:fill="E6E6E6"/>
          </w:tcPr>
          <w:p w:rsidR="00000000" w:rsidRDefault="00000000">
            <w:pPr>
              <w:rPr>
                <w:lang w:val="en-GB"/>
              </w:rPr>
            </w:pPr>
            <w:r>
              <w:rPr>
                <w:noProof/>
                <w:sz w:val="20"/>
              </w:rPr>
              <w:pict>
                <v:oval id="_x0000_s1108" style="position:absolute;left:0;text-align:left;margin-left:9pt;margin-top:7.9pt;width:90pt;height:27pt;z-index:42;mso-position-horizontal-relative:text;mso-position-vertical-relative:text">
                  <v:textbox inset="0,0,0,0">
                    <w:txbxContent>
                      <w:p w:rsidR="00000000" w:rsidRDefault="00000000">
                        <w:pPr>
                          <w:jc w:val="center"/>
                          <w:rPr>
                            <w:b/>
                            <w:bCs/>
                            <w:sz w:val="28"/>
                          </w:rPr>
                        </w:pPr>
                        <w:r>
                          <w:rPr>
                            <w:b/>
                            <w:bCs/>
                            <w:sz w:val="20"/>
                            <w:lang w:val="en-GB"/>
                          </w:rPr>
                          <w:t>Agriculture</w:t>
                        </w:r>
                      </w:p>
                    </w:txbxContent>
                  </v:textbox>
                </v:oval>
              </w:pict>
            </w:r>
          </w:p>
        </w:tc>
        <w:tc>
          <w:tcPr>
            <w:tcW w:w="2987" w:type="dxa"/>
            <w:shd w:val="clear" w:color="auto" w:fill="E6E6E6"/>
          </w:tcPr>
          <w:p w:rsidR="00000000" w:rsidRDefault="00000000">
            <w:pPr>
              <w:rPr>
                <w:lang w:val="en-GB"/>
              </w:rPr>
            </w:pPr>
            <w:r>
              <w:rPr>
                <w:noProof/>
                <w:sz w:val="20"/>
              </w:rPr>
              <w:pict>
                <v:shape id="_x0000_s1109" type="#_x0000_t13" style="position:absolute;left:0;text-align:left;margin-left:14.95pt;margin-top:4pt;width:121.9pt;height:29.75pt;z-index:43;mso-position-horizontal-relative:text;mso-position-vertical-relative:text" adj="16072,1597">
                  <v:textbox inset="0,0,0,0">
                    <w:txbxContent>
                      <w:p w:rsidR="00000000" w:rsidRDefault="00000000">
                        <w:pPr>
                          <w:jc w:val="center"/>
                          <w:rPr>
                            <w:b/>
                            <w:bCs/>
                            <w:lang w:val="en-GB"/>
                          </w:rPr>
                        </w:pPr>
                        <w:r>
                          <w:rPr>
                            <w:b/>
                            <w:bCs/>
                            <w:sz w:val="18"/>
                            <w:lang w:val="en-GB"/>
                          </w:rPr>
                          <w:t>155 km of irrigation channels</w:t>
                        </w:r>
                      </w:p>
                    </w:txbxContent>
                  </v:textbox>
                </v:shape>
              </w:pict>
            </w:r>
          </w:p>
        </w:tc>
        <w:tc>
          <w:tcPr>
            <w:tcW w:w="1619" w:type="dxa"/>
            <w:shd w:val="clear" w:color="auto" w:fill="E6E6E6"/>
            <w:vAlign w:val="center"/>
          </w:tcPr>
          <w:p w:rsidR="00000000" w:rsidRDefault="00000000">
            <w:pPr>
              <w:ind w:right="680"/>
              <w:jc w:val="right"/>
              <w:rPr>
                <w:lang w:val="en-GB"/>
              </w:rPr>
            </w:pPr>
            <w:r>
              <w:rPr>
                <w:lang w:val="en-GB"/>
              </w:rPr>
              <w:t>65</w:t>
            </w:r>
          </w:p>
        </w:tc>
        <w:tc>
          <w:tcPr>
            <w:tcW w:w="2303" w:type="dxa"/>
            <w:shd w:val="clear" w:color="auto" w:fill="E6E6E6"/>
            <w:vAlign w:val="center"/>
          </w:tcPr>
          <w:p w:rsidR="00000000" w:rsidRDefault="00000000">
            <w:pPr>
              <w:ind w:right="737"/>
              <w:jc w:val="right"/>
              <w:rPr>
                <w:lang w:val="en-GB"/>
              </w:rPr>
            </w:pPr>
            <w:r>
              <w:rPr>
                <w:lang w:val="en-GB"/>
              </w:rPr>
              <w:t>33 900</w:t>
            </w:r>
          </w:p>
        </w:tc>
      </w:tr>
      <w:tr w:rsidR="00000000">
        <w:tblPrEx>
          <w:tblCellMar>
            <w:top w:w="0" w:type="dxa"/>
            <w:bottom w:w="0" w:type="dxa"/>
          </w:tblCellMar>
        </w:tblPrEx>
        <w:trPr>
          <w:trHeight w:hRule="exact" w:val="851"/>
          <w:jc w:val="center"/>
        </w:trPr>
        <w:tc>
          <w:tcPr>
            <w:tcW w:w="2303" w:type="dxa"/>
            <w:shd w:val="clear" w:color="auto" w:fill="E6E6E6"/>
          </w:tcPr>
          <w:p w:rsidR="00000000" w:rsidRDefault="00000000">
            <w:pPr>
              <w:rPr>
                <w:lang w:val="en-GB"/>
              </w:rPr>
            </w:pPr>
            <w:r>
              <w:rPr>
                <w:noProof/>
                <w:sz w:val="20"/>
              </w:rPr>
              <w:pict>
                <v:oval id="_x0000_s1110" style="position:absolute;left:0;text-align:left;margin-left:9pt;margin-top:7.9pt;width:90pt;height:27pt;z-index:44;mso-position-horizontal-relative:text;mso-position-vertical-relative:text">
                  <v:textbox inset="0,0,0,0">
                    <w:txbxContent>
                      <w:p w:rsidR="00000000" w:rsidRDefault="00000000">
                        <w:pPr>
                          <w:jc w:val="center"/>
                          <w:rPr>
                            <w:b/>
                            <w:bCs/>
                            <w:sz w:val="28"/>
                          </w:rPr>
                        </w:pPr>
                        <w:r>
                          <w:rPr>
                            <w:b/>
                            <w:bCs/>
                            <w:sz w:val="20"/>
                            <w:lang w:val="en-GB"/>
                          </w:rPr>
                          <w:t>Transport</w:t>
                        </w:r>
                      </w:p>
                    </w:txbxContent>
                  </v:textbox>
                </v:oval>
              </w:pict>
            </w:r>
          </w:p>
        </w:tc>
        <w:tc>
          <w:tcPr>
            <w:tcW w:w="2987" w:type="dxa"/>
            <w:shd w:val="clear" w:color="auto" w:fill="E6E6E6"/>
          </w:tcPr>
          <w:p w:rsidR="00000000" w:rsidRDefault="00000000">
            <w:pPr>
              <w:rPr>
                <w:lang w:val="en-GB"/>
              </w:rPr>
            </w:pPr>
            <w:r>
              <w:rPr>
                <w:noProof/>
                <w:sz w:val="20"/>
              </w:rPr>
              <w:pict>
                <v:shape id="_x0000_s1111" type="#_x0000_t13" style="position:absolute;left:0;text-align:left;margin-left:14.95pt;margin-top:4pt;width:121.9pt;height:29.75pt;z-index:45;mso-position-horizontal-relative:text;mso-position-vertical-relative:text">
                  <v:textbox inset="0,0,0,0">
                    <w:txbxContent>
                      <w:p w:rsidR="00000000" w:rsidRDefault="00000000">
                        <w:pPr>
                          <w:jc w:val="center"/>
                          <w:rPr>
                            <w:b/>
                            <w:bCs/>
                          </w:rPr>
                        </w:pPr>
                        <w:r>
                          <w:rPr>
                            <w:b/>
                            <w:bCs/>
                            <w:sz w:val="18"/>
                            <w:lang w:val="en-GB"/>
                          </w:rPr>
                          <w:t>213 km of roads</w:t>
                        </w:r>
                      </w:p>
                    </w:txbxContent>
                  </v:textbox>
                </v:shape>
              </w:pict>
            </w:r>
          </w:p>
        </w:tc>
        <w:tc>
          <w:tcPr>
            <w:tcW w:w="1619" w:type="dxa"/>
            <w:shd w:val="clear" w:color="auto" w:fill="E6E6E6"/>
            <w:vAlign w:val="center"/>
          </w:tcPr>
          <w:p w:rsidR="00000000" w:rsidRDefault="00000000">
            <w:pPr>
              <w:ind w:right="680"/>
              <w:jc w:val="right"/>
              <w:rPr>
                <w:lang w:val="en-GB"/>
              </w:rPr>
            </w:pPr>
            <w:r>
              <w:rPr>
                <w:lang w:val="en-GB"/>
              </w:rPr>
              <w:t>63</w:t>
            </w:r>
          </w:p>
        </w:tc>
        <w:tc>
          <w:tcPr>
            <w:tcW w:w="2303" w:type="dxa"/>
            <w:shd w:val="clear" w:color="auto" w:fill="E6E6E6"/>
            <w:vAlign w:val="center"/>
          </w:tcPr>
          <w:p w:rsidR="00000000" w:rsidRDefault="00000000">
            <w:pPr>
              <w:ind w:right="737"/>
              <w:jc w:val="right"/>
              <w:rPr>
                <w:lang w:val="en-GB"/>
              </w:rPr>
            </w:pPr>
            <w:r>
              <w:rPr>
                <w:lang w:val="en-GB"/>
              </w:rPr>
              <w:t>24 900</w:t>
            </w:r>
          </w:p>
        </w:tc>
      </w:tr>
    </w:tbl>
    <w:p w:rsidR="00000000" w:rsidRDefault="00000000">
      <w:pPr>
        <w:tabs>
          <w:tab w:val="clear" w:pos="720"/>
        </w:tabs>
        <w:jc w:val="left"/>
        <w:rPr>
          <w:sz w:val="24"/>
          <w:lang w:val="en-GB"/>
        </w:rPr>
      </w:pPr>
    </w:p>
    <w:p w:rsidR="00000000" w:rsidRDefault="00000000">
      <w:pPr>
        <w:tabs>
          <w:tab w:val="clear" w:pos="720"/>
        </w:tabs>
        <w:jc w:val="left"/>
        <w:rPr>
          <w:sz w:val="24"/>
          <w:lang w:val="en-G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422"/>
      </w:tblGrid>
      <w:tr w:rsidR="00000000">
        <w:tblPrEx>
          <w:tblCellMar>
            <w:top w:w="0" w:type="dxa"/>
            <w:bottom w:w="0" w:type="dxa"/>
          </w:tblCellMar>
        </w:tblPrEx>
        <w:trPr>
          <w:jc w:val="center"/>
        </w:trPr>
        <w:tc>
          <w:tcPr>
            <w:tcW w:w="8522" w:type="dxa"/>
          </w:tcPr>
          <w:p w:rsidR="00000000" w:rsidRDefault="00000000">
            <w:pPr>
              <w:tabs>
                <w:tab w:val="clear" w:pos="720"/>
              </w:tabs>
              <w:spacing w:before="240" w:after="120"/>
              <w:ind w:left="284" w:right="284"/>
              <w:jc w:val="center"/>
              <w:rPr>
                <w:sz w:val="20"/>
                <w:lang w:val="en-GB"/>
              </w:rPr>
            </w:pPr>
            <w:r>
              <w:rPr>
                <w:b/>
                <w:sz w:val="20"/>
                <w:lang w:val="en-GB"/>
              </w:rPr>
              <w:t>Basic functions</w:t>
            </w:r>
          </w:p>
          <w:p w:rsidR="00000000" w:rsidRDefault="00000000">
            <w:pPr>
              <w:numPr>
                <w:ilvl w:val="0"/>
                <w:numId w:val="155"/>
              </w:numPr>
              <w:tabs>
                <w:tab w:val="clear" w:pos="720"/>
              </w:tabs>
              <w:spacing w:before="120" w:after="120"/>
              <w:ind w:right="284"/>
              <w:jc w:val="left"/>
              <w:rPr>
                <w:sz w:val="20"/>
                <w:lang w:val="en-GB"/>
              </w:rPr>
            </w:pPr>
            <w:r>
              <w:rPr>
                <w:sz w:val="20"/>
                <w:lang w:val="en-GB"/>
              </w:rPr>
              <w:t>To regulate promotion, compensation and prevention activities in connection with the social, political, cultural and economic rights of the population affected by the political violence</w:t>
            </w:r>
          </w:p>
          <w:p w:rsidR="00000000" w:rsidRDefault="00000000">
            <w:pPr>
              <w:numPr>
                <w:ilvl w:val="0"/>
                <w:numId w:val="155"/>
              </w:numPr>
              <w:tabs>
                <w:tab w:val="clear" w:pos="720"/>
              </w:tabs>
              <w:spacing w:before="120" w:after="120"/>
              <w:ind w:right="284"/>
              <w:jc w:val="left"/>
              <w:rPr>
                <w:sz w:val="20"/>
                <w:lang w:val="en-GB"/>
              </w:rPr>
            </w:pPr>
            <w:r>
              <w:rPr>
                <w:sz w:val="20"/>
                <w:lang w:val="en-GB"/>
              </w:rPr>
              <w:t>To coordinate and implement promotion, compensation and prevention activities in connection with the social, political, cultural and economic rights of the population affected by the political violence</w:t>
            </w:r>
          </w:p>
          <w:p w:rsidR="00000000" w:rsidRDefault="00000000">
            <w:pPr>
              <w:numPr>
                <w:ilvl w:val="0"/>
                <w:numId w:val="155"/>
              </w:numPr>
              <w:tabs>
                <w:tab w:val="clear" w:pos="720"/>
              </w:tabs>
              <w:spacing w:before="120" w:after="120"/>
              <w:ind w:right="284"/>
              <w:jc w:val="left"/>
              <w:rPr>
                <w:sz w:val="20"/>
                <w:lang w:val="en-GB"/>
              </w:rPr>
            </w:pPr>
            <w:r>
              <w:rPr>
                <w:sz w:val="20"/>
                <w:lang w:val="en-GB"/>
              </w:rPr>
              <w:t>To carry out key temporary and permanent measures which make a decisive contribution to the promotion of sustainable peace in Peru and which boost the methodological resources of the measures designed to overcome the economic, social, ethnic and cultural inequities</w:t>
            </w:r>
          </w:p>
          <w:p w:rsidR="00000000" w:rsidRDefault="00000000">
            <w:pPr>
              <w:tabs>
                <w:tab w:val="clear" w:pos="720"/>
              </w:tabs>
              <w:spacing w:before="120" w:after="120"/>
              <w:ind w:left="284" w:right="284"/>
              <w:jc w:val="left"/>
              <w:rPr>
                <w:sz w:val="20"/>
                <w:lang w:val="en-GB"/>
              </w:rPr>
            </w:pPr>
            <w:r>
              <w:rPr>
                <w:b/>
                <w:sz w:val="20"/>
                <w:lang w:val="en-GB"/>
              </w:rPr>
              <w:t>Purpose:</w:t>
            </w:r>
            <w:r>
              <w:rPr>
                <w:sz w:val="20"/>
                <w:lang w:val="en-GB"/>
              </w:rPr>
              <w:t xml:space="preserve"> To build a sustainable peace and make good the damage done by the political violence</w:t>
            </w:r>
          </w:p>
          <w:p w:rsidR="00000000" w:rsidRDefault="00000000">
            <w:pPr>
              <w:tabs>
                <w:tab w:val="clear" w:pos="720"/>
              </w:tabs>
              <w:spacing w:before="120" w:after="240"/>
              <w:ind w:left="284" w:right="284"/>
              <w:jc w:val="left"/>
              <w:rPr>
                <w:sz w:val="20"/>
                <w:lang w:val="en-GB"/>
              </w:rPr>
            </w:pPr>
            <w:r>
              <w:rPr>
                <w:b/>
                <w:sz w:val="20"/>
                <w:lang w:val="en-GB"/>
              </w:rPr>
              <w:t>Target population:</w:t>
            </w:r>
            <w:r>
              <w:rPr>
                <w:sz w:val="20"/>
                <w:lang w:val="en-GB"/>
              </w:rPr>
              <w:t xml:space="preserve">  The immediate target population is the population affected by the political violence</w:t>
            </w:r>
          </w:p>
        </w:tc>
      </w:tr>
    </w:tbl>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148.</w:t>
      </w:r>
      <w:r>
        <w:rPr>
          <w:sz w:val="24"/>
          <w:lang w:val="en-GB"/>
        </w:rPr>
        <w:tab/>
        <w:t>With regard to the effects of the political violence on children, reports indicate that there are 17,807 widows, 43,000 orphans, and more than 47,000 persons having suffered psychological damage.</w:t>
      </w:r>
      <w:r>
        <w:rPr>
          <w:rStyle w:val="FootnoteReference"/>
          <w:b/>
          <w:sz w:val="24"/>
          <w:lang w:val="en-GB"/>
        </w:rPr>
        <w:footnoteReference w:customMarkFollows="1" w:id="62"/>
        <w:t>62</w:t>
      </w:r>
    </w:p>
    <w:p w:rsidR="00000000" w:rsidRDefault="00000000">
      <w:pPr>
        <w:tabs>
          <w:tab w:val="clear" w:pos="720"/>
        </w:tabs>
        <w:jc w:val="left"/>
        <w:rPr>
          <w:sz w:val="24"/>
          <w:lang w:val="en-GB"/>
        </w:rPr>
      </w:pPr>
      <w:r>
        <w:rPr>
          <w:sz w:val="24"/>
          <w:lang w:val="en-GB"/>
        </w:rPr>
        <w:t>149.</w:t>
      </w:r>
      <w:r>
        <w:rPr>
          <w:sz w:val="24"/>
          <w:lang w:val="en-GB"/>
        </w:rPr>
        <w:tab/>
        <w:t>Many of the victims were children who lost close family members such as parents or more distant relatives who were murdered or disappeared; they were direct or indirect witnesses of acts of political violence: murder, torture, killing, armed clashes, etc.; they were born or grew up in a situation of forced displacement to preserve the physical integrity of the members of their families, involving the loss of their family goods and property.</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150.</w:t>
      </w:r>
      <w:r>
        <w:rPr>
          <w:sz w:val="24"/>
          <w:lang w:val="en-GB"/>
        </w:rPr>
        <w:tab/>
        <w:t>The consequences of this violence are visible in the development of certain characteristics in these children, such as dropping out of school, especially in children aged over 14 and in teenage mothers.  As a result of this situation a decision was taken in 1999 to create the National Programme for Care of Children Orphaned by the Terrorist Violence (PROHVIT) to work with the more than 43,000 orphan victims of the political violence.</w:t>
      </w:r>
      <w:r>
        <w:rPr>
          <w:rStyle w:val="FootnoteReference"/>
          <w:b/>
          <w:sz w:val="24"/>
          <w:lang w:val="en-GB"/>
        </w:rPr>
        <w:footnoteReference w:customMarkFollows="1" w:id="63"/>
        <w:t>63</w:t>
      </w:r>
    </w:p>
    <w:p w:rsidR="00000000" w:rsidRDefault="00000000">
      <w:pPr>
        <w:tabs>
          <w:tab w:val="clear" w:pos="720"/>
        </w:tabs>
        <w:jc w:val="left"/>
        <w:rPr>
          <w:sz w:val="24"/>
          <w:lang w:val="en-GB"/>
        </w:rPr>
      </w:pPr>
    </w:p>
    <w:p w:rsidR="00000000" w:rsidRDefault="00000000">
      <w:pPr>
        <w:tabs>
          <w:tab w:val="clear" w:pos="720"/>
        </w:tabs>
        <w:ind w:firstLine="567"/>
        <w:jc w:val="left"/>
        <w:rPr>
          <w:sz w:val="24"/>
          <w:lang w:val="en-GB"/>
        </w:rPr>
      </w:pPr>
      <w:r>
        <w:rPr>
          <w:b/>
          <w:sz w:val="24"/>
          <w:lang w:val="en-GB"/>
        </w:rPr>
        <w:t>Victims of domestic violence</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151.</w:t>
      </w:r>
      <w:r>
        <w:rPr>
          <w:sz w:val="24"/>
          <w:lang w:val="en-GB"/>
        </w:rPr>
        <w:tab/>
        <w:t>Recent years have seen the enactment of laws to protect the human rights of children and women, such as the Domestic Violence Act (No. 26260) on the prevention of violence in the family and Act No. 26763, which incorporates preventive measures and sets out public policies for the prevention of such violence.  In addition, Act No. 27637 was promulgated on 16 January of this year, establishing temporary shelters for child victims of sexual violence to be headed and administered by the MIMDES National Programme to Combat Domestic and Sexual Violence.</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152.</w:t>
      </w:r>
      <w:r>
        <w:rPr>
          <w:sz w:val="24"/>
          <w:lang w:val="en-GB"/>
        </w:rPr>
        <w:tab/>
        <w:t>It is estimated that in eight out of every 10 cases of sexual abuse the perpetrator is a member of the victim’s family circle and that six out of every 10 pregnancies of girls aged 11 to 14 are the result of incest or rape.  Furthermore, 33 per cent of girls and women in the 15-49 age range believe that physical punishment is sometimes needed in the upbringing of children.  On this same point, recent national surveys have revealed that 49 per cent of children are beaten by their parents and that children themselves regard this practice as a natural means of discipline and education.</w:t>
      </w:r>
      <w:r>
        <w:rPr>
          <w:rStyle w:val="FootnoteReference"/>
          <w:b/>
          <w:sz w:val="24"/>
          <w:lang w:val="en-GB"/>
        </w:rPr>
        <w:footnoteReference w:customMarkFollows="1" w:id="64"/>
        <w:t>64</w:t>
      </w:r>
    </w:p>
    <w:p w:rsidR="00000000" w:rsidRDefault="00000000">
      <w:pPr>
        <w:tabs>
          <w:tab w:val="clear" w:pos="720"/>
        </w:tabs>
        <w:jc w:val="left"/>
        <w:rPr>
          <w:sz w:val="24"/>
          <w:lang w:val="en-G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422"/>
      </w:tblGrid>
      <w:tr w:rsidR="00000000">
        <w:tblPrEx>
          <w:tblCellMar>
            <w:top w:w="0" w:type="dxa"/>
            <w:bottom w:w="0" w:type="dxa"/>
          </w:tblCellMar>
        </w:tblPrEx>
        <w:trPr>
          <w:jc w:val="center"/>
        </w:trPr>
        <w:tc>
          <w:tcPr>
            <w:tcW w:w="8522" w:type="dxa"/>
          </w:tcPr>
          <w:p w:rsidR="00000000" w:rsidRDefault="00000000">
            <w:pPr>
              <w:tabs>
                <w:tab w:val="clear" w:pos="720"/>
              </w:tabs>
              <w:spacing w:before="240"/>
              <w:ind w:left="284" w:right="284"/>
              <w:jc w:val="center"/>
              <w:rPr>
                <w:sz w:val="20"/>
                <w:lang w:val="en-GB"/>
              </w:rPr>
            </w:pPr>
            <w:r>
              <w:rPr>
                <w:b/>
                <w:i/>
                <w:sz w:val="20"/>
                <w:lang w:val="en-GB"/>
              </w:rPr>
              <w:t>Allin Tayta</w:t>
            </w:r>
            <w:r>
              <w:rPr>
                <w:b/>
                <w:sz w:val="20"/>
                <w:lang w:val="en-GB"/>
              </w:rPr>
              <w:t xml:space="preserve"> (Good Daddy) Programme</w:t>
            </w:r>
          </w:p>
          <w:p w:rsidR="00000000" w:rsidRDefault="00000000">
            <w:pPr>
              <w:tabs>
                <w:tab w:val="clear" w:pos="720"/>
              </w:tabs>
              <w:ind w:left="284" w:right="284"/>
              <w:jc w:val="left"/>
              <w:rPr>
                <w:sz w:val="20"/>
                <w:lang w:val="en-GB"/>
              </w:rPr>
            </w:pPr>
          </w:p>
          <w:p w:rsidR="00000000" w:rsidRDefault="00000000">
            <w:pPr>
              <w:tabs>
                <w:tab w:val="clear" w:pos="720"/>
              </w:tabs>
              <w:ind w:left="284" w:right="284"/>
              <w:jc w:val="left"/>
              <w:rPr>
                <w:sz w:val="20"/>
                <w:lang w:val="en-GB"/>
              </w:rPr>
            </w:pPr>
            <w:r>
              <w:rPr>
                <w:sz w:val="20"/>
                <w:lang w:val="en-GB"/>
              </w:rPr>
              <w:t>This programme is coordinating the efforts of three public agencies (MIMDES, INABIF and MINEDU) with  a view to devising an innovative and visionary proposal, in a multidimensional framework and with a single information system and effective equipment, on Fatherhood in the Andes from the standpoint of developing children’s resistance to bad influences.</w:t>
            </w:r>
          </w:p>
          <w:p w:rsidR="00000000" w:rsidRDefault="00000000">
            <w:pPr>
              <w:tabs>
                <w:tab w:val="clear" w:pos="720"/>
              </w:tabs>
              <w:ind w:left="284" w:right="284"/>
              <w:jc w:val="left"/>
              <w:rPr>
                <w:sz w:val="20"/>
                <w:lang w:val="en-GB"/>
              </w:rPr>
            </w:pPr>
          </w:p>
          <w:p w:rsidR="00000000" w:rsidRDefault="00000000">
            <w:pPr>
              <w:tabs>
                <w:tab w:val="clear" w:pos="720"/>
              </w:tabs>
              <w:ind w:left="284" w:right="284"/>
              <w:jc w:val="left"/>
              <w:rPr>
                <w:sz w:val="20"/>
                <w:lang w:val="en-GB"/>
              </w:rPr>
            </w:pPr>
            <w:r>
              <w:rPr>
                <w:sz w:val="20"/>
                <w:lang w:val="en-GB"/>
              </w:rPr>
              <w:t>The purpose of this project is to improve the image of fathers in their relations with their children, with regard to affection and feelings and education and training, through recognition of the importance of a father’s participation in the family circle and by analysing and encouraging a positive role for fathers in their children’s social and emotional development.</w:t>
            </w:r>
          </w:p>
          <w:p w:rsidR="00000000" w:rsidRDefault="00000000">
            <w:pPr>
              <w:tabs>
                <w:tab w:val="clear" w:pos="720"/>
              </w:tabs>
              <w:ind w:left="284" w:right="284"/>
              <w:jc w:val="left"/>
              <w:rPr>
                <w:sz w:val="20"/>
                <w:lang w:val="en-GB"/>
              </w:rPr>
            </w:pPr>
          </w:p>
          <w:p w:rsidR="00000000" w:rsidRDefault="00000000">
            <w:pPr>
              <w:tabs>
                <w:tab w:val="clear" w:pos="720"/>
              </w:tabs>
              <w:spacing w:after="240"/>
              <w:ind w:left="284" w:right="284"/>
              <w:jc w:val="left"/>
              <w:rPr>
                <w:sz w:val="20"/>
                <w:lang w:val="en-GB"/>
              </w:rPr>
            </w:pPr>
            <w:r>
              <w:rPr>
                <w:sz w:val="20"/>
                <w:lang w:val="en-GB"/>
              </w:rPr>
              <w:t>The multisectoral programme has two phases: the first began with a piece of applied research on fatherhood in the Andes designed to produce a true and objective picture of fatherhood models in this region; the second covers the design, approval and implementation of culturally appropriate recreation/play strategies to promote positive patterns of child-raising.</w:t>
            </w:r>
          </w:p>
        </w:tc>
      </w:tr>
    </w:tbl>
    <w:p w:rsidR="00000000" w:rsidRDefault="00000000">
      <w:pPr>
        <w:tabs>
          <w:tab w:val="clear" w:pos="720"/>
        </w:tabs>
        <w:jc w:val="left"/>
        <w:rPr>
          <w:sz w:val="24"/>
          <w:lang w:val="en-G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422"/>
      </w:tblGrid>
      <w:tr w:rsidR="00000000">
        <w:tblPrEx>
          <w:tblCellMar>
            <w:top w:w="0" w:type="dxa"/>
            <w:bottom w:w="0" w:type="dxa"/>
          </w:tblCellMar>
        </w:tblPrEx>
        <w:trPr>
          <w:jc w:val="center"/>
        </w:trPr>
        <w:tc>
          <w:tcPr>
            <w:tcW w:w="8522" w:type="dxa"/>
          </w:tcPr>
          <w:p w:rsidR="00000000" w:rsidRDefault="00000000">
            <w:pPr>
              <w:tabs>
                <w:tab w:val="clear" w:pos="720"/>
              </w:tabs>
              <w:spacing w:before="240"/>
              <w:ind w:left="284" w:right="284"/>
              <w:jc w:val="center"/>
              <w:rPr>
                <w:sz w:val="20"/>
                <w:lang w:val="en-GB"/>
              </w:rPr>
            </w:pPr>
            <w:r>
              <w:rPr>
                <w:b/>
                <w:sz w:val="20"/>
                <w:lang w:val="en-GB"/>
              </w:rPr>
              <w:t>National Programme to Combat Domestic and Sexual Violence (PNCVFS)</w:t>
            </w:r>
          </w:p>
          <w:p w:rsidR="00000000" w:rsidRDefault="00000000">
            <w:pPr>
              <w:tabs>
                <w:tab w:val="clear" w:pos="720"/>
              </w:tabs>
              <w:ind w:left="284" w:right="284"/>
              <w:jc w:val="left"/>
              <w:rPr>
                <w:sz w:val="20"/>
                <w:lang w:val="en-GB"/>
              </w:rPr>
            </w:pPr>
          </w:p>
          <w:p w:rsidR="00000000" w:rsidRDefault="00000000">
            <w:pPr>
              <w:tabs>
                <w:tab w:val="clear" w:pos="720"/>
              </w:tabs>
              <w:ind w:left="284" w:right="284"/>
              <w:jc w:val="left"/>
              <w:rPr>
                <w:sz w:val="20"/>
                <w:lang w:val="en-GB"/>
              </w:rPr>
            </w:pPr>
            <w:r>
              <w:rPr>
                <w:sz w:val="20"/>
                <w:lang w:val="en-GB"/>
              </w:rPr>
              <w:t>MIMDES introduced this programme to protect the rights of victims of domestic and sexual violence by means of measures implemented by the system’s agents.  Intersectoral work resulted in the establishment of 36 emergency centres for women.  During the first two months of this year these centres reported 2,111 cases involving children aged under 18 (nine per cent of total cases).</w:t>
            </w:r>
            <w:r>
              <w:rPr>
                <w:rStyle w:val="FootnoteReference"/>
                <w:b/>
                <w:lang w:val="en-GB"/>
              </w:rPr>
              <w:footnoteReference w:customMarkFollows="1" w:id="65"/>
              <w:t>65</w:t>
            </w:r>
          </w:p>
          <w:p w:rsidR="00000000" w:rsidRDefault="00000000">
            <w:pPr>
              <w:tabs>
                <w:tab w:val="clear" w:pos="720"/>
              </w:tabs>
              <w:ind w:left="284" w:right="284"/>
              <w:jc w:val="left"/>
              <w:rPr>
                <w:sz w:val="20"/>
                <w:lang w:val="en-GB"/>
              </w:rPr>
            </w:pPr>
          </w:p>
          <w:p w:rsidR="00000000" w:rsidRDefault="00000000">
            <w:pPr>
              <w:tabs>
                <w:tab w:val="clear" w:pos="720"/>
              </w:tabs>
              <w:ind w:left="284" w:right="284"/>
              <w:jc w:val="left"/>
              <w:rPr>
                <w:sz w:val="20"/>
                <w:lang w:val="en-GB"/>
              </w:rPr>
            </w:pPr>
            <w:r>
              <w:rPr>
                <w:b/>
                <w:sz w:val="20"/>
                <w:lang w:val="en-GB"/>
              </w:rPr>
              <w:t>Objectives</w:t>
            </w:r>
          </w:p>
          <w:p w:rsidR="00000000" w:rsidRDefault="00000000">
            <w:pPr>
              <w:numPr>
                <w:ilvl w:val="0"/>
                <w:numId w:val="156"/>
              </w:numPr>
              <w:tabs>
                <w:tab w:val="clear" w:pos="720"/>
              </w:tabs>
              <w:spacing w:before="120"/>
              <w:ind w:right="284"/>
              <w:jc w:val="left"/>
              <w:rPr>
                <w:sz w:val="20"/>
                <w:lang w:val="en-GB"/>
              </w:rPr>
            </w:pPr>
            <w:r>
              <w:rPr>
                <w:sz w:val="20"/>
                <w:lang w:val="en-GB"/>
              </w:rPr>
              <w:t>To carry out prevention, care and support measures for victims of acts of domestic or sexual violence</w:t>
            </w:r>
          </w:p>
          <w:p w:rsidR="00000000" w:rsidRDefault="00000000">
            <w:pPr>
              <w:numPr>
                <w:ilvl w:val="0"/>
                <w:numId w:val="156"/>
              </w:numPr>
              <w:tabs>
                <w:tab w:val="clear" w:pos="720"/>
              </w:tabs>
              <w:spacing w:before="120"/>
              <w:ind w:right="284"/>
              <w:jc w:val="left"/>
              <w:rPr>
                <w:sz w:val="20"/>
                <w:lang w:val="en-GB"/>
              </w:rPr>
            </w:pPr>
            <w:r>
              <w:rPr>
                <w:sz w:val="20"/>
                <w:lang w:val="en-GB"/>
              </w:rPr>
              <w:t>To propose new public policies to other governmental agencies</w:t>
            </w:r>
          </w:p>
          <w:p w:rsidR="00000000" w:rsidRDefault="00000000">
            <w:pPr>
              <w:numPr>
                <w:ilvl w:val="0"/>
                <w:numId w:val="156"/>
              </w:numPr>
              <w:tabs>
                <w:tab w:val="clear" w:pos="720"/>
              </w:tabs>
              <w:spacing w:before="120"/>
              <w:ind w:right="284"/>
              <w:jc w:val="left"/>
              <w:rPr>
                <w:sz w:val="20"/>
                <w:lang w:val="en-GB"/>
              </w:rPr>
            </w:pPr>
            <w:r>
              <w:rPr>
                <w:sz w:val="20"/>
                <w:lang w:val="en-GB"/>
              </w:rPr>
              <w:t>To negotiate, i.e. establish agreements with grass-roots organizations and public and private institutions for the implementation of measures to help to reduce domestic violence.</w:t>
            </w:r>
          </w:p>
          <w:p w:rsidR="00000000" w:rsidRDefault="00000000">
            <w:pPr>
              <w:tabs>
                <w:tab w:val="clear" w:pos="720"/>
              </w:tabs>
              <w:ind w:left="284" w:right="284"/>
              <w:jc w:val="left"/>
              <w:rPr>
                <w:sz w:val="20"/>
                <w:lang w:val="en-GB"/>
              </w:rPr>
            </w:pPr>
          </w:p>
          <w:p w:rsidR="00000000" w:rsidRDefault="00000000">
            <w:pPr>
              <w:tabs>
                <w:tab w:val="clear" w:pos="720"/>
              </w:tabs>
              <w:ind w:left="284" w:right="284"/>
              <w:jc w:val="left"/>
              <w:rPr>
                <w:sz w:val="20"/>
                <w:lang w:val="en-GB"/>
              </w:rPr>
            </w:pPr>
            <w:r>
              <w:rPr>
                <w:b/>
                <w:sz w:val="20"/>
                <w:lang w:val="en-GB"/>
              </w:rPr>
              <w:t>Emergency centres for women</w:t>
            </w:r>
          </w:p>
          <w:p w:rsidR="00000000" w:rsidRDefault="00000000">
            <w:pPr>
              <w:tabs>
                <w:tab w:val="clear" w:pos="720"/>
              </w:tabs>
              <w:ind w:left="284" w:right="284"/>
              <w:jc w:val="left"/>
              <w:rPr>
                <w:sz w:val="20"/>
                <w:lang w:val="en-GB"/>
              </w:rPr>
            </w:pPr>
          </w:p>
          <w:p w:rsidR="00000000" w:rsidRDefault="00000000">
            <w:pPr>
              <w:tabs>
                <w:tab w:val="clear" w:pos="720"/>
              </w:tabs>
              <w:ind w:left="284" w:right="284"/>
              <w:jc w:val="left"/>
              <w:rPr>
                <w:sz w:val="20"/>
                <w:lang w:val="en-GB"/>
              </w:rPr>
            </w:pPr>
            <w:r>
              <w:rPr>
                <w:sz w:val="20"/>
                <w:lang w:val="en-GB"/>
              </w:rPr>
              <w:t>The country has 36 of these centres offering comprehensive care free of charge to victims of domestic and sexual violence and enjoying the support of various public agencies in the provision of the services, which include psychological consultations, legal advice, police action, social services, forensic medicine, and extrajudicial conciliation (in cases not constituting domestic violence), as well as the services of the provincial procurators for family affairs.</w:t>
            </w:r>
          </w:p>
          <w:p w:rsidR="00000000" w:rsidRDefault="00000000">
            <w:pPr>
              <w:tabs>
                <w:tab w:val="clear" w:pos="720"/>
              </w:tabs>
              <w:ind w:left="284" w:right="284"/>
              <w:jc w:val="left"/>
              <w:rPr>
                <w:sz w:val="20"/>
                <w:lang w:val="en-GB"/>
              </w:rPr>
            </w:pPr>
          </w:p>
          <w:p w:rsidR="00000000" w:rsidRDefault="00000000">
            <w:pPr>
              <w:tabs>
                <w:tab w:val="clear" w:pos="720"/>
              </w:tabs>
              <w:ind w:left="284" w:right="284"/>
              <w:jc w:val="left"/>
              <w:rPr>
                <w:sz w:val="20"/>
                <w:lang w:val="en-GB"/>
              </w:rPr>
            </w:pPr>
            <w:r>
              <w:rPr>
                <w:b/>
                <w:sz w:val="20"/>
                <w:lang w:val="en-GB"/>
              </w:rPr>
              <w:t>Rehabilitation programmes</w:t>
            </w:r>
          </w:p>
          <w:p w:rsidR="00000000" w:rsidRDefault="00000000">
            <w:pPr>
              <w:tabs>
                <w:tab w:val="clear" w:pos="720"/>
              </w:tabs>
              <w:ind w:left="284" w:right="284"/>
              <w:jc w:val="left"/>
              <w:rPr>
                <w:sz w:val="20"/>
                <w:lang w:val="en-GB"/>
              </w:rPr>
            </w:pPr>
          </w:p>
          <w:p w:rsidR="00000000" w:rsidRDefault="00000000">
            <w:pPr>
              <w:tabs>
                <w:tab w:val="clear" w:pos="720"/>
              </w:tabs>
              <w:ind w:left="284" w:right="284"/>
              <w:jc w:val="left"/>
              <w:rPr>
                <w:sz w:val="20"/>
                <w:lang w:val="en-GB"/>
              </w:rPr>
            </w:pPr>
            <w:r>
              <w:rPr>
                <w:sz w:val="20"/>
                <w:lang w:val="en-GB"/>
              </w:rPr>
              <w:t>A rehabilitation plan for victims and perpetrators is currently at the design stage; this stage includes the establishment of models for intervention by psychotherapists which take account of social and cultural diversity and promote social values and the involvement of persons after treatment in social-support networks under the National Programme to Combat Domestic and Family Violence.</w:t>
            </w:r>
          </w:p>
          <w:p w:rsidR="00000000" w:rsidRDefault="00000000">
            <w:pPr>
              <w:tabs>
                <w:tab w:val="clear" w:pos="720"/>
              </w:tabs>
              <w:ind w:left="284" w:right="284"/>
              <w:jc w:val="left"/>
              <w:rPr>
                <w:sz w:val="20"/>
                <w:lang w:val="en-GB"/>
              </w:rPr>
            </w:pPr>
          </w:p>
          <w:p w:rsidR="00000000" w:rsidRDefault="00000000">
            <w:pPr>
              <w:tabs>
                <w:tab w:val="clear" w:pos="720"/>
              </w:tabs>
              <w:ind w:left="284" w:right="284"/>
              <w:jc w:val="left"/>
              <w:rPr>
                <w:sz w:val="20"/>
                <w:lang w:val="en-GB"/>
              </w:rPr>
            </w:pPr>
            <w:r>
              <w:rPr>
                <w:b/>
                <w:sz w:val="20"/>
                <w:lang w:val="en-GB"/>
              </w:rPr>
              <w:t>Shelters</w:t>
            </w:r>
          </w:p>
          <w:p w:rsidR="00000000" w:rsidRDefault="00000000">
            <w:pPr>
              <w:tabs>
                <w:tab w:val="clear" w:pos="720"/>
              </w:tabs>
              <w:ind w:left="284" w:right="284"/>
              <w:jc w:val="left"/>
              <w:rPr>
                <w:sz w:val="20"/>
                <w:lang w:val="en-GB"/>
              </w:rPr>
            </w:pPr>
          </w:p>
          <w:p w:rsidR="00000000" w:rsidRDefault="00000000">
            <w:pPr>
              <w:tabs>
                <w:tab w:val="clear" w:pos="720"/>
              </w:tabs>
              <w:ind w:left="284" w:right="284"/>
              <w:jc w:val="left"/>
              <w:rPr>
                <w:sz w:val="20"/>
                <w:lang w:val="en-GB"/>
              </w:rPr>
            </w:pPr>
            <w:r>
              <w:rPr>
                <w:sz w:val="20"/>
                <w:lang w:val="en-GB"/>
              </w:rPr>
              <w:t>The shelters form part of the system of emergency care for victims of domestic or sexual violence which helps to preserve their physical and mental integrity.  They are conceived as temporary refuges offering women a safe place in which they can consider their situation and decide on a new life project in peace and free from violence.  MIMDES has been working to help to transform these emergency centres into “Houses of Hope”.</w:t>
            </w:r>
          </w:p>
          <w:p w:rsidR="00000000" w:rsidRDefault="00000000">
            <w:pPr>
              <w:tabs>
                <w:tab w:val="clear" w:pos="720"/>
              </w:tabs>
              <w:ind w:left="284" w:right="284"/>
              <w:jc w:val="left"/>
              <w:rPr>
                <w:sz w:val="20"/>
                <w:lang w:val="en-GB"/>
              </w:rPr>
            </w:pPr>
          </w:p>
          <w:p w:rsidR="00000000" w:rsidRDefault="00000000">
            <w:pPr>
              <w:tabs>
                <w:tab w:val="clear" w:pos="720"/>
              </w:tabs>
              <w:ind w:left="284" w:right="284"/>
              <w:jc w:val="left"/>
              <w:rPr>
                <w:sz w:val="20"/>
                <w:lang w:val="en-GB"/>
              </w:rPr>
            </w:pPr>
            <w:r>
              <w:rPr>
                <w:b/>
                <w:sz w:val="20"/>
                <w:lang w:val="en-GB"/>
              </w:rPr>
              <w:t>Scope</w:t>
            </w:r>
          </w:p>
          <w:p w:rsidR="00000000" w:rsidRDefault="00000000">
            <w:pPr>
              <w:numPr>
                <w:ilvl w:val="0"/>
                <w:numId w:val="157"/>
              </w:numPr>
              <w:tabs>
                <w:tab w:val="clear" w:pos="720"/>
              </w:tabs>
              <w:spacing w:before="120"/>
              <w:ind w:right="284"/>
              <w:jc w:val="left"/>
              <w:rPr>
                <w:sz w:val="20"/>
                <w:lang w:val="en-GB"/>
              </w:rPr>
            </w:pPr>
            <w:r>
              <w:rPr>
                <w:sz w:val="20"/>
                <w:lang w:val="en-GB"/>
              </w:rPr>
              <w:t>Provision of comprehensive multidisciplinary care and services (legal, psychological, work training)</w:t>
            </w:r>
          </w:p>
          <w:p w:rsidR="00000000" w:rsidRDefault="00000000">
            <w:pPr>
              <w:numPr>
                <w:ilvl w:val="0"/>
                <w:numId w:val="157"/>
              </w:numPr>
              <w:tabs>
                <w:tab w:val="clear" w:pos="720"/>
              </w:tabs>
              <w:spacing w:before="120" w:after="240"/>
              <w:ind w:right="284"/>
              <w:jc w:val="left"/>
              <w:rPr>
                <w:sz w:val="20"/>
                <w:lang w:val="en-GB"/>
              </w:rPr>
            </w:pPr>
            <w:r>
              <w:rPr>
                <w:sz w:val="20"/>
                <w:lang w:val="en-GB"/>
              </w:rPr>
              <w:t>Provision of temporary refuge for mothers and children</w:t>
            </w:r>
          </w:p>
        </w:tc>
      </w:tr>
    </w:tbl>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153.</w:t>
      </w:r>
      <w:r>
        <w:rPr>
          <w:sz w:val="24"/>
          <w:lang w:val="en-GB"/>
        </w:rPr>
        <w:tab/>
        <w:t>There are several services for the prevention of domestic violence and maltreatment of children and for the care of victims, such as the children’s ombudsmen and the Health Ministry’s units for maltreated children (MAMIs) installed in 21 of the country’s hospitals.</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154.</w:t>
      </w:r>
      <w:r>
        <w:rPr>
          <w:sz w:val="24"/>
          <w:lang w:val="en-GB"/>
        </w:rPr>
        <w:tab/>
        <w:t>The statistics show that 41 per cent of women who were in a relationship at some time have been pushed, beaten or otherwise physically assaulted by their husband or partner, 83 per cent of them occasionally and a significant 16 per cent frequently (ENDES-2000, INEI).</w:t>
      </w:r>
    </w:p>
    <w:p w:rsidR="00000000" w:rsidRDefault="00000000">
      <w:pPr>
        <w:tabs>
          <w:tab w:val="clear" w:pos="720"/>
        </w:tabs>
        <w:jc w:val="left"/>
        <w:rPr>
          <w:sz w:val="24"/>
          <w:lang w:val="en-GB"/>
        </w:rPr>
      </w:pPr>
      <w:r>
        <w:rPr>
          <w:sz w:val="24"/>
          <w:lang w:val="en-GB"/>
        </w:rPr>
        <w:t xml:space="preserve">155. </w:t>
      </w:r>
      <w:r>
        <w:rPr>
          <w:sz w:val="24"/>
          <w:lang w:val="en-GB"/>
        </w:rPr>
        <w:tab/>
        <w:t>The National Police in the Seventh Region has established in every police station in Metropolitan Lima a unit to deal with family cases in an effort to tackle the problem of domestic violence and maltreatment of women and children.</w:t>
      </w:r>
      <w:r>
        <w:rPr>
          <w:rStyle w:val="FootnoteReference"/>
          <w:b/>
          <w:sz w:val="24"/>
          <w:lang w:val="en-GB"/>
        </w:rPr>
        <w:footnoteReference w:customMarkFollows="1" w:id="66"/>
        <w:t>66</w:t>
      </w:r>
    </w:p>
    <w:p w:rsidR="00000000" w:rsidRDefault="00000000">
      <w:pPr>
        <w:tabs>
          <w:tab w:val="clear" w:pos="720"/>
        </w:tabs>
        <w:jc w:val="left"/>
        <w:rPr>
          <w:sz w:val="24"/>
          <w:lang w:val="en-GB"/>
        </w:rPr>
      </w:pPr>
    </w:p>
    <w:p w:rsidR="00000000" w:rsidRDefault="00000000">
      <w:pPr>
        <w:tabs>
          <w:tab w:val="clear" w:pos="720"/>
        </w:tabs>
        <w:ind w:firstLine="567"/>
        <w:jc w:val="left"/>
        <w:rPr>
          <w:sz w:val="24"/>
          <w:lang w:val="en-GB"/>
        </w:rPr>
      </w:pPr>
      <w:r>
        <w:rPr>
          <w:b/>
          <w:sz w:val="24"/>
          <w:lang w:val="en-GB"/>
        </w:rPr>
        <w:t>Disabled children</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156.</w:t>
      </w:r>
      <w:r>
        <w:rPr>
          <w:sz w:val="24"/>
          <w:lang w:val="en-GB"/>
        </w:rPr>
        <w:tab/>
        <w:t>Peru has a little under 700,000 children suffering from some kind of disability.</w:t>
      </w:r>
      <w:r>
        <w:rPr>
          <w:rStyle w:val="FootnoteReference"/>
          <w:b/>
          <w:sz w:val="24"/>
          <w:lang w:val="en-GB"/>
        </w:rPr>
        <w:footnoteReference w:customMarkFollows="1" w:id="67"/>
        <w:t>67</w:t>
      </w:r>
      <w:r>
        <w:rPr>
          <w:sz w:val="24"/>
          <w:lang w:val="en-GB"/>
        </w:rPr>
        <w:t xml:space="preserve">  There were 30,834 persons enrolled in special education schools in 2000, not all of them aged under 18, and 3,639 special education teachers working in the school modality and 169 in the non-school modality.</w:t>
      </w:r>
      <w:r>
        <w:rPr>
          <w:rStyle w:val="FootnoteReference"/>
          <w:b/>
          <w:sz w:val="24"/>
          <w:lang w:val="en-GB"/>
        </w:rPr>
        <w:footnoteReference w:customMarkFollows="1" w:id="68"/>
        <w:t>68</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157.</w:t>
      </w:r>
      <w:r>
        <w:rPr>
          <w:sz w:val="24"/>
          <w:lang w:val="en-GB"/>
        </w:rPr>
        <w:tab/>
        <w:t>In urban areas children with severe disability are catered for in special education programmes in the departmental chief towns, in which the enrolment is less than 2,000.</w:t>
      </w:r>
      <w:r>
        <w:rPr>
          <w:rStyle w:val="FootnoteReference"/>
          <w:b/>
          <w:sz w:val="24"/>
          <w:lang w:val="en-GB"/>
        </w:rPr>
        <w:footnoteReference w:customMarkFollows="1" w:id="69"/>
        <w:t>69</w:t>
      </w:r>
      <w:r>
        <w:rPr>
          <w:sz w:val="24"/>
          <w:lang w:val="en-GB"/>
        </w:rPr>
        <w:t xml:space="preserve">  There are no such programmes in rural areas.</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158.</w:t>
      </w:r>
      <w:r>
        <w:rPr>
          <w:sz w:val="24"/>
          <w:lang w:val="en-GB"/>
        </w:rPr>
        <w:tab/>
        <w:t xml:space="preserve"> Significant progress has been made within the existing legal framework in spelling out the rights of disabled children.  There is a General Act on the protection of disabled persons, which stresses inter alia the importance of removing architectural and urban-design barriers which impede the free movement of disabled persons.</w:t>
      </w:r>
    </w:p>
    <w:p w:rsidR="00000000" w:rsidRDefault="00000000">
      <w:pPr>
        <w:tabs>
          <w:tab w:val="clear" w:pos="720"/>
        </w:tabs>
        <w:jc w:val="left"/>
        <w:rPr>
          <w:sz w:val="24"/>
          <w:lang w:val="en-GB"/>
        </w:rPr>
      </w:pPr>
    </w:p>
    <w:p w:rsidR="00000000" w:rsidRDefault="00000000">
      <w:pPr>
        <w:tabs>
          <w:tab w:val="clear" w:pos="720"/>
        </w:tabs>
        <w:jc w:val="left"/>
        <w:rPr>
          <w:b/>
          <w:sz w:val="24"/>
          <w:lang w:val="en-GB"/>
        </w:rPr>
      </w:pPr>
      <w:r>
        <w:rPr>
          <w:sz w:val="24"/>
          <w:lang w:val="en-GB"/>
        </w:rPr>
        <w:t>159.</w:t>
      </w:r>
      <w:r>
        <w:rPr>
          <w:sz w:val="24"/>
          <w:lang w:val="en-GB"/>
        </w:rPr>
        <w:tab/>
        <w:t>In addition, the National Council for the Integration of Disabled Persons(CONADIS) was set up under MIMDES to take over the intersectoral coordination of measures to help disabled persons throughout their lives.  The programmes for children in this sector have very limited coverage.  It is calculated that during the period under consideration only 11,150 children (15 per cent of this population) benefited under the MIMDES programmes.</w:t>
      </w:r>
      <w:r>
        <w:rPr>
          <w:rStyle w:val="FootnoteReference"/>
          <w:b/>
          <w:sz w:val="24"/>
          <w:lang w:val="en-GB"/>
        </w:rPr>
        <w:footnoteReference w:customMarkFollows="1" w:id="70"/>
        <w:t>70</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422"/>
      </w:tblGrid>
      <w:tr w:rsidR="00000000">
        <w:tblPrEx>
          <w:tblCellMar>
            <w:top w:w="0" w:type="dxa"/>
            <w:bottom w:w="0" w:type="dxa"/>
          </w:tblCellMar>
        </w:tblPrEx>
        <w:trPr>
          <w:jc w:val="center"/>
        </w:trPr>
        <w:tc>
          <w:tcPr>
            <w:tcW w:w="8522" w:type="dxa"/>
          </w:tcPr>
          <w:p w:rsidR="00000000" w:rsidRDefault="00000000">
            <w:pPr>
              <w:tabs>
                <w:tab w:val="clear" w:pos="720"/>
              </w:tabs>
              <w:spacing w:before="240"/>
              <w:ind w:left="284" w:right="284"/>
              <w:jc w:val="center"/>
              <w:rPr>
                <w:sz w:val="20"/>
                <w:lang w:val="en-GB"/>
              </w:rPr>
            </w:pPr>
            <w:r>
              <w:rPr>
                <w:b/>
                <w:sz w:val="20"/>
                <w:lang w:val="en-GB"/>
              </w:rPr>
              <w:t>National Council for the Integration of Disabled Persons (CONADIS)</w:t>
            </w:r>
          </w:p>
          <w:p w:rsidR="00000000" w:rsidRDefault="00000000">
            <w:pPr>
              <w:tabs>
                <w:tab w:val="clear" w:pos="720"/>
              </w:tabs>
              <w:ind w:left="284" w:right="284"/>
              <w:jc w:val="left"/>
              <w:rPr>
                <w:sz w:val="20"/>
                <w:lang w:val="en-GB"/>
              </w:rPr>
            </w:pPr>
          </w:p>
          <w:p w:rsidR="00000000" w:rsidRDefault="00000000">
            <w:pPr>
              <w:tabs>
                <w:tab w:val="clear" w:pos="720"/>
              </w:tabs>
              <w:ind w:left="284" w:right="284"/>
              <w:jc w:val="left"/>
              <w:rPr>
                <w:sz w:val="20"/>
                <w:lang w:val="en-GB"/>
              </w:rPr>
            </w:pPr>
            <w:r>
              <w:rPr>
                <w:sz w:val="20"/>
                <w:lang w:val="en-GB"/>
              </w:rPr>
              <w:t>CONADIS formulated and is implementing a multisectoral national plan for the sustainable human development of disabled persons, with emphasis on members of extremely poor groups.</w:t>
            </w:r>
          </w:p>
          <w:p w:rsidR="00000000" w:rsidRDefault="00000000">
            <w:pPr>
              <w:tabs>
                <w:tab w:val="clear" w:pos="720"/>
              </w:tabs>
              <w:ind w:left="284" w:right="284"/>
              <w:jc w:val="left"/>
              <w:rPr>
                <w:sz w:val="20"/>
                <w:lang w:val="en-GB"/>
              </w:rPr>
            </w:pPr>
          </w:p>
          <w:p w:rsidR="00000000" w:rsidRDefault="00000000">
            <w:pPr>
              <w:tabs>
                <w:tab w:val="clear" w:pos="720"/>
              </w:tabs>
              <w:ind w:left="284" w:right="284"/>
              <w:jc w:val="left"/>
              <w:rPr>
                <w:sz w:val="20"/>
                <w:lang w:val="en-GB"/>
              </w:rPr>
            </w:pPr>
            <w:r>
              <w:rPr>
                <w:sz w:val="20"/>
                <w:lang w:val="en-GB"/>
              </w:rPr>
              <w:t>The Council has registered 69 associations, organizations and unions of and for disabled persons.</w:t>
            </w:r>
          </w:p>
          <w:p w:rsidR="00000000" w:rsidRDefault="00000000">
            <w:pPr>
              <w:tabs>
                <w:tab w:val="clear" w:pos="720"/>
              </w:tabs>
              <w:ind w:left="284" w:right="284"/>
              <w:jc w:val="left"/>
              <w:rPr>
                <w:sz w:val="20"/>
                <w:lang w:val="en-GB"/>
              </w:rPr>
            </w:pPr>
          </w:p>
          <w:p w:rsidR="00000000" w:rsidRDefault="00000000">
            <w:pPr>
              <w:tabs>
                <w:tab w:val="clear" w:pos="720"/>
              </w:tabs>
              <w:spacing w:after="240"/>
              <w:ind w:left="284" w:right="284"/>
              <w:jc w:val="left"/>
              <w:rPr>
                <w:sz w:val="20"/>
                <w:lang w:val="en-GB"/>
              </w:rPr>
            </w:pPr>
            <w:r>
              <w:rPr>
                <w:sz w:val="20"/>
                <w:lang w:val="en-GB"/>
              </w:rPr>
              <w:t>One encouraging development is that special efforts are being made to persuade people to adopt disabled children; as a result, such adoptions accounted for 30 per cent of all adoptions in the past year,</w:t>
            </w:r>
            <w:r>
              <w:rPr>
                <w:rStyle w:val="FootnoteReference"/>
                <w:b/>
                <w:sz w:val="20"/>
                <w:lang w:val="en-GB"/>
              </w:rPr>
              <w:footnoteReference w:customMarkFollows="1" w:id="71"/>
              <w:t>71</w:t>
            </w:r>
            <w:r>
              <w:rPr>
                <w:sz w:val="20"/>
                <w:lang w:val="en-GB"/>
              </w:rPr>
              <w:t xml:space="preserve"> indicating positive discrimination with a view to placement of disabled children in a family.</w:t>
            </w:r>
          </w:p>
        </w:tc>
      </w:tr>
    </w:tbl>
    <w:p w:rsidR="00000000" w:rsidRDefault="00000000">
      <w:pPr>
        <w:tabs>
          <w:tab w:val="clear" w:pos="720"/>
        </w:tabs>
        <w:jc w:val="left"/>
        <w:rPr>
          <w:sz w:val="24"/>
          <w:lang w:val="en-GB"/>
        </w:rPr>
      </w:pPr>
    </w:p>
    <w:p w:rsidR="00000000" w:rsidRDefault="00000000">
      <w:pPr>
        <w:tabs>
          <w:tab w:val="clear" w:pos="720"/>
        </w:tabs>
        <w:jc w:val="left"/>
        <w:rPr>
          <w:sz w:val="24"/>
          <w:lang w:val="en-GB"/>
        </w:rPr>
      </w:pPr>
    </w:p>
    <w:p w:rsidR="00000000" w:rsidRDefault="00000000">
      <w:pPr>
        <w:keepNext/>
        <w:tabs>
          <w:tab w:val="clear" w:pos="720"/>
        </w:tabs>
        <w:ind w:firstLine="567"/>
        <w:jc w:val="left"/>
        <w:rPr>
          <w:sz w:val="24"/>
          <w:lang w:val="en-GB"/>
        </w:rPr>
      </w:pPr>
      <w:r>
        <w:rPr>
          <w:b/>
          <w:sz w:val="24"/>
          <w:lang w:val="en-GB"/>
        </w:rPr>
        <w:t>Working children</w:t>
      </w:r>
    </w:p>
    <w:p w:rsidR="00000000" w:rsidRDefault="00000000">
      <w:pPr>
        <w:keepNext/>
        <w:tabs>
          <w:tab w:val="clear" w:pos="720"/>
        </w:tabs>
        <w:jc w:val="left"/>
        <w:rPr>
          <w:sz w:val="28"/>
          <w:lang w:val="en-GB"/>
        </w:rPr>
      </w:pPr>
    </w:p>
    <w:p w:rsidR="00000000" w:rsidRDefault="00000000">
      <w:pPr>
        <w:keepNext/>
        <w:tabs>
          <w:tab w:val="clear" w:pos="720"/>
        </w:tabs>
        <w:jc w:val="left"/>
        <w:rPr>
          <w:sz w:val="24"/>
          <w:lang w:val="en-GB"/>
        </w:rPr>
      </w:pPr>
      <w:r>
        <w:rPr>
          <w:sz w:val="24"/>
          <w:lang w:val="en-GB"/>
        </w:rPr>
        <w:t>160.</w:t>
      </w:r>
      <w:r>
        <w:rPr>
          <w:sz w:val="24"/>
          <w:lang w:val="en-GB"/>
        </w:rPr>
        <w:tab/>
        <w:t>According to the latest INEI figures,</w:t>
      </w:r>
      <w:r>
        <w:rPr>
          <w:rStyle w:val="FootnoteReference"/>
          <w:b/>
          <w:sz w:val="24"/>
          <w:lang w:val="en-GB"/>
        </w:rPr>
        <w:footnoteReference w:customMarkFollows="1" w:id="72"/>
        <w:t>72</w:t>
      </w:r>
      <w:r>
        <w:rPr>
          <w:sz w:val="24"/>
          <w:lang w:val="en-GB"/>
        </w:rPr>
        <w:t xml:space="preserve"> Peru has 1,833,375 working children aged between six and 17 years; this means that 25 per cent of the total population in this age range is economically active.</w:t>
      </w:r>
    </w:p>
    <w:p w:rsidR="00000000" w:rsidRDefault="00000000">
      <w:pPr>
        <w:tabs>
          <w:tab w:val="clear" w:pos="720"/>
        </w:tabs>
        <w:jc w:val="left"/>
        <w:rPr>
          <w:sz w:val="28"/>
          <w:lang w:val="en-GB"/>
        </w:rPr>
      </w:pPr>
    </w:p>
    <w:p w:rsidR="00000000" w:rsidRDefault="00000000">
      <w:pPr>
        <w:tabs>
          <w:tab w:val="clear" w:pos="720"/>
        </w:tabs>
        <w:jc w:val="left"/>
        <w:rPr>
          <w:sz w:val="24"/>
          <w:lang w:val="en-GB"/>
        </w:rPr>
      </w:pPr>
      <w:r>
        <w:rPr>
          <w:sz w:val="24"/>
          <w:lang w:val="en-GB"/>
        </w:rPr>
        <w:t>161.</w:t>
      </w:r>
      <w:r>
        <w:rPr>
          <w:sz w:val="24"/>
          <w:lang w:val="en-GB"/>
        </w:rPr>
        <w:tab/>
        <w:t>It is estimated that 1,570,596 of the children making up this total are aged between six and 13, i.e. 22 per cent of total membership of that age group.  The figure for children aged between 14 and 17 is 775,779, indicating that 35.5 per cent of the total population in this age range is economically active.</w:t>
      </w:r>
    </w:p>
    <w:p w:rsidR="00000000" w:rsidRDefault="00000000">
      <w:pPr>
        <w:tabs>
          <w:tab w:val="clear" w:pos="720"/>
        </w:tabs>
        <w:jc w:val="left"/>
        <w:rPr>
          <w:sz w:val="28"/>
          <w:lang w:val="en-GB"/>
        </w:rPr>
      </w:pPr>
    </w:p>
    <w:p w:rsidR="00000000" w:rsidRDefault="00000000">
      <w:pPr>
        <w:tabs>
          <w:tab w:val="clear" w:pos="720"/>
        </w:tabs>
        <w:jc w:val="left"/>
        <w:rPr>
          <w:sz w:val="24"/>
          <w:lang w:val="en-GB"/>
        </w:rPr>
      </w:pPr>
      <w:r>
        <w:rPr>
          <w:sz w:val="24"/>
          <w:lang w:val="en-GB"/>
        </w:rPr>
        <w:t>162.</w:t>
      </w:r>
      <w:r>
        <w:rPr>
          <w:sz w:val="24"/>
          <w:lang w:val="en-GB"/>
        </w:rPr>
        <w:tab/>
        <w:t>In the case of the department of Lima, including the Constitutional Province of Callao, it is estimated that 242,214 children aged between six and 17 are working, i.e. 12.6 per cent of the total population in that age range.  The department of San Martín has 40,568 working children aged between six and 17, representing 19.8 per cent of the total population in that age range.  Cusco has a register of 147,617 working children, i.e. 44.4 per cent of all persons aged between six and 17.</w:t>
      </w:r>
    </w:p>
    <w:p w:rsidR="00000000" w:rsidRDefault="00000000">
      <w:pPr>
        <w:tabs>
          <w:tab w:val="clear" w:pos="720"/>
        </w:tabs>
        <w:jc w:val="left"/>
        <w:rPr>
          <w:sz w:val="28"/>
          <w:lang w:val="en-GB"/>
        </w:rPr>
      </w:pPr>
    </w:p>
    <w:p w:rsidR="00000000" w:rsidRDefault="00000000">
      <w:pPr>
        <w:tabs>
          <w:tab w:val="clear" w:pos="720"/>
        </w:tabs>
        <w:jc w:val="left"/>
        <w:rPr>
          <w:sz w:val="24"/>
          <w:lang w:val="en-GB"/>
        </w:rPr>
      </w:pPr>
      <w:r>
        <w:rPr>
          <w:sz w:val="24"/>
          <w:lang w:val="en-GB"/>
        </w:rPr>
        <w:t>163.</w:t>
      </w:r>
      <w:r>
        <w:rPr>
          <w:sz w:val="24"/>
          <w:lang w:val="en-GB"/>
        </w:rPr>
        <w:tab/>
        <w:t>High-risk child labour (rubbish tips, mines, quarries, cane-cutting, etc.) is increasing in step with the deterioration in the people’s living conditions; it takes various forms depending on the locality (rubbish collection and sorting in the markets and ports, itinerant vending of regional and similar products, informal river transport services, domestic work, shoe-shining, street vending, etc.).</w:t>
      </w:r>
    </w:p>
    <w:p w:rsidR="00000000" w:rsidRDefault="00000000">
      <w:pPr>
        <w:tabs>
          <w:tab w:val="clear" w:pos="720"/>
        </w:tabs>
        <w:jc w:val="left"/>
        <w:rPr>
          <w:sz w:val="28"/>
          <w:lang w:val="en-GB"/>
        </w:rPr>
      </w:pPr>
    </w:p>
    <w:p w:rsidR="00000000" w:rsidRDefault="00000000">
      <w:pPr>
        <w:tabs>
          <w:tab w:val="clear" w:pos="720"/>
        </w:tabs>
        <w:jc w:val="left"/>
        <w:rPr>
          <w:sz w:val="24"/>
          <w:lang w:val="en-GB"/>
        </w:rPr>
      </w:pPr>
      <w:r>
        <w:rPr>
          <w:sz w:val="24"/>
          <w:lang w:val="en-GB"/>
        </w:rPr>
        <w:t>164.</w:t>
      </w:r>
      <w:r>
        <w:rPr>
          <w:sz w:val="24"/>
          <w:lang w:val="en-GB"/>
        </w:rPr>
        <w:tab/>
        <w:t>Peru has signed ILO Convention 182 on the elimination of the worst forms of child labour and the exploitation of children.  It has adopted Act No. 27571, which amends the minimum ages for admission to work in certain activities (article 51 of the Children’s and Adolescents’ Code).  However, the Children’s and Adolescents’ Code, promulgated in August 2000 and recently revised, is still vague with respect to the minimum age of child labour and conceals this issue in provisions relating to situations of economic crisis.  The need in this context is to promote effective measures to contribute to the gradual elimination of child labour, with the emphasis on hazardous work.</w:t>
      </w:r>
    </w:p>
    <w:p w:rsidR="00000000" w:rsidRDefault="00000000">
      <w:pPr>
        <w:tabs>
          <w:tab w:val="clear" w:pos="720"/>
        </w:tabs>
        <w:jc w:val="left"/>
        <w:rPr>
          <w:sz w:val="28"/>
          <w:lang w:val="en-GB"/>
        </w:rPr>
      </w:pPr>
    </w:p>
    <w:p w:rsidR="00000000" w:rsidRDefault="00000000">
      <w:pPr>
        <w:tabs>
          <w:tab w:val="clear" w:pos="720"/>
        </w:tabs>
        <w:jc w:val="left"/>
        <w:rPr>
          <w:sz w:val="24"/>
          <w:lang w:val="en-GB"/>
        </w:rPr>
      </w:pPr>
      <w:r>
        <w:rPr>
          <w:sz w:val="24"/>
          <w:lang w:val="en-GB"/>
        </w:rPr>
        <w:t>165.</w:t>
      </w:r>
      <w:r>
        <w:rPr>
          <w:sz w:val="24"/>
          <w:lang w:val="en-GB"/>
        </w:rPr>
        <w:tab/>
        <w:t>The current Code is vague on the question of child labour in the following respects:</w:t>
      </w:r>
    </w:p>
    <w:p w:rsidR="00000000" w:rsidRDefault="00000000">
      <w:pPr>
        <w:tabs>
          <w:tab w:val="clear" w:pos="720"/>
        </w:tabs>
        <w:jc w:val="left"/>
        <w:rPr>
          <w:sz w:val="24"/>
          <w:lang w:val="en-GB"/>
        </w:rPr>
      </w:pPr>
    </w:p>
    <w:p w:rsidR="00000000" w:rsidRDefault="00000000">
      <w:pPr>
        <w:keepNext/>
        <w:numPr>
          <w:ilvl w:val="0"/>
          <w:numId w:val="158"/>
        </w:numPr>
        <w:tabs>
          <w:tab w:val="clear" w:pos="720"/>
        </w:tabs>
        <w:spacing w:after="240"/>
        <w:jc w:val="left"/>
        <w:rPr>
          <w:sz w:val="24"/>
          <w:lang w:val="en-GB"/>
        </w:rPr>
      </w:pPr>
      <w:r>
        <w:rPr>
          <w:sz w:val="24"/>
          <w:lang w:val="en-GB"/>
        </w:rPr>
        <w:t>It does not refer specifically to the ages of child workers or list the programmes for the gradual elimination of work by children below the minimum ages;</w:t>
      </w:r>
    </w:p>
    <w:p w:rsidR="00000000" w:rsidRDefault="00000000">
      <w:pPr>
        <w:keepNext/>
        <w:numPr>
          <w:ilvl w:val="0"/>
          <w:numId w:val="158"/>
        </w:numPr>
        <w:tabs>
          <w:tab w:val="clear" w:pos="720"/>
        </w:tabs>
        <w:spacing w:after="240"/>
        <w:jc w:val="left"/>
        <w:rPr>
          <w:sz w:val="24"/>
          <w:lang w:val="en-GB"/>
        </w:rPr>
      </w:pPr>
      <w:r>
        <w:rPr>
          <w:sz w:val="24"/>
          <w:lang w:val="en-GB"/>
        </w:rPr>
        <w:t>Similarly, the Code should stipulate that child labour is permissible only when the work in question is not harmful to children’s health or safety and does not affect their education and that the minimum age for performing any kind of work deemed dangerous shall be 18 years;</w:t>
      </w:r>
    </w:p>
    <w:p w:rsidR="00000000" w:rsidRDefault="00000000">
      <w:pPr>
        <w:keepNext/>
        <w:numPr>
          <w:ilvl w:val="0"/>
          <w:numId w:val="158"/>
        </w:numPr>
        <w:tabs>
          <w:tab w:val="clear" w:pos="720"/>
        </w:tabs>
        <w:spacing w:after="240"/>
        <w:jc w:val="left"/>
        <w:rPr>
          <w:sz w:val="24"/>
          <w:lang w:val="en-GB"/>
        </w:rPr>
      </w:pPr>
      <w:r>
        <w:rPr>
          <w:sz w:val="24"/>
          <w:lang w:val="en-GB"/>
        </w:rPr>
        <w:t>There is also a need to establish a procedure for authorizing work by children and registering child workers; it should be stipulated that authorization is required from the competent authority, together with the express consent of the child’s parents or guardian or, failing that, of a children’s ombudsman or a justice of the peace;</w:t>
      </w:r>
    </w:p>
    <w:p w:rsidR="00000000" w:rsidRDefault="00000000">
      <w:pPr>
        <w:keepNext/>
        <w:numPr>
          <w:ilvl w:val="0"/>
          <w:numId w:val="158"/>
        </w:numPr>
        <w:tabs>
          <w:tab w:val="clear" w:pos="720"/>
        </w:tabs>
        <w:spacing w:after="240"/>
        <w:jc w:val="left"/>
        <w:rPr>
          <w:sz w:val="24"/>
          <w:lang w:val="en-GB"/>
        </w:rPr>
      </w:pPr>
      <w:r>
        <w:rPr>
          <w:sz w:val="24"/>
          <w:lang w:val="en-GB"/>
        </w:rPr>
        <w:t>The provisions should apply to non-industrial farm work performed for an employer or in a dependent relationship, to work in industry and commerce, and to work in industrial fisheries.</w:t>
      </w:r>
    </w:p>
    <w:p w:rsidR="00000000" w:rsidRDefault="00000000">
      <w:pPr>
        <w:tabs>
          <w:tab w:val="clear" w:pos="720"/>
        </w:tabs>
        <w:jc w:val="left"/>
        <w:rPr>
          <w:sz w:val="24"/>
          <w:lang w:val="en-GB"/>
        </w:rPr>
      </w:pPr>
      <w:r>
        <w:rPr>
          <w:sz w:val="24"/>
          <w:lang w:val="en-GB"/>
        </w:rPr>
        <w:t>166.</w:t>
      </w:r>
      <w:r>
        <w:rPr>
          <w:sz w:val="24"/>
          <w:lang w:val="en-GB"/>
        </w:rPr>
        <w:tab/>
        <w:t>There are various figures on the number of child workers; the following information is available on employment in brickworks:</w:t>
      </w:r>
      <w:r>
        <w:rPr>
          <w:rStyle w:val="FootnoteReference"/>
          <w:b/>
          <w:sz w:val="24"/>
          <w:lang w:val="en-GB"/>
        </w:rPr>
        <w:footnoteReference w:customMarkFollows="1" w:id="73"/>
        <w:t>73</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47"/>
        <w:gridCol w:w="3820"/>
        <w:gridCol w:w="886"/>
        <w:gridCol w:w="916"/>
        <w:gridCol w:w="40"/>
        <w:gridCol w:w="2613"/>
      </w:tblGrid>
      <w:tr w:rsidR="00000000">
        <w:tblPrEx>
          <w:tblCellMar>
            <w:top w:w="0" w:type="dxa"/>
            <w:bottom w:w="0" w:type="dxa"/>
          </w:tblCellMar>
        </w:tblPrEx>
        <w:trPr>
          <w:jc w:val="center"/>
        </w:trPr>
        <w:tc>
          <w:tcPr>
            <w:tcW w:w="1147" w:type="dxa"/>
          </w:tcPr>
          <w:p w:rsidR="00000000" w:rsidRDefault="00000000">
            <w:pPr>
              <w:spacing w:before="120" w:after="120"/>
              <w:ind w:left="113" w:right="113"/>
              <w:rPr>
                <w:bCs/>
                <w:i/>
                <w:iCs/>
                <w:sz w:val="20"/>
                <w:lang w:val="es-ES"/>
              </w:rPr>
            </w:pPr>
            <w:r>
              <w:rPr>
                <w:bCs/>
                <w:i/>
                <w:iCs/>
                <w:sz w:val="20"/>
                <w:lang w:val="en-GB"/>
              </w:rPr>
              <w:t>Locations</w:t>
            </w:r>
          </w:p>
        </w:tc>
        <w:tc>
          <w:tcPr>
            <w:tcW w:w="8275" w:type="dxa"/>
            <w:gridSpan w:val="5"/>
          </w:tcPr>
          <w:p w:rsidR="00000000" w:rsidRDefault="00000000">
            <w:pPr>
              <w:spacing w:before="120" w:after="120"/>
              <w:ind w:left="113" w:right="113"/>
              <w:rPr>
                <w:bCs/>
                <w:sz w:val="20"/>
                <w:lang w:val="es-ES"/>
              </w:rPr>
            </w:pPr>
            <w:r>
              <w:rPr>
                <w:bCs/>
                <w:sz w:val="20"/>
                <w:lang w:val="en-GB"/>
              </w:rPr>
              <w:t>Huachipa, Lima and other places.</w:t>
            </w:r>
          </w:p>
        </w:tc>
      </w:tr>
      <w:tr w:rsidR="00000000">
        <w:tblPrEx>
          <w:tblCellMar>
            <w:top w:w="0" w:type="dxa"/>
            <w:bottom w:w="0" w:type="dxa"/>
          </w:tblCellMar>
        </w:tblPrEx>
        <w:trPr>
          <w:jc w:val="center"/>
        </w:trPr>
        <w:tc>
          <w:tcPr>
            <w:tcW w:w="1147" w:type="dxa"/>
          </w:tcPr>
          <w:p w:rsidR="00000000" w:rsidRDefault="00000000">
            <w:pPr>
              <w:spacing w:before="120" w:after="120"/>
              <w:ind w:left="113" w:right="113"/>
              <w:rPr>
                <w:bCs/>
                <w:i/>
                <w:iCs/>
                <w:sz w:val="20"/>
                <w:lang w:val="es-ES"/>
              </w:rPr>
            </w:pPr>
            <w:r>
              <w:rPr>
                <w:bCs/>
                <w:i/>
                <w:iCs/>
                <w:sz w:val="20"/>
                <w:lang w:val="en-GB"/>
              </w:rPr>
              <w:t>Number</w:t>
            </w:r>
          </w:p>
        </w:tc>
        <w:tc>
          <w:tcPr>
            <w:tcW w:w="4706" w:type="dxa"/>
            <w:gridSpan w:val="2"/>
          </w:tcPr>
          <w:p w:rsidR="00000000" w:rsidRDefault="00000000">
            <w:pPr>
              <w:spacing w:before="120" w:after="120"/>
              <w:ind w:left="113" w:right="113"/>
              <w:rPr>
                <w:bCs/>
                <w:sz w:val="20"/>
                <w:lang w:val="es-ES"/>
              </w:rPr>
            </w:pPr>
            <w:r>
              <w:rPr>
                <w:bCs/>
                <w:sz w:val="20"/>
                <w:lang w:val="en-GB"/>
              </w:rPr>
              <w:t>About 1,000</w:t>
            </w:r>
          </w:p>
        </w:tc>
        <w:tc>
          <w:tcPr>
            <w:tcW w:w="916" w:type="dxa"/>
          </w:tcPr>
          <w:p w:rsidR="00000000" w:rsidRDefault="00000000">
            <w:pPr>
              <w:spacing w:before="120" w:after="120"/>
              <w:ind w:left="113" w:right="113"/>
              <w:rPr>
                <w:bCs/>
                <w:i/>
                <w:iCs/>
                <w:snapToGrid w:val="0"/>
                <w:sz w:val="20"/>
                <w:lang w:val="es-ES" w:eastAsia="en-US"/>
              </w:rPr>
            </w:pPr>
            <w:r>
              <w:rPr>
                <w:bCs/>
                <w:i/>
                <w:iCs/>
                <w:sz w:val="20"/>
                <w:lang w:val="en-GB"/>
              </w:rPr>
              <w:t>Age</w:t>
            </w:r>
          </w:p>
        </w:tc>
        <w:tc>
          <w:tcPr>
            <w:tcW w:w="2653" w:type="dxa"/>
            <w:gridSpan w:val="2"/>
          </w:tcPr>
          <w:p w:rsidR="00000000" w:rsidRDefault="00000000">
            <w:pPr>
              <w:spacing w:before="120" w:after="120"/>
              <w:ind w:left="113" w:right="113"/>
              <w:rPr>
                <w:bCs/>
                <w:snapToGrid w:val="0"/>
                <w:sz w:val="20"/>
                <w:lang w:val="es-ES" w:eastAsia="en-US"/>
              </w:rPr>
            </w:pPr>
            <w:r>
              <w:rPr>
                <w:bCs/>
                <w:sz w:val="20"/>
                <w:lang w:val="en-GB"/>
              </w:rPr>
              <w:t>5-17 years</w:t>
            </w:r>
          </w:p>
        </w:tc>
      </w:tr>
      <w:tr w:rsidR="00000000">
        <w:tblPrEx>
          <w:tblCellMar>
            <w:top w:w="0" w:type="dxa"/>
            <w:bottom w:w="0" w:type="dxa"/>
          </w:tblCellMar>
        </w:tblPrEx>
        <w:trPr>
          <w:jc w:val="center"/>
        </w:trPr>
        <w:tc>
          <w:tcPr>
            <w:tcW w:w="1147" w:type="dxa"/>
          </w:tcPr>
          <w:p w:rsidR="00000000" w:rsidRDefault="00000000">
            <w:pPr>
              <w:spacing w:before="120" w:after="120"/>
              <w:ind w:left="113" w:right="113"/>
              <w:rPr>
                <w:bCs/>
                <w:i/>
                <w:iCs/>
                <w:sz w:val="20"/>
                <w:lang w:val="es-ES"/>
              </w:rPr>
            </w:pPr>
            <w:r>
              <w:rPr>
                <w:bCs/>
                <w:i/>
                <w:iCs/>
                <w:sz w:val="20"/>
                <w:lang w:val="en-GB"/>
              </w:rPr>
              <w:t>Sex</w:t>
            </w:r>
          </w:p>
        </w:tc>
        <w:tc>
          <w:tcPr>
            <w:tcW w:w="8275" w:type="dxa"/>
            <w:gridSpan w:val="5"/>
          </w:tcPr>
          <w:p w:rsidR="00000000" w:rsidRDefault="00000000">
            <w:pPr>
              <w:spacing w:before="120" w:after="120"/>
              <w:ind w:left="113" w:right="113"/>
              <w:rPr>
                <w:bCs/>
                <w:sz w:val="20"/>
                <w:lang w:val="es-ES"/>
              </w:rPr>
            </w:pPr>
            <w:r>
              <w:rPr>
                <w:bCs/>
                <w:sz w:val="20"/>
                <w:lang w:val="en-GB"/>
              </w:rPr>
              <w:t>80 per cent male</w:t>
            </w:r>
          </w:p>
        </w:tc>
      </w:tr>
      <w:tr w:rsidR="00000000">
        <w:tblPrEx>
          <w:tblCellMar>
            <w:top w:w="0" w:type="dxa"/>
            <w:bottom w:w="0" w:type="dxa"/>
          </w:tblCellMar>
        </w:tblPrEx>
        <w:trPr>
          <w:trHeight w:val="200"/>
          <w:jc w:val="center"/>
        </w:trPr>
        <w:tc>
          <w:tcPr>
            <w:tcW w:w="1147" w:type="dxa"/>
          </w:tcPr>
          <w:p w:rsidR="00000000" w:rsidRDefault="00000000">
            <w:pPr>
              <w:spacing w:before="120" w:after="120"/>
              <w:ind w:left="113" w:right="113"/>
              <w:rPr>
                <w:bCs/>
                <w:i/>
                <w:iCs/>
                <w:sz w:val="20"/>
                <w:lang w:val="es-ES"/>
              </w:rPr>
            </w:pPr>
            <w:r>
              <w:rPr>
                <w:bCs/>
                <w:i/>
                <w:iCs/>
                <w:sz w:val="20"/>
                <w:lang w:val="en-GB"/>
              </w:rPr>
              <w:t>Wages</w:t>
            </w:r>
          </w:p>
        </w:tc>
        <w:tc>
          <w:tcPr>
            <w:tcW w:w="3820" w:type="dxa"/>
          </w:tcPr>
          <w:p w:rsidR="00000000" w:rsidRDefault="00000000">
            <w:pPr>
              <w:spacing w:before="120" w:after="120"/>
              <w:ind w:left="113" w:right="113"/>
              <w:rPr>
                <w:bCs/>
                <w:sz w:val="20"/>
                <w:lang w:val="es-ES"/>
              </w:rPr>
            </w:pPr>
            <w:r>
              <w:rPr>
                <w:bCs/>
                <w:sz w:val="20"/>
                <w:lang w:val="en-GB"/>
              </w:rPr>
              <w:t>Unpaid</w:t>
            </w:r>
          </w:p>
        </w:tc>
        <w:tc>
          <w:tcPr>
            <w:tcW w:w="1842" w:type="dxa"/>
            <w:gridSpan w:val="3"/>
          </w:tcPr>
          <w:p w:rsidR="00000000" w:rsidRDefault="00000000">
            <w:pPr>
              <w:spacing w:before="120" w:after="120"/>
              <w:ind w:left="113" w:right="113"/>
              <w:rPr>
                <w:bCs/>
                <w:i/>
                <w:iCs/>
                <w:sz w:val="20"/>
                <w:lang w:val="es-ES"/>
              </w:rPr>
            </w:pPr>
            <w:r>
              <w:rPr>
                <w:bCs/>
                <w:i/>
                <w:iCs/>
                <w:sz w:val="20"/>
                <w:lang w:val="en-GB"/>
              </w:rPr>
              <w:t>Other remuneration</w:t>
            </w:r>
          </w:p>
        </w:tc>
        <w:tc>
          <w:tcPr>
            <w:tcW w:w="2613" w:type="dxa"/>
          </w:tcPr>
          <w:p w:rsidR="00000000" w:rsidRDefault="00000000">
            <w:pPr>
              <w:spacing w:before="120" w:after="120"/>
              <w:ind w:left="113" w:right="113"/>
              <w:rPr>
                <w:bCs/>
                <w:sz w:val="20"/>
                <w:lang w:val="es-ES"/>
              </w:rPr>
            </w:pPr>
            <w:r>
              <w:rPr>
                <w:bCs/>
                <w:sz w:val="20"/>
                <w:lang w:val="en-GB"/>
              </w:rPr>
              <w:t>Food and shelter</w:t>
            </w:r>
          </w:p>
        </w:tc>
      </w:tr>
      <w:tr w:rsidR="00000000">
        <w:tblPrEx>
          <w:tblCellMar>
            <w:top w:w="0" w:type="dxa"/>
            <w:bottom w:w="0" w:type="dxa"/>
          </w:tblCellMar>
        </w:tblPrEx>
        <w:trPr>
          <w:jc w:val="center"/>
        </w:trPr>
        <w:tc>
          <w:tcPr>
            <w:tcW w:w="1147" w:type="dxa"/>
          </w:tcPr>
          <w:p w:rsidR="00000000" w:rsidRDefault="00000000">
            <w:pPr>
              <w:spacing w:before="120" w:after="120"/>
              <w:ind w:left="113" w:right="113"/>
              <w:rPr>
                <w:bCs/>
                <w:i/>
                <w:iCs/>
                <w:sz w:val="20"/>
                <w:lang w:val="es-ES"/>
              </w:rPr>
            </w:pPr>
            <w:r>
              <w:rPr>
                <w:bCs/>
                <w:i/>
                <w:iCs/>
                <w:sz w:val="20"/>
                <w:lang w:val="en-GB"/>
              </w:rPr>
              <w:t>Hours</w:t>
            </w:r>
          </w:p>
        </w:tc>
        <w:tc>
          <w:tcPr>
            <w:tcW w:w="8275" w:type="dxa"/>
            <w:gridSpan w:val="5"/>
          </w:tcPr>
          <w:p w:rsidR="00000000" w:rsidRDefault="00000000">
            <w:pPr>
              <w:spacing w:before="120" w:after="120"/>
              <w:ind w:left="113" w:right="113"/>
              <w:rPr>
                <w:bCs/>
                <w:sz w:val="20"/>
                <w:lang w:val="es-ES"/>
              </w:rPr>
            </w:pPr>
            <w:r>
              <w:rPr>
                <w:bCs/>
                <w:sz w:val="20"/>
                <w:lang w:val="en-GB"/>
              </w:rPr>
              <w:t>An average of 4-6 hours a day</w:t>
            </w:r>
          </w:p>
        </w:tc>
      </w:tr>
      <w:tr w:rsidR="00000000">
        <w:tblPrEx>
          <w:tblCellMar>
            <w:top w:w="0" w:type="dxa"/>
            <w:bottom w:w="0" w:type="dxa"/>
          </w:tblCellMar>
        </w:tblPrEx>
        <w:trPr>
          <w:jc w:val="center"/>
        </w:trPr>
        <w:tc>
          <w:tcPr>
            <w:tcW w:w="9422" w:type="dxa"/>
            <w:gridSpan w:val="6"/>
            <w:tcBorders>
              <w:bottom w:val="single" w:sz="4" w:space="0" w:color="auto"/>
            </w:tcBorders>
          </w:tcPr>
          <w:p w:rsidR="00000000" w:rsidRDefault="00000000">
            <w:pPr>
              <w:spacing w:before="200" w:after="200"/>
              <w:ind w:left="113" w:right="113"/>
              <w:rPr>
                <w:bCs/>
                <w:i/>
                <w:iCs/>
                <w:sz w:val="20"/>
                <w:lang w:val="es-ES"/>
              </w:rPr>
            </w:pPr>
            <w:r>
              <w:rPr>
                <w:bCs/>
                <w:i/>
                <w:iCs/>
                <w:sz w:val="20"/>
                <w:lang w:val="en-GB"/>
              </w:rPr>
              <w:t>Description:</w:t>
            </w:r>
          </w:p>
          <w:p w:rsidR="00000000" w:rsidRDefault="00000000">
            <w:pPr>
              <w:tabs>
                <w:tab w:val="clear" w:pos="720"/>
                <w:tab w:val="left" w:pos="708"/>
              </w:tabs>
              <w:spacing w:before="200" w:after="200"/>
              <w:ind w:left="113" w:right="113"/>
              <w:jc w:val="left"/>
              <w:rPr>
                <w:bCs/>
                <w:sz w:val="20"/>
                <w:lang w:val="en-GB"/>
              </w:rPr>
            </w:pPr>
            <w:r>
              <w:rPr>
                <w:bCs/>
                <w:sz w:val="20"/>
                <w:lang w:val="en-GB"/>
              </w:rPr>
              <w:t>The children work with their families, usually from the provinces, making bricks on piecework; they live on the land where they work (“pampas”).  They have to produce a given quantity of bricks per week in order to survive.</w:t>
            </w:r>
          </w:p>
          <w:p w:rsidR="00000000" w:rsidRDefault="00000000">
            <w:pPr>
              <w:spacing w:before="200" w:after="200"/>
              <w:ind w:left="113" w:right="113"/>
              <w:rPr>
                <w:bCs/>
                <w:sz w:val="20"/>
                <w:lang w:val="en-GB"/>
              </w:rPr>
            </w:pPr>
            <w:r>
              <w:rPr>
                <w:bCs/>
                <w:sz w:val="20"/>
                <w:lang w:val="en-GB"/>
              </w:rPr>
              <w:t>Depending on their age, the children may work in any stage of brick manufacture: processing of the clay (extraction, grinding, sifting and mixing); pouring the clay into the moulds; removal from the moulds; and carrying and stacking).  They work in bad weather and in deplorable health and safety conditions.  The work is repetitive and tedious.</w:t>
            </w:r>
          </w:p>
        </w:tc>
      </w:tr>
      <w:tr w:rsidR="00000000">
        <w:tblPrEx>
          <w:tblCellMar>
            <w:top w:w="0" w:type="dxa"/>
            <w:bottom w:w="0" w:type="dxa"/>
          </w:tblCellMar>
        </w:tblPrEx>
        <w:trPr>
          <w:jc w:val="center"/>
        </w:trPr>
        <w:tc>
          <w:tcPr>
            <w:tcW w:w="9422" w:type="dxa"/>
            <w:gridSpan w:val="6"/>
          </w:tcPr>
          <w:p w:rsidR="00000000" w:rsidRDefault="00000000">
            <w:pPr>
              <w:tabs>
                <w:tab w:val="clear" w:pos="720"/>
                <w:tab w:val="left" w:pos="708"/>
              </w:tabs>
              <w:spacing w:before="200" w:after="200"/>
              <w:ind w:left="113" w:right="113"/>
              <w:jc w:val="left"/>
              <w:rPr>
                <w:bCs/>
                <w:i/>
                <w:iCs/>
                <w:sz w:val="20"/>
                <w:lang w:val="en-GB"/>
              </w:rPr>
            </w:pPr>
            <w:r>
              <w:rPr>
                <w:bCs/>
                <w:i/>
                <w:iCs/>
                <w:sz w:val="20"/>
                <w:lang w:val="en-GB"/>
              </w:rPr>
              <w:t>Risks and consequences:</w:t>
            </w:r>
          </w:p>
          <w:p w:rsidR="00000000" w:rsidRDefault="00000000">
            <w:pPr>
              <w:tabs>
                <w:tab w:val="clear" w:pos="720"/>
                <w:tab w:val="left" w:pos="708"/>
              </w:tabs>
              <w:spacing w:before="200" w:after="200"/>
              <w:ind w:left="113" w:right="113"/>
              <w:jc w:val="left"/>
              <w:rPr>
                <w:bCs/>
                <w:sz w:val="20"/>
                <w:lang w:val="en-GB"/>
              </w:rPr>
            </w:pPr>
            <w:r>
              <w:rPr>
                <w:bCs/>
                <w:sz w:val="20"/>
                <w:lang w:val="en-GB"/>
              </w:rPr>
              <w:t>Employment in brickworks is harmful to children’s health owing to the poor health and safety conditions, which may also affect their emotional development.</w:t>
            </w:r>
          </w:p>
          <w:p w:rsidR="00000000" w:rsidRDefault="00000000">
            <w:pPr>
              <w:tabs>
                <w:tab w:val="clear" w:pos="720"/>
                <w:tab w:val="left" w:pos="708"/>
              </w:tabs>
              <w:spacing w:before="200" w:after="200"/>
              <w:ind w:left="113" w:right="113"/>
              <w:jc w:val="left"/>
              <w:rPr>
                <w:bCs/>
                <w:sz w:val="20"/>
                <w:lang w:val="en-GB"/>
              </w:rPr>
            </w:pPr>
            <w:r>
              <w:rPr>
                <w:bCs/>
                <w:sz w:val="20"/>
                <w:lang w:val="en-GB"/>
              </w:rPr>
              <w:t>Carrying excessive weights delays and distorts their physical development and exposes them to the risk of fractures and other injuries, a situation aggravated by their poor diet.</w:t>
            </w:r>
          </w:p>
          <w:p w:rsidR="00000000" w:rsidRDefault="00000000">
            <w:pPr>
              <w:tabs>
                <w:tab w:val="clear" w:pos="720"/>
                <w:tab w:val="left" w:pos="708"/>
              </w:tabs>
              <w:spacing w:before="200" w:after="200"/>
              <w:ind w:left="113" w:right="113"/>
              <w:jc w:val="left"/>
              <w:rPr>
                <w:bCs/>
                <w:sz w:val="20"/>
                <w:lang w:val="en-GB"/>
              </w:rPr>
            </w:pPr>
            <w:r>
              <w:rPr>
                <w:bCs/>
                <w:sz w:val="20"/>
                <w:lang w:val="en-GB"/>
              </w:rPr>
              <w:t>The shortage of water and the permanent contact with clay facilitate the transmission of infectious skin and bronchial disorders.</w:t>
            </w:r>
          </w:p>
          <w:p w:rsidR="00000000" w:rsidRDefault="00000000">
            <w:pPr>
              <w:spacing w:before="200" w:after="200"/>
              <w:ind w:left="113" w:right="113"/>
              <w:rPr>
                <w:bCs/>
                <w:sz w:val="20"/>
                <w:lang w:val="es-ES"/>
              </w:rPr>
            </w:pPr>
            <w:r>
              <w:rPr>
                <w:bCs/>
                <w:sz w:val="20"/>
                <w:lang w:val="en-GB"/>
              </w:rPr>
              <w:t>The work in the “pampas” is monotonous and oppressive with no element of creativity; this also has an impact on the children’s development.</w:t>
            </w:r>
          </w:p>
        </w:tc>
      </w:tr>
    </w:tbl>
    <w:p w:rsidR="00000000" w:rsidRDefault="00000000">
      <w:pPr>
        <w:tabs>
          <w:tab w:val="clear" w:pos="720"/>
        </w:tabs>
        <w:spacing w:before="200" w:after="200"/>
        <w:jc w:val="left"/>
        <w:rPr>
          <w:sz w:val="24"/>
          <w:lang w:val="es-ES"/>
        </w:rPr>
      </w:pPr>
    </w:p>
    <w:p w:rsidR="00000000" w:rsidRDefault="00000000">
      <w:pPr>
        <w:keepNext/>
        <w:tabs>
          <w:tab w:val="clear" w:pos="720"/>
        </w:tabs>
        <w:jc w:val="left"/>
        <w:rPr>
          <w:sz w:val="24"/>
          <w:lang w:val="en-GB"/>
        </w:rPr>
      </w:pPr>
      <w:r>
        <w:rPr>
          <w:sz w:val="24"/>
          <w:lang w:val="en-GB"/>
        </w:rPr>
        <w:t>167.</w:t>
      </w:r>
      <w:r>
        <w:rPr>
          <w:sz w:val="24"/>
          <w:lang w:val="en-GB"/>
        </w:rPr>
        <w:tab/>
        <w:t>The following information is available on work performed by children in mines:</w:t>
      </w:r>
      <w:r>
        <w:rPr>
          <w:rStyle w:val="FootnoteReference"/>
          <w:b/>
          <w:sz w:val="24"/>
          <w:lang w:val="en-GB"/>
        </w:rPr>
        <w:footnoteReference w:customMarkFollows="1" w:id="74"/>
        <w:t>74</w:t>
      </w:r>
    </w:p>
    <w:p w:rsidR="00000000" w:rsidRDefault="00000000">
      <w:pPr>
        <w:keepNext/>
        <w:tabs>
          <w:tab w:val="clear" w:pos="720"/>
        </w:tabs>
        <w:jc w:val="left"/>
        <w:rPr>
          <w:sz w:val="24"/>
          <w:lang w:val="en-G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427"/>
        <w:gridCol w:w="3283"/>
        <w:gridCol w:w="571"/>
        <w:gridCol w:w="160"/>
        <w:gridCol w:w="3981"/>
      </w:tblGrid>
      <w:tr w:rsidR="00000000">
        <w:tblPrEx>
          <w:tblCellMar>
            <w:top w:w="0" w:type="dxa"/>
            <w:bottom w:w="0" w:type="dxa"/>
          </w:tblCellMar>
        </w:tblPrEx>
        <w:trPr>
          <w:jc w:val="center"/>
        </w:trPr>
        <w:tc>
          <w:tcPr>
            <w:tcW w:w="1417" w:type="dxa"/>
          </w:tcPr>
          <w:p w:rsidR="00000000" w:rsidRDefault="00000000">
            <w:pPr>
              <w:keepNext/>
              <w:spacing w:before="120" w:after="120"/>
              <w:ind w:left="113" w:right="113"/>
              <w:rPr>
                <w:bCs/>
                <w:i/>
                <w:iCs/>
                <w:sz w:val="20"/>
                <w:lang w:val="es-ES"/>
              </w:rPr>
            </w:pPr>
            <w:r>
              <w:rPr>
                <w:bCs/>
                <w:i/>
                <w:iCs/>
                <w:sz w:val="20"/>
                <w:lang w:val="pt-BR"/>
              </w:rPr>
              <w:t>Locations</w:t>
            </w:r>
          </w:p>
        </w:tc>
        <w:tc>
          <w:tcPr>
            <w:tcW w:w="7939" w:type="dxa"/>
            <w:gridSpan w:val="4"/>
          </w:tcPr>
          <w:p w:rsidR="00000000" w:rsidRDefault="00000000">
            <w:pPr>
              <w:keepNext/>
              <w:spacing w:before="120" w:after="120"/>
              <w:ind w:left="113" w:right="113"/>
              <w:rPr>
                <w:bCs/>
                <w:sz w:val="20"/>
                <w:lang w:val="es-ES"/>
              </w:rPr>
            </w:pPr>
            <w:r>
              <w:rPr>
                <w:sz w:val="20"/>
                <w:lang w:val="pt-BR"/>
              </w:rPr>
              <w:t>Puno, Madre de Dios, La Libertad, Ayacucho, Arequipa and Ica</w:t>
            </w:r>
          </w:p>
        </w:tc>
      </w:tr>
      <w:tr w:rsidR="00000000">
        <w:tblPrEx>
          <w:tblCellMar>
            <w:top w:w="0" w:type="dxa"/>
            <w:bottom w:w="0" w:type="dxa"/>
          </w:tblCellMar>
        </w:tblPrEx>
        <w:trPr>
          <w:jc w:val="center"/>
        </w:trPr>
        <w:tc>
          <w:tcPr>
            <w:tcW w:w="1417" w:type="dxa"/>
          </w:tcPr>
          <w:p w:rsidR="00000000" w:rsidRDefault="00000000">
            <w:pPr>
              <w:keepNext/>
              <w:spacing w:before="120" w:after="120"/>
              <w:ind w:left="113" w:right="113"/>
              <w:rPr>
                <w:bCs/>
                <w:i/>
                <w:iCs/>
                <w:sz w:val="20"/>
                <w:lang w:val="es-ES"/>
              </w:rPr>
            </w:pPr>
            <w:r>
              <w:rPr>
                <w:bCs/>
                <w:i/>
                <w:iCs/>
                <w:sz w:val="20"/>
                <w:lang w:val="en-GB"/>
              </w:rPr>
              <w:t>Number</w:t>
            </w:r>
          </w:p>
        </w:tc>
        <w:tc>
          <w:tcPr>
            <w:tcW w:w="3260" w:type="dxa"/>
          </w:tcPr>
          <w:p w:rsidR="00000000" w:rsidRDefault="00000000">
            <w:pPr>
              <w:keepNext/>
              <w:spacing w:before="120" w:after="120"/>
              <w:ind w:left="113" w:right="113"/>
              <w:rPr>
                <w:bCs/>
                <w:sz w:val="20"/>
                <w:lang w:val="es-ES"/>
              </w:rPr>
            </w:pPr>
            <w:r>
              <w:rPr>
                <w:sz w:val="20"/>
                <w:lang w:val="en-GB"/>
              </w:rPr>
              <w:t>50,000</w:t>
            </w:r>
          </w:p>
        </w:tc>
        <w:tc>
          <w:tcPr>
            <w:tcW w:w="726" w:type="dxa"/>
            <w:gridSpan w:val="2"/>
          </w:tcPr>
          <w:p w:rsidR="00000000" w:rsidRDefault="00000000">
            <w:pPr>
              <w:keepNext/>
              <w:spacing w:before="120" w:after="120"/>
              <w:ind w:left="113" w:right="113"/>
              <w:rPr>
                <w:bCs/>
                <w:i/>
                <w:iCs/>
                <w:snapToGrid w:val="0"/>
                <w:sz w:val="20"/>
                <w:lang w:val="es-ES" w:eastAsia="en-US"/>
              </w:rPr>
            </w:pPr>
            <w:r>
              <w:rPr>
                <w:bCs/>
                <w:i/>
                <w:iCs/>
                <w:sz w:val="20"/>
                <w:lang w:val="en-GB"/>
              </w:rPr>
              <w:t>Age</w:t>
            </w:r>
          </w:p>
        </w:tc>
        <w:tc>
          <w:tcPr>
            <w:tcW w:w="3953" w:type="dxa"/>
          </w:tcPr>
          <w:p w:rsidR="00000000" w:rsidRDefault="00000000">
            <w:pPr>
              <w:keepNext/>
              <w:spacing w:before="120" w:after="120"/>
              <w:ind w:left="113" w:right="113"/>
              <w:rPr>
                <w:bCs/>
                <w:snapToGrid w:val="0"/>
                <w:sz w:val="20"/>
                <w:lang w:val="es-ES" w:eastAsia="en-US"/>
              </w:rPr>
            </w:pPr>
            <w:r>
              <w:rPr>
                <w:sz w:val="20"/>
                <w:lang w:val="en-GB"/>
              </w:rPr>
              <w:t>5-17 years</w:t>
            </w:r>
          </w:p>
        </w:tc>
      </w:tr>
      <w:tr w:rsidR="00000000">
        <w:tblPrEx>
          <w:tblCellMar>
            <w:top w:w="0" w:type="dxa"/>
            <w:bottom w:w="0" w:type="dxa"/>
          </w:tblCellMar>
        </w:tblPrEx>
        <w:trPr>
          <w:trHeight w:val="104"/>
          <w:jc w:val="center"/>
        </w:trPr>
        <w:tc>
          <w:tcPr>
            <w:tcW w:w="1417" w:type="dxa"/>
          </w:tcPr>
          <w:p w:rsidR="00000000" w:rsidRDefault="00000000">
            <w:pPr>
              <w:keepNext/>
              <w:spacing w:before="120" w:after="120"/>
              <w:ind w:left="113" w:right="113"/>
              <w:rPr>
                <w:bCs/>
                <w:sz w:val="20"/>
                <w:lang w:val="es-ES"/>
              </w:rPr>
            </w:pPr>
            <w:r>
              <w:rPr>
                <w:bCs/>
                <w:snapToGrid w:val="0"/>
                <w:sz w:val="20"/>
                <w:lang w:val="es-ES" w:eastAsia="en-US"/>
              </w:rPr>
              <w:t>Sexo</w:t>
            </w:r>
            <w:r>
              <w:rPr>
                <w:bCs/>
                <w:sz w:val="20"/>
                <w:lang w:val="es-ES"/>
              </w:rPr>
              <w:t xml:space="preserve"> </w:t>
            </w:r>
          </w:p>
        </w:tc>
        <w:tc>
          <w:tcPr>
            <w:tcW w:w="7939" w:type="dxa"/>
            <w:gridSpan w:val="4"/>
          </w:tcPr>
          <w:p w:rsidR="00000000" w:rsidRDefault="00000000">
            <w:pPr>
              <w:keepNext/>
              <w:spacing w:before="120" w:after="120"/>
              <w:ind w:left="113" w:right="113"/>
              <w:rPr>
                <w:bCs/>
                <w:sz w:val="20"/>
                <w:lang w:val="es-ES"/>
              </w:rPr>
            </w:pPr>
            <w:r>
              <w:rPr>
                <w:bCs/>
                <w:snapToGrid w:val="0"/>
                <w:sz w:val="20"/>
                <w:lang w:val="es-ES" w:eastAsia="en-US"/>
              </w:rPr>
              <w:t>Mayoritariamente hombres</w:t>
            </w:r>
            <w:r>
              <w:rPr>
                <w:bCs/>
                <w:sz w:val="20"/>
                <w:lang w:val="es-ES"/>
              </w:rPr>
              <w:t xml:space="preserve"> </w:t>
            </w:r>
          </w:p>
        </w:tc>
      </w:tr>
      <w:tr w:rsidR="00000000">
        <w:tblPrEx>
          <w:tblCellMar>
            <w:top w:w="0" w:type="dxa"/>
            <w:bottom w:w="0" w:type="dxa"/>
          </w:tblCellMar>
        </w:tblPrEx>
        <w:trPr>
          <w:trHeight w:val="200"/>
          <w:jc w:val="center"/>
        </w:trPr>
        <w:tc>
          <w:tcPr>
            <w:tcW w:w="5244" w:type="dxa"/>
            <w:gridSpan w:val="3"/>
          </w:tcPr>
          <w:p w:rsidR="00000000" w:rsidRDefault="00000000">
            <w:pPr>
              <w:keepNext/>
              <w:spacing w:before="120" w:after="120"/>
              <w:ind w:left="113" w:right="113"/>
              <w:jc w:val="left"/>
              <w:rPr>
                <w:bCs/>
                <w:sz w:val="20"/>
                <w:lang w:val="es-ES"/>
              </w:rPr>
            </w:pPr>
            <w:r>
              <w:rPr>
                <w:bCs/>
                <w:i/>
                <w:iCs/>
                <w:sz w:val="20"/>
                <w:lang w:val="en-GB"/>
              </w:rPr>
              <w:t>Wages</w:t>
            </w:r>
            <w:r>
              <w:rPr>
                <w:bCs/>
                <w:sz w:val="20"/>
                <w:lang w:val="es-ES"/>
              </w:rPr>
              <w:t xml:space="preserve">:  </w:t>
            </w:r>
            <w:r>
              <w:rPr>
                <w:sz w:val="20"/>
                <w:lang w:val="en-GB"/>
              </w:rPr>
              <w:t>Young children receive a “tip” of  one sol per working day.  Older</w:t>
            </w:r>
            <w:r>
              <w:rPr>
                <w:bCs/>
                <w:snapToGrid w:val="0"/>
                <w:sz w:val="20"/>
                <w:lang w:val="es-ES" w:eastAsia="en-US"/>
              </w:rPr>
              <w:t xml:space="preserve"> </w:t>
            </w:r>
            <w:r>
              <w:rPr>
                <w:sz w:val="20"/>
                <w:lang w:val="en-GB"/>
              </w:rPr>
              <w:t>children usually have informal</w:t>
            </w:r>
            <w:r>
              <w:rPr>
                <w:bCs/>
                <w:snapToGrid w:val="0"/>
                <w:sz w:val="20"/>
                <w:lang w:val="es-ES" w:eastAsia="en-US"/>
              </w:rPr>
              <w:t xml:space="preserve"> </w:t>
            </w:r>
            <w:r>
              <w:rPr>
                <w:sz w:val="20"/>
                <w:lang w:val="en-GB"/>
              </w:rPr>
              <w:t>agreements for more money</w:t>
            </w:r>
            <w:r>
              <w:rPr>
                <w:bCs/>
                <w:snapToGrid w:val="0"/>
                <w:sz w:val="20"/>
                <w:lang w:val="es-ES" w:eastAsia="en-US"/>
              </w:rPr>
              <w:t xml:space="preserve"> </w:t>
            </w:r>
          </w:p>
        </w:tc>
        <w:tc>
          <w:tcPr>
            <w:tcW w:w="4112" w:type="dxa"/>
            <w:gridSpan w:val="2"/>
          </w:tcPr>
          <w:p w:rsidR="00000000" w:rsidRDefault="00000000">
            <w:pPr>
              <w:keepNext/>
              <w:spacing w:before="120" w:after="120"/>
              <w:ind w:left="113" w:right="113"/>
              <w:jc w:val="left"/>
              <w:rPr>
                <w:bCs/>
                <w:sz w:val="20"/>
                <w:lang w:val="en-GB"/>
              </w:rPr>
            </w:pPr>
            <w:r>
              <w:rPr>
                <w:bCs/>
                <w:i/>
                <w:iCs/>
                <w:sz w:val="20"/>
                <w:lang w:val="en-GB"/>
              </w:rPr>
              <w:t xml:space="preserve">Other remuneration: </w:t>
            </w:r>
            <w:r>
              <w:rPr>
                <w:sz w:val="20"/>
                <w:lang w:val="en-GB"/>
              </w:rPr>
              <w:t>Share in the family economy</w:t>
            </w:r>
          </w:p>
        </w:tc>
      </w:tr>
      <w:tr w:rsidR="00000000">
        <w:tblPrEx>
          <w:tblCellMar>
            <w:top w:w="0" w:type="dxa"/>
            <w:bottom w:w="0" w:type="dxa"/>
          </w:tblCellMar>
        </w:tblPrEx>
        <w:trPr>
          <w:jc w:val="center"/>
        </w:trPr>
        <w:tc>
          <w:tcPr>
            <w:tcW w:w="1417" w:type="dxa"/>
          </w:tcPr>
          <w:p w:rsidR="00000000" w:rsidRDefault="00000000">
            <w:pPr>
              <w:keepNext/>
              <w:spacing w:before="120" w:after="120"/>
              <w:ind w:left="113" w:right="113"/>
              <w:rPr>
                <w:bCs/>
                <w:i/>
                <w:iCs/>
                <w:sz w:val="20"/>
                <w:lang w:val="es-ES"/>
              </w:rPr>
            </w:pPr>
            <w:r>
              <w:rPr>
                <w:bCs/>
                <w:i/>
                <w:iCs/>
                <w:sz w:val="20"/>
                <w:lang w:val="en-GB"/>
              </w:rPr>
              <w:t>Hours</w:t>
            </w:r>
          </w:p>
        </w:tc>
        <w:tc>
          <w:tcPr>
            <w:tcW w:w="7939" w:type="dxa"/>
            <w:gridSpan w:val="4"/>
          </w:tcPr>
          <w:p w:rsidR="00000000" w:rsidRDefault="00000000">
            <w:pPr>
              <w:keepNext/>
              <w:spacing w:before="120" w:after="120"/>
              <w:ind w:left="113" w:right="113"/>
              <w:rPr>
                <w:bCs/>
                <w:sz w:val="20"/>
                <w:lang w:val="es-ES"/>
              </w:rPr>
            </w:pPr>
            <w:r>
              <w:rPr>
                <w:sz w:val="20"/>
                <w:lang w:val="en-GB"/>
              </w:rPr>
              <w:t>Seasonal work in the holidays, when they may work from 7.30 a.m. until nightfall</w:t>
            </w:r>
          </w:p>
        </w:tc>
      </w:tr>
      <w:tr w:rsidR="00000000">
        <w:tblPrEx>
          <w:tblCellMar>
            <w:top w:w="0" w:type="dxa"/>
            <w:bottom w:w="0" w:type="dxa"/>
          </w:tblCellMar>
        </w:tblPrEx>
        <w:trPr>
          <w:trHeight w:val="2490"/>
          <w:jc w:val="center"/>
        </w:trPr>
        <w:tc>
          <w:tcPr>
            <w:tcW w:w="9356" w:type="dxa"/>
            <w:gridSpan w:val="5"/>
            <w:tcBorders>
              <w:bottom w:val="single" w:sz="4" w:space="0" w:color="auto"/>
            </w:tcBorders>
          </w:tcPr>
          <w:p w:rsidR="00000000" w:rsidRDefault="00000000">
            <w:pPr>
              <w:keepNext/>
              <w:tabs>
                <w:tab w:val="clear" w:pos="720"/>
                <w:tab w:val="left" w:pos="708"/>
              </w:tabs>
              <w:spacing w:before="120" w:after="120"/>
              <w:ind w:left="113" w:right="113"/>
              <w:jc w:val="left"/>
              <w:rPr>
                <w:bCs/>
                <w:i/>
                <w:iCs/>
                <w:sz w:val="20"/>
                <w:lang w:val="en-GB"/>
              </w:rPr>
            </w:pPr>
            <w:r>
              <w:rPr>
                <w:bCs/>
                <w:i/>
                <w:iCs/>
                <w:sz w:val="20"/>
                <w:lang w:val="en-GB"/>
              </w:rPr>
              <w:t>Description</w:t>
            </w:r>
          </w:p>
          <w:p w:rsidR="00000000" w:rsidRDefault="00000000">
            <w:pPr>
              <w:keepNext/>
              <w:tabs>
                <w:tab w:val="clear" w:pos="720"/>
                <w:tab w:val="left" w:pos="708"/>
              </w:tabs>
              <w:spacing w:before="120" w:after="120"/>
              <w:ind w:left="113" w:right="113"/>
              <w:jc w:val="left"/>
              <w:rPr>
                <w:sz w:val="20"/>
                <w:lang w:val="en-GB"/>
              </w:rPr>
            </w:pPr>
            <w:r>
              <w:rPr>
                <w:sz w:val="20"/>
                <w:lang w:val="en-GB"/>
              </w:rPr>
              <w:t>The children perform almost all the tasks involved in mining, including:</w:t>
            </w:r>
          </w:p>
          <w:p w:rsidR="00000000" w:rsidRDefault="00000000">
            <w:pPr>
              <w:keepNext/>
              <w:numPr>
                <w:ilvl w:val="0"/>
                <w:numId w:val="161"/>
              </w:numPr>
              <w:tabs>
                <w:tab w:val="clear" w:pos="720"/>
                <w:tab w:val="left" w:pos="708"/>
              </w:tabs>
              <w:spacing w:before="120" w:after="120"/>
              <w:ind w:right="113" w:hanging="426"/>
              <w:jc w:val="left"/>
              <w:rPr>
                <w:sz w:val="20"/>
                <w:lang w:val="en-GB"/>
              </w:rPr>
            </w:pPr>
            <w:r>
              <w:rPr>
                <w:sz w:val="20"/>
                <w:lang w:val="en-GB"/>
              </w:rPr>
              <w:t>Sifting (work performed exclusively by women and children), which consists of the removal of mineral particles from the tips</w:t>
            </w:r>
          </w:p>
          <w:p w:rsidR="00000000" w:rsidRDefault="00000000">
            <w:pPr>
              <w:keepNext/>
              <w:numPr>
                <w:ilvl w:val="0"/>
                <w:numId w:val="161"/>
              </w:numPr>
              <w:tabs>
                <w:tab w:val="clear" w:pos="720"/>
                <w:tab w:val="left" w:pos="708"/>
              </w:tabs>
              <w:spacing w:before="120" w:after="120"/>
              <w:ind w:right="113" w:hanging="426"/>
              <w:jc w:val="left"/>
              <w:rPr>
                <w:sz w:val="20"/>
                <w:lang w:val="en-GB"/>
              </w:rPr>
            </w:pPr>
            <w:r>
              <w:rPr>
                <w:sz w:val="20"/>
                <w:lang w:val="en-GB"/>
              </w:rPr>
              <w:t>Carting: one of the hardest tasks owing to the excessive weight of the stones and clumps of earth, which are carried on the back or in wheelbarrows to the processing points</w:t>
            </w:r>
          </w:p>
          <w:p w:rsidR="00000000" w:rsidRDefault="00000000">
            <w:pPr>
              <w:keepNext/>
              <w:numPr>
                <w:ilvl w:val="0"/>
                <w:numId w:val="161"/>
              </w:numPr>
              <w:tabs>
                <w:tab w:val="clear" w:pos="720"/>
                <w:tab w:val="left" w:pos="708"/>
              </w:tabs>
              <w:spacing w:before="120" w:after="120"/>
              <w:ind w:right="113" w:hanging="426"/>
              <w:jc w:val="left"/>
              <w:rPr>
                <w:sz w:val="20"/>
                <w:lang w:val="en-GB"/>
              </w:rPr>
            </w:pPr>
            <w:r>
              <w:rPr>
                <w:sz w:val="20"/>
                <w:lang w:val="en-GB"/>
              </w:rPr>
              <w:t>Panning, which consists of the washing out of gold in pans or cloth sheets or standing inside conduits</w:t>
            </w:r>
          </w:p>
          <w:p w:rsidR="00000000" w:rsidRDefault="00000000">
            <w:pPr>
              <w:keepNext/>
              <w:numPr>
                <w:ilvl w:val="0"/>
                <w:numId w:val="161"/>
              </w:numPr>
              <w:tabs>
                <w:tab w:val="clear" w:pos="720"/>
                <w:tab w:val="left" w:pos="708"/>
              </w:tabs>
              <w:spacing w:before="120" w:after="120"/>
              <w:ind w:right="113" w:hanging="426"/>
              <w:jc w:val="left"/>
              <w:rPr>
                <w:sz w:val="20"/>
                <w:lang w:val="en-GB"/>
              </w:rPr>
            </w:pPr>
            <w:r>
              <w:rPr>
                <w:sz w:val="20"/>
                <w:lang w:val="en-GB"/>
              </w:rPr>
              <w:t>Grinding, an activity requiring great physical effort and involving the risk of poisoning from the mercury used in the grinding of the ore in a “</w:t>
            </w:r>
            <w:r>
              <w:rPr>
                <w:i/>
                <w:sz w:val="20"/>
                <w:lang w:val="en-GB"/>
              </w:rPr>
              <w:t>quimbalate</w:t>
            </w:r>
            <w:r>
              <w:rPr>
                <w:sz w:val="20"/>
                <w:lang w:val="en-GB"/>
              </w:rPr>
              <w:t>” (a kind of mill made of two big stones)</w:t>
            </w:r>
          </w:p>
          <w:p w:rsidR="00000000" w:rsidRDefault="00000000">
            <w:pPr>
              <w:keepNext/>
              <w:numPr>
                <w:ilvl w:val="0"/>
                <w:numId w:val="161"/>
              </w:numPr>
              <w:tabs>
                <w:tab w:val="clear" w:pos="720"/>
                <w:tab w:val="left" w:pos="708"/>
              </w:tabs>
              <w:spacing w:before="120" w:after="120"/>
              <w:ind w:right="113" w:hanging="426"/>
              <w:jc w:val="left"/>
              <w:rPr>
                <w:sz w:val="20"/>
                <w:lang w:val="en-GB"/>
              </w:rPr>
            </w:pPr>
            <w:r>
              <w:rPr>
                <w:sz w:val="20"/>
                <w:lang w:val="en-GB"/>
              </w:rPr>
              <w:t>The mining and crushing of the ore, two tasks performed mainly by older children.</w:t>
            </w:r>
          </w:p>
          <w:p w:rsidR="00000000" w:rsidRDefault="00000000">
            <w:pPr>
              <w:keepNext/>
              <w:spacing w:before="120" w:after="120"/>
              <w:ind w:left="113" w:right="113"/>
              <w:rPr>
                <w:bCs/>
                <w:sz w:val="20"/>
                <w:lang w:val="en-GB"/>
              </w:rPr>
            </w:pPr>
            <w:r>
              <w:rPr>
                <w:sz w:val="20"/>
                <w:lang w:val="en-GB"/>
              </w:rPr>
              <w:t>Geographical and climatic factors make living conditions at these sites very harsh; the communities usually lack basic services such as drinking water, sewerage, and refuse collection.  Their dwellings are precarious, being made of extremely low-grade materials.  The education and health services are insufficient and poorly equipped.  The mining work is performed in deplorable health and safety conditions.</w:t>
            </w:r>
          </w:p>
        </w:tc>
      </w:tr>
      <w:tr w:rsidR="00000000">
        <w:tblPrEx>
          <w:tblCellMar>
            <w:top w:w="0" w:type="dxa"/>
            <w:bottom w:w="0" w:type="dxa"/>
          </w:tblCellMar>
        </w:tblPrEx>
        <w:trPr>
          <w:trHeight w:val="3817"/>
          <w:jc w:val="center"/>
        </w:trPr>
        <w:tc>
          <w:tcPr>
            <w:tcW w:w="9356" w:type="dxa"/>
            <w:gridSpan w:val="5"/>
          </w:tcPr>
          <w:p w:rsidR="00000000" w:rsidRDefault="00000000">
            <w:pPr>
              <w:tabs>
                <w:tab w:val="clear" w:pos="720"/>
                <w:tab w:val="left" w:pos="708"/>
              </w:tabs>
              <w:spacing w:before="120" w:after="120"/>
              <w:ind w:left="113" w:right="113"/>
              <w:jc w:val="left"/>
              <w:rPr>
                <w:bCs/>
                <w:i/>
                <w:iCs/>
                <w:sz w:val="20"/>
                <w:lang w:val="en-GB"/>
              </w:rPr>
            </w:pPr>
            <w:r>
              <w:rPr>
                <w:bCs/>
                <w:i/>
                <w:iCs/>
                <w:sz w:val="20"/>
                <w:lang w:val="en-GB"/>
              </w:rPr>
              <w:t>Risks and consequences</w:t>
            </w:r>
          </w:p>
          <w:p w:rsidR="00000000" w:rsidRDefault="00000000">
            <w:pPr>
              <w:tabs>
                <w:tab w:val="clear" w:pos="720"/>
                <w:tab w:val="left" w:pos="708"/>
              </w:tabs>
              <w:spacing w:before="120" w:after="120"/>
              <w:ind w:left="113" w:right="113"/>
              <w:jc w:val="left"/>
              <w:rPr>
                <w:sz w:val="20"/>
                <w:lang w:val="en-GB"/>
              </w:rPr>
            </w:pPr>
            <w:r>
              <w:rPr>
                <w:sz w:val="20"/>
                <w:lang w:val="en-GB"/>
              </w:rPr>
              <w:t>Many of the children working in small-scale mining  suffer from anaemia, chronic malnutrition and even tuberculosis.  In the coldest mining areas they usually contract severe respiratory ailments, and there is a high incidence of rheumatism and arthritis.  In the hottest areas they are more likely to contract acute diarrhoea from the polluted water.</w:t>
            </w:r>
          </w:p>
          <w:p w:rsidR="00000000" w:rsidRDefault="00000000">
            <w:pPr>
              <w:tabs>
                <w:tab w:val="clear" w:pos="720"/>
                <w:tab w:val="left" w:pos="708"/>
              </w:tabs>
              <w:spacing w:before="120" w:after="120"/>
              <w:ind w:left="113" w:right="113"/>
              <w:jc w:val="left"/>
              <w:rPr>
                <w:sz w:val="20"/>
                <w:lang w:val="en-GB"/>
              </w:rPr>
            </w:pPr>
            <w:r>
              <w:rPr>
                <w:sz w:val="20"/>
                <w:lang w:val="en-GB"/>
              </w:rPr>
              <w:t>Most of the children suffer from chronic fatigue, various bone diseases and conditions, and chronic poisoning from exposure to liquid and gaseous mercury, which can cause problems ranging from headaches, insomnia, timidity, nervousness and nausea to loss of memory and self-control, irritability and excitability, anxiety, sleepiness and depression.  They are also exposed to the risk of bruising, cuts and fractures, and there is very little likelihood of treatment at a health post, either because there are none or because, when there is a health post, it lacks equipment, staff and suitable medicines.</w:t>
            </w:r>
          </w:p>
          <w:p w:rsidR="00000000" w:rsidRDefault="00000000">
            <w:pPr>
              <w:spacing w:before="120" w:after="120"/>
              <w:ind w:left="113" w:right="113"/>
              <w:rPr>
                <w:bCs/>
                <w:iCs/>
                <w:sz w:val="20"/>
                <w:lang w:val="es-PE"/>
              </w:rPr>
            </w:pPr>
            <w:r>
              <w:rPr>
                <w:sz w:val="20"/>
                <w:lang w:val="en-GB"/>
              </w:rPr>
              <w:t>The children’s education is also seriously affected by their mining work, which usually prevents them from attending school regularly or taking part in recreational activities, thus having an adverse impact on their personal development and reducing their future job prospects and inexorably reproducing the cycle of poverty.</w:t>
            </w:r>
          </w:p>
        </w:tc>
      </w:tr>
    </w:tbl>
    <w:p w:rsidR="00000000" w:rsidRDefault="00000000">
      <w:pPr>
        <w:tabs>
          <w:tab w:val="clear" w:pos="720"/>
        </w:tabs>
        <w:jc w:val="left"/>
        <w:rPr>
          <w:sz w:val="24"/>
          <w:lang w:val="es-ES"/>
        </w:rPr>
      </w:pPr>
    </w:p>
    <w:p w:rsidR="00000000" w:rsidRDefault="00000000">
      <w:pPr>
        <w:tabs>
          <w:tab w:val="clear" w:pos="720"/>
        </w:tabs>
        <w:jc w:val="left"/>
        <w:rPr>
          <w:sz w:val="24"/>
          <w:lang w:val="en-GB"/>
        </w:rPr>
      </w:pPr>
      <w:r>
        <w:rPr>
          <w:sz w:val="24"/>
          <w:lang w:val="en-GB"/>
        </w:rPr>
        <w:t>168.</w:t>
      </w:r>
      <w:r>
        <w:rPr>
          <w:sz w:val="24"/>
          <w:lang w:val="en-GB"/>
        </w:rPr>
        <w:tab/>
        <w:t>There has been very little study of the work performed by children in rural areas.  According to the latest population census (1993), 40 per cent of Peru’s children are employed in farming activities, and the rural sector is where the lowest rates of school attendance are found.</w:t>
      </w:r>
    </w:p>
    <w:p w:rsidR="00000000" w:rsidRDefault="00000000">
      <w:pPr>
        <w:tabs>
          <w:tab w:val="clear" w:pos="720"/>
        </w:tabs>
        <w:jc w:val="left"/>
        <w:rPr>
          <w:sz w:val="24"/>
          <w:lang w:val="en-GB"/>
        </w:rPr>
      </w:pPr>
      <w:r>
        <w:rPr>
          <w:sz w:val="24"/>
          <w:lang w:val="en-GB"/>
        </w:rPr>
        <w:t>169.</w:t>
      </w:r>
      <w:r>
        <w:rPr>
          <w:sz w:val="24"/>
          <w:lang w:val="en-GB"/>
        </w:rPr>
        <w:tab/>
        <w:t>A number of qualitative studies have documented the harmful effects of child labour, pointing to problems of physical and mental health, impairment of children’s school attendance and academic performance, and high rates of repeated years and drop-outs.  For example, 49 per cent of children who work as well as attending school are one or two years behind their coevals; and one out of every three children who work does not go to school.</w:t>
      </w:r>
      <w:r>
        <w:rPr>
          <w:rStyle w:val="FootnoteReference"/>
          <w:b/>
          <w:sz w:val="24"/>
          <w:lang w:val="en-GB"/>
        </w:rPr>
        <w:footnoteReference w:customMarkFollows="1" w:id="75"/>
        <w:t>75</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170.</w:t>
      </w:r>
      <w:r>
        <w:rPr>
          <w:sz w:val="24"/>
          <w:lang w:val="en-GB"/>
        </w:rPr>
        <w:tab/>
        <w:t>The following information is available on domestic work:</w:t>
      </w:r>
      <w:r>
        <w:rPr>
          <w:rStyle w:val="FootnoteReference"/>
          <w:b/>
          <w:sz w:val="24"/>
          <w:lang w:val="en-GB"/>
        </w:rPr>
        <w:footnoteReference w:customMarkFollows="1" w:id="76"/>
        <w:t>76</w:t>
      </w:r>
    </w:p>
    <w:p w:rsidR="00000000" w:rsidRDefault="00000000">
      <w:pPr>
        <w:tabs>
          <w:tab w:val="clear" w:pos="720"/>
        </w:tabs>
        <w:jc w:val="left"/>
        <w:rPr>
          <w:sz w:val="24"/>
          <w:lang w:val="en-G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287"/>
        <w:gridCol w:w="1910"/>
        <w:gridCol w:w="659"/>
        <w:gridCol w:w="1140"/>
        <w:gridCol w:w="569"/>
        <w:gridCol w:w="2857"/>
      </w:tblGrid>
      <w:tr w:rsidR="00000000">
        <w:tblPrEx>
          <w:tblCellMar>
            <w:top w:w="0" w:type="dxa"/>
            <w:bottom w:w="0" w:type="dxa"/>
          </w:tblCellMar>
        </w:tblPrEx>
        <w:trPr>
          <w:jc w:val="center"/>
        </w:trPr>
        <w:tc>
          <w:tcPr>
            <w:tcW w:w="9365" w:type="dxa"/>
            <w:gridSpan w:val="6"/>
          </w:tcPr>
          <w:p w:rsidR="00000000" w:rsidRDefault="00000000">
            <w:pPr>
              <w:spacing w:before="80" w:after="80"/>
              <w:ind w:left="113" w:right="113"/>
              <w:rPr>
                <w:bCs/>
                <w:sz w:val="20"/>
                <w:lang w:val="es-ES"/>
              </w:rPr>
            </w:pPr>
            <w:r>
              <w:rPr>
                <w:bCs/>
                <w:i/>
                <w:iCs/>
                <w:sz w:val="20"/>
                <w:lang w:val="en-GB"/>
              </w:rPr>
              <w:t>Locations</w:t>
            </w:r>
            <w:r>
              <w:rPr>
                <w:bCs/>
                <w:i/>
                <w:iCs/>
                <w:snapToGrid w:val="0"/>
                <w:sz w:val="20"/>
                <w:lang w:val="es-ES" w:eastAsia="en-US"/>
              </w:rPr>
              <w:t>:</w:t>
            </w:r>
            <w:r>
              <w:rPr>
                <w:bCs/>
                <w:snapToGrid w:val="0"/>
                <w:sz w:val="20"/>
                <w:lang w:val="es-ES" w:eastAsia="en-US"/>
              </w:rPr>
              <w:t xml:space="preserve">  </w:t>
            </w:r>
            <w:r>
              <w:rPr>
                <w:bCs/>
                <w:sz w:val="20"/>
                <w:lang w:val="en-GB"/>
              </w:rPr>
              <w:t>The country’s main towns</w:t>
            </w:r>
          </w:p>
        </w:tc>
      </w:tr>
      <w:tr w:rsidR="00000000">
        <w:tblPrEx>
          <w:tblCellMar>
            <w:top w:w="0" w:type="dxa"/>
            <w:bottom w:w="0" w:type="dxa"/>
          </w:tblCellMar>
        </w:tblPrEx>
        <w:trPr>
          <w:jc w:val="center"/>
        </w:trPr>
        <w:tc>
          <w:tcPr>
            <w:tcW w:w="2273" w:type="dxa"/>
          </w:tcPr>
          <w:p w:rsidR="00000000" w:rsidRDefault="00000000">
            <w:pPr>
              <w:spacing w:before="80" w:after="80"/>
              <w:ind w:left="113" w:right="113"/>
              <w:rPr>
                <w:bCs/>
                <w:i/>
                <w:iCs/>
                <w:sz w:val="20"/>
                <w:lang w:val="es-ES"/>
              </w:rPr>
            </w:pPr>
            <w:r>
              <w:rPr>
                <w:bCs/>
                <w:i/>
                <w:iCs/>
                <w:sz w:val="20"/>
                <w:lang w:val="en-GB"/>
              </w:rPr>
              <w:t>Number</w:t>
            </w:r>
          </w:p>
        </w:tc>
        <w:tc>
          <w:tcPr>
            <w:tcW w:w="1898" w:type="dxa"/>
          </w:tcPr>
          <w:p w:rsidR="00000000" w:rsidRDefault="00000000">
            <w:pPr>
              <w:spacing w:before="80" w:after="80"/>
              <w:ind w:left="113" w:right="113"/>
              <w:rPr>
                <w:bCs/>
                <w:snapToGrid w:val="0"/>
                <w:sz w:val="20"/>
                <w:lang w:val="es-ES" w:eastAsia="en-US"/>
              </w:rPr>
            </w:pPr>
            <w:r>
              <w:rPr>
                <w:bCs/>
                <w:sz w:val="20"/>
                <w:lang w:val="en-GB"/>
              </w:rPr>
              <w:t>Over 100,000</w:t>
            </w:r>
          </w:p>
        </w:tc>
        <w:tc>
          <w:tcPr>
            <w:tcW w:w="655" w:type="dxa"/>
          </w:tcPr>
          <w:p w:rsidR="00000000" w:rsidRDefault="00000000">
            <w:pPr>
              <w:spacing w:before="80" w:after="80"/>
              <w:ind w:left="113" w:right="113"/>
              <w:rPr>
                <w:bCs/>
                <w:i/>
                <w:iCs/>
                <w:snapToGrid w:val="0"/>
                <w:sz w:val="20"/>
                <w:lang w:val="es-ES" w:eastAsia="en-US"/>
              </w:rPr>
            </w:pPr>
            <w:r>
              <w:rPr>
                <w:bCs/>
                <w:i/>
                <w:iCs/>
                <w:sz w:val="20"/>
                <w:lang w:val="en-GB"/>
              </w:rPr>
              <w:t>Age</w:t>
            </w:r>
          </w:p>
        </w:tc>
        <w:tc>
          <w:tcPr>
            <w:tcW w:w="1133" w:type="dxa"/>
          </w:tcPr>
          <w:p w:rsidR="00000000" w:rsidRDefault="00000000">
            <w:pPr>
              <w:spacing w:before="80" w:after="80"/>
              <w:ind w:left="113" w:right="113"/>
              <w:rPr>
                <w:bCs/>
                <w:sz w:val="20"/>
                <w:lang w:val="es-ES"/>
              </w:rPr>
            </w:pPr>
            <w:r>
              <w:rPr>
                <w:bCs/>
                <w:sz w:val="20"/>
                <w:lang w:val="en-GB"/>
              </w:rPr>
              <w:t>6-17 years</w:t>
            </w:r>
          </w:p>
        </w:tc>
        <w:tc>
          <w:tcPr>
            <w:tcW w:w="566" w:type="dxa"/>
          </w:tcPr>
          <w:p w:rsidR="00000000" w:rsidRDefault="00000000">
            <w:pPr>
              <w:spacing w:before="80" w:after="80"/>
              <w:ind w:left="113" w:right="113"/>
              <w:rPr>
                <w:bCs/>
                <w:i/>
                <w:iCs/>
                <w:sz w:val="20"/>
                <w:lang w:val="es-ES"/>
              </w:rPr>
            </w:pPr>
            <w:r>
              <w:rPr>
                <w:bCs/>
                <w:i/>
                <w:iCs/>
                <w:sz w:val="20"/>
                <w:lang w:val="en-GB"/>
              </w:rPr>
              <w:t>Sex</w:t>
            </w:r>
          </w:p>
        </w:tc>
        <w:tc>
          <w:tcPr>
            <w:tcW w:w="2840" w:type="dxa"/>
          </w:tcPr>
          <w:p w:rsidR="00000000" w:rsidRDefault="00000000">
            <w:pPr>
              <w:spacing w:before="80" w:after="80"/>
              <w:ind w:left="113" w:right="113"/>
              <w:rPr>
                <w:bCs/>
                <w:sz w:val="20"/>
                <w:lang w:val="es-ES"/>
              </w:rPr>
            </w:pPr>
            <w:r>
              <w:rPr>
                <w:bCs/>
                <w:sz w:val="20"/>
                <w:lang w:val="en-GB"/>
              </w:rPr>
              <w:t>Mainly girls</w:t>
            </w:r>
          </w:p>
        </w:tc>
      </w:tr>
      <w:tr w:rsidR="00000000">
        <w:tblPrEx>
          <w:tblCellMar>
            <w:top w:w="0" w:type="dxa"/>
            <w:bottom w:w="0" w:type="dxa"/>
          </w:tblCellMar>
        </w:tblPrEx>
        <w:trPr>
          <w:jc w:val="center"/>
        </w:trPr>
        <w:tc>
          <w:tcPr>
            <w:tcW w:w="2273" w:type="dxa"/>
          </w:tcPr>
          <w:p w:rsidR="00000000" w:rsidRDefault="00000000">
            <w:pPr>
              <w:spacing w:before="80" w:after="80"/>
              <w:ind w:left="113" w:right="113"/>
              <w:rPr>
                <w:bCs/>
                <w:i/>
                <w:iCs/>
                <w:sz w:val="20"/>
                <w:lang w:val="es-ES"/>
              </w:rPr>
            </w:pPr>
            <w:r>
              <w:rPr>
                <w:bCs/>
                <w:i/>
                <w:iCs/>
                <w:sz w:val="20"/>
                <w:lang w:val="en-GB"/>
              </w:rPr>
              <w:t>Wages</w:t>
            </w:r>
          </w:p>
        </w:tc>
        <w:tc>
          <w:tcPr>
            <w:tcW w:w="7092" w:type="dxa"/>
            <w:gridSpan w:val="5"/>
          </w:tcPr>
          <w:p w:rsidR="00000000" w:rsidRDefault="00000000">
            <w:pPr>
              <w:spacing w:before="80" w:after="80"/>
              <w:ind w:left="113" w:right="113"/>
              <w:rPr>
                <w:bCs/>
                <w:sz w:val="20"/>
                <w:lang w:val="es-ES"/>
              </w:rPr>
            </w:pPr>
            <w:r>
              <w:rPr>
                <w:bCs/>
                <w:sz w:val="20"/>
                <w:lang w:val="en-GB"/>
              </w:rPr>
              <w:t>A few receive adequate wages; most work for board and lodging</w:t>
            </w:r>
          </w:p>
        </w:tc>
      </w:tr>
      <w:tr w:rsidR="00000000">
        <w:tblPrEx>
          <w:tblCellMar>
            <w:top w:w="0" w:type="dxa"/>
            <w:bottom w:w="0" w:type="dxa"/>
          </w:tblCellMar>
        </w:tblPrEx>
        <w:trPr>
          <w:trHeight w:val="200"/>
          <w:jc w:val="center"/>
        </w:trPr>
        <w:tc>
          <w:tcPr>
            <w:tcW w:w="2273" w:type="dxa"/>
          </w:tcPr>
          <w:p w:rsidR="00000000" w:rsidRDefault="00000000">
            <w:pPr>
              <w:spacing w:before="80" w:after="80"/>
              <w:ind w:left="113" w:right="113"/>
              <w:rPr>
                <w:bCs/>
                <w:i/>
                <w:iCs/>
                <w:sz w:val="20"/>
                <w:lang w:val="es-ES"/>
              </w:rPr>
            </w:pPr>
            <w:r>
              <w:rPr>
                <w:bCs/>
                <w:i/>
                <w:iCs/>
                <w:sz w:val="20"/>
                <w:lang w:val="en-GB"/>
              </w:rPr>
              <w:t>Other remuneration</w:t>
            </w:r>
          </w:p>
        </w:tc>
        <w:tc>
          <w:tcPr>
            <w:tcW w:w="7092" w:type="dxa"/>
            <w:gridSpan w:val="5"/>
          </w:tcPr>
          <w:p w:rsidR="00000000" w:rsidRDefault="00000000">
            <w:pPr>
              <w:spacing w:before="80" w:after="80"/>
              <w:ind w:left="113" w:right="113"/>
              <w:rPr>
                <w:bCs/>
                <w:sz w:val="20"/>
                <w:lang w:val="es-ES"/>
              </w:rPr>
            </w:pPr>
            <w:r>
              <w:rPr>
                <w:bCs/>
                <w:sz w:val="20"/>
                <w:lang w:val="en-GB"/>
              </w:rPr>
              <w:t>Clothing, board and lodging; sometimes education</w:t>
            </w:r>
          </w:p>
        </w:tc>
      </w:tr>
      <w:tr w:rsidR="00000000">
        <w:tblPrEx>
          <w:tblCellMar>
            <w:top w:w="0" w:type="dxa"/>
            <w:bottom w:w="0" w:type="dxa"/>
          </w:tblCellMar>
        </w:tblPrEx>
        <w:trPr>
          <w:jc w:val="center"/>
        </w:trPr>
        <w:tc>
          <w:tcPr>
            <w:tcW w:w="2273" w:type="dxa"/>
          </w:tcPr>
          <w:p w:rsidR="00000000" w:rsidRDefault="00000000">
            <w:pPr>
              <w:spacing w:before="80" w:after="80"/>
              <w:ind w:left="113" w:right="113"/>
              <w:rPr>
                <w:bCs/>
                <w:i/>
                <w:iCs/>
                <w:sz w:val="20"/>
                <w:lang w:val="es-ES"/>
              </w:rPr>
            </w:pPr>
            <w:r>
              <w:rPr>
                <w:bCs/>
                <w:i/>
                <w:iCs/>
                <w:sz w:val="20"/>
                <w:lang w:val="en-GB"/>
              </w:rPr>
              <w:t>Hours</w:t>
            </w:r>
          </w:p>
        </w:tc>
        <w:tc>
          <w:tcPr>
            <w:tcW w:w="7092" w:type="dxa"/>
            <w:gridSpan w:val="5"/>
          </w:tcPr>
          <w:p w:rsidR="00000000" w:rsidRDefault="00000000">
            <w:pPr>
              <w:spacing w:before="80" w:after="80"/>
              <w:ind w:left="113" w:right="113"/>
              <w:rPr>
                <w:bCs/>
                <w:sz w:val="20"/>
                <w:lang w:val="es-ES"/>
              </w:rPr>
            </w:pPr>
            <w:r>
              <w:rPr>
                <w:bCs/>
                <w:sz w:val="20"/>
                <w:lang w:val="en-GB"/>
              </w:rPr>
              <w:t>Whole day, from 5-6 a.m. to 9-10 p.m.</w:t>
            </w:r>
          </w:p>
        </w:tc>
      </w:tr>
      <w:tr w:rsidR="00000000">
        <w:tblPrEx>
          <w:tblCellMar>
            <w:top w:w="0" w:type="dxa"/>
            <w:bottom w:w="0" w:type="dxa"/>
          </w:tblCellMar>
        </w:tblPrEx>
        <w:trPr>
          <w:trHeight w:val="1390"/>
          <w:jc w:val="center"/>
        </w:trPr>
        <w:tc>
          <w:tcPr>
            <w:tcW w:w="9365" w:type="dxa"/>
            <w:gridSpan w:val="6"/>
            <w:tcBorders>
              <w:bottom w:val="single" w:sz="4" w:space="0" w:color="auto"/>
            </w:tcBorders>
          </w:tcPr>
          <w:p w:rsidR="00000000" w:rsidRDefault="00000000">
            <w:pPr>
              <w:tabs>
                <w:tab w:val="clear" w:pos="720"/>
                <w:tab w:val="left" w:pos="708"/>
              </w:tabs>
              <w:spacing w:before="200" w:after="80"/>
              <w:ind w:left="113" w:right="113"/>
              <w:jc w:val="left"/>
              <w:rPr>
                <w:bCs/>
                <w:i/>
                <w:iCs/>
                <w:sz w:val="20"/>
                <w:lang w:val="en-GB"/>
              </w:rPr>
            </w:pPr>
            <w:r>
              <w:rPr>
                <w:bCs/>
                <w:i/>
                <w:iCs/>
                <w:sz w:val="20"/>
                <w:lang w:val="en-GB"/>
              </w:rPr>
              <w:t>Description</w:t>
            </w:r>
            <w:r>
              <w:rPr>
                <w:bCs/>
                <w:i/>
                <w:iCs/>
                <w:lang w:val="en-GB"/>
              </w:rPr>
              <w:t>:</w:t>
            </w:r>
          </w:p>
          <w:p w:rsidR="00000000" w:rsidRDefault="00000000">
            <w:pPr>
              <w:tabs>
                <w:tab w:val="clear" w:pos="720"/>
                <w:tab w:val="left" w:pos="708"/>
              </w:tabs>
              <w:spacing w:before="80" w:after="80"/>
              <w:ind w:left="113" w:right="113"/>
              <w:jc w:val="left"/>
              <w:rPr>
                <w:sz w:val="20"/>
                <w:lang w:val="en-GB"/>
              </w:rPr>
            </w:pPr>
            <w:r>
              <w:rPr>
                <w:sz w:val="20"/>
                <w:lang w:val="en-GB"/>
              </w:rPr>
              <w:t>It has been established that these girls work between 12 and 16 hours a day at household tasks (from shopping to cooking and cleaning and looking after the smallest children).</w:t>
            </w:r>
          </w:p>
          <w:p w:rsidR="00000000" w:rsidRDefault="00000000">
            <w:pPr>
              <w:tabs>
                <w:tab w:val="clear" w:pos="720"/>
                <w:tab w:val="left" w:pos="708"/>
              </w:tabs>
              <w:spacing w:before="80" w:after="80"/>
              <w:ind w:left="113" w:right="113"/>
              <w:jc w:val="left"/>
              <w:rPr>
                <w:sz w:val="20"/>
                <w:lang w:val="en-GB"/>
              </w:rPr>
            </w:pPr>
            <w:r>
              <w:rPr>
                <w:sz w:val="20"/>
                <w:lang w:val="en-GB"/>
              </w:rPr>
              <w:t>Most of the girls are from the countryside, sent by their own families in the hope of obtaining education and a better job than in their places of origin.</w:t>
            </w:r>
          </w:p>
          <w:p w:rsidR="00000000" w:rsidRDefault="00000000">
            <w:pPr>
              <w:tabs>
                <w:tab w:val="clear" w:pos="720"/>
                <w:tab w:val="left" w:pos="708"/>
              </w:tabs>
              <w:spacing w:before="80" w:after="80"/>
              <w:ind w:left="113" w:right="113"/>
              <w:jc w:val="left"/>
              <w:rPr>
                <w:sz w:val="20"/>
                <w:lang w:val="en-GB"/>
              </w:rPr>
            </w:pPr>
            <w:r>
              <w:rPr>
                <w:sz w:val="20"/>
                <w:lang w:val="en-GB"/>
              </w:rPr>
              <w:t>The employers usually do not have a labour relationship with the girls since they are responsible only for their board and lodging and, up to a point, their education.</w:t>
            </w:r>
          </w:p>
          <w:p w:rsidR="00000000" w:rsidRDefault="00000000">
            <w:pPr>
              <w:spacing w:before="80" w:after="80"/>
              <w:ind w:left="113" w:right="113"/>
              <w:rPr>
                <w:sz w:val="20"/>
                <w:lang w:val="es-ES"/>
              </w:rPr>
            </w:pPr>
            <w:r>
              <w:rPr>
                <w:sz w:val="20"/>
                <w:lang w:val="en-GB"/>
              </w:rPr>
              <w:t>In some cases the girls are entrusted to an employer by their own parents so that the employer may bring them up in a kind of “godparent” relationship.  From the moment when an employer accepts a girl she loses contact with her natural family and thus comes to depend fully on the employer for her basic needs.</w:t>
            </w:r>
          </w:p>
        </w:tc>
      </w:tr>
      <w:tr w:rsidR="00000000">
        <w:tblPrEx>
          <w:tblCellMar>
            <w:top w:w="0" w:type="dxa"/>
            <w:bottom w:w="0" w:type="dxa"/>
          </w:tblCellMar>
        </w:tblPrEx>
        <w:trPr>
          <w:jc w:val="center"/>
        </w:trPr>
        <w:tc>
          <w:tcPr>
            <w:tcW w:w="9365" w:type="dxa"/>
            <w:gridSpan w:val="6"/>
          </w:tcPr>
          <w:p w:rsidR="00000000" w:rsidRDefault="00000000">
            <w:pPr>
              <w:tabs>
                <w:tab w:val="clear" w:pos="720"/>
                <w:tab w:val="left" w:pos="708"/>
              </w:tabs>
              <w:spacing w:before="200" w:after="80"/>
              <w:ind w:left="113" w:right="113"/>
              <w:jc w:val="left"/>
              <w:rPr>
                <w:bCs/>
                <w:i/>
                <w:iCs/>
                <w:sz w:val="20"/>
                <w:lang w:val="en-GB"/>
              </w:rPr>
            </w:pPr>
            <w:r>
              <w:rPr>
                <w:bCs/>
                <w:i/>
                <w:iCs/>
                <w:sz w:val="20"/>
                <w:lang w:val="en-GB"/>
              </w:rPr>
              <w:t>Risks and consequences</w:t>
            </w:r>
            <w:r>
              <w:rPr>
                <w:bCs/>
                <w:i/>
                <w:iCs/>
                <w:lang w:val="en-GB"/>
              </w:rPr>
              <w:t>:</w:t>
            </w:r>
          </w:p>
          <w:p w:rsidR="00000000" w:rsidRDefault="00000000">
            <w:pPr>
              <w:tabs>
                <w:tab w:val="clear" w:pos="720"/>
                <w:tab w:val="left" w:pos="708"/>
              </w:tabs>
              <w:spacing w:before="80" w:after="80"/>
              <w:ind w:left="113" w:right="113"/>
              <w:jc w:val="left"/>
              <w:rPr>
                <w:sz w:val="20"/>
                <w:lang w:val="en-GB"/>
              </w:rPr>
            </w:pPr>
            <w:r>
              <w:rPr>
                <w:sz w:val="20"/>
                <w:lang w:val="en-GB"/>
              </w:rPr>
              <w:t>Many of these young workers find their mental health affected because they are not living their own lives.  They play the games that other children want; they experience the joys of their employer’s children, and the toys that they play with belong to other children.  In short, they do not have their own dreams.</w:t>
            </w:r>
          </w:p>
          <w:p w:rsidR="00000000" w:rsidRDefault="00000000">
            <w:pPr>
              <w:tabs>
                <w:tab w:val="clear" w:pos="720"/>
                <w:tab w:val="left" w:pos="708"/>
              </w:tabs>
              <w:spacing w:before="80" w:after="80"/>
              <w:ind w:left="113" w:right="113"/>
              <w:jc w:val="left"/>
              <w:rPr>
                <w:sz w:val="20"/>
                <w:lang w:val="en-GB"/>
              </w:rPr>
            </w:pPr>
            <w:r>
              <w:rPr>
                <w:sz w:val="20"/>
                <w:lang w:val="en-GB"/>
              </w:rPr>
              <w:t>Domestic child labour is “invisible work” because it takes place inside the home without any system of supervision.  Many of the girls live isolated lives and have serious health problems and problems of self-esteem, for they have no opportunity to share their lives with other girls like themselves.</w:t>
            </w:r>
          </w:p>
          <w:p w:rsidR="00000000" w:rsidRDefault="00000000">
            <w:pPr>
              <w:spacing w:before="80" w:after="80"/>
              <w:ind w:left="113" w:right="113"/>
              <w:rPr>
                <w:snapToGrid w:val="0"/>
                <w:sz w:val="20"/>
                <w:lang w:val="es-ES" w:eastAsia="en-US"/>
              </w:rPr>
            </w:pPr>
            <w:r>
              <w:rPr>
                <w:sz w:val="20"/>
                <w:lang w:val="en-GB"/>
              </w:rPr>
              <w:t>Many of the girls suffer discrimination, maltreatment and physical and verbal violence and they are at risk of  sexual abuse by one or more members of the employer family.  The long working days prevent them from studying.  They feel very alone and abandoned.  They grow up without any moral support or love.</w:t>
            </w:r>
          </w:p>
        </w:tc>
      </w:tr>
    </w:tbl>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171.</w:t>
      </w:r>
      <w:r>
        <w:rPr>
          <w:sz w:val="24"/>
          <w:lang w:val="en-GB"/>
        </w:rPr>
        <w:tab/>
        <w:t>MIMDES operates a street teachers programme whose target population includes not only child workers but also children who live in the street.</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172.</w:t>
      </w:r>
      <w:r>
        <w:rPr>
          <w:sz w:val="24"/>
          <w:lang w:val="en-GB"/>
        </w:rPr>
        <w:tab/>
        <w:t>The main objective with these children is to prevent their involvement in work which impedes their integrated development.  The programme encourages them to resume their education by helping them to enrol in school and providing support.  MIMDES also runs services to help children change their jobs or rejoin their families and to support them in legal cases of child protection.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422"/>
      </w:tblGrid>
      <w:tr w:rsidR="00000000">
        <w:tblPrEx>
          <w:tblCellMar>
            <w:top w:w="0" w:type="dxa"/>
            <w:bottom w:w="0" w:type="dxa"/>
          </w:tblCellMar>
        </w:tblPrEx>
        <w:trPr>
          <w:jc w:val="center"/>
        </w:trPr>
        <w:tc>
          <w:tcPr>
            <w:tcW w:w="8522" w:type="dxa"/>
          </w:tcPr>
          <w:p w:rsidR="00000000" w:rsidRDefault="00000000">
            <w:pPr>
              <w:tabs>
                <w:tab w:val="clear" w:pos="720"/>
              </w:tabs>
              <w:spacing w:before="240" w:after="240"/>
              <w:ind w:left="284" w:right="284"/>
              <w:jc w:val="center"/>
              <w:rPr>
                <w:sz w:val="20"/>
                <w:lang w:val="en-GB"/>
              </w:rPr>
            </w:pPr>
            <w:r>
              <w:rPr>
                <w:b/>
                <w:sz w:val="20"/>
                <w:lang w:val="en-GB"/>
              </w:rPr>
              <w:t>Child labour network</w:t>
            </w:r>
          </w:p>
          <w:p w:rsidR="00000000" w:rsidRDefault="00000000">
            <w:pPr>
              <w:tabs>
                <w:tab w:val="clear" w:pos="720"/>
              </w:tabs>
              <w:spacing w:before="120" w:after="240"/>
              <w:ind w:left="284" w:right="284"/>
              <w:jc w:val="left"/>
              <w:rPr>
                <w:sz w:val="20"/>
                <w:lang w:val="en-GB"/>
              </w:rPr>
            </w:pPr>
            <w:r>
              <w:rPr>
                <w:sz w:val="20"/>
                <w:lang w:val="en-GB"/>
              </w:rPr>
              <w:t>This Network came into being following the signature of a memorandum of understanding between the Government of Peru and ILO on the implementation at the national level of measures for the gradual elimination of child labour.  The National Steering Committee for the Elimination of Child Labour and Protection of Child Workers was established by Supreme Resolution No. 059-97-PROMUDEH.</w:t>
            </w:r>
          </w:p>
          <w:p w:rsidR="00000000" w:rsidRDefault="00000000">
            <w:pPr>
              <w:tabs>
                <w:tab w:val="clear" w:pos="720"/>
              </w:tabs>
              <w:spacing w:before="120" w:after="240"/>
              <w:ind w:left="284" w:right="284"/>
              <w:jc w:val="left"/>
              <w:rPr>
                <w:sz w:val="20"/>
                <w:lang w:val="en-GB"/>
              </w:rPr>
            </w:pPr>
            <w:r>
              <w:rPr>
                <w:sz w:val="20"/>
                <w:lang w:val="en-GB"/>
              </w:rPr>
              <w:t>The Network is made up of representatives of various organs of the State, including the Ministry for Women and Social Development, the Ministry of Labour and Job Creation, the Ministry of Health, the Ministry of Education, the Ministry of the Economy and Finance, the Ministry of Energy and Mines, the Ministry of the Interior, the National Institute for Statistics and Information, the Office of the Attorney-General, and the Judiciary, as well as representatives of international cooperation agencies and civil society.</w:t>
            </w:r>
          </w:p>
          <w:p w:rsidR="00000000" w:rsidRDefault="00000000">
            <w:pPr>
              <w:tabs>
                <w:tab w:val="clear" w:pos="720"/>
              </w:tabs>
              <w:spacing w:before="120" w:after="240"/>
              <w:ind w:left="284" w:right="284"/>
              <w:jc w:val="left"/>
              <w:rPr>
                <w:sz w:val="20"/>
                <w:lang w:val="en-GB"/>
              </w:rPr>
            </w:pPr>
            <w:r>
              <w:rPr>
                <w:b/>
                <w:sz w:val="20"/>
                <w:lang w:val="en-GB"/>
              </w:rPr>
              <w:t>Objective</w:t>
            </w:r>
          </w:p>
          <w:p w:rsidR="00000000" w:rsidRDefault="00000000">
            <w:pPr>
              <w:tabs>
                <w:tab w:val="clear" w:pos="720"/>
              </w:tabs>
              <w:spacing w:before="120" w:after="240"/>
              <w:ind w:left="284" w:right="284"/>
              <w:jc w:val="left"/>
              <w:rPr>
                <w:sz w:val="20"/>
                <w:lang w:val="en-GB"/>
              </w:rPr>
            </w:pPr>
            <w:r>
              <w:rPr>
                <w:sz w:val="20"/>
                <w:lang w:val="en-GB"/>
              </w:rPr>
              <w:t>To propose policies, regulations and measures designed to prevent the recruitment of child labour and secure its gradual elimination by promoting respect for and the exercise of children’s rights, and to protect working children by mobilizing society and raising its awareness through the implementation of coordinated measures to encourage the participation of the various social actors.</w:t>
            </w:r>
          </w:p>
        </w:tc>
      </w:tr>
    </w:tbl>
    <w:p w:rsidR="00000000" w:rsidRDefault="00000000">
      <w:pPr>
        <w:tabs>
          <w:tab w:val="clear" w:pos="720"/>
        </w:tabs>
        <w:jc w:val="left"/>
        <w:rPr>
          <w:sz w:val="24"/>
          <w:lang w:val="en-GB"/>
        </w:rPr>
      </w:pPr>
    </w:p>
    <w:p w:rsidR="00000000" w:rsidRDefault="00000000">
      <w:pPr>
        <w:tabs>
          <w:tab w:val="clear" w:pos="720"/>
        </w:tabs>
        <w:jc w:val="left"/>
        <w:rPr>
          <w:sz w:val="24"/>
          <w:lang w:val="en-GB"/>
        </w:rPr>
      </w:pPr>
    </w:p>
    <w:p w:rsidR="00000000" w:rsidRDefault="00000000">
      <w:pPr>
        <w:tabs>
          <w:tab w:val="clear" w:pos="720"/>
        </w:tabs>
        <w:ind w:firstLine="567"/>
        <w:jc w:val="left"/>
        <w:rPr>
          <w:sz w:val="24"/>
          <w:lang w:val="en-GB"/>
        </w:rPr>
      </w:pPr>
      <w:r>
        <w:rPr>
          <w:b/>
          <w:sz w:val="24"/>
          <w:lang w:val="en-GB"/>
        </w:rPr>
        <w:t>Children deprived of a family environment</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173.</w:t>
      </w:r>
      <w:r>
        <w:rPr>
          <w:sz w:val="24"/>
          <w:lang w:val="en-GB"/>
        </w:rPr>
        <w:tab/>
        <w:t>Although 2,272 children were adopted in the period 1993-2002</w:t>
      </w:r>
      <w:r>
        <w:rPr>
          <w:rStyle w:val="FootnoteReference"/>
          <w:b/>
          <w:sz w:val="24"/>
          <w:lang w:val="en-GB"/>
        </w:rPr>
        <w:footnoteReference w:customMarkFollows="1" w:id="77"/>
        <w:t>77</w:t>
      </w:r>
      <w:r>
        <w:rPr>
          <w:sz w:val="24"/>
          <w:lang w:val="en-GB"/>
        </w:rPr>
        <w:t xml:space="preserve"> under the Adoptions (Administrative Procedures) Act, which regulates the adoption of children declared by a court to be abandoned (Act No. 26081 of 1998), weaknesses persist in the implementation of a national programme offering, with broad powers to act of its own motion, a solution to the problem of orphaned children and children declared abandoned.</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174.</w:t>
      </w:r>
      <w:r>
        <w:rPr>
          <w:sz w:val="24"/>
          <w:lang w:val="en-GB"/>
        </w:rPr>
        <w:tab/>
        <w:t>Some eight per cent of the country’s households have among their members a child living with the family as an “adopted” child; these are children who do not live with either of their biological parents even if they are alive.  The figure is higher in rural areas (nine per cent) than in urban areas (seven per cent).</w:t>
      </w:r>
      <w:r>
        <w:rPr>
          <w:rStyle w:val="FootnoteReference"/>
          <w:b/>
          <w:sz w:val="24"/>
          <w:lang w:val="en-GB"/>
        </w:rPr>
        <w:footnoteReference w:customMarkFollows="1" w:id="78"/>
        <w:t>78</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175.</w:t>
      </w:r>
      <w:r>
        <w:rPr>
          <w:sz w:val="24"/>
          <w:lang w:val="en-GB"/>
        </w:rPr>
        <w:tab/>
        <w:t>Some of the shelters responsible for taking in abandoned or neglected children are in a poor state, while others are full to capacity; this means that many of these children wander the streets and squares, suffering permanent violation of their rights, including the most basic ones.  Furthermore, there hardly any special shelters for disabled children.</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176.</w:t>
      </w:r>
      <w:r>
        <w:rPr>
          <w:sz w:val="24"/>
          <w:lang w:val="en-GB"/>
        </w:rPr>
        <w:tab/>
        <w:t>There is a need for regulations to govern the operation of these shelters and for a public agency capable of ensuring proper monitoring, with participation by the community.</w:t>
      </w:r>
    </w:p>
    <w:p w:rsidR="00000000" w:rsidRDefault="00000000">
      <w:pPr>
        <w:tabs>
          <w:tab w:val="clear" w:pos="720"/>
        </w:tabs>
        <w:jc w:val="left"/>
        <w:rPr>
          <w:sz w:val="24"/>
          <w:lang w:val="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422"/>
      </w:tblGrid>
      <w:tr w:rsidR="00000000">
        <w:tblPrEx>
          <w:tblCellMar>
            <w:top w:w="0" w:type="dxa"/>
            <w:bottom w:w="0" w:type="dxa"/>
          </w:tblCellMar>
        </w:tblPrEx>
        <w:tc>
          <w:tcPr>
            <w:tcW w:w="8522" w:type="dxa"/>
          </w:tcPr>
          <w:p w:rsidR="00000000" w:rsidRDefault="00000000">
            <w:pPr>
              <w:keepNext/>
              <w:tabs>
                <w:tab w:val="clear" w:pos="720"/>
              </w:tabs>
              <w:spacing w:before="240" w:after="200"/>
              <w:ind w:left="284" w:right="284"/>
              <w:jc w:val="center"/>
              <w:rPr>
                <w:sz w:val="20"/>
                <w:lang w:val="en-GB"/>
              </w:rPr>
            </w:pPr>
            <w:r>
              <w:rPr>
                <w:b/>
                <w:sz w:val="20"/>
                <w:lang w:val="en-GB"/>
              </w:rPr>
              <w:t>National secretariat for adoptions (SNA)</w:t>
            </w:r>
          </w:p>
          <w:p w:rsidR="00000000" w:rsidRDefault="00000000">
            <w:pPr>
              <w:keepNext/>
              <w:tabs>
                <w:tab w:val="clear" w:pos="720"/>
              </w:tabs>
              <w:spacing w:before="120" w:after="200"/>
              <w:ind w:left="284" w:right="284"/>
              <w:jc w:val="left"/>
              <w:rPr>
                <w:sz w:val="20"/>
                <w:lang w:val="en-GB"/>
              </w:rPr>
            </w:pPr>
            <w:r>
              <w:rPr>
                <w:sz w:val="20"/>
                <w:lang w:val="en-GB"/>
              </w:rPr>
              <w:t>The past experience of the institutions responsible for the national adoptions programme pointed to the need to incorporate adoptions in a global policy for children and the family which put an end once and for all to the domination of the interests of individuals over the interests of children.  Accordingly, this year is seeing the creation of the National Secretariat for Adoptions as the central executive authority for adoptions charged with establishing an efficient national adoptions system.</w:t>
            </w:r>
          </w:p>
          <w:p w:rsidR="00000000" w:rsidRDefault="00000000">
            <w:pPr>
              <w:keepNext/>
              <w:tabs>
                <w:tab w:val="clear" w:pos="720"/>
              </w:tabs>
              <w:spacing w:before="120" w:after="200"/>
              <w:ind w:left="284" w:right="284"/>
              <w:jc w:val="left"/>
              <w:rPr>
                <w:sz w:val="20"/>
                <w:lang w:val="en-GB"/>
              </w:rPr>
            </w:pPr>
            <w:r>
              <w:rPr>
                <w:sz w:val="20"/>
                <w:lang w:val="en-GB"/>
              </w:rPr>
              <w:t>At present the Secretariat has 10 local adoptions offices located throughout the country in the departments of Arequipa, Ayacucho, Cuzco, Huánuco, Lambayeque, La Libertad, Moquegua, Loreto, Piura and Puno; a further 13 local offices are needed to complete the coverage of the adoptions system.  However, the Adoptions Office has six tutelary investigators: two are assigned to the Eleventh and Thirteenth Family Courts in Lima, one to the family courts in the Northern Cone, one to the basic-module courts in Ventanilla, El Agustino and Villa María del Triunfo, and two to cases conducted in the provinces where there are no local adoptions offices.</w:t>
            </w:r>
          </w:p>
          <w:p w:rsidR="00000000" w:rsidRDefault="00000000">
            <w:pPr>
              <w:tabs>
                <w:tab w:val="clear" w:pos="720"/>
              </w:tabs>
              <w:spacing w:before="120" w:after="200"/>
              <w:ind w:left="284" w:right="284"/>
              <w:jc w:val="left"/>
              <w:rPr>
                <w:sz w:val="20"/>
                <w:lang w:val="en-GB"/>
              </w:rPr>
            </w:pPr>
            <w:r>
              <w:rPr>
                <w:sz w:val="20"/>
                <w:lang w:val="en-GB"/>
              </w:rPr>
              <w:t>In general terms, there no adequate arrangements for dealing with children at risk, and there have even been cases of a shelter housing juvenile offenders alongside children having no association with crime.</w:t>
            </w:r>
          </w:p>
          <w:p w:rsidR="00000000" w:rsidRDefault="00000000">
            <w:pPr>
              <w:tabs>
                <w:tab w:val="clear" w:pos="720"/>
              </w:tabs>
              <w:spacing w:before="120" w:after="200"/>
              <w:ind w:left="284" w:right="284"/>
              <w:jc w:val="left"/>
              <w:rPr>
                <w:sz w:val="20"/>
                <w:lang w:val="en-GB"/>
              </w:rPr>
            </w:pPr>
            <w:r>
              <w:rPr>
                <w:sz w:val="20"/>
                <w:lang w:val="en-GB"/>
              </w:rPr>
              <w:t>The number of children living in institutions is not known precisely, but the centres run by the National Family Welfare Institute (INABIF) and the Foundation for the Children of Peru are estimated to house 3,982 children nationwide.</w:t>
            </w:r>
            <w:r>
              <w:rPr>
                <w:rStyle w:val="FootnoteReference"/>
                <w:b/>
                <w:sz w:val="24"/>
                <w:lang w:val="en-GB"/>
              </w:rPr>
              <w:footnoteReference w:customMarkFollows="1" w:id="79"/>
              <w:t>79</w:t>
            </w:r>
          </w:p>
        </w:tc>
      </w:tr>
    </w:tbl>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177.</w:t>
      </w:r>
      <w:r>
        <w:rPr>
          <w:sz w:val="24"/>
          <w:lang w:val="en-GB"/>
        </w:rPr>
        <w:tab/>
        <w:t xml:space="preserve">The </w:t>
      </w:r>
      <w:r>
        <w:rPr>
          <w:bCs/>
          <w:sz w:val="24"/>
          <w:lang w:val="en-GB"/>
        </w:rPr>
        <w:t xml:space="preserve">National Family Welfare Institute (INABIF) </w:t>
      </w:r>
      <w:r>
        <w:rPr>
          <w:sz w:val="24"/>
          <w:lang w:val="en-GB"/>
        </w:rPr>
        <w:t>is the public agency responsible for planning, proposing, managing, implementing and evaluating family welfare policies and for ensuring that priority is given to children at risk in accordance with the sectoral policy, the provisions of the Constitution, and the purposes of the State in establishing the present legislation.  It has the following divisions:</w:t>
      </w:r>
    </w:p>
    <w:p w:rsidR="00000000" w:rsidRDefault="00000000">
      <w:pPr>
        <w:tabs>
          <w:tab w:val="clear" w:pos="720"/>
        </w:tabs>
        <w:jc w:val="left"/>
        <w:rPr>
          <w:sz w:val="24"/>
          <w:lang w:val="en-GB"/>
        </w:rPr>
      </w:pPr>
    </w:p>
    <w:p w:rsidR="00000000" w:rsidRDefault="00000000">
      <w:pPr>
        <w:tabs>
          <w:tab w:val="clear" w:pos="720"/>
        </w:tabs>
        <w:ind w:firstLine="567"/>
        <w:jc w:val="left"/>
        <w:rPr>
          <w:i/>
          <w:iCs/>
          <w:sz w:val="24"/>
          <w:lang w:val="en-GB"/>
        </w:rPr>
      </w:pPr>
      <w:r>
        <w:rPr>
          <w:b/>
          <w:i/>
          <w:iCs/>
          <w:sz w:val="24"/>
          <w:lang w:val="en-GB"/>
        </w:rPr>
        <w:t>Comprehensive Protection Division</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178.</w:t>
      </w:r>
      <w:r>
        <w:rPr>
          <w:sz w:val="24"/>
          <w:lang w:val="en-GB"/>
        </w:rPr>
        <w:tab/>
        <w:t>This Division is one of the two line agencies of INABIF and as such is responsible for planning, coordinating, implementing, managing, supervising and evaluating programmes and measures for the personal training and family and social integration of children who are at risk owing to their state of material abandonment and/or moral danger.  Such children are catered for by 35 operational units (25 children’s homes and 10 children’s centres) and in 23 zones and 104 sub-zones of intervention at the national level, where assistance is rendered to working children and street children in 102 referral and care centres.</w:t>
      </w:r>
    </w:p>
    <w:p w:rsidR="00000000" w:rsidRDefault="00000000">
      <w:pPr>
        <w:tabs>
          <w:tab w:val="clear" w:pos="720"/>
        </w:tabs>
        <w:jc w:val="left"/>
        <w:rPr>
          <w:sz w:val="24"/>
          <w:lang w:val="en-GB"/>
        </w:rPr>
      </w:pPr>
    </w:p>
    <w:p w:rsidR="00000000" w:rsidRDefault="00000000">
      <w:pPr>
        <w:tabs>
          <w:tab w:val="clear" w:pos="720"/>
        </w:tabs>
        <w:ind w:firstLine="567"/>
        <w:jc w:val="left"/>
        <w:rPr>
          <w:i/>
          <w:sz w:val="24"/>
          <w:lang w:val="en-GB"/>
        </w:rPr>
      </w:pPr>
      <w:r>
        <w:rPr>
          <w:i/>
          <w:sz w:val="24"/>
          <w:lang w:val="en-GB"/>
        </w:rPr>
        <w:t>Operational policy</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178.</w:t>
      </w:r>
      <w:r>
        <w:rPr>
          <w:sz w:val="24"/>
          <w:lang w:val="en-GB"/>
        </w:rPr>
        <w:tab/>
        <w:t>The operational policy is carried out by street teachers in the locations where working children and street children are found.</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179.</w:t>
      </w:r>
      <w:r>
        <w:rPr>
          <w:sz w:val="24"/>
          <w:lang w:val="en-GB"/>
        </w:rPr>
        <w:tab/>
        <w:t>These activities are carried on in markets and the streets and in mines, quarries and brickworks and other places where the work is hazardous or is performed in hazardous conditions, such as work in the early hours of the morning, mining, small-scale manufacture of bricks, fish filleting, refuse collection, etc.</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180.</w:t>
      </w:r>
      <w:r>
        <w:rPr>
          <w:sz w:val="24"/>
          <w:lang w:val="en-GB"/>
        </w:rPr>
        <w:tab/>
        <w:t>The objective is “to contribute to the integrated development of working children and street children by means of unconventional training imparted by street teachers”.</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181.</w:t>
      </w:r>
      <w:r>
        <w:rPr>
          <w:sz w:val="24"/>
          <w:lang w:val="en-GB"/>
        </w:rPr>
        <w:tab/>
        <w:t>All the work with these children is organized into three stages, through which the children advance as they show some signs of progress.</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182.</w:t>
      </w:r>
      <w:r>
        <w:rPr>
          <w:sz w:val="24"/>
          <w:lang w:val="en-GB"/>
        </w:rPr>
        <w:tab/>
        <w:t>Although the children are the direct beneficiaries, work is also done from the outset with families and grass-roots institutions with a view to creating a network of social support to guarantee the sustainability of the results achieved by the teaching work.</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p>
    <w:p w:rsidR="00000000" w:rsidRDefault="00000000">
      <w:pPr>
        <w:tabs>
          <w:tab w:val="clear" w:pos="720"/>
        </w:tabs>
        <w:jc w:val="center"/>
        <w:rPr>
          <w:sz w:val="24"/>
          <w:lang w:val="en-GB"/>
        </w:rPr>
      </w:pPr>
      <w:r>
        <w:rPr>
          <w:noProof/>
          <w:sz w:val="20"/>
          <w:lang w:eastAsia="fr-FR"/>
        </w:rPr>
        <w:pict>
          <v:shape id="_x0000_s1112" type="#_x0000_t202" style="position:absolute;left:0;text-align:left;margin-left:171.95pt;margin-top:8.9pt;width:126pt;height:27pt;z-index:46" stroked="f">
            <v:textbox inset="0,0,0,0">
              <w:txbxContent>
                <w:p w:rsidR="00000000" w:rsidRDefault="00000000">
                  <w:pPr>
                    <w:jc w:val="center"/>
                    <w:rPr>
                      <w:sz w:val="18"/>
                      <w:lang w:val="en-GB"/>
                    </w:rPr>
                  </w:pPr>
                  <w:r>
                    <w:rPr>
                      <w:b/>
                      <w:sz w:val="20"/>
                      <w:lang w:val="en-GB"/>
                    </w:rPr>
                    <w:t>Location of centres throughout the country</w:t>
                  </w:r>
                </w:p>
              </w:txbxContent>
            </v:textbox>
          </v:shape>
        </w:pict>
      </w:r>
      <w:r>
        <w:pict>
          <v:shape id="_x0000_i1030" type="#_x0000_t75" style="width:179.25pt;height:233.25pt" o:allowoverlap="f">
            <v:imagedata r:id="rId21" o:title="mapa 2"/>
          </v:shape>
        </w:pic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p>
    <w:p w:rsidR="00000000" w:rsidRDefault="00000000">
      <w:pPr>
        <w:tabs>
          <w:tab w:val="clear" w:pos="720"/>
        </w:tabs>
        <w:ind w:firstLine="567"/>
        <w:jc w:val="left"/>
        <w:rPr>
          <w:i/>
          <w:sz w:val="24"/>
          <w:lang w:val="en-GB"/>
        </w:rPr>
      </w:pPr>
      <w:r>
        <w:rPr>
          <w:i/>
          <w:sz w:val="24"/>
          <w:lang w:val="en-GB"/>
        </w:rPr>
        <w:t>Operational protection policy</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183.</w:t>
      </w:r>
      <w:r>
        <w:rPr>
          <w:sz w:val="24"/>
          <w:lang w:val="en-GB"/>
        </w:rPr>
        <w:tab/>
        <w:t>This policy is executed by children’s homes in closed or semi-open facilities housing children who have been physically, materially or morally abandoned and is designed to provide them with a protected environment which will foster their personal and social development.  The method of operation in the homes is divided into four stages and is designed to secure the children’s reintegration in their families and/or communities by means of personal training and work with the families themselves.</w:t>
      </w:r>
    </w:p>
    <w:p w:rsidR="00000000" w:rsidRDefault="00000000">
      <w:pPr>
        <w:tabs>
          <w:tab w:val="clear" w:pos="720"/>
        </w:tabs>
        <w:jc w:val="left"/>
        <w:rPr>
          <w:sz w:val="24"/>
          <w:lang w:val="en-GB"/>
        </w:rPr>
      </w:pPr>
    </w:p>
    <w:p w:rsidR="00000000" w:rsidRDefault="00000000">
      <w:pPr>
        <w:tabs>
          <w:tab w:val="clear" w:pos="720"/>
        </w:tabs>
        <w:ind w:firstLine="567"/>
        <w:jc w:val="left"/>
        <w:rPr>
          <w:i/>
          <w:iCs/>
          <w:sz w:val="24"/>
          <w:lang w:val="en-GB"/>
        </w:rPr>
      </w:pPr>
      <w:r>
        <w:rPr>
          <w:b/>
          <w:i/>
          <w:iCs/>
          <w:sz w:val="24"/>
          <w:lang w:val="en-GB"/>
        </w:rPr>
        <w:t>Family Support Division</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184.</w:t>
      </w:r>
      <w:r>
        <w:rPr>
          <w:sz w:val="24"/>
          <w:lang w:val="en-GB"/>
        </w:rPr>
        <w:tab/>
        <w:t>This Division is the INBIF line agency responsible for promoting, managing and supervising the preventive and support work with families living in poverty or at social risk by means of programmes for the promotion of human development and family integration and training to generate income to help to improve the quality of life.</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185.</w:t>
      </w:r>
      <w:r>
        <w:rPr>
          <w:sz w:val="24"/>
          <w:lang w:val="en-GB"/>
        </w:rPr>
        <w:tab/>
        <w:t xml:space="preserve">The </w:t>
      </w:r>
      <w:r>
        <w:rPr>
          <w:b/>
          <w:sz w:val="24"/>
          <w:lang w:val="en-GB"/>
        </w:rPr>
        <w:t>target population</w:t>
      </w:r>
      <w:r>
        <w:rPr>
          <w:sz w:val="24"/>
          <w:lang w:val="en-GB"/>
        </w:rPr>
        <w:t xml:space="preserve"> consists of children, young people, women, adults and old people living in poverty or in situations of social risk in urban, marginal urban and rural areas.</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186.</w:t>
      </w:r>
      <w:r>
        <w:rPr>
          <w:sz w:val="24"/>
          <w:lang w:val="en-GB"/>
        </w:rPr>
        <w:tab/>
        <w:t xml:space="preserve">The Division has the following </w:t>
      </w:r>
      <w:r>
        <w:rPr>
          <w:b/>
          <w:sz w:val="24"/>
          <w:lang w:val="en-GB"/>
        </w:rPr>
        <w:t>policies</w:t>
      </w:r>
      <w:r>
        <w:rPr>
          <w:sz w:val="24"/>
          <w:lang w:val="en-GB"/>
        </w:rPr>
        <w:t>:</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ab/>
        <w:t>(a)</w:t>
      </w:r>
      <w:r>
        <w:rPr>
          <w:sz w:val="24"/>
          <w:lang w:val="en-GB"/>
        </w:rPr>
        <w:tab/>
        <w:t>To promote human development;</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ab/>
        <w:t>(b)</w:t>
      </w:r>
      <w:r>
        <w:rPr>
          <w:sz w:val="24"/>
          <w:lang w:val="en-GB"/>
        </w:rPr>
        <w:tab/>
        <w:t>To promote family integration;</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ab/>
        <w:t>(b)</w:t>
      </w:r>
      <w:r>
        <w:rPr>
          <w:sz w:val="24"/>
          <w:lang w:val="en-GB"/>
        </w:rPr>
        <w:tab/>
        <w:t>To provide training for income generation.</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187.</w:t>
      </w:r>
      <w:r>
        <w:rPr>
          <w:sz w:val="24"/>
          <w:lang w:val="en-GB"/>
        </w:rPr>
        <w:tab/>
        <w:t xml:space="preserve">The </w:t>
      </w:r>
      <w:r>
        <w:rPr>
          <w:b/>
          <w:i/>
          <w:iCs/>
          <w:sz w:val="24"/>
          <w:lang w:val="en-GB"/>
        </w:rPr>
        <w:t>general objective</w:t>
      </w:r>
      <w:r>
        <w:rPr>
          <w:i/>
          <w:iCs/>
          <w:sz w:val="24"/>
          <w:lang w:val="en-GB"/>
        </w:rPr>
        <w:t xml:space="preserve"> </w:t>
      </w:r>
      <w:r>
        <w:rPr>
          <w:sz w:val="24"/>
          <w:lang w:val="en-GB"/>
        </w:rPr>
        <w:t>is to help to improve the quality of life of the target population by means of preventive and promotional measures to foster integrated development, gender equity and equality of opportunities.</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188.</w:t>
      </w:r>
      <w:r>
        <w:rPr>
          <w:sz w:val="24"/>
          <w:lang w:val="en-GB"/>
        </w:rPr>
        <w:tab/>
        <w:t xml:space="preserve">The </w:t>
      </w:r>
      <w:r>
        <w:rPr>
          <w:b/>
          <w:i/>
          <w:iCs/>
          <w:sz w:val="24"/>
          <w:lang w:val="en-GB"/>
        </w:rPr>
        <w:t>family support centres</w:t>
      </w:r>
      <w:r>
        <w:rPr>
          <w:sz w:val="24"/>
          <w:lang w:val="en-GB"/>
        </w:rPr>
        <w:t xml:space="preserve"> are housed in premises which are owned by INABIF or which it is allowed to use in marginal urban and rural areas, where it furnishes services for people living in poverty or at social risk.</w:t>
      </w:r>
    </w:p>
    <w:p w:rsidR="00000000" w:rsidRDefault="00000000">
      <w:pPr>
        <w:tabs>
          <w:tab w:val="clear" w:pos="720"/>
        </w:tabs>
        <w:jc w:val="left"/>
        <w:rPr>
          <w:sz w:val="24"/>
          <w:lang w:val="en-GB"/>
        </w:rPr>
      </w:pPr>
    </w:p>
    <w:p w:rsidR="00000000" w:rsidRDefault="00000000">
      <w:pPr>
        <w:tabs>
          <w:tab w:val="clear" w:pos="720"/>
        </w:tabs>
        <w:jc w:val="left"/>
        <w:rPr>
          <w:i/>
          <w:sz w:val="24"/>
          <w:lang w:val="en-GB"/>
        </w:rPr>
      </w:pPr>
      <w:r>
        <w:rPr>
          <w:sz w:val="24"/>
          <w:lang w:val="en-GB"/>
        </w:rPr>
        <w:t>189.</w:t>
      </w:r>
      <w:r>
        <w:rPr>
          <w:sz w:val="24"/>
          <w:lang w:val="en-GB"/>
        </w:rPr>
        <w:tab/>
        <w:t xml:space="preserve">The </w:t>
      </w:r>
      <w:r>
        <w:rPr>
          <w:b/>
          <w:i/>
          <w:iCs/>
          <w:sz w:val="24"/>
          <w:lang w:val="en-GB"/>
        </w:rPr>
        <w:t>community centres</w:t>
      </w:r>
      <w:r>
        <w:rPr>
          <w:i/>
          <w:iCs/>
          <w:sz w:val="24"/>
          <w:lang w:val="en-GB"/>
        </w:rPr>
        <w:t xml:space="preserve"> </w:t>
      </w:r>
      <w:r>
        <w:rPr>
          <w:sz w:val="24"/>
          <w:lang w:val="en-GB"/>
        </w:rPr>
        <w:t>are housed in premises in the community, where INABIF carries out a programme of social measures to improve the people’s quality of life by encouraging self-management and active participation by grass-roots organizations in the solution of their immediate problems.  The work is focused mainly on services for children.</w:t>
      </w:r>
    </w:p>
    <w:p w:rsidR="00000000" w:rsidRDefault="00000000">
      <w:pPr>
        <w:tabs>
          <w:tab w:val="clear" w:pos="720"/>
        </w:tabs>
        <w:jc w:val="left"/>
        <w:rPr>
          <w:sz w:val="24"/>
          <w:lang w:val="en-GB"/>
        </w:rPr>
      </w:pPr>
    </w:p>
    <w:p w:rsidR="00000000" w:rsidRDefault="00000000">
      <w:pPr>
        <w:tabs>
          <w:tab w:val="clear" w:pos="720"/>
        </w:tabs>
        <w:ind w:firstLine="567"/>
        <w:jc w:val="left"/>
        <w:rPr>
          <w:i/>
          <w:iCs/>
          <w:sz w:val="24"/>
          <w:lang w:val="en-GB"/>
        </w:rPr>
      </w:pPr>
      <w:r>
        <w:rPr>
          <w:b/>
          <w:i/>
          <w:iCs/>
          <w:sz w:val="24"/>
          <w:lang w:val="en-GB"/>
        </w:rPr>
        <w:t>Population at Risk Division</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190.</w:t>
      </w:r>
      <w:r>
        <w:rPr>
          <w:sz w:val="24"/>
          <w:lang w:val="en-GB"/>
        </w:rPr>
        <w:tab/>
        <w:t>The main aim is to coordinate the public welfare associations (SBP) and social participation boards (JPS).  These associations and boards provide assistance in the following modes, in accordance with their statutory purposes:</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ab/>
        <w:t>(a)</w:t>
      </w:r>
      <w:r>
        <w:rPr>
          <w:sz w:val="24"/>
          <w:lang w:val="en-GB"/>
        </w:rPr>
        <w:tab/>
        <w:t>Food aid is provided through the canteens for children, adults and old people;</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ab/>
        <w:t>(b)</w:t>
      </w:r>
      <w:r>
        <w:rPr>
          <w:sz w:val="24"/>
          <w:lang w:val="en-GB"/>
        </w:rPr>
        <w:tab/>
        <w:t>Health care is furnished in medical consultation offices and/or treatment centres;</w:t>
      </w:r>
    </w:p>
    <w:p w:rsidR="00000000" w:rsidRDefault="00000000">
      <w:pPr>
        <w:tabs>
          <w:tab w:val="clear" w:pos="720"/>
        </w:tabs>
        <w:jc w:val="left"/>
        <w:rPr>
          <w:sz w:val="24"/>
          <w:lang w:val="en-GB"/>
        </w:rPr>
      </w:pPr>
    </w:p>
    <w:p w:rsidR="00000000" w:rsidRDefault="00000000">
      <w:pPr>
        <w:tabs>
          <w:tab w:val="clear" w:pos="720"/>
        </w:tabs>
        <w:ind w:left="1134" w:hanging="1134"/>
        <w:jc w:val="left"/>
        <w:rPr>
          <w:sz w:val="24"/>
          <w:lang w:val="en-GB"/>
        </w:rPr>
      </w:pPr>
      <w:r>
        <w:rPr>
          <w:sz w:val="24"/>
          <w:lang w:val="en-GB"/>
        </w:rPr>
        <w:tab/>
        <w:t>(c)</w:t>
      </w:r>
      <w:r>
        <w:rPr>
          <w:sz w:val="24"/>
          <w:lang w:val="en-GB"/>
        </w:rPr>
        <w:tab/>
        <w:t>Educational work is performed in nurseries, kindergartens and other children’s institutions;</w:t>
      </w:r>
    </w:p>
    <w:p w:rsidR="00000000" w:rsidRDefault="00000000">
      <w:pPr>
        <w:tabs>
          <w:tab w:val="clear" w:pos="720"/>
        </w:tabs>
        <w:jc w:val="left"/>
        <w:rPr>
          <w:sz w:val="24"/>
          <w:lang w:val="en-GB"/>
        </w:rPr>
      </w:pPr>
    </w:p>
    <w:p w:rsidR="00000000" w:rsidRDefault="00000000">
      <w:pPr>
        <w:tabs>
          <w:tab w:val="clear" w:pos="720"/>
        </w:tabs>
        <w:ind w:left="1134" w:hanging="1134"/>
        <w:jc w:val="left"/>
        <w:rPr>
          <w:sz w:val="24"/>
          <w:lang w:val="en-GB"/>
        </w:rPr>
      </w:pPr>
      <w:r>
        <w:rPr>
          <w:sz w:val="24"/>
          <w:lang w:val="en-GB"/>
        </w:rPr>
        <w:tab/>
        <w:t>(d)</w:t>
      </w:r>
      <w:r>
        <w:rPr>
          <w:sz w:val="24"/>
          <w:lang w:val="en-GB"/>
        </w:rPr>
        <w:tab/>
        <w:t>Training is provided for children in children’s centres, shelters, dressmaking workshops, carpentry workshops, etc.;</w:t>
      </w:r>
    </w:p>
    <w:p w:rsidR="00000000" w:rsidRDefault="00000000">
      <w:pPr>
        <w:tabs>
          <w:tab w:val="clear" w:pos="720"/>
        </w:tabs>
        <w:jc w:val="left"/>
        <w:rPr>
          <w:sz w:val="24"/>
          <w:lang w:val="en-GB"/>
        </w:rPr>
      </w:pPr>
    </w:p>
    <w:p w:rsidR="00000000" w:rsidRDefault="00000000">
      <w:pPr>
        <w:tabs>
          <w:tab w:val="clear" w:pos="720"/>
        </w:tabs>
        <w:ind w:left="1134" w:hanging="1134"/>
        <w:jc w:val="left"/>
        <w:rPr>
          <w:sz w:val="24"/>
          <w:lang w:val="en-GB"/>
        </w:rPr>
      </w:pPr>
      <w:r>
        <w:rPr>
          <w:sz w:val="24"/>
          <w:lang w:val="en-GB"/>
        </w:rPr>
        <w:tab/>
        <w:t>(e)</w:t>
      </w:r>
      <w:r>
        <w:rPr>
          <w:sz w:val="24"/>
          <w:lang w:val="en-GB"/>
        </w:rPr>
        <w:tab/>
        <w:t>Assistance is provided for adults in children’s centres, shelters, dressmaking workshops, carpentry shops, etc.;</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ab/>
        <w:t>(f)</w:t>
      </w:r>
      <w:r>
        <w:rPr>
          <w:sz w:val="24"/>
          <w:lang w:val="en-GB"/>
        </w:rPr>
        <w:tab/>
        <w:t>Donation of cemetery niches, medicines, clothing, school kits, etc.</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191.</w:t>
      </w:r>
      <w:r>
        <w:rPr>
          <w:sz w:val="24"/>
          <w:lang w:val="en-GB"/>
        </w:rPr>
        <w:tab/>
        <w:t xml:space="preserve">The following table shows that the mode with the largest number of beneficiaries is </w:t>
      </w:r>
      <w:r>
        <w:rPr>
          <w:bCs/>
          <w:sz w:val="24"/>
          <w:lang w:val="en-GB"/>
        </w:rPr>
        <w:t>health care</w:t>
      </w:r>
      <w:r>
        <w:rPr>
          <w:sz w:val="24"/>
          <w:lang w:val="en-GB"/>
        </w:rPr>
        <w:t xml:space="preserve">, followed by </w:t>
      </w:r>
      <w:r>
        <w:rPr>
          <w:bCs/>
          <w:sz w:val="24"/>
          <w:lang w:val="en-GB"/>
        </w:rPr>
        <w:t xml:space="preserve">donations </w:t>
      </w:r>
      <w:r>
        <w:rPr>
          <w:sz w:val="24"/>
          <w:lang w:val="en-GB"/>
        </w:rPr>
        <w:t xml:space="preserve">and </w:t>
      </w:r>
      <w:r>
        <w:rPr>
          <w:bCs/>
          <w:sz w:val="24"/>
          <w:lang w:val="en-GB"/>
        </w:rPr>
        <w:t>food aid</w:t>
      </w:r>
      <w:r>
        <w:rPr>
          <w:sz w:val="24"/>
          <w:lang w:val="en-GB"/>
        </w:rPr>
        <w:t>; together they account for 92.8 per cent of the beneficiaries.</w:t>
      </w:r>
    </w:p>
    <w:p w:rsidR="00000000" w:rsidRDefault="00000000">
      <w:pPr>
        <w:tabs>
          <w:tab w:val="clear" w:pos="720"/>
        </w:tabs>
        <w:jc w:val="left"/>
        <w:rPr>
          <w:sz w:val="24"/>
          <w:lang w:val="en-GB"/>
        </w:rPr>
      </w:pPr>
    </w:p>
    <w:p w:rsidR="00000000" w:rsidRDefault="00000000">
      <w:pPr>
        <w:keepNext/>
        <w:tabs>
          <w:tab w:val="clear" w:pos="720"/>
        </w:tabs>
        <w:jc w:val="center"/>
        <w:rPr>
          <w:b/>
          <w:sz w:val="20"/>
          <w:lang w:val="en-GB"/>
        </w:rPr>
      </w:pPr>
      <w:r>
        <w:rPr>
          <w:b/>
          <w:sz w:val="20"/>
          <w:lang w:val="en-GB"/>
        </w:rPr>
        <w:t>Population catered to by the SPB and JPS, by mode of assistance</w:t>
      </w:r>
      <w:r>
        <w:rPr>
          <w:rStyle w:val="FootnoteReference"/>
          <w:b/>
          <w:bCs/>
          <w:sz w:val="24"/>
          <w:lang w:val="en-GB"/>
        </w:rPr>
        <w:footnoteReference w:customMarkFollows="1" w:id="80"/>
        <w:t>80</w:t>
      </w:r>
    </w:p>
    <w:p w:rsidR="00000000" w:rsidRDefault="00000000">
      <w:pPr>
        <w:keepNext/>
        <w:tabs>
          <w:tab w:val="clear" w:pos="720"/>
        </w:tabs>
        <w:jc w:val="left"/>
        <w:rPr>
          <w:b/>
          <w:sz w:val="20"/>
          <w:lang w:val="en-GB"/>
        </w:rPr>
      </w:pPr>
    </w:p>
    <w:tbl>
      <w:tblPr>
        <w:tblW w:w="0" w:type="auto"/>
        <w:jc w:val="center"/>
        <w:tblInd w:w="-1125" w:type="dxa"/>
        <w:tblLayout w:type="fixed"/>
        <w:tblCellMar>
          <w:left w:w="0" w:type="dxa"/>
          <w:right w:w="0" w:type="dxa"/>
        </w:tblCellMar>
        <w:tblLook w:val="0000" w:firstRow="0" w:lastRow="0" w:firstColumn="0" w:lastColumn="0" w:noHBand="0" w:noVBand="0"/>
      </w:tblPr>
      <w:tblGrid>
        <w:gridCol w:w="4193"/>
        <w:gridCol w:w="1620"/>
        <w:gridCol w:w="1557"/>
      </w:tblGrid>
      <w:tr w:rsidR="00000000">
        <w:tblPrEx>
          <w:tblCellMar>
            <w:top w:w="0" w:type="dxa"/>
            <w:left w:w="0" w:type="dxa"/>
            <w:bottom w:w="0" w:type="dxa"/>
            <w:right w:w="0" w:type="dxa"/>
          </w:tblCellMar>
        </w:tblPrEx>
        <w:trPr>
          <w:cantSplit/>
          <w:jc w:val="center"/>
        </w:trPr>
        <w:tc>
          <w:tcPr>
            <w:tcW w:w="4193" w:type="dxa"/>
            <w:tcBorders>
              <w:top w:val="single" w:sz="4" w:space="0" w:color="auto"/>
              <w:bottom w:val="single" w:sz="4" w:space="0" w:color="auto"/>
            </w:tcBorders>
          </w:tcPr>
          <w:p w:rsidR="00000000" w:rsidRDefault="00000000">
            <w:pPr>
              <w:keepNext/>
              <w:spacing w:before="80" w:after="80"/>
              <w:jc w:val="center"/>
              <w:rPr>
                <w:bCs/>
                <w:i/>
                <w:iCs/>
                <w:sz w:val="20"/>
                <w:lang w:val="en-GB"/>
              </w:rPr>
            </w:pPr>
            <w:r>
              <w:rPr>
                <w:bCs/>
                <w:i/>
                <w:iCs/>
                <w:sz w:val="20"/>
                <w:lang w:val="en-GB"/>
              </w:rPr>
              <w:t>Mode of attention</w:t>
            </w:r>
          </w:p>
        </w:tc>
        <w:tc>
          <w:tcPr>
            <w:tcW w:w="1620" w:type="dxa"/>
            <w:tcBorders>
              <w:top w:val="single" w:sz="4" w:space="0" w:color="auto"/>
              <w:bottom w:val="single" w:sz="4" w:space="0" w:color="auto"/>
            </w:tcBorders>
          </w:tcPr>
          <w:p w:rsidR="00000000" w:rsidRDefault="00000000">
            <w:pPr>
              <w:keepNext/>
              <w:spacing w:before="80" w:after="80"/>
              <w:jc w:val="center"/>
              <w:rPr>
                <w:bCs/>
                <w:i/>
                <w:iCs/>
                <w:sz w:val="20"/>
                <w:lang w:val="en-GB"/>
              </w:rPr>
            </w:pPr>
            <w:r>
              <w:rPr>
                <w:bCs/>
                <w:i/>
                <w:iCs/>
                <w:sz w:val="20"/>
                <w:lang w:val="en-GB"/>
              </w:rPr>
              <w:t>Beneficiaries</w:t>
            </w:r>
          </w:p>
        </w:tc>
        <w:tc>
          <w:tcPr>
            <w:tcW w:w="1557" w:type="dxa"/>
            <w:tcBorders>
              <w:top w:val="single" w:sz="4" w:space="0" w:color="auto"/>
              <w:bottom w:val="single" w:sz="4" w:space="0" w:color="auto"/>
            </w:tcBorders>
          </w:tcPr>
          <w:p w:rsidR="00000000" w:rsidRDefault="00000000">
            <w:pPr>
              <w:keepNext/>
              <w:spacing w:before="80" w:after="80"/>
              <w:jc w:val="center"/>
              <w:rPr>
                <w:bCs/>
                <w:i/>
                <w:iCs/>
                <w:sz w:val="20"/>
                <w:lang w:val="en-GB"/>
              </w:rPr>
            </w:pPr>
            <w:r>
              <w:rPr>
                <w:bCs/>
                <w:i/>
                <w:iCs/>
                <w:sz w:val="20"/>
                <w:lang w:val="en-GB"/>
              </w:rPr>
              <w:t>Percentage</w:t>
            </w:r>
          </w:p>
        </w:tc>
      </w:tr>
      <w:tr w:rsidR="00000000">
        <w:tblPrEx>
          <w:tblCellMar>
            <w:top w:w="0" w:type="dxa"/>
            <w:left w:w="0" w:type="dxa"/>
            <w:bottom w:w="0" w:type="dxa"/>
            <w:right w:w="0" w:type="dxa"/>
          </w:tblCellMar>
        </w:tblPrEx>
        <w:trPr>
          <w:cantSplit/>
          <w:jc w:val="center"/>
        </w:trPr>
        <w:tc>
          <w:tcPr>
            <w:tcW w:w="4193" w:type="dxa"/>
            <w:tcBorders>
              <w:top w:val="single" w:sz="4" w:space="0" w:color="auto"/>
            </w:tcBorders>
          </w:tcPr>
          <w:p w:rsidR="00000000" w:rsidRDefault="00000000">
            <w:pPr>
              <w:keepNext/>
              <w:spacing w:before="80" w:after="80"/>
              <w:rPr>
                <w:sz w:val="20"/>
                <w:lang w:val="en-GB"/>
              </w:rPr>
            </w:pPr>
            <w:r>
              <w:rPr>
                <w:sz w:val="20"/>
                <w:lang w:val="en-GB"/>
              </w:rPr>
              <w:t>Health care</w:t>
            </w:r>
          </w:p>
        </w:tc>
        <w:tc>
          <w:tcPr>
            <w:tcW w:w="1620" w:type="dxa"/>
            <w:tcBorders>
              <w:top w:val="single" w:sz="4" w:space="0" w:color="auto"/>
            </w:tcBorders>
          </w:tcPr>
          <w:p w:rsidR="00000000" w:rsidRDefault="00000000">
            <w:pPr>
              <w:keepNext/>
              <w:tabs>
                <w:tab w:val="decimal" w:pos="1052"/>
              </w:tabs>
              <w:spacing w:before="80" w:after="80"/>
              <w:ind w:right="397"/>
              <w:jc w:val="right"/>
              <w:rPr>
                <w:sz w:val="20"/>
                <w:lang w:val="en-GB"/>
              </w:rPr>
            </w:pPr>
            <w:r>
              <w:rPr>
                <w:sz w:val="20"/>
                <w:lang w:val="en-GB"/>
              </w:rPr>
              <w:t>75 521</w:t>
            </w:r>
          </w:p>
        </w:tc>
        <w:tc>
          <w:tcPr>
            <w:tcW w:w="1557" w:type="dxa"/>
            <w:tcBorders>
              <w:top w:val="single" w:sz="4" w:space="0" w:color="auto"/>
            </w:tcBorders>
          </w:tcPr>
          <w:p w:rsidR="00000000" w:rsidRDefault="00000000">
            <w:pPr>
              <w:keepNext/>
              <w:tabs>
                <w:tab w:val="decimal" w:pos="852"/>
              </w:tabs>
              <w:spacing w:before="80" w:after="80"/>
              <w:ind w:right="567"/>
              <w:jc w:val="right"/>
              <w:rPr>
                <w:sz w:val="20"/>
                <w:lang w:val="en-GB"/>
              </w:rPr>
            </w:pPr>
            <w:r>
              <w:rPr>
                <w:sz w:val="20"/>
                <w:lang w:val="en-GB"/>
              </w:rPr>
              <w:t>45.0</w:t>
            </w:r>
          </w:p>
        </w:tc>
      </w:tr>
      <w:tr w:rsidR="00000000">
        <w:tblPrEx>
          <w:tblCellMar>
            <w:top w:w="0" w:type="dxa"/>
            <w:left w:w="0" w:type="dxa"/>
            <w:bottom w:w="0" w:type="dxa"/>
            <w:right w:w="0" w:type="dxa"/>
          </w:tblCellMar>
        </w:tblPrEx>
        <w:trPr>
          <w:cantSplit/>
          <w:jc w:val="center"/>
        </w:trPr>
        <w:tc>
          <w:tcPr>
            <w:tcW w:w="4193" w:type="dxa"/>
          </w:tcPr>
          <w:p w:rsidR="00000000" w:rsidRDefault="00000000">
            <w:pPr>
              <w:keepNext/>
              <w:spacing w:before="80" w:after="80"/>
              <w:rPr>
                <w:sz w:val="20"/>
                <w:lang w:val="en-GB"/>
              </w:rPr>
            </w:pPr>
            <w:r>
              <w:rPr>
                <w:sz w:val="20"/>
                <w:lang w:val="en-GB"/>
              </w:rPr>
              <w:t>Donations</w:t>
            </w:r>
          </w:p>
        </w:tc>
        <w:tc>
          <w:tcPr>
            <w:tcW w:w="1620" w:type="dxa"/>
          </w:tcPr>
          <w:p w:rsidR="00000000" w:rsidRDefault="00000000">
            <w:pPr>
              <w:keepNext/>
              <w:tabs>
                <w:tab w:val="decimal" w:pos="1052"/>
              </w:tabs>
              <w:spacing w:before="80" w:after="80"/>
              <w:ind w:right="397"/>
              <w:jc w:val="right"/>
              <w:rPr>
                <w:sz w:val="20"/>
                <w:lang w:val="en-GB"/>
              </w:rPr>
            </w:pPr>
            <w:r>
              <w:rPr>
                <w:sz w:val="20"/>
                <w:lang w:val="en-GB"/>
              </w:rPr>
              <w:t>63 106</w:t>
            </w:r>
          </w:p>
        </w:tc>
        <w:tc>
          <w:tcPr>
            <w:tcW w:w="1557" w:type="dxa"/>
          </w:tcPr>
          <w:p w:rsidR="00000000" w:rsidRDefault="00000000">
            <w:pPr>
              <w:keepNext/>
              <w:tabs>
                <w:tab w:val="decimal" w:pos="852"/>
              </w:tabs>
              <w:spacing w:before="80" w:after="80"/>
              <w:ind w:right="567"/>
              <w:jc w:val="right"/>
              <w:rPr>
                <w:sz w:val="20"/>
                <w:lang w:val="en-GB"/>
              </w:rPr>
            </w:pPr>
            <w:r>
              <w:rPr>
                <w:sz w:val="20"/>
                <w:lang w:val="en-GB"/>
              </w:rPr>
              <w:t>37.6</w:t>
            </w:r>
          </w:p>
        </w:tc>
      </w:tr>
      <w:tr w:rsidR="00000000">
        <w:tblPrEx>
          <w:tblCellMar>
            <w:top w:w="0" w:type="dxa"/>
            <w:left w:w="0" w:type="dxa"/>
            <w:bottom w:w="0" w:type="dxa"/>
            <w:right w:w="0" w:type="dxa"/>
          </w:tblCellMar>
        </w:tblPrEx>
        <w:trPr>
          <w:cantSplit/>
          <w:jc w:val="center"/>
        </w:trPr>
        <w:tc>
          <w:tcPr>
            <w:tcW w:w="4193" w:type="dxa"/>
          </w:tcPr>
          <w:p w:rsidR="00000000" w:rsidRDefault="00000000">
            <w:pPr>
              <w:keepNext/>
              <w:spacing w:before="80" w:after="80"/>
              <w:rPr>
                <w:sz w:val="20"/>
                <w:lang w:val="en-GB"/>
              </w:rPr>
            </w:pPr>
            <w:r>
              <w:rPr>
                <w:sz w:val="20"/>
                <w:lang w:val="en-GB"/>
              </w:rPr>
              <w:t>Food aid</w:t>
            </w:r>
          </w:p>
        </w:tc>
        <w:tc>
          <w:tcPr>
            <w:tcW w:w="1620" w:type="dxa"/>
          </w:tcPr>
          <w:p w:rsidR="00000000" w:rsidRDefault="00000000">
            <w:pPr>
              <w:keepNext/>
              <w:tabs>
                <w:tab w:val="decimal" w:pos="1052"/>
              </w:tabs>
              <w:spacing w:before="80" w:after="80"/>
              <w:ind w:right="397"/>
              <w:jc w:val="right"/>
              <w:rPr>
                <w:sz w:val="20"/>
                <w:lang w:val="en-GB"/>
              </w:rPr>
            </w:pPr>
            <w:r>
              <w:rPr>
                <w:sz w:val="20"/>
                <w:lang w:val="en-GB"/>
              </w:rPr>
              <w:t>17 104</w:t>
            </w:r>
          </w:p>
        </w:tc>
        <w:tc>
          <w:tcPr>
            <w:tcW w:w="1557" w:type="dxa"/>
          </w:tcPr>
          <w:p w:rsidR="00000000" w:rsidRDefault="00000000">
            <w:pPr>
              <w:keepNext/>
              <w:tabs>
                <w:tab w:val="decimal" w:pos="852"/>
              </w:tabs>
              <w:spacing w:before="80" w:after="80"/>
              <w:ind w:right="567"/>
              <w:jc w:val="right"/>
              <w:rPr>
                <w:sz w:val="20"/>
                <w:lang w:val="en-GB"/>
              </w:rPr>
            </w:pPr>
            <w:r>
              <w:rPr>
                <w:sz w:val="20"/>
                <w:lang w:val="en-GB"/>
              </w:rPr>
              <w:t>10.2</w:t>
            </w:r>
          </w:p>
        </w:tc>
      </w:tr>
      <w:tr w:rsidR="00000000">
        <w:tblPrEx>
          <w:tblCellMar>
            <w:top w:w="0" w:type="dxa"/>
            <w:left w:w="0" w:type="dxa"/>
            <w:bottom w:w="0" w:type="dxa"/>
            <w:right w:w="0" w:type="dxa"/>
          </w:tblCellMar>
        </w:tblPrEx>
        <w:trPr>
          <w:cantSplit/>
          <w:jc w:val="center"/>
        </w:trPr>
        <w:tc>
          <w:tcPr>
            <w:tcW w:w="4193" w:type="dxa"/>
          </w:tcPr>
          <w:p w:rsidR="00000000" w:rsidRDefault="00000000">
            <w:pPr>
              <w:keepNext/>
              <w:spacing w:before="80" w:after="80"/>
              <w:rPr>
                <w:sz w:val="20"/>
                <w:lang w:val="en-GB"/>
              </w:rPr>
            </w:pPr>
            <w:r>
              <w:rPr>
                <w:sz w:val="20"/>
                <w:lang w:val="en-GB"/>
              </w:rPr>
              <w:t>Educational work</w:t>
            </w:r>
          </w:p>
        </w:tc>
        <w:tc>
          <w:tcPr>
            <w:tcW w:w="1620" w:type="dxa"/>
          </w:tcPr>
          <w:p w:rsidR="00000000" w:rsidRDefault="00000000">
            <w:pPr>
              <w:keepNext/>
              <w:tabs>
                <w:tab w:val="decimal" w:pos="1052"/>
              </w:tabs>
              <w:spacing w:before="80" w:after="80"/>
              <w:ind w:right="397"/>
              <w:jc w:val="right"/>
              <w:rPr>
                <w:sz w:val="20"/>
                <w:lang w:val="en-GB"/>
              </w:rPr>
            </w:pPr>
            <w:r>
              <w:rPr>
                <w:sz w:val="20"/>
                <w:lang w:val="en-GB"/>
              </w:rPr>
              <w:t>3 929</w:t>
            </w:r>
          </w:p>
        </w:tc>
        <w:tc>
          <w:tcPr>
            <w:tcW w:w="1557" w:type="dxa"/>
          </w:tcPr>
          <w:p w:rsidR="00000000" w:rsidRDefault="00000000">
            <w:pPr>
              <w:keepNext/>
              <w:tabs>
                <w:tab w:val="decimal" w:pos="852"/>
              </w:tabs>
              <w:spacing w:before="80" w:after="80"/>
              <w:ind w:right="567"/>
              <w:jc w:val="right"/>
              <w:rPr>
                <w:sz w:val="20"/>
                <w:lang w:val="en-GB"/>
              </w:rPr>
            </w:pPr>
            <w:r>
              <w:rPr>
                <w:sz w:val="20"/>
                <w:lang w:val="en-GB"/>
              </w:rPr>
              <w:t>2.3</w:t>
            </w:r>
          </w:p>
        </w:tc>
      </w:tr>
      <w:tr w:rsidR="00000000">
        <w:tblPrEx>
          <w:tblCellMar>
            <w:top w:w="0" w:type="dxa"/>
            <w:left w:w="0" w:type="dxa"/>
            <w:bottom w:w="0" w:type="dxa"/>
            <w:right w:w="0" w:type="dxa"/>
          </w:tblCellMar>
        </w:tblPrEx>
        <w:trPr>
          <w:cantSplit/>
          <w:jc w:val="center"/>
        </w:trPr>
        <w:tc>
          <w:tcPr>
            <w:tcW w:w="4193" w:type="dxa"/>
          </w:tcPr>
          <w:p w:rsidR="00000000" w:rsidRDefault="00000000">
            <w:pPr>
              <w:keepNext/>
              <w:spacing w:before="80" w:after="80"/>
              <w:rPr>
                <w:sz w:val="20"/>
                <w:lang w:val="en-GB"/>
              </w:rPr>
            </w:pPr>
            <w:r>
              <w:rPr>
                <w:sz w:val="20"/>
                <w:lang w:val="en-GB"/>
              </w:rPr>
              <w:t>Other modes</w:t>
            </w:r>
          </w:p>
        </w:tc>
        <w:tc>
          <w:tcPr>
            <w:tcW w:w="1620" w:type="dxa"/>
          </w:tcPr>
          <w:p w:rsidR="00000000" w:rsidRDefault="00000000">
            <w:pPr>
              <w:keepNext/>
              <w:tabs>
                <w:tab w:val="decimal" w:pos="1052"/>
              </w:tabs>
              <w:spacing w:before="80" w:after="80"/>
              <w:ind w:right="397"/>
              <w:jc w:val="right"/>
              <w:rPr>
                <w:sz w:val="20"/>
                <w:lang w:val="en-GB"/>
              </w:rPr>
            </w:pPr>
            <w:r>
              <w:rPr>
                <w:sz w:val="20"/>
                <w:lang w:val="en-GB"/>
              </w:rPr>
              <w:t>4 008</w:t>
            </w:r>
          </w:p>
        </w:tc>
        <w:tc>
          <w:tcPr>
            <w:tcW w:w="1557" w:type="dxa"/>
          </w:tcPr>
          <w:p w:rsidR="00000000" w:rsidRDefault="00000000">
            <w:pPr>
              <w:keepNext/>
              <w:tabs>
                <w:tab w:val="decimal" w:pos="852"/>
              </w:tabs>
              <w:spacing w:before="80" w:after="80"/>
              <w:ind w:right="567"/>
              <w:jc w:val="right"/>
              <w:rPr>
                <w:sz w:val="20"/>
                <w:lang w:val="en-GB"/>
              </w:rPr>
            </w:pPr>
            <w:r>
              <w:rPr>
                <w:sz w:val="20"/>
                <w:lang w:val="en-GB"/>
              </w:rPr>
              <w:t>2.4</w:t>
            </w:r>
          </w:p>
        </w:tc>
      </w:tr>
      <w:tr w:rsidR="00000000">
        <w:tblPrEx>
          <w:tblCellMar>
            <w:top w:w="0" w:type="dxa"/>
            <w:left w:w="0" w:type="dxa"/>
            <w:bottom w:w="0" w:type="dxa"/>
            <w:right w:w="0" w:type="dxa"/>
          </w:tblCellMar>
        </w:tblPrEx>
        <w:trPr>
          <w:cantSplit/>
          <w:jc w:val="center"/>
        </w:trPr>
        <w:tc>
          <w:tcPr>
            <w:tcW w:w="4193" w:type="dxa"/>
          </w:tcPr>
          <w:p w:rsidR="00000000" w:rsidRDefault="00000000">
            <w:pPr>
              <w:keepNext/>
              <w:spacing w:before="80" w:after="80"/>
              <w:rPr>
                <w:sz w:val="20"/>
                <w:lang w:val="en-GB"/>
              </w:rPr>
            </w:pPr>
            <w:r>
              <w:rPr>
                <w:sz w:val="20"/>
                <w:lang w:val="en-GB"/>
              </w:rPr>
              <w:t>Children’s training</w:t>
            </w:r>
          </w:p>
        </w:tc>
        <w:tc>
          <w:tcPr>
            <w:tcW w:w="1620" w:type="dxa"/>
          </w:tcPr>
          <w:p w:rsidR="00000000" w:rsidRDefault="00000000">
            <w:pPr>
              <w:keepNext/>
              <w:tabs>
                <w:tab w:val="decimal" w:pos="1052"/>
              </w:tabs>
              <w:spacing w:before="80" w:after="80"/>
              <w:ind w:right="397"/>
              <w:jc w:val="right"/>
              <w:rPr>
                <w:sz w:val="20"/>
                <w:lang w:val="en-GB"/>
              </w:rPr>
            </w:pPr>
            <w:r>
              <w:rPr>
                <w:sz w:val="20"/>
                <w:lang w:val="en-GB"/>
              </w:rPr>
              <w:t>2 137</w:t>
            </w:r>
          </w:p>
        </w:tc>
        <w:tc>
          <w:tcPr>
            <w:tcW w:w="1557" w:type="dxa"/>
          </w:tcPr>
          <w:p w:rsidR="00000000" w:rsidRDefault="00000000">
            <w:pPr>
              <w:keepNext/>
              <w:tabs>
                <w:tab w:val="decimal" w:pos="852"/>
              </w:tabs>
              <w:spacing w:before="80" w:after="80"/>
              <w:ind w:right="567"/>
              <w:jc w:val="right"/>
              <w:rPr>
                <w:sz w:val="20"/>
                <w:lang w:val="en-GB"/>
              </w:rPr>
            </w:pPr>
            <w:r>
              <w:rPr>
                <w:sz w:val="20"/>
                <w:lang w:val="en-GB"/>
              </w:rPr>
              <w:t>1.3</w:t>
            </w:r>
          </w:p>
        </w:tc>
      </w:tr>
      <w:tr w:rsidR="00000000">
        <w:tblPrEx>
          <w:tblCellMar>
            <w:top w:w="0" w:type="dxa"/>
            <w:left w:w="0" w:type="dxa"/>
            <w:bottom w:w="0" w:type="dxa"/>
            <w:right w:w="0" w:type="dxa"/>
          </w:tblCellMar>
        </w:tblPrEx>
        <w:trPr>
          <w:cantSplit/>
          <w:jc w:val="center"/>
        </w:trPr>
        <w:tc>
          <w:tcPr>
            <w:tcW w:w="4193" w:type="dxa"/>
          </w:tcPr>
          <w:p w:rsidR="00000000" w:rsidRDefault="00000000">
            <w:pPr>
              <w:keepNext/>
              <w:spacing w:before="80" w:after="80"/>
              <w:rPr>
                <w:sz w:val="20"/>
                <w:lang w:val="en-GB"/>
              </w:rPr>
            </w:pPr>
            <w:r>
              <w:rPr>
                <w:sz w:val="20"/>
                <w:lang w:val="en-GB"/>
              </w:rPr>
              <w:t>Assistance for adults</w:t>
            </w:r>
          </w:p>
        </w:tc>
        <w:tc>
          <w:tcPr>
            <w:tcW w:w="1620" w:type="dxa"/>
          </w:tcPr>
          <w:p w:rsidR="00000000" w:rsidRDefault="00000000">
            <w:pPr>
              <w:keepNext/>
              <w:tabs>
                <w:tab w:val="decimal" w:pos="1052"/>
              </w:tabs>
              <w:spacing w:before="80" w:after="80"/>
              <w:ind w:right="397"/>
              <w:jc w:val="right"/>
              <w:rPr>
                <w:sz w:val="20"/>
                <w:lang w:val="en-GB"/>
              </w:rPr>
            </w:pPr>
            <w:r>
              <w:rPr>
                <w:sz w:val="20"/>
                <w:lang w:val="en-GB"/>
              </w:rPr>
              <w:t>2 125</w:t>
            </w:r>
          </w:p>
        </w:tc>
        <w:tc>
          <w:tcPr>
            <w:tcW w:w="1557" w:type="dxa"/>
          </w:tcPr>
          <w:p w:rsidR="00000000" w:rsidRDefault="00000000">
            <w:pPr>
              <w:keepNext/>
              <w:tabs>
                <w:tab w:val="decimal" w:pos="852"/>
              </w:tabs>
              <w:spacing w:before="80" w:after="80"/>
              <w:ind w:right="567"/>
              <w:jc w:val="right"/>
              <w:rPr>
                <w:sz w:val="20"/>
                <w:lang w:val="en-GB"/>
              </w:rPr>
            </w:pPr>
            <w:r>
              <w:rPr>
                <w:sz w:val="20"/>
                <w:lang w:val="en-GB"/>
              </w:rPr>
              <w:t>1.3</w:t>
            </w:r>
          </w:p>
        </w:tc>
      </w:tr>
      <w:tr w:rsidR="00000000">
        <w:tblPrEx>
          <w:tblCellMar>
            <w:top w:w="0" w:type="dxa"/>
            <w:left w:w="0" w:type="dxa"/>
            <w:bottom w:w="0" w:type="dxa"/>
            <w:right w:w="0" w:type="dxa"/>
          </w:tblCellMar>
        </w:tblPrEx>
        <w:trPr>
          <w:cantSplit/>
          <w:jc w:val="center"/>
        </w:trPr>
        <w:tc>
          <w:tcPr>
            <w:tcW w:w="4193" w:type="dxa"/>
            <w:tcBorders>
              <w:bottom w:val="single" w:sz="4" w:space="0" w:color="auto"/>
            </w:tcBorders>
          </w:tcPr>
          <w:p w:rsidR="00000000" w:rsidRDefault="00000000">
            <w:pPr>
              <w:keepNext/>
              <w:spacing w:before="80" w:after="80"/>
              <w:rPr>
                <w:sz w:val="20"/>
                <w:lang w:val="en-GB"/>
              </w:rPr>
            </w:pPr>
            <w:r>
              <w:rPr>
                <w:sz w:val="20"/>
                <w:lang w:val="en-GB"/>
              </w:rPr>
              <w:tab/>
              <w:t>Total</w:t>
            </w:r>
          </w:p>
        </w:tc>
        <w:tc>
          <w:tcPr>
            <w:tcW w:w="1620" w:type="dxa"/>
            <w:tcBorders>
              <w:bottom w:val="single" w:sz="4" w:space="0" w:color="auto"/>
            </w:tcBorders>
          </w:tcPr>
          <w:p w:rsidR="00000000" w:rsidRDefault="00000000">
            <w:pPr>
              <w:keepNext/>
              <w:tabs>
                <w:tab w:val="decimal" w:pos="1052"/>
              </w:tabs>
              <w:spacing w:before="80" w:after="80"/>
              <w:ind w:right="397"/>
              <w:jc w:val="right"/>
              <w:rPr>
                <w:sz w:val="20"/>
                <w:lang w:val="en-GB"/>
              </w:rPr>
            </w:pPr>
            <w:r>
              <w:rPr>
                <w:sz w:val="20"/>
                <w:lang w:val="en-GB"/>
              </w:rPr>
              <w:t>167 930</w:t>
            </w:r>
          </w:p>
        </w:tc>
        <w:tc>
          <w:tcPr>
            <w:tcW w:w="1557" w:type="dxa"/>
            <w:tcBorders>
              <w:bottom w:val="single" w:sz="4" w:space="0" w:color="auto"/>
            </w:tcBorders>
          </w:tcPr>
          <w:p w:rsidR="00000000" w:rsidRDefault="00000000">
            <w:pPr>
              <w:keepNext/>
              <w:tabs>
                <w:tab w:val="decimal" w:pos="852"/>
              </w:tabs>
              <w:spacing w:before="80" w:after="80"/>
              <w:ind w:right="567"/>
              <w:jc w:val="right"/>
              <w:rPr>
                <w:sz w:val="20"/>
                <w:lang w:val="en-GB"/>
              </w:rPr>
            </w:pPr>
            <w:r>
              <w:rPr>
                <w:sz w:val="20"/>
                <w:lang w:val="en-GB"/>
              </w:rPr>
              <w:t>100</w:t>
            </w:r>
          </w:p>
        </w:tc>
      </w:tr>
    </w:tbl>
    <w:p w:rsidR="00000000" w:rsidRDefault="00000000">
      <w:pPr>
        <w:keepNext/>
        <w:tabs>
          <w:tab w:val="clear" w:pos="720"/>
        </w:tabs>
        <w:jc w:val="left"/>
        <w:rPr>
          <w:b/>
          <w:sz w:val="20"/>
          <w:lang w:val="en-GB"/>
        </w:rPr>
      </w:pPr>
    </w:p>
    <w:p w:rsidR="00000000" w:rsidRDefault="00000000">
      <w:pPr>
        <w:keepNext/>
        <w:tabs>
          <w:tab w:val="clear" w:pos="720"/>
        </w:tabs>
        <w:jc w:val="left"/>
        <w:rPr>
          <w:b/>
          <w:sz w:val="20"/>
          <w:lang w:val="en-GB"/>
        </w:rPr>
      </w:pPr>
    </w:p>
    <w:p w:rsidR="00000000" w:rsidRDefault="00000000">
      <w:pPr>
        <w:tabs>
          <w:tab w:val="clear" w:pos="720"/>
        </w:tabs>
        <w:ind w:firstLine="567"/>
        <w:jc w:val="left"/>
        <w:rPr>
          <w:sz w:val="24"/>
          <w:lang w:val="en-GB"/>
        </w:rPr>
      </w:pPr>
      <w:r>
        <w:rPr>
          <w:b/>
          <w:sz w:val="24"/>
          <w:lang w:val="en-GB"/>
        </w:rPr>
        <w:t>Street children</w:t>
      </w:r>
      <w:r>
        <w:rPr>
          <w:rStyle w:val="FootnoteReference"/>
          <w:b/>
          <w:bCs/>
          <w:sz w:val="24"/>
          <w:lang w:val="en-GB"/>
        </w:rPr>
        <w:footnoteReference w:customMarkFollows="1" w:id="81"/>
        <w:t>81</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192.</w:t>
      </w:r>
      <w:r>
        <w:rPr>
          <w:sz w:val="24"/>
          <w:lang w:val="en-GB"/>
        </w:rPr>
        <w:tab/>
        <w:t>Most street children are from broken or dysfunctional homes from which they have become totally or partially alienated and in which maltreatment is a constant.  They will usually have dropped out of school as well (if indeed they went to school), for it is generally very difficult for them combine school with living in the street owing to the demands that street life makes on their time.  They thus have the additional problem of exclusion from the formal education system.</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b/>
          <w:sz w:val="24"/>
          <w:lang w:val="en-GB"/>
        </w:rPr>
        <w:t>2.</w:t>
      </w:r>
      <w:r>
        <w:rPr>
          <w:b/>
          <w:sz w:val="24"/>
          <w:lang w:val="en-GB"/>
        </w:rPr>
        <w:tab/>
        <w:t>The right to participate</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193.</w:t>
      </w:r>
      <w:r>
        <w:rPr>
          <w:sz w:val="24"/>
          <w:lang w:val="en-GB"/>
        </w:rPr>
        <w:tab/>
        <w:t>Where participation and the freedom of expression are concerned, Peru needs to strengthen the associations and the organizational projects for children and promote the formation of groups in which children enjoy independence and can pursue their own interests, for the approach taken thus far by the State and society has been “tutelary”, regarding children not as subjects of rights but rather as merely passive beneficiaries of programmes designed to reproduce adult models of organization.</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194.</w:t>
      </w:r>
      <w:r>
        <w:rPr>
          <w:sz w:val="24"/>
          <w:lang w:val="en-GB"/>
        </w:rPr>
        <w:tab/>
        <w:t>With regard to grass-roots vigilance and  involvement, it must be pointed out that ignorance of the rights of the child is widespread and that there is an urgent need to promote the delivery of these rights.  It is vital to promote and establish, in a coordinated manner, mechanisms of social supervision by civil society, for this is the only way to guarantee the advancement and protection of children’s rights.  The State is encouraging such a development through the Network of Teenage Leaders.</w:t>
      </w:r>
    </w:p>
    <w:p w:rsidR="00000000" w:rsidRDefault="00000000">
      <w:pPr>
        <w:tabs>
          <w:tab w:val="clear" w:pos="720"/>
        </w:tabs>
        <w:jc w:val="left"/>
        <w:rPr>
          <w:sz w:val="24"/>
          <w:lang w:val="en-G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422"/>
      </w:tblGrid>
      <w:tr w:rsidR="00000000">
        <w:tblPrEx>
          <w:tblCellMar>
            <w:top w:w="0" w:type="dxa"/>
            <w:bottom w:w="0" w:type="dxa"/>
          </w:tblCellMar>
        </w:tblPrEx>
        <w:trPr>
          <w:jc w:val="center"/>
        </w:trPr>
        <w:tc>
          <w:tcPr>
            <w:tcW w:w="8522" w:type="dxa"/>
          </w:tcPr>
          <w:p w:rsidR="00000000" w:rsidRDefault="00000000">
            <w:pPr>
              <w:keepNext/>
              <w:tabs>
                <w:tab w:val="clear" w:pos="720"/>
              </w:tabs>
              <w:spacing w:before="240"/>
              <w:ind w:left="284" w:right="284"/>
              <w:jc w:val="center"/>
              <w:rPr>
                <w:b/>
                <w:sz w:val="20"/>
                <w:lang w:val="en-GB"/>
              </w:rPr>
            </w:pPr>
            <w:r>
              <w:rPr>
                <w:b/>
                <w:sz w:val="20"/>
                <w:lang w:val="en-GB"/>
              </w:rPr>
              <w:t>Network of teenage leaders (RLA)</w:t>
            </w:r>
          </w:p>
          <w:p w:rsidR="00000000" w:rsidRDefault="00000000">
            <w:pPr>
              <w:keepNext/>
              <w:tabs>
                <w:tab w:val="clear" w:pos="720"/>
              </w:tabs>
              <w:ind w:left="284" w:right="284"/>
              <w:jc w:val="left"/>
              <w:rPr>
                <w:b/>
                <w:sz w:val="20"/>
                <w:lang w:val="en-GB"/>
              </w:rPr>
            </w:pPr>
          </w:p>
          <w:p w:rsidR="00000000" w:rsidRDefault="00000000">
            <w:pPr>
              <w:keepNext/>
              <w:tabs>
                <w:tab w:val="clear" w:pos="720"/>
              </w:tabs>
              <w:ind w:left="284" w:right="284"/>
              <w:jc w:val="left"/>
              <w:rPr>
                <w:sz w:val="20"/>
                <w:lang w:val="en-GB"/>
              </w:rPr>
            </w:pPr>
            <w:r>
              <w:rPr>
                <w:sz w:val="20"/>
                <w:lang w:val="en-GB"/>
              </w:rPr>
              <w:t>This Network was created in November 1997 on the initiative of the drug abuse prevention unit of the MIMDES Division for the Welfare of Children and Adolescents; it began to work with young leaders, initially to prevent drug use and promote leadership among adolescent children and subsequently to implement comprehensive prevention measures for and by adolescents, with financial support from the Narcotics Affairs Section of the United States Embassy.</w:t>
            </w:r>
          </w:p>
          <w:p w:rsidR="00000000" w:rsidRDefault="00000000">
            <w:pPr>
              <w:keepNext/>
              <w:tabs>
                <w:tab w:val="clear" w:pos="720"/>
              </w:tabs>
              <w:ind w:left="284" w:right="284"/>
              <w:jc w:val="left"/>
              <w:rPr>
                <w:sz w:val="20"/>
                <w:lang w:val="en-GB"/>
              </w:rPr>
            </w:pPr>
          </w:p>
          <w:p w:rsidR="00000000" w:rsidRDefault="00000000">
            <w:pPr>
              <w:keepNext/>
              <w:tabs>
                <w:tab w:val="clear" w:pos="720"/>
              </w:tabs>
              <w:ind w:left="284" w:right="284"/>
              <w:jc w:val="left"/>
              <w:rPr>
                <w:sz w:val="20"/>
                <w:lang w:val="en-GB"/>
              </w:rPr>
            </w:pPr>
            <w:r>
              <w:rPr>
                <w:sz w:val="20"/>
                <w:lang w:val="en-GB"/>
              </w:rPr>
              <w:t>Young people were trained as comprehensive prevention agents to work with their peers.  Twelve RLA offices were established for this purpose (six in Lima and six in the provinces) and as a means of providing opportunities for discussion and the formulation of proposals for development work with adolescents and the community in accordance with the RLA working procedures.</w:t>
            </w:r>
          </w:p>
          <w:p w:rsidR="00000000" w:rsidRDefault="00000000">
            <w:pPr>
              <w:keepNext/>
              <w:tabs>
                <w:tab w:val="clear" w:pos="720"/>
              </w:tabs>
              <w:ind w:left="284" w:right="284"/>
              <w:jc w:val="left"/>
              <w:rPr>
                <w:sz w:val="20"/>
                <w:lang w:val="en-GB"/>
              </w:rPr>
            </w:pPr>
          </w:p>
          <w:p w:rsidR="00000000" w:rsidRDefault="00000000">
            <w:pPr>
              <w:keepNext/>
              <w:tabs>
                <w:tab w:val="clear" w:pos="720"/>
              </w:tabs>
              <w:ind w:left="284" w:right="284"/>
              <w:jc w:val="left"/>
              <w:rPr>
                <w:sz w:val="20"/>
                <w:lang w:val="en-GB"/>
              </w:rPr>
            </w:pPr>
            <w:r>
              <w:rPr>
                <w:b/>
                <w:sz w:val="20"/>
                <w:lang w:val="en-GB"/>
              </w:rPr>
              <w:t>Definition</w:t>
            </w:r>
          </w:p>
          <w:p w:rsidR="00000000" w:rsidRDefault="00000000">
            <w:pPr>
              <w:keepNext/>
              <w:tabs>
                <w:tab w:val="clear" w:pos="720"/>
              </w:tabs>
              <w:ind w:left="284" w:right="284"/>
              <w:jc w:val="left"/>
              <w:rPr>
                <w:sz w:val="20"/>
                <w:lang w:val="en-GB"/>
              </w:rPr>
            </w:pPr>
          </w:p>
          <w:p w:rsidR="00000000" w:rsidRDefault="00000000">
            <w:pPr>
              <w:keepNext/>
              <w:tabs>
                <w:tab w:val="clear" w:pos="720"/>
              </w:tabs>
              <w:ind w:left="284" w:right="284"/>
              <w:jc w:val="left"/>
              <w:rPr>
                <w:sz w:val="24"/>
                <w:lang w:val="en-GB"/>
              </w:rPr>
            </w:pPr>
            <w:r>
              <w:rPr>
                <w:sz w:val="20"/>
                <w:lang w:val="en-GB"/>
              </w:rPr>
              <w:t xml:space="preserve">The Network is a democratic space in which adolescent children are the main protagonists and where they have opportunities to devise, plan and carry out activities to support the social development of their communities and in particular their own </w:t>
            </w:r>
            <w:r>
              <w:rPr>
                <w:sz w:val="24"/>
                <w:lang w:val="en-GB"/>
              </w:rPr>
              <w:t>development, taking the “equal among equals” approach.</w:t>
            </w:r>
          </w:p>
          <w:p w:rsidR="00000000" w:rsidRDefault="00000000">
            <w:pPr>
              <w:tabs>
                <w:tab w:val="clear" w:pos="720"/>
              </w:tabs>
              <w:ind w:left="284" w:right="284"/>
              <w:jc w:val="left"/>
              <w:rPr>
                <w:sz w:val="20"/>
                <w:lang w:val="en-GB"/>
              </w:rPr>
            </w:pPr>
          </w:p>
          <w:p w:rsidR="00000000" w:rsidRDefault="00000000">
            <w:pPr>
              <w:tabs>
                <w:tab w:val="clear" w:pos="720"/>
              </w:tabs>
              <w:ind w:left="284" w:right="284"/>
              <w:jc w:val="left"/>
              <w:rPr>
                <w:sz w:val="20"/>
                <w:lang w:val="en-GB"/>
              </w:rPr>
            </w:pPr>
            <w:r>
              <w:rPr>
                <w:b/>
                <w:sz w:val="20"/>
                <w:lang w:val="en-GB"/>
              </w:rPr>
              <w:t>Objectives</w:t>
            </w:r>
          </w:p>
          <w:p w:rsidR="00000000" w:rsidRDefault="00000000">
            <w:pPr>
              <w:tabs>
                <w:tab w:val="clear" w:pos="720"/>
              </w:tabs>
              <w:ind w:left="284" w:right="284"/>
              <w:jc w:val="left"/>
              <w:rPr>
                <w:sz w:val="20"/>
                <w:lang w:val="en-GB"/>
              </w:rPr>
            </w:pPr>
          </w:p>
          <w:p w:rsidR="00000000" w:rsidRDefault="00000000">
            <w:pPr>
              <w:numPr>
                <w:ilvl w:val="0"/>
                <w:numId w:val="163"/>
              </w:numPr>
              <w:tabs>
                <w:tab w:val="clear" w:pos="720"/>
              </w:tabs>
              <w:spacing w:after="120"/>
              <w:ind w:right="284"/>
              <w:jc w:val="left"/>
              <w:rPr>
                <w:sz w:val="20"/>
                <w:lang w:val="en-GB"/>
              </w:rPr>
            </w:pPr>
            <w:r>
              <w:rPr>
                <w:sz w:val="20"/>
                <w:lang w:val="en-GB"/>
              </w:rPr>
              <w:t>To train, encourage and mobilize teenage leaders so that their leadership will help others to live positive lives and take an active part in the activities of their families and communities.</w:t>
            </w:r>
          </w:p>
          <w:p w:rsidR="00000000" w:rsidRDefault="00000000">
            <w:pPr>
              <w:numPr>
                <w:ilvl w:val="0"/>
                <w:numId w:val="163"/>
              </w:numPr>
              <w:tabs>
                <w:tab w:val="clear" w:pos="720"/>
              </w:tabs>
              <w:ind w:right="284"/>
              <w:jc w:val="left"/>
              <w:rPr>
                <w:sz w:val="20"/>
                <w:lang w:val="en-GB"/>
              </w:rPr>
            </w:pPr>
            <w:r>
              <w:rPr>
                <w:sz w:val="20"/>
                <w:lang w:val="en-GB"/>
              </w:rPr>
              <w:t>To help to consolidate democratic spaces where teenage leaders can conduct activities to promote healthy life-styles, and to provide guidance and training in the implementation of comprehensive prevention measures which also involve the personal development of adolescents and of their communities in general.</w:t>
            </w:r>
          </w:p>
          <w:p w:rsidR="00000000" w:rsidRDefault="00000000">
            <w:pPr>
              <w:tabs>
                <w:tab w:val="clear" w:pos="720"/>
              </w:tabs>
              <w:ind w:left="284" w:right="284"/>
              <w:jc w:val="left"/>
              <w:rPr>
                <w:sz w:val="20"/>
                <w:lang w:val="en-GB"/>
              </w:rPr>
            </w:pPr>
          </w:p>
          <w:p w:rsidR="00000000" w:rsidRDefault="00000000">
            <w:pPr>
              <w:tabs>
                <w:tab w:val="clear" w:pos="720"/>
              </w:tabs>
              <w:ind w:left="284" w:right="284"/>
              <w:jc w:val="left"/>
              <w:rPr>
                <w:sz w:val="20"/>
                <w:lang w:val="en-GB"/>
              </w:rPr>
            </w:pPr>
            <w:r>
              <w:rPr>
                <w:b/>
                <w:sz w:val="20"/>
                <w:lang w:val="en-GB"/>
              </w:rPr>
              <w:t>Present situation</w:t>
            </w:r>
          </w:p>
          <w:p w:rsidR="00000000" w:rsidRDefault="00000000">
            <w:pPr>
              <w:tabs>
                <w:tab w:val="clear" w:pos="720"/>
              </w:tabs>
              <w:ind w:left="284" w:right="284"/>
              <w:jc w:val="left"/>
              <w:rPr>
                <w:sz w:val="20"/>
                <w:lang w:val="en-GB"/>
              </w:rPr>
            </w:pPr>
          </w:p>
          <w:p w:rsidR="00000000" w:rsidRDefault="00000000">
            <w:pPr>
              <w:tabs>
                <w:tab w:val="clear" w:pos="720"/>
              </w:tabs>
              <w:ind w:left="284" w:right="284"/>
              <w:jc w:val="left"/>
              <w:rPr>
                <w:sz w:val="20"/>
                <w:lang w:val="en-GB"/>
              </w:rPr>
            </w:pPr>
            <w:r>
              <w:rPr>
                <w:sz w:val="20"/>
                <w:lang w:val="en-GB"/>
              </w:rPr>
              <w:t>Three hundred teenage leaders are promoting the active participation of their peers in local facilities in Lima (in four locations so far: the districts of Jesús María, Los Olivos, El Agustino and San Luis) and in the provinces in Arequipa, Tacna, Chimbote, Trujillo, Ayacucho and Pisco, where these leaders have been developing social skills in the leadership of adolescent children and as providers of instruction in such matters as reproductive health and career planning.</w:t>
            </w:r>
          </w:p>
          <w:p w:rsidR="00000000" w:rsidRDefault="00000000">
            <w:pPr>
              <w:tabs>
                <w:tab w:val="clear" w:pos="720"/>
              </w:tabs>
              <w:ind w:left="284" w:right="284"/>
              <w:jc w:val="left"/>
              <w:rPr>
                <w:sz w:val="20"/>
                <w:lang w:val="en-GB"/>
              </w:rPr>
            </w:pPr>
          </w:p>
          <w:p w:rsidR="00000000" w:rsidRDefault="00000000">
            <w:pPr>
              <w:tabs>
                <w:tab w:val="clear" w:pos="720"/>
              </w:tabs>
              <w:ind w:left="284" w:right="284"/>
              <w:jc w:val="left"/>
              <w:rPr>
                <w:sz w:val="20"/>
                <w:lang w:val="en-GB"/>
              </w:rPr>
            </w:pPr>
            <w:r>
              <w:rPr>
                <w:sz w:val="20"/>
                <w:lang w:val="en-GB"/>
              </w:rPr>
              <w:t>These RLA facilities are currently being transferred to the local and regional authorities, which will furnish them with the necessary logistical support, always subject to technical advice from MIMDES.</w:t>
            </w:r>
          </w:p>
          <w:p w:rsidR="00000000" w:rsidRDefault="00000000">
            <w:pPr>
              <w:tabs>
                <w:tab w:val="clear" w:pos="720"/>
              </w:tabs>
              <w:jc w:val="left"/>
              <w:rPr>
                <w:sz w:val="24"/>
                <w:lang w:val="en-GB"/>
              </w:rPr>
            </w:pPr>
          </w:p>
        </w:tc>
      </w:tr>
    </w:tbl>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b/>
          <w:sz w:val="24"/>
          <w:lang w:val="en-GB"/>
        </w:rPr>
        <w:t>3.</w:t>
      </w:r>
      <w:r>
        <w:rPr>
          <w:b/>
          <w:sz w:val="24"/>
          <w:lang w:val="en-GB"/>
        </w:rPr>
        <w:tab/>
        <w:t>The children’s ombudsmen</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195.</w:t>
      </w:r>
      <w:r>
        <w:rPr>
          <w:sz w:val="24"/>
          <w:lang w:val="en-GB"/>
        </w:rPr>
        <w:tab/>
        <w:t xml:space="preserve">The children’s ombudsmen are a service provided by the National System for the Comprehensive Care of Children and Adolescents; they operate through local government, private and public institutions, and organizations of civil society.  Their purpose is to </w:t>
      </w:r>
      <w:r>
        <w:rPr>
          <w:b/>
          <w:sz w:val="24"/>
          <w:lang w:val="en-GB"/>
        </w:rPr>
        <w:t>promote and protect</w:t>
      </w:r>
      <w:r>
        <w:rPr>
          <w:sz w:val="24"/>
          <w:lang w:val="en-GB"/>
        </w:rPr>
        <w:t xml:space="preserve"> the rights which the law accords to children.</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196.</w:t>
      </w:r>
      <w:r>
        <w:rPr>
          <w:sz w:val="24"/>
          <w:lang w:val="en-GB"/>
        </w:rPr>
        <w:tab/>
        <w:t>What principles guide their work?</w:t>
      </w:r>
    </w:p>
    <w:p w:rsidR="00000000" w:rsidRDefault="00000000">
      <w:pPr>
        <w:tabs>
          <w:tab w:val="clear" w:pos="720"/>
        </w:tabs>
        <w:jc w:val="left"/>
        <w:rPr>
          <w:sz w:val="24"/>
          <w:lang w:val="en-GB"/>
        </w:rPr>
      </w:pPr>
    </w:p>
    <w:p w:rsidR="00000000" w:rsidRDefault="00000000">
      <w:pPr>
        <w:numPr>
          <w:ilvl w:val="0"/>
          <w:numId w:val="164"/>
        </w:numPr>
        <w:tabs>
          <w:tab w:val="clear" w:pos="720"/>
        </w:tabs>
        <w:spacing w:after="200"/>
        <w:jc w:val="left"/>
        <w:rPr>
          <w:sz w:val="24"/>
          <w:lang w:val="en-GB"/>
        </w:rPr>
      </w:pPr>
      <w:r>
        <w:rPr>
          <w:b/>
          <w:i/>
          <w:iCs/>
          <w:sz w:val="24"/>
          <w:lang w:val="en-GB"/>
        </w:rPr>
        <w:t>The best interests of the child</w:t>
      </w:r>
      <w:r>
        <w:rPr>
          <w:b/>
          <w:sz w:val="24"/>
          <w:lang w:val="en-GB"/>
        </w:rPr>
        <w:t>:</w:t>
      </w:r>
      <w:r>
        <w:rPr>
          <w:sz w:val="24"/>
          <w:lang w:val="en-GB"/>
        </w:rPr>
        <w:t xml:space="preserve"> with regard to any decision affecting children, preference must be given to whatever action is most beneficial to children;</w:t>
      </w:r>
    </w:p>
    <w:p w:rsidR="00000000" w:rsidRDefault="00000000">
      <w:pPr>
        <w:numPr>
          <w:ilvl w:val="0"/>
          <w:numId w:val="164"/>
        </w:numPr>
        <w:tabs>
          <w:tab w:val="clear" w:pos="720"/>
        </w:tabs>
        <w:spacing w:after="200"/>
        <w:jc w:val="left"/>
        <w:rPr>
          <w:sz w:val="24"/>
          <w:lang w:val="en-GB"/>
        </w:rPr>
      </w:pPr>
      <w:r>
        <w:rPr>
          <w:b/>
          <w:i/>
          <w:iCs/>
          <w:sz w:val="24"/>
          <w:lang w:val="en-GB"/>
        </w:rPr>
        <w:t>Children as subjects of rights</w:t>
      </w:r>
      <w:r>
        <w:rPr>
          <w:b/>
          <w:sz w:val="24"/>
          <w:lang w:val="en-GB"/>
        </w:rPr>
        <w:t>:</w:t>
      </w:r>
      <w:r>
        <w:rPr>
          <w:sz w:val="24"/>
          <w:lang w:val="en-GB"/>
        </w:rPr>
        <w:t xml:space="preserve"> children are recognized as individuals;</w:t>
      </w:r>
    </w:p>
    <w:p w:rsidR="00000000" w:rsidRDefault="00000000">
      <w:pPr>
        <w:numPr>
          <w:ilvl w:val="0"/>
          <w:numId w:val="164"/>
        </w:numPr>
        <w:tabs>
          <w:tab w:val="clear" w:pos="720"/>
        </w:tabs>
        <w:spacing w:after="200"/>
        <w:jc w:val="left"/>
        <w:rPr>
          <w:sz w:val="24"/>
          <w:lang w:val="en-GB"/>
        </w:rPr>
      </w:pPr>
      <w:r>
        <w:rPr>
          <w:b/>
          <w:i/>
          <w:iCs/>
          <w:sz w:val="24"/>
          <w:lang w:val="en-GB"/>
        </w:rPr>
        <w:t>Non-discrimination</w:t>
      </w:r>
      <w:r>
        <w:rPr>
          <w:b/>
          <w:sz w:val="24"/>
          <w:lang w:val="en-GB"/>
        </w:rPr>
        <w:t>:</w:t>
      </w:r>
      <w:r>
        <w:rPr>
          <w:sz w:val="24"/>
          <w:lang w:val="en-GB"/>
        </w:rPr>
        <w:t xml:space="preserve"> the rights of the child are available to all children regardless of their ethnic origin or economic, cultural or social status, etc.;</w:t>
      </w:r>
    </w:p>
    <w:p w:rsidR="00000000" w:rsidRDefault="00000000">
      <w:pPr>
        <w:numPr>
          <w:ilvl w:val="0"/>
          <w:numId w:val="164"/>
        </w:numPr>
        <w:tabs>
          <w:tab w:val="clear" w:pos="720"/>
        </w:tabs>
        <w:spacing w:after="200"/>
        <w:jc w:val="left"/>
        <w:rPr>
          <w:sz w:val="24"/>
          <w:lang w:val="en-GB"/>
        </w:rPr>
      </w:pPr>
      <w:r>
        <w:rPr>
          <w:b/>
          <w:i/>
          <w:iCs/>
          <w:sz w:val="24"/>
          <w:lang w:val="en-GB"/>
        </w:rPr>
        <w:t>Emphasis on the comprehensive development</w:t>
      </w:r>
      <w:r>
        <w:rPr>
          <w:i/>
          <w:iCs/>
          <w:sz w:val="24"/>
          <w:lang w:val="en-GB"/>
        </w:rPr>
        <w:t xml:space="preserve"> </w:t>
      </w:r>
      <w:r>
        <w:rPr>
          <w:sz w:val="24"/>
          <w:lang w:val="en-GB"/>
        </w:rPr>
        <w:t>of children;</w:t>
      </w:r>
    </w:p>
    <w:p w:rsidR="00000000" w:rsidRDefault="00000000">
      <w:pPr>
        <w:numPr>
          <w:ilvl w:val="0"/>
          <w:numId w:val="164"/>
        </w:numPr>
        <w:tabs>
          <w:tab w:val="clear" w:pos="720"/>
        </w:tabs>
        <w:jc w:val="left"/>
        <w:rPr>
          <w:sz w:val="24"/>
          <w:lang w:val="en-GB"/>
        </w:rPr>
      </w:pPr>
      <w:r>
        <w:rPr>
          <w:b/>
          <w:i/>
          <w:iCs/>
          <w:sz w:val="24"/>
          <w:lang w:val="en-GB"/>
        </w:rPr>
        <w:t>The rights of the child</w:t>
      </w:r>
      <w:r>
        <w:rPr>
          <w:sz w:val="24"/>
          <w:lang w:val="en-GB"/>
        </w:rPr>
        <w:t xml:space="preserve"> are a matter concerning all members of society.</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197.</w:t>
      </w:r>
      <w:r>
        <w:rPr>
          <w:sz w:val="24"/>
          <w:lang w:val="en-GB"/>
        </w:rPr>
        <w:tab/>
        <w:t xml:space="preserve">The </w:t>
      </w:r>
      <w:r>
        <w:rPr>
          <w:b/>
          <w:i/>
          <w:iCs/>
          <w:sz w:val="24"/>
          <w:lang w:val="en-GB"/>
        </w:rPr>
        <w:t xml:space="preserve">functions of children’s ombudsmen </w:t>
      </w:r>
      <w:r>
        <w:rPr>
          <w:sz w:val="24"/>
          <w:lang w:val="en-GB"/>
        </w:rPr>
        <w:t>are set out in article 45 of the new Children’s and Adolescents’ Code:</w:t>
      </w:r>
    </w:p>
    <w:p w:rsidR="00000000" w:rsidRDefault="00000000">
      <w:pPr>
        <w:tabs>
          <w:tab w:val="clear" w:pos="720"/>
        </w:tabs>
        <w:jc w:val="left"/>
        <w:rPr>
          <w:sz w:val="24"/>
          <w:lang w:val="en-GB"/>
        </w:rPr>
      </w:pPr>
    </w:p>
    <w:p w:rsidR="00000000" w:rsidRDefault="00000000">
      <w:pPr>
        <w:numPr>
          <w:ilvl w:val="0"/>
          <w:numId w:val="165"/>
        </w:numPr>
        <w:tabs>
          <w:tab w:val="clear" w:pos="720"/>
        </w:tabs>
        <w:spacing w:after="200"/>
        <w:jc w:val="left"/>
        <w:rPr>
          <w:sz w:val="24"/>
          <w:lang w:val="en-GB"/>
        </w:rPr>
      </w:pPr>
      <w:r>
        <w:rPr>
          <w:sz w:val="24"/>
          <w:lang w:val="en-GB"/>
        </w:rPr>
        <w:t>To keep themselves informed about the situation of children finding themselves in a public or private institution;</w:t>
      </w:r>
    </w:p>
    <w:p w:rsidR="00000000" w:rsidRDefault="00000000">
      <w:pPr>
        <w:numPr>
          <w:ilvl w:val="0"/>
          <w:numId w:val="165"/>
        </w:numPr>
        <w:tabs>
          <w:tab w:val="clear" w:pos="720"/>
        </w:tabs>
        <w:spacing w:after="200"/>
        <w:jc w:val="left"/>
        <w:rPr>
          <w:sz w:val="24"/>
          <w:lang w:val="en-GB"/>
        </w:rPr>
      </w:pPr>
      <w:r>
        <w:rPr>
          <w:sz w:val="24"/>
          <w:lang w:val="en-GB"/>
        </w:rPr>
        <w:t>To intervene when their rights are threatened or infringed in order to assert the principle of the best interests of the child;</w:t>
      </w:r>
    </w:p>
    <w:p w:rsidR="00000000" w:rsidRDefault="00000000">
      <w:pPr>
        <w:numPr>
          <w:ilvl w:val="0"/>
          <w:numId w:val="165"/>
        </w:numPr>
        <w:tabs>
          <w:tab w:val="clear" w:pos="720"/>
        </w:tabs>
        <w:spacing w:after="200"/>
        <w:jc w:val="left"/>
        <w:rPr>
          <w:sz w:val="24"/>
          <w:lang w:val="en-GB"/>
        </w:rPr>
      </w:pPr>
      <w:r>
        <w:rPr>
          <w:sz w:val="24"/>
          <w:lang w:val="en-GB"/>
        </w:rPr>
        <w:t>To promote the strengthening of family links.  To this end they may secure extra-judicial reconciliations  between spouses, parents and family members concerning maintenance, custody and visiting arrangements, provided that there are no legal proceedings in progress on these matters;</w:t>
      </w:r>
    </w:p>
    <w:p w:rsidR="00000000" w:rsidRDefault="00000000">
      <w:pPr>
        <w:numPr>
          <w:ilvl w:val="0"/>
          <w:numId w:val="165"/>
        </w:numPr>
        <w:tabs>
          <w:tab w:val="clear" w:pos="720"/>
        </w:tabs>
        <w:spacing w:after="200"/>
        <w:jc w:val="left"/>
        <w:rPr>
          <w:sz w:val="24"/>
          <w:lang w:val="en-GB"/>
        </w:rPr>
      </w:pPr>
      <w:r>
        <w:rPr>
          <w:sz w:val="24"/>
          <w:lang w:val="en-GB"/>
        </w:rPr>
        <w:t>To hear cases of family placement;</w:t>
      </w:r>
    </w:p>
    <w:p w:rsidR="00000000" w:rsidRDefault="00000000">
      <w:pPr>
        <w:numPr>
          <w:ilvl w:val="0"/>
          <w:numId w:val="165"/>
        </w:numPr>
        <w:tabs>
          <w:tab w:val="clear" w:pos="720"/>
        </w:tabs>
        <w:spacing w:after="200"/>
        <w:jc w:val="left"/>
        <w:rPr>
          <w:sz w:val="24"/>
          <w:lang w:val="en-GB"/>
        </w:rPr>
      </w:pPr>
      <w:r>
        <w:rPr>
          <w:sz w:val="24"/>
          <w:lang w:val="en-GB"/>
        </w:rPr>
        <w:t>To encourage the voluntary acknowledgement of paternity;</w:t>
      </w:r>
    </w:p>
    <w:p w:rsidR="00000000" w:rsidRDefault="00000000">
      <w:pPr>
        <w:numPr>
          <w:ilvl w:val="0"/>
          <w:numId w:val="165"/>
        </w:numPr>
        <w:tabs>
          <w:tab w:val="clear" w:pos="720"/>
        </w:tabs>
        <w:spacing w:after="200"/>
        <w:jc w:val="left"/>
        <w:rPr>
          <w:sz w:val="24"/>
          <w:lang w:val="en-GB"/>
        </w:rPr>
      </w:pPr>
      <w:r>
        <w:rPr>
          <w:sz w:val="24"/>
          <w:lang w:val="en-GB"/>
        </w:rPr>
        <w:t>To coordinate programmes of services for working children;</w:t>
      </w:r>
    </w:p>
    <w:p w:rsidR="00000000" w:rsidRDefault="00000000">
      <w:pPr>
        <w:numPr>
          <w:ilvl w:val="0"/>
          <w:numId w:val="165"/>
        </w:numPr>
        <w:tabs>
          <w:tab w:val="clear" w:pos="720"/>
        </w:tabs>
        <w:spacing w:after="200"/>
        <w:jc w:val="left"/>
        <w:rPr>
          <w:sz w:val="24"/>
          <w:lang w:val="en-GB"/>
        </w:rPr>
      </w:pPr>
      <w:r>
        <w:rPr>
          <w:sz w:val="24"/>
          <w:lang w:val="en-GB"/>
        </w:rPr>
        <w:t>To furnish multidisciplinary advice to families to prevent crisis situations, provided that there are no legal proceedings in progress;</w:t>
      </w:r>
    </w:p>
    <w:p w:rsidR="00000000" w:rsidRDefault="00000000">
      <w:pPr>
        <w:numPr>
          <w:ilvl w:val="0"/>
          <w:numId w:val="165"/>
        </w:numPr>
        <w:tabs>
          <w:tab w:val="clear" w:pos="720"/>
        </w:tabs>
        <w:jc w:val="left"/>
        <w:rPr>
          <w:sz w:val="24"/>
          <w:lang w:val="en-GB"/>
        </w:rPr>
      </w:pPr>
      <w:r>
        <w:rPr>
          <w:sz w:val="24"/>
          <w:lang w:val="en-GB"/>
        </w:rPr>
        <w:t>To  report to the competent authorities any crimes or misdemeanours which may harm children.</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198.</w:t>
      </w:r>
      <w:r>
        <w:rPr>
          <w:sz w:val="24"/>
          <w:lang w:val="en-GB"/>
        </w:rPr>
        <w:tab/>
        <w:t>What are the basic methods used by the children’s ombudsmen in their work?</w:t>
      </w:r>
    </w:p>
    <w:p w:rsidR="00000000" w:rsidRDefault="00000000">
      <w:pPr>
        <w:tabs>
          <w:tab w:val="clear" w:pos="720"/>
        </w:tabs>
        <w:jc w:val="left"/>
        <w:rPr>
          <w:sz w:val="24"/>
          <w:lang w:val="en-GB"/>
        </w:rPr>
      </w:pPr>
    </w:p>
    <w:p w:rsidR="00000000" w:rsidRDefault="00000000">
      <w:pPr>
        <w:numPr>
          <w:ilvl w:val="0"/>
          <w:numId w:val="166"/>
        </w:numPr>
        <w:tabs>
          <w:tab w:val="clear" w:pos="720"/>
        </w:tabs>
        <w:spacing w:after="200"/>
        <w:jc w:val="left"/>
        <w:rPr>
          <w:sz w:val="24"/>
          <w:lang w:val="en-GB"/>
        </w:rPr>
      </w:pPr>
      <w:r>
        <w:rPr>
          <w:sz w:val="24"/>
          <w:lang w:val="en-GB"/>
        </w:rPr>
        <w:t>They form and/or join the networks of services and local monitoring committees in order to supplement and coordinate their work;</w:t>
      </w:r>
    </w:p>
    <w:p w:rsidR="00000000" w:rsidRDefault="00000000">
      <w:pPr>
        <w:numPr>
          <w:ilvl w:val="0"/>
          <w:numId w:val="166"/>
        </w:numPr>
        <w:tabs>
          <w:tab w:val="clear" w:pos="720"/>
        </w:tabs>
        <w:spacing w:after="200"/>
        <w:jc w:val="left"/>
        <w:rPr>
          <w:sz w:val="24"/>
          <w:lang w:val="en-GB"/>
        </w:rPr>
      </w:pPr>
      <w:r>
        <w:rPr>
          <w:sz w:val="24"/>
          <w:lang w:val="en-GB"/>
        </w:rPr>
        <w:t>They promote mobilization and awareness-raising measures at the grass-roots level, involving both families and the authorities and members of institutions;</w:t>
      </w:r>
    </w:p>
    <w:p w:rsidR="00000000" w:rsidRDefault="00000000">
      <w:pPr>
        <w:numPr>
          <w:ilvl w:val="0"/>
          <w:numId w:val="166"/>
        </w:numPr>
        <w:tabs>
          <w:tab w:val="clear" w:pos="720"/>
        </w:tabs>
        <w:jc w:val="left"/>
        <w:rPr>
          <w:sz w:val="24"/>
          <w:lang w:val="en-GB"/>
        </w:rPr>
      </w:pPr>
      <w:r>
        <w:rPr>
          <w:sz w:val="24"/>
          <w:lang w:val="en-GB"/>
        </w:rPr>
        <w:t>They maintain permanent contact with communities to keep themselves up to date with developments and to keep matters under control.</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199.</w:t>
      </w:r>
      <w:r>
        <w:rPr>
          <w:sz w:val="24"/>
          <w:lang w:val="en-GB"/>
        </w:rPr>
        <w:tab/>
        <w:t>Where are ombudsman offices to be found?</w:t>
      </w:r>
      <w:r>
        <w:rPr>
          <w:b/>
          <w:sz w:val="24"/>
          <w:lang w:val="en-GB"/>
        </w:rPr>
        <w:t xml:space="preserve">  </w:t>
      </w:r>
      <w:r>
        <w:rPr>
          <w:sz w:val="24"/>
          <w:lang w:val="en-GB"/>
        </w:rPr>
        <w:t>In various institutions.  We therefore talk about different models of ombudsman office, depending on the institution which sets it up:</w:t>
      </w:r>
    </w:p>
    <w:p w:rsidR="00000000" w:rsidRDefault="00000000">
      <w:pPr>
        <w:tabs>
          <w:tab w:val="clear" w:pos="720"/>
        </w:tabs>
        <w:jc w:val="left"/>
        <w:rPr>
          <w:sz w:val="24"/>
          <w:lang w:val="en-GB"/>
        </w:rPr>
      </w:pPr>
    </w:p>
    <w:p w:rsidR="00000000" w:rsidRDefault="00000000">
      <w:pPr>
        <w:tabs>
          <w:tab w:val="clear" w:pos="720"/>
        </w:tabs>
        <w:spacing w:after="200"/>
        <w:jc w:val="left"/>
        <w:rPr>
          <w:sz w:val="24"/>
          <w:lang w:val="en-GB"/>
        </w:rPr>
      </w:pPr>
      <w:r>
        <w:rPr>
          <w:sz w:val="24"/>
          <w:lang w:val="en-GB"/>
        </w:rPr>
        <w:tab/>
        <w:t>(a)</w:t>
      </w:r>
      <w:r>
        <w:rPr>
          <w:sz w:val="24"/>
          <w:lang w:val="en-GB"/>
        </w:rPr>
        <w:tab/>
        <w:t>Offices in primary and secondary schools;</w:t>
      </w:r>
    </w:p>
    <w:p w:rsidR="00000000" w:rsidRDefault="00000000">
      <w:pPr>
        <w:tabs>
          <w:tab w:val="clear" w:pos="720"/>
        </w:tabs>
        <w:spacing w:after="200"/>
        <w:jc w:val="left"/>
        <w:rPr>
          <w:sz w:val="24"/>
          <w:lang w:val="en-GB"/>
        </w:rPr>
      </w:pPr>
      <w:r>
        <w:rPr>
          <w:sz w:val="24"/>
          <w:lang w:val="en-GB"/>
        </w:rPr>
        <w:tab/>
        <w:t>(b)</w:t>
      </w:r>
      <w:r>
        <w:rPr>
          <w:sz w:val="24"/>
          <w:lang w:val="en-GB"/>
        </w:rPr>
        <w:tab/>
        <w:t>Offices attached to churches (Catholic and others);</w:t>
      </w:r>
    </w:p>
    <w:p w:rsidR="00000000" w:rsidRDefault="00000000">
      <w:pPr>
        <w:tabs>
          <w:tab w:val="clear" w:pos="720"/>
        </w:tabs>
        <w:spacing w:after="200"/>
        <w:jc w:val="left"/>
        <w:rPr>
          <w:sz w:val="24"/>
          <w:lang w:val="en-GB"/>
        </w:rPr>
      </w:pPr>
      <w:r>
        <w:rPr>
          <w:sz w:val="24"/>
          <w:lang w:val="en-GB"/>
        </w:rPr>
        <w:tab/>
        <w:t>(c)</w:t>
      </w:r>
      <w:r>
        <w:rPr>
          <w:sz w:val="24"/>
          <w:lang w:val="en-GB"/>
        </w:rPr>
        <w:tab/>
        <w:t>Offices established by grass-roots social organizations;</w:t>
      </w:r>
    </w:p>
    <w:p w:rsidR="00000000" w:rsidRDefault="00000000">
      <w:pPr>
        <w:tabs>
          <w:tab w:val="clear" w:pos="720"/>
        </w:tabs>
        <w:spacing w:after="200"/>
        <w:jc w:val="left"/>
        <w:rPr>
          <w:sz w:val="24"/>
          <w:lang w:val="en-GB"/>
        </w:rPr>
      </w:pPr>
      <w:r>
        <w:rPr>
          <w:sz w:val="24"/>
          <w:lang w:val="en-GB"/>
        </w:rPr>
        <w:tab/>
        <w:t>(d)</w:t>
      </w:r>
      <w:r>
        <w:rPr>
          <w:sz w:val="24"/>
          <w:lang w:val="en-GB"/>
        </w:rPr>
        <w:tab/>
        <w:t>Offices established by NGOs;</w:t>
      </w:r>
    </w:p>
    <w:p w:rsidR="00000000" w:rsidRDefault="00000000">
      <w:pPr>
        <w:tabs>
          <w:tab w:val="clear" w:pos="720"/>
        </w:tabs>
        <w:ind w:left="1134" w:hanging="1134"/>
        <w:jc w:val="left"/>
        <w:rPr>
          <w:sz w:val="24"/>
          <w:lang w:val="en-GB"/>
        </w:rPr>
      </w:pPr>
      <w:r>
        <w:rPr>
          <w:sz w:val="24"/>
          <w:lang w:val="en-GB"/>
        </w:rPr>
        <w:tab/>
        <w:t>(e)</w:t>
      </w:r>
      <w:r>
        <w:rPr>
          <w:sz w:val="24"/>
          <w:lang w:val="en-GB"/>
        </w:rPr>
        <w:tab/>
        <w:t>Municipal offices (known as DEMUNAs), which operate in provincial and district              municipalities and in smaller settlements.</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200.</w:t>
      </w:r>
      <w:r>
        <w:rPr>
          <w:sz w:val="24"/>
          <w:lang w:val="en-GB"/>
        </w:rPr>
        <w:tab/>
        <w:t>Although these types of ombudsman office are the best-known, there are others such as the ones in health centres, police stations, etc.</w:t>
      </w:r>
    </w:p>
    <w:p w:rsidR="00000000" w:rsidRDefault="00000000">
      <w:pPr>
        <w:tabs>
          <w:tab w:val="clear" w:pos="720"/>
        </w:tabs>
        <w:jc w:val="left"/>
        <w:rPr>
          <w:sz w:val="24"/>
          <w:lang w:val="en-GB"/>
        </w:rPr>
      </w:pPr>
    </w:p>
    <w:p w:rsidR="00000000" w:rsidRDefault="00000000">
      <w:pPr>
        <w:tabs>
          <w:tab w:val="clear" w:pos="720"/>
        </w:tabs>
        <w:jc w:val="left"/>
        <w:rPr>
          <w:b/>
          <w:sz w:val="24"/>
          <w:lang w:val="en-GB"/>
        </w:rPr>
      </w:pPr>
      <w:r>
        <w:rPr>
          <w:sz w:val="24"/>
          <w:lang w:val="en-GB"/>
        </w:rPr>
        <w:t>201.</w:t>
      </w:r>
      <w:r>
        <w:rPr>
          <w:sz w:val="24"/>
          <w:lang w:val="en-GB"/>
        </w:rPr>
        <w:tab/>
        <w:t>Who may have recourse to an ombudsman?</w:t>
      </w:r>
    </w:p>
    <w:p w:rsidR="00000000" w:rsidRDefault="00000000">
      <w:pPr>
        <w:tabs>
          <w:tab w:val="clear" w:pos="720"/>
        </w:tabs>
        <w:jc w:val="left"/>
        <w:rPr>
          <w:b/>
          <w:sz w:val="24"/>
          <w:lang w:val="en-GB"/>
        </w:rPr>
      </w:pPr>
    </w:p>
    <w:p w:rsidR="00000000" w:rsidRDefault="00000000">
      <w:pPr>
        <w:numPr>
          <w:ilvl w:val="0"/>
          <w:numId w:val="167"/>
        </w:numPr>
        <w:tabs>
          <w:tab w:val="clear" w:pos="720"/>
        </w:tabs>
        <w:spacing w:after="200"/>
        <w:jc w:val="left"/>
        <w:rPr>
          <w:sz w:val="24"/>
          <w:lang w:val="en-GB"/>
        </w:rPr>
      </w:pPr>
      <w:r>
        <w:rPr>
          <w:sz w:val="24"/>
          <w:lang w:val="en-GB"/>
        </w:rPr>
        <w:t>Children themselves;</w:t>
      </w:r>
    </w:p>
    <w:p w:rsidR="00000000" w:rsidRDefault="00000000">
      <w:pPr>
        <w:numPr>
          <w:ilvl w:val="0"/>
          <w:numId w:val="167"/>
        </w:numPr>
        <w:tabs>
          <w:tab w:val="clear" w:pos="720"/>
        </w:tabs>
        <w:spacing w:after="200"/>
        <w:jc w:val="left"/>
        <w:rPr>
          <w:sz w:val="24"/>
          <w:lang w:val="en-GB"/>
        </w:rPr>
      </w:pPr>
      <w:r>
        <w:rPr>
          <w:sz w:val="24"/>
          <w:lang w:val="en-GB"/>
        </w:rPr>
        <w:t>Members of their families;</w:t>
      </w:r>
    </w:p>
    <w:p w:rsidR="00000000" w:rsidRDefault="00000000">
      <w:pPr>
        <w:numPr>
          <w:ilvl w:val="0"/>
          <w:numId w:val="167"/>
        </w:numPr>
        <w:tabs>
          <w:tab w:val="clear" w:pos="720"/>
        </w:tabs>
        <w:jc w:val="left"/>
        <w:rPr>
          <w:sz w:val="24"/>
          <w:lang w:val="en-GB"/>
        </w:rPr>
      </w:pPr>
      <w:r>
        <w:rPr>
          <w:sz w:val="24"/>
          <w:lang w:val="en-GB"/>
        </w:rPr>
        <w:t>Anyone who is aware of a situation or problem adversely affecting the rights of the child.</w:t>
      </w:r>
    </w:p>
    <w:p w:rsidR="00000000" w:rsidRDefault="00000000">
      <w:pPr>
        <w:tabs>
          <w:tab w:val="clear" w:pos="720"/>
        </w:tabs>
        <w:jc w:val="left"/>
        <w:rPr>
          <w:sz w:val="24"/>
          <w:lang w:val="en-GB"/>
        </w:rPr>
      </w:pPr>
      <w:r>
        <w:rPr>
          <w:sz w:val="24"/>
          <w:lang w:val="en-GB"/>
        </w:rPr>
        <w:t xml:space="preserve"> </w:t>
      </w:r>
    </w:p>
    <w:p w:rsidR="00000000" w:rsidRDefault="00000000">
      <w:pPr>
        <w:tabs>
          <w:tab w:val="clear" w:pos="720"/>
        </w:tabs>
        <w:jc w:val="left"/>
        <w:rPr>
          <w:sz w:val="24"/>
          <w:lang w:val="en-GB"/>
        </w:rPr>
      </w:pPr>
      <w:r>
        <w:rPr>
          <w:sz w:val="24"/>
          <w:lang w:val="en-GB"/>
        </w:rPr>
        <w:t>202.</w:t>
      </w:r>
      <w:r>
        <w:rPr>
          <w:sz w:val="24"/>
          <w:lang w:val="en-GB"/>
        </w:rPr>
        <w:tab/>
        <w:t>How are the offices staffed?</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ab/>
        <w:t>An office may be staffed by professionals or other persons from the community having a basic knowledge of the service.  They may also have the assistance of persons who have been trained in the operation of this service.  However, with a view to establishing an operating procedure which works in practice, an office may have the following structure:</w:t>
      </w:r>
    </w:p>
    <w:p w:rsidR="00000000" w:rsidRDefault="00000000">
      <w:pPr>
        <w:tabs>
          <w:tab w:val="clear" w:pos="720"/>
        </w:tabs>
        <w:jc w:val="left"/>
        <w:rPr>
          <w:sz w:val="24"/>
          <w:lang w:val="en-GB"/>
        </w:rPr>
      </w:pPr>
    </w:p>
    <w:p w:rsidR="00000000" w:rsidRDefault="00000000">
      <w:pPr>
        <w:tabs>
          <w:tab w:val="clear" w:pos="720"/>
        </w:tabs>
        <w:ind w:left="567"/>
        <w:jc w:val="left"/>
        <w:rPr>
          <w:sz w:val="24"/>
          <w:lang w:val="en-GB"/>
        </w:rPr>
      </w:pPr>
      <w:r>
        <w:rPr>
          <w:sz w:val="24"/>
          <w:lang w:val="en-GB"/>
        </w:rPr>
        <w:tab/>
      </w:r>
      <w:r>
        <w:rPr>
          <w:bCs/>
          <w:i/>
          <w:iCs/>
          <w:sz w:val="24"/>
          <w:lang w:val="en-GB"/>
        </w:rPr>
        <w:t>A leader:</w:t>
      </w:r>
      <w:r>
        <w:rPr>
          <w:sz w:val="24"/>
          <w:lang w:val="en-GB"/>
        </w:rPr>
        <w:t xml:space="preserve"> a person of standing in the community.  He or she may be a representative of an institution or organization of civil society elected to this post.</w:t>
      </w:r>
    </w:p>
    <w:p w:rsidR="00000000" w:rsidRDefault="00000000">
      <w:pPr>
        <w:tabs>
          <w:tab w:val="clear" w:pos="720"/>
        </w:tabs>
        <w:ind w:left="567"/>
        <w:jc w:val="left"/>
        <w:rPr>
          <w:sz w:val="24"/>
          <w:lang w:val="en-GB"/>
        </w:rPr>
      </w:pPr>
    </w:p>
    <w:p w:rsidR="00000000" w:rsidRDefault="00000000">
      <w:pPr>
        <w:tabs>
          <w:tab w:val="clear" w:pos="720"/>
        </w:tabs>
        <w:ind w:left="567"/>
        <w:jc w:val="left"/>
        <w:rPr>
          <w:sz w:val="24"/>
          <w:lang w:val="en-GB"/>
        </w:rPr>
      </w:pPr>
      <w:r>
        <w:rPr>
          <w:sz w:val="24"/>
          <w:lang w:val="en-GB"/>
        </w:rPr>
        <w:tab/>
      </w:r>
      <w:r>
        <w:rPr>
          <w:bCs/>
          <w:i/>
          <w:iCs/>
          <w:sz w:val="24"/>
          <w:lang w:val="en-GB"/>
        </w:rPr>
        <w:t>Ombudsmen:</w:t>
      </w:r>
      <w:r>
        <w:rPr>
          <w:sz w:val="24"/>
          <w:lang w:val="en-GB"/>
        </w:rPr>
        <w:t xml:space="preserve"> professionals from any discipline, preferably one related to the human or social sciences.  In places where there are no professionals or in institutions which by their nature do not have any professionals among their members, the ombudsmen may be persons of standing in the community duly accredited to perform their functions.</w:t>
      </w:r>
    </w:p>
    <w:p w:rsidR="00000000" w:rsidRDefault="00000000">
      <w:pPr>
        <w:tabs>
          <w:tab w:val="clear" w:pos="720"/>
        </w:tabs>
        <w:ind w:left="567"/>
        <w:jc w:val="left"/>
        <w:rPr>
          <w:sz w:val="24"/>
          <w:lang w:val="en-GB"/>
        </w:rPr>
      </w:pPr>
    </w:p>
    <w:p w:rsidR="00000000" w:rsidRDefault="00000000">
      <w:pPr>
        <w:tabs>
          <w:tab w:val="clear" w:pos="720"/>
        </w:tabs>
        <w:ind w:left="567"/>
        <w:jc w:val="left"/>
        <w:rPr>
          <w:sz w:val="24"/>
          <w:lang w:val="en-GB"/>
        </w:rPr>
      </w:pPr>
      <w:r>
        <w:rPr>
          <w:sz w:val="24"/>
          <w:lang w:val="en-GB"/>
        </w:rPr>
        <w:tab/>
      </w:r>
      <w:r>
        <w:rPr>
          <w:bCs/>
          <w:i/>
          <w:iCs/>
          <w:sz w:val="24"/>
          <w:lang w:val="en-GB"/>
        </w:rPr>
        <w:t>Field workers:</w:t>
      </w:r>
      <w:r>
        <w:rPr>
          <w:sz w:val="24"/>
          <w:lang w:val="en-GB"/>
        </w:rPr>
        <w:t xml:space="preserve"> local children and adults who have been trained to perform the service’s functions and have voluntarily taken on this responsibility and a commitment to uphold the service’s statutes and operations.</w:t>
      </w:r>
    </w:p>
    <w:p w:rsidR="00000000" w:rsidRDefault="00000000">
      <w:pPr>
        <w:tabs>
          <w:tab w:val="clear" w:pos="720"/>
        </w:tabs>
        <w:ind w:left="567"/>
        <w:jc w:val="left"/>
        <w:rPr>
          <w:sz w:val="24"/>
          <w:lang w:val="en-GB"/>
        </w:rPr>
      </w:pPr>
      <w:r>
        <w:rPr>
          <w:sz w:val="24"/>
          <w:lang w:val="en-GB"/>
        </w:rPr>
        <w:tab/>
      </w:r>
    </w:p>
    <w:p w:rsidR="00000000" w:rsidRDefault="00000000">
      <w:pPr>
        <w:tabs>
          <w:tab w:val="clear" w:pos="720"/>
        </w:tabs>
        <w:ind w:left="567"/>
        <w:jc w:val="left"/>
        <w:rPr>
          <w:sz w:val="24"/>
          <w:lang w:val="en-GB"/>
        </w:rPr>
      </w:pPr>
      <w:r>
        <w:rPr>
          <w:sz w:val="24"/>
          <w:lang w:val="en-GB"/>
        </w:rPr>
        <w:tab/>
      </w:r>
      <w:r>
        <w:rPr>
          <w:bCs/>
          <w:i/>
          <w:iCs/>
          <w:sz w:val="24"/>
          <w:lang w:val="en-GB"/>
        </w:rPr>
        <w:t>Support staff:</w:t>
      </w:r>
      <w:r>
        <w:rPr>
          <w:sz w:val="24"/>
          <w:lang w:val="en-GB"/>
        </w:rPr>
        <w:t xml:space="preserve"> administrative and professional personnel who collaborate with the service without having the status of leader, ombudsman or field worker.</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203.</w:t>
      </w:r>
      <w:r>
        <w:rPr>
          <w:sz w:val="24"/>
          <w:lang w:val="en-GB"/>
        </w:rPr>
        <w:tab/>
        <w:t>What work do the offices do?</w:t>
      </w:r>
    </w:p>
    <w:p w:rsidR="00000000" w:rsidRDefault="00000000">
      <w:pPr>
        <w:tabs>
          <w:tab w:val="clear" w:pos="720"/>
        </w:tabs>
        <w:jc w:val="left"/>
        <w:rPr>
          <w:sz w:val="24"/>
          <w:lang w:val="en-GB"/>
        </w:rPr>
      </w:pPr>
    </w:p>
    <w:p w:rsidR="00000000" w:rsidRDefault="00000000">
      <w:pPr>
        <w:tabs>
          <w:tab w:val="clear" w:pos="720"/>
        </w:tabs>
        <w:ind w:left="567"/>
        <w:jc w:val="left"/>
        <w:rPr>
          <w:sz w:val="24"/>
          <w:lang w:val="en-GB"/>
        </w:rPr>
      </w:pPr>
      <w:r>
        <w:rPr>
          <w:sz w:val="24"/>
          <w:lang w:val="en-GB"/>
        </w:rPr>
        <w:tab/>
      </w:r>
      <w:r>
        <w:rPr>
          <w:bCs/>
          <w:i/>
          <w:iCs/>
          <w:sz w:val="24"/>
          <w:lang w:val="en-GB"/>
        </w:rPr>
        <w:t>They promote rights:</w:t>
      </w:r>
      <w:r>
        <w:rPr>
          <w:sz w:val="24"/>
          <w:lang w:val="en-GB"/>
        </w:rPr>
        <w:t xml:space="preserve"> they carry out organized and planned activities to inform and educate the various sectors of society and to raise their awareness of the rights of the child.  They try to persuade people to change their ways of thinking and their attitudes and practices with respect to the situation of children by taking on board the importance of the exercise of children’s rights.</w:t>
      </w:r>
    </w:p>
    <w:p w:rsidR="00000000" w:rsidRDefault="00000000">
      <w:pPr>
        <w:tabs>
          <w:tab w:val="clear" w:pos="720"/>
        </w:tabs>
        <w:jc w:val="left"/>
        <w:rPr>
          <w:sz w:val="24"/>
          <w:lang w:val="en-GB"/>
        </w:rPr>
      </w:pPr>
    </w:p>
    <w:p w:rsidR="00000000" w:rsidRDefault="00000000">
      <w:pPr>
        <w:tabs>
          <w:tab w:val="clear" w:pos="720"/>
        </w:tabs>
        <w:ind w:left="567"/>
        <w:jc w:val="left"/>
        <w:rPr>
          <w:sz w:val="24"/>
          <w:lang w:val="en-GB"/>
        </w:rPr>
      </w:pPr>
      <w:r>
        <w:rPr>
          <w:sz w:val="24"/>
          <w:lang w:val="en-GB"/>
        </w:rPr>
        <w:tab/>
      </w:r>
      <w:r>
        <w:rPr>
          <w:bCs/>
          <w:i/>
          <w:iCs/>
          <w:sz w:val="24"/>
          <w:lang w:val="en-GB"/>
        </w:rPr>
        <w:t xml:space="preserve">They take up cases: </w:t>
      </w:r>
      <w:r>
        <w:rPr>
          <w:sz w:val="24"/>
          <w:lang w:val="en-GB"/>
        </w:rPr>
        <w:t>they may take a number of measures to ensure that situations or problems which may affect the exercise of a child’s rights are resolved.</w:t>
      </w:r>
    </w:p>
    <w:p w:rsidR="00000000" w:rsidRDefault="00000000">
      <w:pPr>
        <w:tabs>
          <w:tab w:val="clear" w:pos="720"/>
        </w:tabs>
        <w:ind w:left="567"/>
        <w:jc w:val="left"/>
        <w:rPr>
          <w:sz w:val="24"/>
          <w:lang w:val="en-GB"/>
        </w:rPr>
      </w:pPr>
      <w:r>
        <w:rPr>
          <w:sz w:val="24"/>
          <w:lang w:val="en-GB"/>
        </w:rPr>
        <w:tab/>
      </w:r>
      <w:r>
        <w:rPr>
          <w:bCs/>
          <w:i/>
          <w:iCs/>
          <w:sz w:val="24"/>
          <w:lang w:val="en-GB"/>
        </w:rPr>
        <w:t xml:space="preserve">They offer guidance: </w:t>
      </w:r>
      <w:r>
        <w:rPr>
          <w:sz w:val="24"/>
          <w:lang w:val="en-GB"/>
        </w:rPr>
        <w:t>members of the offices provide information of various kinds concerning general or specific topics.</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204.</w:t>
      </w:r>
      <w:r>
        <w:rPr>
          <w:sz w:val="24"/>
          <w:lang w:val="en-GB"/>
        </w:rPr>
        <w:tab/>
        <w:t>With respect to which problems may the offices intervene?</w:t>
      </w:r>
    </w:p>
    <w:p w:rsidR="00000000" w:rsidRDefault="00000000">
      <w:pPr>
        <w:tabs>
          <w:tab w:val="clear" w:pos="720"/>
        </w:tabs>
        <w:jc w:val="left"/>
        <w:rPr>
          <w:sz w:val="24"/>
          <w:lang w:val="en-GB"/>
        </w:rPr>
      </w:pPr>
    </w:p>
    <w:p w:rsidR="00000000" w:rsidRDefault="00000000">
      <w:pPr>
        <w:tabs>
          <w:tab w:val="clear" w:pos="720"/>
        </w:tabs>
        <w:ind w:firstLine="567"/>
        <w:jc w:val="left"/>
        <w:rPr>
          <w:bCs/>
          <w:i/>
          <w:iCs/>
          <w:sz w:val="24"/>
          <w:lang w:val="en-GB"/>
        </w:rPr>
      </w:pPr>
      <w:r>
        <w:rPr>
          <w:bCs/>
          <w:i/>
          <w:iCs/>
          <w:sz w:val="24"/>
          <w:lang w:val="en-GB"/>
        </w:rPr>
        <w:t>Through the conciliation mechanism</w:t>
      </w:r>
    </w:p>
    <w:p w:rsidR="00000000" w:rsidRDefault="00000000">
      <w:pPr>
        <w:tabs>
          <w:tab w:val="clear" w:pos="720"/>
        </w:tabs>
        <w:jc w:val="left"/>
        <w:rPr>
          <w:sz w:val="24"/>
          <w:lang w:val="en-GB"/>
        </w:rPr>
      </w:pPr>
    </w:p>
    <w:p w:rsidR="00000000" w:rsidRDefault="00000000">
      <w:pPr>
        <w:tabs>
          <w:tab w:val="clear" w:pos="720"/>
        </w:tabs>
        <w:ind w:left="567"/>
        <w:jc w:val="left"/>
        <w:rPr>
          <w:sz w:val="24"/>
          <w:lang w:val="en-GB"/>
        </w:rPr>
      </w:pPr>
      <w:r>
        <w:rPr>
          <w:sz w:val="24"/>
          <w:lang w:val="en-GB"/>
        </w:rPr>
        <w:tab/>
        <w:t>The offices may intervene when the following types of problem arise, provided that there are no legal proceedings in progress or concluded in the same case and no crime or misdemeanour has been committed:</w:t>
      </w:r>
    </w:p>
    <w:p w:rsidR="00000000" w:rsidRDefault="00000000">
      <w:pPr>
        <w:tabs>
          <w:tab w:val="clear" w:pos="720"/>
        </w:tabs>
        <w:jc w:val="left"/>
        <w:rPr>
          <w:sz w:val="24"/>
          <w:lang w:val="en-GB"/>
        </w:rPr>
      </w:pPr>
    </w:p>
    <w:p w:rsidR="00000000" w:rsidRDefault="00000000">
      <w:pPr>
        <w:tabs>
          <w:tab w:val="clear" w:pos="720"/>
        </w:tabs>
        <w:ind w:left="567"/>
        <w:jc w:val="left"/>
        <w:rPr>
          <w:sz w:val="24"/>
          <w:lang w:val="en-GB"/>
        </w:rPr>
      </w:pPr>
      <w:r>
        <w:rPr>
          <w:sz w:val="24"/>
          <w:lang w:val="en-GB"/>
        </w:rPr>
        <w:tab/>
      </w:r>
      <w:r>
        <w:rPr>
          <w:bCs/>
          <w:i/>
          <w:iCs/>
          <w:sz w:val="24"/>
          <w:lang w:val="en-GB"/>
        </w:rPr>
        <w:t>Maintenance:</w:t>
      </w:r>
      <w:r>
        <w:rPr>
          <w:sz w:val="24"/>
          <w:lang w:val="en-GB"/>
        </w:rPr>
        <w:t xml:space="preserve"> this covers everything necessary for the sustenance, shelter, education, instruction and job training, medical care, and recreation of a child, or of a pregnant woman, from conception to the post-partum period.</w:t>
      </w:r>
    </w:p>
    <w:p w:rsidR="00000000" w:rsidRDefault="00000000">
      <w:pPr>
        <w:tabs>
          <w:tab w:val="clear" w:pos="720"/>
        </w:tabs>
        <w:jc w:val="left"/>
        <w:rPr>
          <w:sz w:val="24"/>
          <w:lang w:val="en-GB"/>
        </w:rPr>
      </w:pPr>
    </w:p>
    <w:p w:rsidR="00000000" w:rsidRDefault="00000000">
      <w:pPr>
        <w:tabs>
          <w:tab w:val="clear" w:pos="720"/>
        </w:tabs>
        <w:ind w:left="567"/>
        <w:jc w:val="left"/>
        <w:rPr>
          <w:sz w:val="24"/>
          <w:lang w:val="en-GB"/>
        </w:rPr>
      </w:pPr>
      <w:r>
        <w:rPr>
          <w:bCs/>
          <w:i/>
          <w:iCs/>
          <w:sz w:val="24"/>
          <w:lang w:val="en-GB"/>
        </w:rPr>
        <w:tab/>
        <w:t xml:space="preserve">Custody: </w:t>
      </w:r>
      <w:r>
        <w:rPr>
          <w:sz w:val="24"/>
          <w:lang w:val="en-GB"/>
        </w:rPr>
        <w:t>this is the responsibility assumed by one of a child’s parents to attend to his or her comprehensive development when the parents are actually separated.  A mother or father who cedes the custody of a child does not lose parental authority.</w:t>
      </w:r>
    </w:p>
    <w:p w:rsidR="00000000" w:rsidRDefault="00000000">
      <w:pPr>
        <w:tabs>
          <w:tab w:val="clear" w:pos="720"/>
        </w:tabs>
        <w:jc w:val="left"/>
        <w:rPr>
          <w:sz w:val="24"/>
          <w:lang w:val="en-GB"/>
        </w:rPr>
      </w:pPr>
    </w:p>
    <w:p w:rsidR="00000000" w:rsidRDefault="00000000">
      <w:pPr>
        <w:tabs>
          <w:tab w:val="clear" w:pos="720"/>
        </w:tabs>
        <w:ind w:left="567"/>
        <w:jc w:val="left"/>
        <w:rPr>
          <w:sz w:val="24"/>
          <w:lang w:val="en-GB"/>
        </w:rPr>
      </w:pPr>
      <w:r>
        <w:rPr>
          <w:bCs/>
          <w:i/>
          <w:iCs/>
          <w:sz w:val="24"/>
          <w:lang w:val="en-GB"/>
        </w:rPr>
        <w:tab/>
        <w:t>Rights of access:</w:t>
      </w:r>
      <w:r>
        <w:rPr>
          <w:sz w:val="24"/>
          <w:lang w:val="en-GB"/>
        </w:rPr>
        <w:t xml:space="preserve"> a father or mother who is not living with a child does have visiting rights; visiting days and times are established by agreement between the parties.</w:t>
      </w:r>
    </w:p>
    <w:p w:rsidR="00000000" w:rsidRDefault="00000000">
      <w:pPr>
        <w:tabs>
          <w:tab w:val="clear" w:pos="720"/>
        </w:tabs>
        <w:jc w:val="left"/>
        <w:rPr>
          <w:sz w:val="24"/>
          <w:lang w:val="en-GB"/>
        </w:rPr>
      </w:pPr>
    </w:p>
    <w:p w:rsidR="00000000" w:rsidRDefault="00000000">
      <w:pPr>
        <w:tabs>
          <w:tab w:val="clear" w:pos="720"/>
        </w:tabs>
        <w:ind w:firstLine="567"/>
        <w:jc w:val="left"/>
        <w:rPr>
          <w:bCs/>
          <w:i/>
          <w:iCs/>
          <w:sz w:val="24"/>
          <w:lang w:val="en-GB"/>
        </w:rPr>
      </w:pPr>
      <w:r>
        <w:rPr>
          <w:bCs/>
          <w:i/>
          <w:iCs/>
          <w:sz w:val="24"/>
          <w:lang w:val="en-GB"/>
        </w:rPr>
        <w:t>Through administrative action</w:t>
      </w:r>
    </w:p>
    <w:p w:rsidR="00000000" w:rsidRDefault="00000000">
      <w:pPr>
        <w:tabs>
          <w:tab w:val="clear" w:pos="720"/>
        </w:tabs>
        <w:jc w:val="left"/>
        <w:rPr>
          <w:sz w:val="24"/>
          <w:lang w:val="en-GB"/>
        </w:rPr>
      </w:pPr>
    </w:p>
    <w:p w:rsidR="00000000" w:rsidRDefault="00000000">
      <w:pPr>
        <w:tabs>
          <w:tab w:val="clear" w:pos="720"/>
        </w:tabs>
        <w:ind w:left="567"/>
        <w:jc w:val="left"/>
        <w:rPr>
          <w:sz w:val="24"/>
          <w:lang w:val="en-GB"/>
        </w:rPr>
      </w:pPr>
      <w:r>
        <w:rPr>
          <w:sz w:val="24"/>
          <w:lang w:val="en-GB"/>
        </w:rPr>
        <w:tab/>
      </w:r>
      <w:r>
        <w:rPr>
          <w:bCs/>
          <w:i/>
          <w:iCs/>
          <w:sz w:val="24"/>
          <w:lang w:val="en-GB"/>
        </w:rPr>
        <w:t xml:space="preserve">Late registration of birth: </w:t>
      </w:r>
      <w:r>
        <w:rPr>
          <w:sz w:val="24"/>
          <w:lang w:val="en-GB"/>
        </w:rPr>
        <w:t>this means regularizing a child’s registration in the Register of Births and the National Register of Identity and Civil Status (RENIEC).  This procedure is followed when the 30 days stipulated by law have expired.  Ombudsmen have a number of ways of helping people to apply for late registration.</w:t>
      </w:r>
    </w:p>
    <w:p w:rsidR="00000000" w:rsidRDefault="00000000">
      <w:pPr>
        <w:tabs>
          <w:tab w:val="clear" w:pos="720"/>
        </w:tabs>
        <w:jc w:val="left"/>
        <w:rPr>
          <w:sz w:val="24"/>
          <w:lang w:val="en-GB"/>
        </w:rPr>
      </w:pPr>
    </w:p>
    <w:p w:rsidR="00000000" w:rsidRDefault="00000000">
      <w:pPr>
        <w:tabs>
          <w:tab w:val="clear" w:pos="720"/>
        </w:tabs>
        <w:ind w:left="567"/>
        <w:jc w:val="left"/>
        <w:rPr>
          <w:sz w:val="24"/>
          <w:lang w:val="en-GB"/>
        </w:rPr>
      </w:pPr>
      <w:r>
        <w:rPr>
          <w:sz w:val="24"/>
          <w:lang w:val="en-GB"/>
        </w:rPr>
        <w:tab/>
      </w:r>
      <w:r>
        <w:rPr>
          <w:bCs/>
          <w:i/>
          <w:iCs/>
          <w:sz w:val="24"/>
          <w:lang w:val="en-GB"/>
        </w:rPr>
        <w:t xml:space="preserve">School enrolment at the correct time: </w:t>
      </w:r>
      <w:r>
        <w:rPr>
          <w:sz w:val="24"/>
          <w:lang w:val="en-GB"/>
        </w:rPr>
        <w:t>action by an ombudsman to ensure that a child is enrolled at the correct age and time.  Ombudsmen may make representations to the school authorities or the Parents’ Association (APAFA) to allow a child to exercise the right to education by making arrangements for his or her enrolment even when some of the enrolment requirements are not met.</w:t>
      </w:r>
    </w:p>
    <w:p w:rsidR="00000000" w:rsidRDefault="00000000">
      <w:pPr>
        <w:tabs>
          <w:tab w:val="clear" w:pos="720"/>
        </w:tabs>
        <w:jc w:val="left"/>
        <w:rPr>
          <w:sz w:val="24"/>
          <w:lang w:val="en-GB"/>
        </w:rPr>
      </w:pPr>
    </w:p>
    <w:p w:rsidR="00000000" w:rsidRDefault="00000000">
      <w:pPr>
        <w:tabs>
          <w:tab w:val="clear" w:pos="720"/>
        </w:tabs>
        <w:ind w:left="567"/>
        <w:jc w:val="left"/>
        <w:rPr>
          <w:sz w:val="24"/>
          <w:lang w:val="en-GB"/>
        </w:rPr>
      </w:pPr>
      <w:r>
        <w:rPr>
          <w:bCs/>
          <w:i/>
          <w:iCs/>
          <w:sz w:val="24"/>
          <w:lang w:val="en-GB"/>
        </w:rPr>
        <w:tab/>
        <w:t>Correction of birth certificates:</w:t>
      </w:r>
      <w:r>
        <w:rPr>
          <w:sz w:val="24"/>
          <w:lang w:val="en-GB"/>
        </w:rPr>
        <w:t xml:space="preserve"> correction of the information contained in a child’s birth certificate as recorded in the Register of Births and the National Register of Identity and Civil Status (RENIEC).  Ombudsmen have a number of ways of helping people to apply for such correction to the civil registration authorities or to a court.</w:t>
      </w:r>
    </w:p>
    <w:p w:rsidR="00000000" w:rsidRDefault="00000000">
      <w:pPr>
        <w:tabs>
          <w:tab w:val="clear" w:pos="720"/>
        </w:tabs>
        <w:jc w:val="left"/>
        <w:rPr>
          <w:sz w:val="24"/>
          <w:lang w:val="en-GB"/>
        </w:rPr>
      </w:pPr>
    </w:p>
    <w:p w:rsidR="00000000" w:rsidRDefault="00000000">
      <w:pPr>
        <w:tabs>
          <w:tab w:val="clear" w:pos="720"/>
        </w:tabs>
        <w:ind w:left="567"/>
        <w:jc w:val="left"/>
        <w:rPr>
          <w:sz w:val="24"/>
          <w:lang w:val="en-GB"/>
        </w:rPr>
      </w:pPr>
      <w:r>
        <w:rPr>
          <w:sz w:val="24"/>
          <w:lang w:val="en-GB"/>
        </w:rPr>
        <w:tab/>
      </w:r>
      <w:r>
        <w:rPr>
          <w:bCs/>
          <w:i/>
          <w:iCs/>
          <w:sz w:val="24"/>
          <w:lang w:val="en-GB"/>
        </w:rPr>
        <w:t xml:space="preserve">Medical care: </w:t>
      </w:r>
      <w:r>
        <w:rPr>
          <w:sz w:val="24"/>
          <w:lang w:val="en-GB"/>
        </w:rPr>
        <w:t>coordination by an ombudsman with the corresponding health facilities to obtain prompt medical treatment for achild.</w:t>
      </w:r>
    </w:p>
    <w:p w:rsidR="00000000" w:rsidRDefault="00000000">
      <w:pPr>
        <w:tabs>
          <w:tab w:val="clear" w:pos="720"/>
        </w:tabs>
        <w:jc w:val="left"/>
        <w:rPr>
          <w:sz w:val="24"/>
          <w:lang w:val="en-GB"/>
        </w:rPr>
      </w:pPr>
    </w:p>
    <w:p w:rsidR="00000000" w:rsidRDefault="00000000">
      <w:pPr>
        <w:tabs>
          <w:tab w:val="clear" w:pos="720"/>
        </w:tabs>
        <w:ind w:left="567"/>
        <w:jc w:val="left"/>
        <w:rPr>
          <w:sz w:val="24"/>
          <w:lang w:val="en-GB"/>
        </w:rPr>
      </w:pPr>
      <w:r>
        <w:rPr>
          <w:bCs/>
          <w:i/>
          <w:iCs/>
          <w:sz w:val="24"/>
          <w:lang w:val="en-GB"/>
        </w:rPr>
        <w:tab/>
        <w:t xml:space="preserve">Arbitrary detention: </w:t>
      </w:r>
      <w:r>
        <w:rPr>
          <w:sz w:val="24"/>
          <w:lang w:val="en-GB"/>
        </w:rPr>
        <w:t>no one may be detained except on one of the following two grounds:</w:t>
      </w:r>
    </w:p>
    <w:p w:rsidR="00000000" w:rsidRDefault="00000000">
      <w:pPr>
        <w:tabs>
          <w:tab w:val="clear" w:pos="720"/>
        </w:tabs>
        <w:jc w:val="left"/>
        <w:rPr>
          <w:sz w:val="24"/>
          <w:lang w:val="en-GB"/>
        </w:rPr>
      </w:pPr>
    </w:p>
    <w:p w:rsidR="00000000" w:rsidRDefault="00000000">
      <w:pPr>
        <w:tabs>
          <w:tab w:val="clear" w:pos="720"/>
        </w:tabs>
        <w:ind w:firstLine="567"/>
        <w:jc w:val="left"/>
        <w:rPr>
          <w:sz w:val="24"/>
          <w:lang w:val="en-GB"/>
        </w:rPr>
      </w:pPr>
      <w:r>
        <w:rPr>
          <w:sz w:val="24"/>
          <w:lang w:val="en-GB"/>
        </w:rPr>
        <w:tab/>
        <w:t>(a)</w:t>
      </w:r>
      <w:r>
        <w:rPr>
          <w:sz w:val="24"/>
          <w:lang w:val="en-GB"/>
        </w:rPr>
        <w:tab/>
        <w:t xml:space="preserve">Detection  </w:t>
      </w:r>
      <w:r>
        <w:rPr>
          <w:i/>
          <w:sz w:val="24"/>
          <w:lang w:val="en-GB"/>
        </w:rPr>
        <w:t>in flagrante delicto</w:t>
      </w:r>
      <w:r>
        <w:rPr>
          <w:sz w:val="24"/>
          <w:lang w:val="en-GB"/>
        </w:rPr>
        <w:t>;</w:t>
      </w:r>
    </w:p>
    <w:p w:rsidR="00000000" w:rsidRDefault="00000000">
      <w:pPr>
        <w:tabs>
          <w:tab w:val="clear" w:pos="720"/>
        </w:tabs>
        <w:jc w:val="left"/>
        <w:rPr>
          <w:sz w:val="24"/>
          <w:lang w:val="en-GB"/>
        </w:rPr>
      </w:pPr>
    </w:p>
    <w:p w:rsidR="00000000" w:rsidRDefault="00000000">
      <w:pPr>
        <w:tabs>
          <w:tab w:val="clear" w:pos="720"/>
        </w:tabs>
        <w:ind w:firstLine="567"/>
        <w:jc w:val="left"/>
        <w:rPr>
          <w:sz w:val="24"/>
          <w:lang w:val="en-GB"/>
        </w:rPr>
      </w:pPr>
      <w:r>
        <w:rPr>
          <w:sz w:val="24"/>
          <w:lang w:val="en-GB"/>
        </w:rPr>
        <w:tab/>
        <w:t>(b)</w:t>
      </w:r>
      <w:r>
        <w:rPr>
          <w:sz w:val="24"/>
          <w:lang w:val="en-GB"/>
        </w:rPr>
        <w:tab/>
        <w:t>Court order.</w:t>
      </w:r>
    </w:p>
    <w:p w:rsidR="00000000" w:rsidRDefault="00000000">
      <w:pPr>
        <w:tabs>
          <w:tab w:val="clear" w:pos="720"/>
        </w:tabs>
        <w:ind w:left="567"/>
        <w:jc w:val="left"/>
        <w:rPr>
          <w:sz w:val="24"/>
          <w:lang w:val="en-GB"/>
        </w:rPr>
      </w:pPr>
      <w:r>
        <w:rPr>
          <w:sz w:val="24"/>
          <w:lang w:val="en-GB"/>
        </w:rPr>
        <w:t>If a child is detained except on one of these grounds, an ombudsman may take the necessary action to secure the child’s immediate release, such as seeking a writ of habeas corpus before the competent authority.  The ombudsmen offer a mode of alternative or extra-judicial justice which facilitates democratic access to justice; they thus promote and defend the rights of the child by means of conciliation and negotiated agreements.  It is calculated that they deal with 100,000 cases a year, a figure illustrating the importance of this service.</w:t>
      </w:r>
    </w:p>
    <w:p w:rsidR="00000000" w:rsidRDefault="00000000">
      <w:pPr>
        <w:tabs>
          <w:tab w:val="clear" w:pos="720"/>
        </w:tabs>
        <w:jc w:val="left"/>
        <w:rPr>
          <w:sz w:val="24"/>
          <w:lang w:val="en-GB"/>
        </w:rPr>
      </w:pPr>
    </w:p>
    <w:p w:rsidR="00000000" w:rsidRDefault="00000000">
      <w:pPr>
        <w:tabs>
          <w:tab w:val="clear" w:pos="720"/>
        </w:tabs>
        <w:jc w:val="center"/>
        <w:rPr>
          <w:sz w:val="24"/>
          <w:lang w:val="en-GB"/>
        </w:rPr>
      </w:pPr>
      <w:r>
        <w:rPr>
          <w:b/>
          <w:sz w:val="20"/>
          <w:lang w:val="en-GB"/>
        </w:rPr>
        <w:t>Growth of ombudsman offices, 1996-2002</w:t>
      </w:r>
    </w:p>
    <w:p w:rsidR="00000000" w:rsidRDefault="00000000">
      <w:pPr>
        <w:tabs>
          <w:tab w:val="clear" w:pos="720"/>
        </w:tabs>
        <w:jc w:val="left"/>
        <w:rPr>
          <w:sz w:val="24"/>
          <w:lang w:val="en-GB"/>
        </w:rPr>
      </w:pPr>
    </w:p>
    <w:bookmarkStart w:id="9" w:name="_MON_1187348354"/>
    <w:bookmarkEnd w:id="9"/>
    <w:p w:rsidR="00000000" w:rsidRDefault="00000000">
      <w:pPr>
        <w:tabs>
          <w:tab w:val="clear" w:pos="720"/>
        </w:tabs>
        <w:jc w:val="center"/>
        <w:rPr>
          <w:sz w:val="24"/>
          <w:lang w:val="en-GB"/>
        </w:rPr>
      </w:pPr>
      <w:r>
        <w:object w:dxaOrig="8401" w:dyaOrig="3716">
          <v:shape id="_x0000_i1031" type="#_x0000_t75" style="width:420pt;height:123.75pt" o:ole="">
            <v:imagedata r:id="rId22" o:title="" croptop="9998f" cropbottom="11997f"/>
          </v:shape>
          <o:OLEObject Type="Embed" ProgID="Word.Picture.8" ShapeID="_x0000_i1031" DrawAspect="Content" ObjectID="_1394639982" r:id="rId23"/>
        </w:object>
      </w:r>
    </w:p>
    <w:p w:rsidR="00000000" w:rsidRDefault="00000000">
      <w:pPr>
        <w:tabs>
          <w:tab w:val="clear" w:pos="720"/>
        </w:tabs>
        <w:jc w:val="left"/>
        <w:rPr>
          <w:sz w:val="20"/>
          <w:lang w:val="en-GB"/>
        </w:rPr>
      </w:pPr>
      <w:r>
        <w:rPr>
          <w:sz w:val="24"/>
          <w:lang w:val="en-GB"/>
        </w:rPr>
        <w:tab/>
      </w:r>
      <w:r>
        <w:rPr>
          <w:i/>
          <w:sz w:val="20"/>
          <w:lang w:val="en-GB"/>
        </w:rPr>
        <w:t>Source</w:t>
      </w:r>
      <w:r>
        <w:rPr>
          <w:sz w:val="20"/>
          <w:lang w:val="en-GB"/>
        </w:rPr>
        <w:t>: Ombudsman Service, Division for the Welfare of Children and Adolescents - MIMDES.</w:t>
      </w:r>
    </w:p>
    <w:p w:rsidR="00000000" w:rsidRDefault="00000000">
      <w:pPr>
        <w:tabs>
          <w:tab w:val="clear" w:pos="720"/>
        </w:tabs>
        <w:jc w:val="left"/>
        <w:rPr>
          <w:sz w:val="24"/>
          <w:lang w:val="en-GB"/>
        </w:rPr>
      </w:pPr>
    </w:p>
    <w:p w:rsidR="00000000" w:rsidRDefault="00000000">
      <w:pPr>
        <w:tabs>
          <w:tab w:val="clear" w:pos="720"/>
        </w:tabs>
        <w:jc w:val="left"/>
        <w:rPr>
          <w:b/>
          <w:sz w:val="24"/>
          <w:lang w:val="en-GB"/>
        </w:rPr>
      </w:pPr>
    </w:p>
    <w:p w:rsidR="00000000" w:rsidRDefault="00000000">
      <w:pPr>
        <w:tabs>
          <w:tab w:val="clear" w:pos="720"/>
        </w:tabs>
        <w:jc w:val="center"/>
        <w:rPr>
          <w:b/>
          <w:sz w:val="24"/>
          <w:lang w:val="en-GB"/>
        </w:rPr>
      </w:pPr>
      <w:r>
        <w:rPr>
          <w:b/>
          <w:sz w:val="24"/>
          <w:lang w:val="en-GB"/>
        </w:rPr>
        <w:t>F.  Special legislation and justice</w:t>
      </w:r>
      <w:r>
        <w:rPr>
          <w:rStyle w:val="FootnoteReference"/>
          <w:b/>
          <w:bCs/>
          <w:sz w:val="24"/>
          <w:lang w:val="en-GB"/>
        </w:rPr>
        <w:footnoteReference w:customMarkFollows="1" w:id="82"/>
        <w:t>82</w:t>
      </w:r>
    </w:p>
    <w:p w:rsidR="00000000" w:rsidRDefault="00000000">
      <w:pPr>
        <w:tabs>
          <w:tab w:val="clear" w:pos="720"/>
        </w:tabs>
        <w:jc w:val="left"/>
        <w:rPr>
          <w:b/>
          <w:sz w:val="24"/>
          <w:lang w:val="en-GB"/>
        </w:rPr>
      </w:pPr>
    </w:p>
    <w:p w:rsidR="00000000" w:rsidRDefault="00000000">
      <w:pPr>
        <w:tabs>
          <w:tab w:val="clear" w:pos="720"/>
        </w:tabs>
        <w:jc w:val="left"/>
        <w:rPr>
          <w:sz w:val="24"/>
          <w:lang w:val="en-GB"/>
        </w:rPr>
      </w:pPr>
      <w:r>
        <w:rPr>
          <w:b/>
          <w:sz w:val="24"/>
          <w:lang w:val="en-GB"/>
        </w:rPr>
        <w:t>1.</w:t>
      </w:r>
      <w:r>
        <w:rPr>
          <w:b/>
          <w:sz w:val="24"/>
          <w:lang w:val="en-GB"/>
        </w:rPr>
        <w:tab/>
        <w:t>Progress in the incorporation of international treaties in national law</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205.</w:t>
      </w:r>
      <w:r>
        <w:rPr>
          <w:sz w:val="24"/>
          <w:lang w:val="en-GB"/>
        </w:rPr>
        <w:tab/>
        <w:t>Article 55 of the current Constitution states: “The treaties concluded by the State which are in force shall form part of national law”; incorporation requires approval by a legislative decision of the Congress prior to ratification by the President of the Republic in a supreme decree.</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206.</w:t>
      </w:r>
      <w:r>
        <w:rPr>
          <w:sz w:val="24"/>
          <w:lang w:val="en-GB"/>
        </w:rPr>
        <w:tab/>
        <w:t>The status of the international instruments relating to children incorporated in national legislation is given below, in chronological order:</w:t>
      </w:r>
    </w:p>
    <w:p w:rsidR="00000000" w:rsidRDefault="00000000">
      <w:pPr>
        <w:tabs>
          <w:tab w:val="clear" w:pos="720"/>
        </w:tabs>
        <w:jc w:val="left"/>
        <w:rPr>
          <w:sz w:val="24"/>
          <w:lang w:val="en-GB"/>
        </w:rPr>
      </w:pPr>
    </w:p>
    <w:p w:rsidR="00000000" w:rsidRDefault="00000000">
      <w:pPr>
        <w:tabs>
          <w:tab w:val="clear" w:pos="720"/>
        </w:tabs>
        <w:jc w:val="left"/>
        <w:rPr>
          <w:i/>
          <w:sz w:val="24"/>
          <w:lang w:val="en-GB"/>
        </w:rPr>
      </w:pPr>
      <w:r>
        <w:rPr>
          <w:sz w:val="24"/>
          <w:lang w:val="en-GB"/>
        </w:rPr>
        <w:tab/>
      </w:r>
      <w:r>
        <w:rPr>
          <w:b/>
          <w:i/>
          <w:sz w:val="24"/>
          <w:lang w:val="en-GB"/>
        </w:rPr>
        <w:t>Convention on the Rights of the Child</w:t>
      </w:r>
    </w:p>
    <w:p w:rsidR="00000000" w:rsidRDefault="00000000">
      <w:pPr>
        <w:tabs>
          <w:tab w:val="clear" w:pos="720"/>
        </w:tabs>
        <w:jc w:val="left"/>
        <w:rPr>
          <w:sz w:val="24"/>
          <w:lang w:val="en-GB"/>
        </w:rPr>
      </w:pPr>
    </w:p>
    <w:p w:rsidR="00000000" w:rsidRDefault="00000000">
      <w:pPr>
        <w:tabs>
          <w:tab w:val="clear" w:pos="720"/>
        </w:tabs>
        <w:ind w:left="567"/>
        <w:jc w:val="left"/>
        <w:rPr>
          <w:sz w:val="24"/>
          <w:lang w:val="en-GB"/>
        </w:rPr>
      </w:pPr>
      <w:r>
        <w:rPr>
          <w:sz w:val="24"/>
          <w:lang w:val="en-GB"/>
        </w:rPr>
        <w:tab/>
        <w:t>Organization:</w:t>
      </w:r>
      <w:r>
        <w:rPr>
          <w:sz w:val="24"/>
          <w:lang w:val="en-GB"/>
        </w:rPr>
        <w:tab/>
      </w:r>
      <w:r>
        <w:rPr>
          <w:sz w:val="24"/>
          <w:lang w:val="en-GB"/>
        </w:rPr>
        <w:tab/>
      </w:r>
      <w:r>
        <w:rPr>
          <w:sz w:val="24"/>
          <w:lang w:val="en-GB"/>
        </w:rPr>
        <w:tab/>
      </w:r>
      <w:r>
        <w:rPr>
          <w:sz w:val="24"/>
          <w:lang w:val="en-GB"/>
        </w:rPr>
        <w:tab/>
      </w:r>
      <w:r>
        <w:rPr>
          <w:sz w:val="24"/>
          <w:lang w:val="en-GB"/>
        </w:rPr>
        <w:tab/>
        <w:t>United Nations</w:t>
      </w:r>
    </w:p>
    <w:p w:rsidR="00000000" w:rsidRDefault="00000000">
      <w:pPr>
        <w:tabs>
          <w:tab w:val="clear" w:pos="720"/>
        </w:tabs>
        <w:ind w:left="567"/>
        <w:jc w:val="left"/>
        <w:rPr>
          <w:sz w:val="24"/>
          <w:lang w:val="en-GB"/>
        </w:rPr>
      </w:pPr>
      <w:r>
        <w:rPr>
          <w:sz w:val="24"/>
          <w:lang w:val="en-GB"/>
        </w:rPr>
        <w:tab/>
        <w:t>Date of adoption:</w:t>
      </w:r>
      <w:r>
        <w:rPr>
          <w:sz w:val="24"/>
          <w:lang w:val="en-GB"/>
        </w:rPr>
        <w:tab/>
      </w:r>
      <w:r>
        <w:rPr>
          <w:sz w:val="24"/>
          <w:lang w:val="en-GB"/>
        </w:rPr>
        <w:tab/>
      </w:r>
      <w:r>
        <w:rPr>
          <w:sz w:val="24"/>
          <w:lang w:val="en-GB"/>
        </w:rPr>
        <w:tab/>
      </w:r>
      <w:r>
        <w:rPr>
          <w:sz w:val="24"/>
          <w:lang w:val="en-GB"/>
        </w:rPr>
        <w:tab/>
      </w:r>
      <w:r>
        <w:rPr>
          <w:sz w:val="24"/>
          <w:lang w:val="en-GB"/>
        </w:rPr>
        <w:tab/>
        <w:t>20 November 1989</w:t>
      </w:r>
    </w:p>
    <w:p w:rsidR="00000000" w:rsidRDefault="00000000">
      <w:pPr>
        <w:tabs>
          <w:tab w:val="clear" w:pos="720"/>
        </w:tabs>
        <w:ind w:left="567"/>
        <w:jc w:val="left"/>
        <w:rPr>
          <w:sz w:val="24"/>
          <w:lang w:val="en-GB"/>
        </w:rPr>
      </w:pPr>
      <w:r>
        <w:rPr>
          <w:sz w:val="24"/>
          <w:lang w:val="en-GB"/>
        </w:rPr>
        <w:tab/>
        <w:t>Signature:</w:t>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t>26 January 1990</w:t>
      </w:r>
    </w:p>
    <w:p w:rsidR="00000000" w:rsidRDefault="00000000">
      <w:pPr>
        <w:tabs>
          <w:tab w:val="clear" w:pos="720"/>
        </w:tabs>
        <w:ind w:left="567"/>
        <w:jc w:val="left"/>
        <w:rPr>
          <w:sz w:val="24"/>
          <w:lang w:val="en-GB"/>
        </w:rPr>
      </w:pPr>
      <w:r>
        <w:rPr>
          <w:sz w:val="24"/>
          <w:lang w:val="en-GB"/>
        </w:rPr>
        <w:tab/>
        <w:t>Approval:</w:t>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t>Legislative Decision No. 25278</w:t>
      </w:r>
    </w:p>
    <w:p w:rsidR="00000000" w:rsidRDefault="00000000">
      <w:pPr>
        <w:tabs>
          <w:tab w:val="clear" w:pos="720"/>
        </w:tabs>
        <w:ind w:left="567"/>
        <w:jc w:val="left"/>
        <w:rPr>
          <w:sz w:val="24"/>
          <w:lang w:val="en-GB"/>
        </w:rPr>
      </w:pPr>
      <w:r>
        <w:rPr>
          <w:sz w:val="24"/>
          <w:lang w:val="en-GB"/>
        </w:rPr>
        <w:tab/>
        <w:t>Deposit of instrument of ratification:</w:t>
      </w:r>
      <w:r>
        <w:rPr>
          <w:sz w:val="24"/>
          <w:lang w:val="en-GB"/>
        </w:rPr>
        <w:tab/>
        <w:t>4 September 1990</w:t>
      </w:r>
    </w:p>
    <w:p w:rsidR="00000000" w:rsidRDefault="00000000">
      <w:pPr>
        <w:tabs>
          <w:tab w:val="clear" w:pos="720"/>
        </w:tabs>
        <w:jc w:val="left"/>
        <w:rPr>
          <w:sz w:val="24"/>
          <w:lang w:val="en-GB"/>
        </w:rPr>
      </w:pPr>
    </w:p>
    <w:p w:rsidR="00000000" w:rsidRDefault="00000000">
      <w:pPr>
        <w:keepNext/>
        <w:tabs>
          <w:tab w:val="clear" w:pos="720"/>
        </w:tabs>
        <w:jc w:val="left"/>
        <w:rPr>
          <w:i/>
          <w:sz w:val="24"/>
          <w:lang w:val="en-GB"/>
        </w:rPr>
      </w:pPr>
      <w:r>
        <w:rPr>
          <w:sz w:val="24"/>
          <w:lang w:val="en-GB"/>
        </w:rPr>
        <w:tab/>
      </w:r>
      <w:r>
        <w:rPr>
          <w:b/>
          <w:i/>
          <w:sz w:val="24"/>
          <w:lang w:val="en-GB"/>
        </w:rPr>
        <w:t>Amendment to article 43, paragraph 2, of the Convention on the Rights of the Child</w:t>
      </w:r>
    </w:p>
    <w:p w:rsidR="00000000" w:rsidRDefault="00000000">
      <w:pPr>
        <w:keepNext/>
        <w:tabs>
          <w:tab w:val="clear" w:pos="720"/>
        </w:tabs>
        <w:jc w:val="left"/>
        <w:rPr>
          <w:sz w:val="24"/>
          <w:lang w:val="en-GB"/>
        </w:rPr>
      </w:pPr>
    </w:p>
    <w:p w:rsidR="00000000" w:rsidRDefault="00000000">
      <w:pPr>
        <w:keepNext/>
        <w:tabs>
          <w:tab w:val="clear" w:pos="720"/>
        </w:tabs>
        <w:ind w:left="567"/>
        <w:jc w:val="left"/>
        <w:rPr>
          <w:sz w:val="24"/>
          <w:lang w:val="en-GB"/>
        </w:rPr>
      </w:pPr>
      <w:r>
        <w:rPr>
          <w:sz w:val="24"/>
          <w:lang w:val="en-GB"/>
        </w:rPr>
        <w:tab/>
        <w:t>Organization:</w:t>
      </w:r>
      <w:r>
        <w:rPr>
          <w:sz w:val="24"/>
          <w:lang w:val="en-GB"/>
        </w:rPr>
        <w:tab/>
      </w:r>
      <w:r>
        <w:rPr>
          <w:sz w:val="24"/>
          <w:lang w:val="en-GB"/>
        </w:rPr>
        <w:tab/>
      </w:r>
      <w:r>
        <w:rPr>
          <w:sz w:val="24"/>
          <w:lang w:val="en-GB"/>
        </w:rPr>
        <w:tab/>
        <w:t>United Nations</w:t>
      </w:r>
    </w:p>
    <w:p w:rsidR="00000000" w:rsidRDefault="00000000">
      <w:pPr>
        <w:keepNext/>
        <w:tabs>
          <w:tab w:val="clear" w:pos="720"/>
        </w:tabs>
        <w:ind w:left="567"/>
        <w:jc w:val="left"/>
        <w:rPr>
          <w:sz w:val="24"/>
          <w:lang w:val="en-GB"/>
        </w:rPr>
      </w:pPr>
      <w:r>
        <w:rPr>
          <w:sz w:val="24"/>
          <w:lang w:val="en-GB"/>
        </w:rPr>
        <w:tab/>
        <w:t>Date of adoption:</w:t>
      </w:r>
      <w:r>
        <w:rPr>
          <w:sz w:val="24"/>
          <w:lang w:val="en-GB"/>
        </w:rPr>
        <w:tab/>
      </w:r>
      <w:r>
        <w:rPr>
          <w:sz w:val="24"/>
          <w:lang w:val="en-GB"/>
        </w:rPr>
        <w:tab/>
      </w:r>
      <w:r>
        <w:rPr>
          <w:sz w:val="24"/>
          <w:lang w:val="en-GB"/>
        </w:rPr>
        <w:tab/>
        <w:t>12 December 1995</w:t>
      </w:r>
    </w:p>
    <w:p w:rsidR="00000000" w:rsidRDefault="00000000">
      <w:pPr>
        <w:keepNext/>
        <w:tabs>
          <w:tab w:val="clear" w:pos="720"/>
        </w:tabs>
        <w:ind w:left="567"/>
        <w:jc w:val="left"/>
        <w:rPr>
          <w:sz w:val="24"/>
          <w:lang w:val="en-GB"/>
        </w:rPr>
      </w:pPr>
      <w:r>
        <w:rPr>
          <w:sz w:val="24"/>
          <w:lang w:val="en-GB"/>
        </w:rPr>
        <w:tab/>
        <w:t>Approval:</w:t>
      </w:r>
      <w:r>
        <w:rPr>
          <w:sz w:val="24"/>
          <w:lang w:val="en-GB"/>
        </w:rPr>
        <w:tab/>
      </w:r>
      <w:r>
        <w:rPr>
          <w:sz w:val="24"/>
          <w:lang w:val="en-GB"/>
        </w:rPr>
        <w:tab/>
      </w:r>
      <w:r>
        <w:rPr>
          <w:sz w:val="24"/>
          <w:lang w:val="en-GB"/>
        </w:rPr>
        <w:tab/>
      </w:r>
      <w:r>
        <w:rPr>
          <w:sz w:val="24"/>
          <w:lang w:val="en-GB"/>
        </w:rPr>
        <w:tab/>
        <w:t>Legislative Decision No. 27196</w:t>
      </w:r>
    </w:p>
    <w:p w:rsidR="00000000" w:rsidRDefault="00000000">
      <w:pPr>
        <w:keepNext/>
        <w:tabs>
          <w:tab w:val="clear" w:pos="720"/>
        </w:tabs>
        <w:ind w:left="567"/>
        <w:jc w:val="left"/>
        <w:rPr>
          <w:sz w:val="24"/>
          <w:lang w:val="en-GB"/>
        </w:rPr>
      </w:pPr>
      <w:r>
        <w:rPr>
          <w:sz w:val="24"/>
          <w:lang w:val="en-GB"/>
        </w:rPr>
        <w:tab/>
        <w:t>Ratification:</w:t>
      </w:r>
      <w:r>
        <w:rPr>
          <w:sz w:val="24"/>
          <w:lang w:val="en-GB"/>
        </w:rPr>
        <w:tab/>
      </w:r>
      <w:r>
        <w:rPr>
          <w:sz w:val="24"/>
          <w:lang w:val="en-GB"/>
        </w:rPr>
        <w:tab/>
      </w:r>
      <w:r>
        <w:rPr>
          <w:sz w:val="24"/>
          <w:lang w:val="en-GB"/>
        </w:rPr>
        <w:tab/>
        <w:t>Supreme Decree No. 061-99-RE 17-11-1999</w:t>
      </w:r>
    </w:p>
    <w:p w:rsidR="00000000" w:rsidRDefault="00000000">
      <w:pPr>
        <w:keepNext/>
        <w:tabs>
          <w:tab w:val="clear" w:pos="720"/>
        </w:tabs>
        <w:ind w:left="567"/>
        <w:jc w:val="left"/>
        <w:rPr>
          <w:sz w:val="24"/>
          <w:lang w:val="en-GB"/>
        </w:rPr>
      </w:pPr>
    </w:p>
    <w:p w:rsidR="00000000" w:rsidRDefault="00000000">
      <w:pPr>
        <w:tabs>
          <w:tab w:val="clear" w:pos="720"/>
        </w:tabs>
        <w:jc w:val="left"/>
        <w:rPr>
          <w:i/>
          <w:sz w:val="24"/>
          <w:lang w:val="en-GB"/>
        </w:rPr>
      </w:pPr>
      <w:r>
        <w:rPr>
          <w:i/>
          <w:sz w:val="24"/>
          <w:lang w:val="en-GB"/>
        </w:rPr>
        <w:tab/>
      </w:r>
      <w:r>
        <w:rPr>
          <w:b/>
          <w:i/>
          <w:sz w:val="24"/>
          <w:lang w:val="en-GB"/>
        </w:rPr>
        <w:t>Convention on the Civil Aspects of International Child Abduction</w:t>
      </w:r>
    </w:p>
    <w:p w:rsidR="00000000" w:rsidRDefault="00000000">
      <w:pPr>
        <w:tabs>
          <w:tab w:val="clear" w:pos="720"/>
        </w:tabs>
        <w:jc w:val="left"/>
        <w:rPr>
          <w:sz w:val="24"/>
          <w:lang w:val="en-GB"/>
        </w:rPr>
      </w:pPr>
    </w:p>
    <w:p w:rsidR="00000000" w:rsidRDefault="00000000">
      <w:pPr>
        <w:tabs>
          <w:tab w:val="clear" w:pos="720"/>
        </w:tabs>
        <w:ind w:left="567"/>
        <w:jc w:val="left"/>
        <w:rPr>
          <w:sz w:val="24"/>
          <w:lang w:val="en-GB"/>
        </w:rPr>
      </w:pPr>
      <w:r>
        <w:rPr>
          <w:sz w:val="24"/>
          <w:lang w:val="en-GB"/>
        </w:rPr>
        <w:tab/>
        <w:t>Organization:</w:t>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t>United Nations</w:t>
      </w:r>
    </w:p>
    <w:p w:rsidR="00000000" w:rsidRDefault="00000000">
      <w:pPr>
        <w:tabs>
          <w:tab w:val="clear" w:pos="720"/>
        </w:tabs>
        <w:ind w:left="567"/>
        <w:jc w:val="left"/>
        <w:rPr>
          <w:sz w:val="24"/>
          <w:lang w:val="en-GB"/>
        </w:rPr>
      </w:pPr>
      <w:r>
        <w:rPr>
          <w:sz w:val="24"/>
          <w:lang w:val="en-GB"/>
        </w:rPr>
        <w:tab/>
        <w:t>Date and place of adoption:</w:t>
      </w:r>
      <w:r>
        <w:rPr>
          <w:sz w:val="24"/>
          <w:lang w:val="en-GB"/>
        </w:rPr>
        <w:tab/>
      </w:r>
      <w:r>
        <w:rPr>
          <w:sz w:val="24"/>
          <w:lang w:val="en-GB"/>
        </w:rPr>
        <w:tab/>
      </w:r>
      <w:r>
        <w:rPr>
          <w:sz w:val="24"/>
          <w:lang w:val="en-GB"/>
        </w:rPr>
        <w:tab/>
      </w:r>
      <w:r>
        <w:rPr>
          <w:sz w:val="24"/>
          <w:lang w:val="en-GB"/>
        </w:rPr>
        <w:tab/>
        <w:t>The Hague, 25 October 1980</w:t>
      </w:r>
    </w:p>
    <w:p w:rsidR="00000000" w:rsidRDefault="00000000">
      <w:pPr>
        <w:tabs>
          <w:tab w:val="clear" w:pos="720"/>
        </w:tabs>
        <w:ind w:left="567"/>
        <w:jc w:val="left"/>
        <w:rPr>
          <w:sz w:val="24"/>
          <w:lang w:val="en-GB"/>
        </w:rPr>
      </w:pPr>
      <w:r>
        <w:rPr>
          <w:sz w:val="24"/>
          <w:lang w:val="en-GB"/>
        </w:rPr>
        <w:tab/>
        <w:t>Approval:</w:t>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t>Legislative Decision No. 27302</w:t>
      </w:r>
    </w:p>
    <w:p w:rsidR="00000000" w:rsidRDefault="00000000">
      <w:pPr>
        <w:tabs>
          <w:tab w:val="clear" w:pos="720"/>
        </w:tabs>
        <w:ind w:left="567"/>
        <w:jc w:val="left"/>
        <w:rPr>
          <w:sz w:val="24"/>
          <w:lang w:val="en-GB"/>
        </w:rPr>
      </w:pPr>
      <w:r>
        <w:rPr>
          <w:sz w:val="24"/>
          <w:lang w:val="en-GB"/>
        </w:rPr>
        <w:tab/>
        <w:t>Ratification:</w:t>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t>Supreme Decree No. 023-2000-RE</w:t>
      </w:r>
    </w:p>
    <w:p w:rsidR="00000000" w:rsidRDefault="00000000">
      <w:pPr>
        <w:tabs>
          <w:tab w:val="clear" w:pos="720"/>
        </w:tabs>
        <w:ind w:left="567"/>
        <w:jc w:val="left"/>
        <w:rPr>
          <w:sz w:val="24"/>
          <w:lang w:val="en-GB"/>
        </w:rPr>
      </w:pPr>
      <w:r>
        <w:rPr>
          <w:sz w:val="24"/>
          <w:lang w:val="en-GB"/>
        </w:rPr>
        <w:tab/>
        <w:t>Submission of instrument of ratification:</w:t>
      </w:r>
      <w:r>
        <w:rPr>
          <w:sz w:val="24"/>
          <w:lang w:val="en-GB"/>
        </w:rPr>
        <w:tab/>
      </w:r>
      <w:r>
        <w:rPr>
          <w:sz w:val="24"/>
          <w:lang w:val="en-GB"/>
        </w:rPr>
        <w:tab/>
        <w:t>3 May 2001</w:t>
      </w:r>
    </w:p>
    <w:p w:rsidR="00000000" w:rsidRDefault="00000000">
      <w:pPr>
        <w:tabs>
          <w:tab w:val="clear" w:pos="720"/>
        </w:tabs>
        <w:jc w:val="left"/>
        <w:rPr>
          <w:sz w:val="24"/>
          <w:lang w:val="en-GB"/>
        </w:rPr>
      </w:pPr>
    </w:p>
    <w:p w:rsidR="00000000" w:rsidRDefault="00000000">
      <w:pPr>
        <w:tabs>
          <w:tab w:val="clear" w:pos="720"/>
        </w:tabs>
        <w:jc w:val="left"/>
        <w:rPr>
          <w:i/>
          <w:sz w:val="24"/>
          <w:lang w:val="en-GB"/>
        </w:rPr>
      </w:pPr>
      <w:r>
        <w:rPr>
          <w:b/>
          <w:i/>
          <w:sz w:val="24"/>
          <w:lang w:val="en-GB"/>
        </w:rPr>
        <w:t>Optional Protocol to the Convention on the Rights of the Child on the involvement of children in armed conflict and Optional Protocol to the Convention on the Rights of the Child on the sale of children, child prostitution and child pornography</w:t>
      </w:r>
    </w:p>
    <w:p w:rsidR="00000000" w:rsidRDefault="00000000">
      <w:pPr>
        <w:tabs>
          <w:tab w:val="clear" w:pos="720"/>
        </w:tabs>
        <w:jc w:val="left"/>
        <w:rPr>
          <w:sz w:val="24"/>
          <w:lang w:val="en-GB"/>
        </w:rPr>
      </w:pPr>
    </w:p>
    <w:p w:rsidR="00000000" w:rsidRDefault="00000000">
      <w:pPr>
        <w:tabs>
          <w:tab w:val="clear" w:pos="720"/>
        </w:tabs>
        <w:ind w:left="567"/>
        <w:jc w:val="left"/>
        <w:rPr>
          <w:sz w:val="24"/>
          <w:lang w:val="en-GB"/>
        </w:rPr>
      </w:pPr>
      <w:r>
        <w:rPr>
          <w:sz w:val="24"/>
          <w:lang w:val="en-GB"/>
        </w:rPr>
        <w:tab/>
        <w:t>Organization:</w:t>
      </w:r>
      <w:r>
        <w:rPr>
          <w:sz w:val="24"/>
          <w:lang w:val="en-GB"/>
        </w:rPr>
        <w:tab/>
      </w:r>
      <w:r>
        <w:rPr>
          <w:sz w:val="24"/>
          <w:lang w:val="en-GB"/>
        </w:rPr>
        <w:tab/>
      </w:r>
      <w:r>
        <w:rPr>
          <w:sz w:val="24"/>
          <w:lang w:val="en-GB"/>
        </w:rPr>
        <w:tab/>
      </w:r>
      <w:r>
        <w:rPr>
          <w:sz w:val="24"/>
          <w:lang w:val="en-GB"/>
        </w:rPr>
        <w:tab/>
      </w:r>
      <w:r>
        <w:rPr>
          <w:sz w:val="24"/>
          <w:lang w:val="en-GB"/>
        </w:rPr>
        <w:tab/>
        <w:t>United Nations</w:t>
      </w:r>
    </w:p>
    <w:p w:rsidR="00000000" w:rsidRDefault="00000000">
      <w:pPr>
        <w:tabs>
          <w:tab w:val="clear" w:pos="720"/>
        </w:tabs>
        <w:ind w:left="567"/>
        <w:jc w:val="left"/>
        <w:rPr>
          <w:sz w:val="24"/>
          <w:lang w:val="en-GB"/>
        </w:rPr>
      </w:pPr>
      <w:r>
        <w:rPr>
          <w:sz w:val="24"/>
          <w:lang w:val="en-GB"/>
        </w:rPr>
        <w:tab/>
        <w:t>Date of adoption:</w:t>
      </w:r>
      <w:r>
        <w:rPr>
          <w:sz w:val="24"/>
          <w:lang w:val="en-GB"/>
        </w:rPr>
        <w:tab/>
      </w:r>
      <w:r>
        <w:rPr>
          <w:sz w:val="24"/>
          <w:lang w:val="en-GB"/>
        </w:rPr>
        <w:tab/>
      </w:r>
      <w:r>
        <w:rPr>
          <w:sz w:val="24"/>
          <w:lang w:val="en-GB"/>
        </w:rPr>
        <w:tab/>
      </w:r>
      <w:r>
        <w:rPr>
          <w:sz w:val="24"/>
          <w:lang w:val="en-GB"/>
        </w:rPr>
        <w:tab/>
      </w:r>
      <w:r>
        <w:rPr>
          <w:sz w:val="24"/>
          <w:lang w:val="en-GB"/>
        </w:rPr>
        <w:tab/>
        <w:t>1 November 2000</w:t>
      </w:r>
    </w:p>
    <w:p w:rsidR="00000000" w:rsidRDefault="00000000">
      <w:pPr>
        <w:tabs>
          <w:tab w:val="clear" w:pos="720"/>
        </w:tabs>
        <w:ind w:left="567"/>
        <w:jc w:val="left"/>
        <w:rPr>
          <w:sz w:val="24"/>
          <w:lang w:val="en-GB"/>
        </w:rPr>
      </w:pPr>
      <w:r>
        <w:rPr>
          <w:sz w:val="24"/>
          <w:lang w:val="en-GB"/>
        </w:rPr>
        <w:tab/>
        <w:t>Approval:</w:t>
      </w:r>
      <w:r>
        <w:rPr>
          <w:sz w:val="24"/>
          <w:lang w:val="en-GB"/>
        </w:rPr>
        <w:tab/>
      </w:r>
      <w:r>
        <w:rPr>
          <w:sz w:val="24"/>
          <w:lang w:val="en-GB"/>
        </w:rPr>
        <w:tab/>
      </w:r>
      <w:r>
        <w:rPr>
          <w:sz w:val="24"/>
          <w:lang w:val="en-GB"/>
        </w:rPr>
        <w:tab/>
      </w:r>
      <w:r>
        <w:rPr>
          <w:sz w:val="24"/>
          <w:lang w:val="en-GB"/>
        </w:rPr>
        <w:tab/>
      </w:r>
      <w:r>
        <w:rPr>
          <w:sz w:val="24"/>
          <w:lang w:val="en-GB"/>
        </w:rPr>
        <w:tab/>
      </w:r>
      <w:r>
        <w:rPr>
          <w:sz w:val="24"/>
          <w:lang w:val="en-GB"/>
        </w:rPr>
        <w:tab/>
        <w:t>Legislative Decision No. 27518</w:t>
      </w:r>
    </w:p>
    <w:p w:rsidR="00000000" w:rsidRDefault="00000000">
      <w:pPr>
        <w:tabs>
          <w:tab w:val="clear" w:pos="720"/>
        </w:tabs>
        <w:ind w:left="567"/>
        <w:jc w:val="left"/>
        <w:rPr>
          <w:sz w:val="24"/>
          <w:lang w:val="en-GB"/>
        </w:rPr>
      </w:pPr>
      <w:r>
        <w:rPr>
          <w:sz w:val="24"/>
          <w:lang w:val="en-GB"/>
        </w:rPr>
        <w:tab/>
        <w:t>Ratification:</w:t>
      </w:r>
      <w:r>
        <w:rPr>
          <w:sz w:val="24"/>
          <w:lang w:val="en-GB"/>
        </w:rPr>
        <w:tab/>
      </w:r>
      <w:r>
        <w:rPr>
          <w:sz w:val="24"/>
          <w:lang w:val="en-GB"/>
        </w:rPr>
        <w:tab/>
      </w:r>
      <w:r>
        <w:rPr>
          <w:sz w:val="24"/>
          <w:lang w:val="en-GB"/>
        </w:rPr>
        <w:tab/>
      </w:r>
      <w:r>
        <w:rPr>
          <w:sz w:val="24"/>
          <w:lang w:val="en-GB"/>
        </w:rPr>
        <w:tab/>
      </w:r>
      <w:r>
        <w:rPr>
          <w:sz w:val="24"/>
          <w:lang w:val="en-GB"/>
        </w:rPr>
        <w:tab/>
        <w:t>Supreme Decree No. 078-2001-RE</w:t>
      </w:r>
    </w:p>
    <w:p w:rsidR="00000000" w:rsidRDefault="00000000">
      <w:pPr>
        <w:tabs>
          <w:tab w:val="clear" w:pos="720"/>
        </w:tabs>
        <w:ind w:left="567"/>
        <w:jc w:val="left"/>
        <w:rPr>
          <w:sz w:val="24"/>
          <w:lang w:val="en-GB"/>
        </w:rPr>
      </w:pPr>
      <w:r>
        <w:rPr>
          <w:sz w:val="24"/>
          <w:lang w:val="en-GB"/>
        </w:rPr>
        <w:tab/>
        <w:t>Deposit of instrument of ratification:</w:t>
      </w:r>
      <w:r>
        <w:rPr>
          <w:sz w:val="24"/>
          <w:lang w:val="en-GB"/>
        </w:rPr>
        <w:tab/>
        <w:t>8 May 2002</w:t>
      </w:r>
    </w:p>
    <w:p w:rsidR="00000000" w:rsidRDefault="00000000">
      <w:pPr>
        <w:tabs>
          <w:tab w:val="clear" w:pos="720"/>
        </w:tabs>
        <w:jc w:val="left"/>
        <w:rPr>
          <w:sz w:val="24"/>
          <w:lang w:val="en-GB"/>
        </w:rPr>
      </w:pPr>
    </w:p>
    <w:p w:rsidR="00000000" w:rsidRDefault="00000000">
      <w:pPr>
        <w:tabs>
          <w:tab w:val="clear" w:pos="720"/>
        </w:tabs>
        <w:jc w:val="left"/>
        <w:rPr>
          <w:i/>
          <w:sz w:val="24"/>
          <w:lang w:val="en-GB"/>
        </w:rPr>
      </w:pPr>
      <w:r>
        <w:rPr>
          <w:b/>
          <w:sz w:val="24"/>
          <w:lang w:val="en-GB"/>
        </w:rPr>
        <w:tab/>
      </w:r>
      <w:r>
        <w:rPr>
          <w:b/>
          <w:i/>
          <w:sz w:val="24"/>
          <w:lang w:val="en-GB"/>
        </w:rPr>
        <w:t xml:space="preserve">ILO Minimum Age Convention (No. 138) </w:t>
      </w:r>
    </w:p>
    <w:p w:rsidR="00000000" w:rsidRDefault="00000000">
      <w:pPr>
        <w:tabs>
          <w:tab w:val="clear" w:pos="720"/>
        </w:tabs>
        <w:jc w:val="left"/>
        <w:rPr>
          <w:sz w:val="24"/>
          <w:lang w:val="en-GB"/>
        </w:rPr>
      </w:pPr>
    </w:p>
    <w:p w:rsidR="00000000" w:rsidRDefault="00000000">
      <w:pPr>
        <w:tabs>
          <w:tab w:val="clear" w:pos="720"/>
        </w:tabs>
        <w:ind w:left="567"/>
        <w:jc w:val="left"/>
        <w:rPr>
          <w:sz w:val="24"/>
          <w:lang w:val="en-GB"/>
        </w:rPr>
      </w:pPr>
      <w:r>
        <w:rPr>
          <w:sz w:val="24"/>
          <w:lang w:val="en-GB"/>
        </w:rPr>
        <w:tab/>
        <w:t>Organization</w:t>
      </w:r>
      <w:r>
        <w:rPr>
          <w:sz w:val="24"/>
          <w:lang w:val="en-GB"/>
        </w:rPr>
        <w:tab/>
      </w:r>
      <w:r>
        <w:rPr>
          <w:sz w:val="24"/>
          <w:lang w:val="en-GB"/>
        </w:rPr>
        <w:tab/>
      </w:r>
      <w:r>
        <w:rPr>
          <w:sz w:val="24"/>
          <w:lang w:val="en-GB"/>
        </w:rPr>
        <w:tab/>
      </w:r>
      <w:r>
        <w:rPr>
          <w:sz w:val="24"/>
          <w:lang w:val="en-GB"/>
        </w:rPr>
        <w:tab/>
        <w:t>ILO</w:t>
      </w:r>
    </w:p>
    <w:p w:rsidR="00000000" w:rsidRDefault="00000000">
      <w:pPr>
        <w:tabs>
          <w:tab w:val="clear" w:pos="720"/>
        </w:tabs>
        <w:ind w:left="567"/>
        <w:jc w:val="left"/>
        <w:rPr>
          <w:sz w:val="24"/>
          <w:lang w:val="en-GB"/>
        </w:rPr>
      </w:pPr>
      <w:r>
        <w:rPr>
          <w:sz w:val="24"/>
          <w:lang w:val="en-GB"/>
        </w:rPr>
        <w:tab/>
        <w:t>Date of adoption:</w:t>
      </w:r>
      <w:r>
        <w:rPr>
          <w:sz w:val="24"/>
          <w:lang w:val="en-GB"/>
        </w:rPr>
        <w:tab/>
      </w:r>
      <w:r>
        <w:rPr>
          <w:sz w:val="24"/>
          <w:lang w:val="en-GB"/>
        </w:rPr>
        <w:tab/>
      </w:r>
      <w:r>
        <w:rPr>
          <w:sz w:val="24"/>
          <w:lang w:val="en-GB"/>
        </w:rPr>
        <w:tab/>
      </w:r>
      <w:r>
        <w:rPr>
          <w:sz w:val="24"/>
          <w:lang w:val="en-GB"/>
        </w:rPr>
        <w:tab/>
        <w:t>26 June 1973</w:t>
      </w:r>
    </w:p>
    <w:p w:rsidR="00000000" w:rsidRDefault="00000000">
      <w:pPr>
        <w:tabs>
          <w:tab w:val="clear" w:pos="720"/>
        </w:tabs>
        <w:ind w:left="567"/>
        <w:jc w:val="left"/>
        <w:rPr>
          <w:sz w:val="24"/>
          <w:lang w:val="en-GB"/>
        </w:rPr>
      </w:pPr>
      <w:r>
        <w:rPr>
          <w:sz w:val="24"/>
          <w:lang w:val="en-GB"/>
        </w:rPr>
        <w:tab/>
        <w:t>Approval:</w:t>
      </w:r>
      <w:r>
        <w:rPr>
          <w:sz w:val="24"/>
          <w:lang w:val="en-GB"/>
        </w:rPr>
        <w:tab/>
      </w:r>
      <w:r>
        <w:rPr>
          <w:sz w:val="24"/>
          <w:lang w:val="en-GB"/>
        </w:rPr>
        <w:tab/>
      </w:r>
      <w:r>
        <w:rPr>
          <w:sz w:val="24"/>
          <w:lang w:val="en-GB"/>
        </w:rPr>
        <w:tab/>
      </w:r>
      <w:r>
        <w:rPr>
          <w:sz w:val="24"/>
          <w:lang w:val="en-GB"/>
        </w:rPr>
        <w:tab/>
      </w:r>
      <w:r>
        <w:rPr>
          <w:sz w:val="24"/>
          <w:lang w:val="en-GB"/>
        </w:rPr>
        <w:tab/>
        <w:t>Legislative Decision No. 27453</w:t>
      </w:r>
    </w:p>
    <w:p w:rsidR="00000000" w:rsidRDefault="00000000">
      <w:pPr>
        <w:tabs>
          <w:tab w:val="clear" w:pos="720"/>
        </w:tabs>
        <w:jc w:val="left"/>
        <w:rPr>
          <w:sz w:val="24"/>
          <w:lang w:val="en-GB"/>
        </w:rPr>
      </w:pPr>
    </w:p>
    <w:p w:rsidR="00000000" w:rsidRDefault="00000000">
      <w:pPr>
        <w:tabs>
          <w:tab w:val="clear" w:pos="720"/>
        </w:tabs>
        <w:jc w:val="left"/>
        <w:rPr>
          <w:i/>
          <w:sz w:val="24"/>
          <w:lang w:val="en-GB"/>
        </w:rPr>
      </w:pPr>
      <w:r>
        <w:rPr>
          <w:i/>
          <w:sz w:val="24"/>
          <w:lang w:val="en-GB"/>
        </w:rPr>
        <w:tab/>
      </w:r>
      <w:r>
        <w:rPr>
          <w:b/>
          <w:i/>
          <w:sz w:val="24"/>
          <w:lang w:val="en-GB"/>
        </w:rPr>
        <w:t>ILO Worst Forms of Child Labour Convention (No. 182)</w:t>
      </w:r>
    </w:p>
    <w:p w:rsidR="00000000" w:rsidRDefault="00000000">
      <w:pPr>
        <w:tabs>
          <w:tab w:val="clear" w:pos="720"/>
        </w:tabs>
        <w:jc w:val="left"/>
        <w:rPr>
          <w:sz w:val="24"/>
          <w:lang w:val="en-GB"/>
        </w:rPr>
      </w:pPr>
    </w:p>
    <w:p w:rsidR="00000000" w:rsidRDefault="00000000">
      <w:pPr>
        <w:tabs>
          <w:tab w:val="clear" w:pos="720"/>
        </w:tabs>
        <w:ind w:left="567"/>
        <w:jc w:val="left"/>
        <w:rPr>
          <w:sz w:val="24"/>
          <w:lang w:val="en-GB"/>
        </w:rPr>
      </w:pPr>
      <w:r>
        <w:rPr>
          <w:sz w:val="24"/>
          <w:lang w:val="en-GB"/>
        </w:rPr>
        <w:tab/>
        <w:t>Organization:</w:t>
      </w:r>
      <w:r>
        <w:rPr>
          <w:sz w:val="24"/>
          <w:lang w:val="en-GB"/>
        </w:rPr>
        <w:tab/>
      </w:r>
      <w:r>
        <w:rPr>
          <w:sz w:val="24"/>
          <w:lang w:val="en-GB"/>
        </w:rPr>
        <w:tab/>
      </w:r>
      <w:r>
        <w:rPr>
          <w:sz w:val="24"/>
          <w:lang w:val="en-GB"/>
        </w:rPr>
        <w:tab/>
      </w:r>
      <w:r>
        <w:rPr>
          <w:sz w:val="24"/>
          <w:lang w:val="en-GB"/>
        </w:rPr>
        <w:tab/>
        <w:t>ILO</w:t>
      </w:r>
    </w:p>
    <w:p w:rsidR="00000000" w:rsidRDefault="00000000">
      <w:pPr>
        <w:tabs>
          <w:tab w:val="clear" w:pos="720"/>
        </w:tabs>
        <w:ind w:left="567"/>
        <w:jc w:val="left"/>
        <w:rPr>
          <w:sz w:val="24"/>
          <w:lang w:val="en-GB"/>
        </w:rPr>
      </w:pPr>
      <w:r>
        <w:rPr>
          <w:sz w:val="24"/>
          <w:lang w:val="en-GB"/>
        </w:rPr>
        <w:tab/>
        <w:t>Date of adoption:</w:t>
      </w:r>
      <w:r>
        <w:rPr>
          <w:sz w:val="24"/>
          <w:lang w:val="en-GB"/>
        </w:rPr>
        <w:tab/>
      </w:r>
      <w:r>
        <w:rPr>
          <w:sz w:val="24"/>
          <w:lang w:val="en-GB"/>
        </w:rPr>
        <w:tab/>
      </w:r>
      <w:r>
        <w:rPr>
          <w:sz w:val="24"/>
          <w:lang w:val="en-GB"/>
        </w:rPr>
        <w:tab/>
      </w:r>
      <w:r>
        <w:rPr>
          <w:sz w:val="24"/>
          <w:lang w:val="en-GB"/>
        </w:rPr>
        <w:tab/>
        <w:t>1 June 1999</w:t>
      </w:r>
    </w:p>
    <w:p w:rsidR="00000000" w:rsidRDefault="00000000">
      <w:pPr>
        <w:tabs>
          <w:tab w:val="clear" w:pos="720"/>
        </w:tabs>
        <w:ind w:left="567"/>
        <w:jc w:val="left"/>
        <w:rPr>
          <w:sz w:val="24"/>
          <w:lang w:val="en-GB"/>
        </w:rPr>
      </w:pPr>
      <w:r>
        <w:rPr>
          <w:sz w:val="24"/>
          <w:lang w:val="en-GB"/>
        </w:rPr>
        <w:tab/>
        <w:t>Approval:</w:t>
      </w:r>
      <w:r>
        <w:rPr>
          <w:sz w:val="24"/>
          <w:lang w:val="en-GB"/>
        </w:rPr>
        <w:tab/>
      </w:r>
      <w:r>
        <w:rPr>
          <w:sz w:val="24"/>
          <w:lang w:val="en-GB"/>
        </w:rPr>
        <w:tab/>
      </w:r>
      <w:r>
        <w:rPr>
          <w:sz w:val="24"/>
          <w:lang w:val="en-GB"/>
        </w:rPr>
        <w:tab/>
      </w:r>
      <w:r>
        <w:rPr>
          <w:sz w:val="24"/>
          <w:lang w:val="en-GB"/>
        </w:rPr>
        <w:tab/>
      </w:r>
      <w:r>
        <w:rPr>
          <w:sz w:val="24"/>
          <w:lang w:val="en-GB"/>
        </w:rPr>
        <w:tab/>
        <w:t>Legislative Decision No. 27543</w:t>
      </w:r>
    </w:p>
    <w:p w:rsidR="00000000" w:rsidRDefault="00000000">
      <w:pPr>
        <w:tabs>
          <w:tab w:val="clear" w:pos="720"/>
        </w:tabs>
        <w:ind w:left="567"/>
        <w:jc w:val="left"/>
        <w:rPr>
          <w:sz w:val="24"/>
          <w:lang w:val="en-GB"/>
        </w:rPr>
      </w:pPr>
      <w:r>
        <w:rPr>
          <w:sz w:val="24"/>
          <w:lang w:val="en-GB"/>
        </w:rPr>
        <w:tab/>
        <w:t>Ratification:</w:t>
      </w:r>
      <w:r>
        <w:rPr>
          <w:sz w:val="24"/>
          <w:lang w:val="en-GB"/>
        </w:rPr>
        <w:tab/>
      </w:r>
      <w:r>
        <w:rPr>
          <w:sz w:val="24"/>
          <w:lang w:val="en-GB"/>
        </w:rPr>
        <w:tab/>
      </w:r>
      <w:r>
        <w:rPr>
          <w:sz w:val="24"/>
          <w:lang w:val="en-GB"/>
        </w:rPr>
        <w:tab/>
      </w:r>
      <w:r>
        <w:rPr>
          <w:sz w:val="24"/>
          <w:lang w:val="en-GB"/>
        </w:rPr>
        <w:tab/>
        <w:t>Supreme Decree No. 087-2001-RE</w:t>
      </w:r>
    </w:p>
    <w:p w:rsidR="00000000" w:rsidRDefault="00000000">
      <w:pPr>
        <w:tabs>
          <w:tab w:val="clear" w:pos="720"/>
        </w:tabs>
        <w:jc w:val="left"/>
        <w:rPr>
          <w:sz w:val="24"/>
          <w:lang w:val="en-GB"/>
        </w:rPr>
      </w:pPr>
    </w:p>
    <w:p w:rsidR="00000000" w:rsidRDefault="00000000">
      <w:pPr>
        <w:tabs>
          <w:tab w:val="clear" w:pos="720"/>
        </w:tabs>
        <w:jc w:val="left"/>
        <w:rPr>
          <w:i/>
          <w:sz w:val="24"/>
          <w:lang w:val="en-GB"/>
        </w:rPr>
      </w:pPr>
      <w:r>
        <w:rPr>
          <w:sz w:val="24"/>
          <w:lang w:val="en-GB"/>
        </w:rPr>
        <w:tab/>
      </w:r>
      <w:r>
        <w:rPr>
          <w:b/>
          <w:i/>
          <w:sz w:val="24"/>
          <w:lang w:val="en-GB"/>
        </w:rPr>
        <w:t>The Hague Convention on the Civil Aspects of International Child Abduction</w:t>
      </w:r>
    </w:p>
    <w:p w:rsidR="00000000" w:rsidRDefault="00000000">
      <w:pPr>
        <w:tabs>
          <w:tab w:val="clear" w:pos="720"/>
        </w:tabs>
        <w:jc w:val="left"/>
        <w:rPr>
          <w:sz w:val="24"/>
          <w:lang w:val="en-GB"/>
        </w:rPr>
      </w:pPr>
    </w:p>
    <w:p w:rsidR="00000000" w:rsidRDefault="00000000">
      <w:pPr>
        <w:tabs>
          <w:tab w:val="clear" w:pos="720"/>
        </w:tabs>
        <w:ind w:left="567"/>
        <w:jc w:val="left"/>
        <w:rPr>
          <w:sz w:val="24"/>
          <w:lang w:val="en-GB"/>
        </w:rPr>
      </w:pPr>
      <w:r>
        <w:rPr>
          <w:sz w:val="24"/>
          <w:lang w:val="en-GB"/>
        </w:rPr>
        <w:tab/>
        <w:t>Article 6 of this Convention provides that a Contracting State shall designate a Central Authority to discharge the duties which are imposed by the Convention upon such authorities.  The Peruvian State has therefore designated, by Ministerial Decision No. 206-2002-PROMUDEH, the Division for the Welfare of Children and Adolescents as the body which shall discharge the duties of Central Authority, representing the Ministry for Women and Social Development.</w:t>
      </w:r>
    </w:p>
    <w:p w:rsidR="00000000" w:rsidRDefault="00000000">
      <w:pPr>
        <w:tabs>
          <w:tab w:val="clear" w:pos="720"/>
        </w:tabs>
        <w:ind w:left="567"/>
        <w:jc w:val="left"/>
        <w:rPr>
          <w:sz w:val="24"/>
          <w:lang w:val="en-GB"/>
        </w:rPr>
      </w:pPr>
    </w:p>
    <w:p w:rsidR="00000000" w:rsidRDefault="00000000">
      <w:pPr>
        <w:tabs>
          <w:tab w:val="clear" w:pos="720"/>
        </w:tabs>
        <w:ind w:left="567"/>
        <w:jc w:val="left"/>
        <w:rPr>
          <w:sz w:val="24"/>
          <w:lang w:val="en-GB"/>
        </w:rPr>
      </w:pPr>
      <w:r>
        <w:rPr>
          <w:sz w:val="24"/>
          <w:lang w:val="en-GB"/>
        </w:rPr>
        <w:tab/>
        <w:t>The Division has been discharging the duties of Central Authority, basically in accordance with articles 7 and 11 of the Convention, both as requesting Authority and as requested Authority; in other words, it has been taking the necessary steps to ensure the immediate return of children, when this is required, and to secure the best interests of the child by promoting amicable settlements and maintaining to this end smooth communications with the central authorities of the other signatory States.</w:t>
      </w:r>
    </w:p>
    <w:p w:rsidR="00000000" w:rsidRDefault="00000000">
      <w:pPr>
        <w:tabs>
          <w:tab w:val="clear" w:pos="720"/>
        </w:tabs>
        <w:ind w:left="567"/>
        <w:jc w:val="left"/>
        <w:rPr>
          <w:sz w:val="24"/>
          <w:lang w:val="en-GB"/>
        </w:rPr>
      </w:pPr>
    </w:p>
    <w:p w:rsidR="00000000" w:rsidRDefault="00000000">
      <w:pPr>
        <w:tabs>
          <w:tab w:val="clear" w:pos="720"/>
        </w:tabs>
        <w:ind w:left="567"/>
        <w:jc w:val="left"/>
        <w:rPr>
          <w:sz w:val="24"/>
          <w:lang w:val="en-GB"/>
        </w:rPr>
      </w:pPr>
      <w:r>
        <w:rPr>
          <w:sz w:val="24"/>
          <w:lang w:val="en-GB"/>
        </w:rPr>
        <w:tab/>
        <w:t>The objective of the Convention is to ensure that rights of custody and rights of access are effectively exercised in the signatory States and that neither parent or any other relative uses communication routes and the possibility of crossing frontiers to retain or remove a child or infringes the rights established by law, by treaty or by the courts to the detriment of a father, mother or other relative.</w:t>
      </w:r>
    </w:p>
    <w:p w:rsidR="00000000" w:rsidRDefault="00000000">
      <w:pPr>
        <w:tabs>
          <w:tab w:val="clear" w:pos="720"/>
        </w:tabs>
        <w:ind w:left="567"/>
        <w:jc w:val="left"/>
        <w:rPr>
          <w:sz w:val="24"/>
          <w:lang w:val="en-GB"/>
        </w:rPr>
      </w:pPr>
    </w:p>
    <w:p w:rsidR="00000000" w:rsidRDefault="00000000">
      <w:pPr>
        <w:tabs>
          <w:tab w:val="clear" w:pos="720"/>
        </w:tabs>
        <w:ind w:left="567"/>
        <w:jc w:val="left"/>
        <w:rPr>
          <w:sz w:val="24"/>
          <w:lang w:val="en-GB"/>
        </w:rPr>
      </w:pPr>
      <w:r>
        <w:rPr>
          <w:sz w:val="24"/>
          <w:lang w:val="en-GB"/>
        </w:rPr>
        <w:tab/>
        <w:t>According to the Convention, rights of custody includes rights relating to the care of the person of the child, in particular the right to determine the child’s place of residence (these rights are assimilated in Peruvian legislation to rights of “</w:t>
      </w:r>
      <w:r>
        <w:rPr>
          <w:i/>
          <w:sz w:val="24"/>
          <w:lang w:val="en-GB"/>
        </w:rPr>
        <w:t>tenencia</w:t>
      </w:r>
      <w:r>
        <w:rPr>
          <w:sz w:val="24"/>
          <w:lang w:val="en-GB"/>
        </w:rPr>
        <w:t>”), while rights of access include the right to take a child for a limited period of time to a place other than the child’s habitual residence (these rights are known in Peruvian legislation as the “</w:t>
      </w:r>
      <w:r>
        <w:rPr>
          <w:i/>
          <w:sz w:val="24"/>
          <w:lang w:val="en-GB"/>
        </w:rPr>
        <w:t>régimen de visitas</w:t>
      </w:r>
      <w:r>
        <w:rPr>
          <w:sz w:val="24"/>
          <w:lang w:val="en-GB"/>
        </w:rPr>
        <w:t>”).</w:t>
      </w:r>
    </w:p>
    <w:p w:rsidR="00000000" w:rsidRDefault="00000000">
      <w:pPr>
        <w:tabs>
          <w:tab w:val="clear" w:pos="720"/>
        </w:tabs>
        <w:ind w:left="567"/>
        <w:jc w:val="left"/>
        <w:rPr>
          <w:sz w:val="24"/>
          <w:lang w:val="en-GB"/>
        </w:rPr>
      </w:pPr>
    </w:p>
    <w:p w:rsidR="00000000" w:rsidRDefault="00000000">
      <w:pPr>
        <w:tabs>
          <w:tab w:val="clear" w:pos="720"/>
        </w:tabs>
        <w:ind w:left="567"/>
        <w:jc w:val="left"/>
        <w:rPr>
          <w:sz w:val="24"/>
          <w:lang w:val="en-GB"/>
        </w:rPr>
      </w:pPr>
      <w:r>
        <w:rPr>
          <w:sz w:val="24"/>
          <w:lang w:val="en-GB"/>
        </w:rPr>
        <w:tab/>
        <w:t>The following are the main functions of the Central Authority: (1) to verify movements in and out of the country by a child or abductor; (2) to establish the exact whereabouts of a child or abductor; and (3) to transmit requests to the judicial authorities of Peru or to the Central Authority of another country.</w:t>
      </w:r>
    </w:p>
    <w:p w:rsidR="00000000" w:rsidRDefault="00000000">
      <w:pPr>
        <w:tabs>
          <w:tab w:val="clear" w:pos="720"/>
        </w:tabs>
        <w:ind w:left="567"/>
        <w:jc w:val="left"/>
        <w:rPr>
          <w:sz w:val="24"/>
          <w:lang w:val="en-GB"/>
        </w:rPr>
      </w:pPr>
    </w:p>
    <w:p w:rsidR="00000000" w:rsidRDefault="00000000">
      <w:pPr>
        <w:tabs>
          <w:tab w:val="clear" w:pos="720"/>
        </w:tabs>
        <w:ind w:left="567"/>
        <w:jc w:val="left"/>
        <w:rPr>
          <w:sz w:val="24"/>
          <w:lang w:val="en-GB"/>
        </w:rPr>
      </w:pPr>
      <w:r>
        <w:rPr>
          <w:sz w:val="24"/>
          <w:lang w:val="en-GB"/>
        </w:rPr>
        <w:tab/>
        <w:t>The Division has taken up eight cases of abduction since the end of January 2002.</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b/>
          <w:sz w:val="24"/>
          <w:lang w:val="en-GB"/>
        </w:rPr>
        <w:t>2.</w:t>
      </w:r>
      <w:r>
        <w:rPr>
          <w:b/>
          <w:sz w:val="24"/>
          <w:lang w:val="en-GB"/>
        </w:rPr>
        <w:tab/>
        <w:t>The Children’s and Adolescents’ Code</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207.</w:t>
      </w:r>
      <w:r>
        <w:rPr>
          <w:sz w:val="24"/>
          <w:lang w:val="en-GB"/>
        </w:rPr>
        <w:tab/>
        <w:t>Following ratification of the Convention on the Rights of the Child and the revision of the Children’s and Adolescents’ Code in 1993, the institution of procurator for children and adolescents was created and the juvenile courts became children’s and adolescents’ courts - now the family procurators and family courts - to deal with reports of maltreatment and neglect and domestic violence.</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208.</w:t>
      </w:r>
      <w:r>
        <w:rPr>
          <w:sz w:val="24"/>
          <w:lang w:val="en-GB"/>
        </w:rPr>
        <w:tab/>
        <w:t>Where the law is concerned, Peru must continue its efforts to bring its national legislation relating to children into line with the international instruments which it has signed and ratified and with the requirements of the development of this social sector and to fill the gaps in laws and regulations.</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209.</w:t>
      </w:r>
      <w:r>
        <w:rPr>
          <w:sz w:val="24"/>
          <w:lang w:val="en-GB"/>
        </w:rPr>
        <w:tab/>
        <w:t>An intersectoral commission has been revising the current Children’s and Adolescents’ Code; although this exercise is producing innovative changes in such areas as the special care of children with disabilities, judicial procedures applicable to juveniles, and alternatives to deprivation of liberty, it is also revealing gaps and legal contradictions and introducing retrogressive provisions: for example, the incorporation of the offence of pernicious gang violence (</w:t>
      </w:r>
      <w:r>
        <w:rPr>
          <w:i/>
          <w:sz w:val="24"/>
          <w:lang w:val="en-GB"/>
        </w:rPr>
        <w:t>pandillaje pernicioso</w:t>
      </w:r>
      <w:r>
        <w:rPr>
          <w:sz w:val="24"/>
          <w:lang w:val="en-GB"/>
        </w:rPr>
        <w:t>), which increases the punishment which may be imposed on juveniles to six years’ internment.  The revision also disregards measures to guarantee the rights of vulnerable children, such as children suffering from sexually transmitted diseases, HIV/AIDS or cancer.  The Code also has gaps with respect to specific programmes for child victims of sexual exploitation.</w:t>
      </w:r>
    </w:p>
    <w:p w:rsidR="00000000" w:rsidRDefault="00000000">
      <w:pPr>
        <w:tabs>
          <w:tab w:val="clear" w:pos="720"/>
        </w:tabs>
        <w:jc w:val="left"/>
        <w:rPr>
          <w:sz w:val="24"/>
          <w:lang w:val="en-GB"/>
        </w:rPr>
      </w:pPr>
    </w:p>
    <w:p w:rsidR="00000000" w:rsidRDefault="00000000">
      <w:pPr>
        <w:keepNext/>
        <w:tabs>
          <w:tab w:val="clear" w:pos="720"/>
        </w:tabs>
        <w:jc w:val="left"/>
        <w:rPr>
          <w:sz w:val="24"/>
          <w:lang w:val="en-GB"/>
        </w:rPr>
      </w:pPr>
      <w:r>
        <w:rPr>
          <w:b/>
          <w:sz w:val="24"/>
          <w:lang w:val="en-GB"/>
        </w:rPr>
        <w:t>3.</w:t>
      </w:r>
      <w:r>
        <w:rPr>
          <w:b/>
          <w:sz w:val="24"/>
          <w:lang w:val="en-GB"/>
        </w:rPr>
        <w:tab/>
        <w:t>Juvenile offenders</w:t>
      </w:r>
    </w:p>
    <w:p w:rsidR="00000000" w:rsidRDefault="00000000">
      <w:pPr>
        <w:keepNext/>
        <w:tabs>
          <w:tab w:val="clear" w:pos="720"/>
        </w:tabs>
        <w:jc w:val="left"/>
        <w:rPr>
          <w:sz w:val="24"/>
          <w:lang w:val="en-GB"/>
        </w:rPr>
      </w:pPr>
    </w:p>
    <w:p w:rsidR="00000000" w:rsidRDefault="00000000">
      <w:pPr>
        <w:keepNext/>
        <w:tabs>
          <w:tab w:val="clear" w:pos="720"/>
        </w:tabs>
        <w:jc w:val="left"/>
        <w:rPr>
          <w:sz w:val="24"/>
          <w:lang w:val="en-GB"/>
        </w:rPr>
      </w:pPr>
      <w:r>
        <w:rPr>
          <w:sz w:val="24"/>
          <w:lang w:val="en-GB"/>
        </w:rPr>
        <w:t>210.</w:t>
      </w:r>
      <w:r>
        <w:rPr>
          <w:sz w:val="24"/>
          <w:lang w:val="en-GB"/>
        </w:rPr>
        <w:tab/>
        <w:t>The Code provides for the application to juveniles of alternatives to deprivation of liberty.</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211.</w:t>
      </w:r>
      <w:r>
        <w:rPr>
          <w:sz w:val="24"/>
          <w:lang w:val="en-GB"/>
        </w:rPr>
        <w:tab/>
        <w:t>However, the application to juvenile offenders of the non-internment alternatives provided for in the Code is not widespread.  According to the statistics, as of December 2001 there were 987 juvenile offenders (66 per cent of the current total of convicted juveniles) held in prison but only 508 (34 per cent) under an open regime;</w:t>
      </w:r>
      <w:r>
        <w:rPr>
          <w:rStyle w:val="FootnoteReference"/>
          <w:b/>
          <w:sz w:val="24"/>
          <w:lang w:val="en-GB"/>
        </w:rPr>
        <w:footnoteReference w:customMarkFollows="1" w:id="83"/>
        <w:t>83</w:t>
      </w:r>
      <w:r>
        <w:rPr>
          <w:sz w:val="24"/>
          <w:lang w:val="en-GB"/>
        </w:rPr>
        <w:t xml:space="preserve"> this confirms the need to increase the use of socio-educational and reintegration measures which make it easier for juvenile offenders to continue their lives in society and the family.</w:t>
      </w:r>
    </w:p>
    <w:p w:rsidR="00000000" w:rsidRDefault="00000000">
      <w:pPr>
        <w:tabs>
          <w:tab w:val="clear" w:pos="720"/>
        </w:tabs>
        <w:jc w:val="left"/>
        <w:rPr>
          <w:sz w:val="24"/>
          <w:lang w:val="en-GB"/>
        </w:rPr>
      </w:pPr>
    </w:p>
    <w:p w:rsidR="00000000" w:rsidRDefault="00000000">
      <w:pPr>
        <w:keepNext/>
        <w:tabs>
          <w:tab w:val="clear" w:pos="720"/>
          <w:tab w:val="left" w:leader="dot" w:pos="3402"/>
        </w:tabs>
        <w:spacing w:after="200"/>
        <w:jc w:val="center"/>
        <w:rPr>
          <w:sz w:val="24"/>
          <w:lang w:val="en-GB"/>
        </w:rPr>
      </w:pPr>
      <w:r>
        <w:rPr>
          <w:b/>
          <w:sz w:val="20"/>
          <w:lang w:val="en-GB"/>
        </w:rPr>
        <w:t>Legal status of juvenile offenders</w:t>
      </w:r>
      <w:r>
        <w:rPr>
          <w:rStyle w:val="FootnoteReference"/>
          <w:b/>
          <w:bCs/>
          <w:sz w:val="24"/>
          <w:lang w:val="en-GB"/>
        </w:rPr>
        <w:footnoteReference w:customMarkFollows="1" w:id="84"/>
        <w:t>84</w:t>
      </w:r>
    </w:p>
    <w:tbl>
      <w:tblPr>
        <w:tblW w:w="4706" w:type="dxa"/>
        <w:jc w:val="center"/>
        <w:tblInd w:w="2098" w:type="dxa"/>
        <w:tblBorders>
          <w:top w:val="single" w:sz="4" w:space="0" w:color="auto"/>
          <w:bottom w:val="single" w:sz="4" w:space="0" w:color="auto"/>
        </w:tblBorders>
        <w:tblLayout w:type="fixed"/>
        <w:tblLook w:val="0000" w:firstRow="0" w:lastRow="0" w:firstColumn="0" w:lastColumn="0" w:noHBand="0" w:noVBand="0"/>
      </w:tblPr>
      <w:tblGrid>
        <w:gridCol w:w="3034"/>
        <w:gridCol w:w="1672"/>
      </w:tblGrid>
      <w:tr w:rsidR="00000000">
        <w:tblPrEx>
          <w:tblCellMar>
            <w:top w:w="0" w:type="dxa"/>
            <w:bottom w:w="0" w:type="dxa"/>
          </w:tblCellMar>
        </w:tblPrEx>
        <w:trPr>
          <w:jc w:val="center"/>
        </w:trPr>
        <w:tc>
          <w:tcPr>
            <w:tcW w:w="3034" w:type="dxa"/>
          </w:tcPr>
          <w:p w:rsidR="00000000" w:rsidRDefault="00000000">
            <w:pPr>
              <w:tabs>
                <w:tab w:val="clear" w:pos="720"/>
                <w:tab w:val="left" w:leader="dot" w:pos="3402"/>
              </w:tabs>
              <w:spacing w:before="100" w:after="100"/>
              <w:jc w:val="left"/>
              <w:rPr>
                <w:sz w:val="20"/>
                <w:lang w:val="en-GB"/>
              </w:rPr>
            </w:pPr>
            <w:r>
              <w:rPr>
                <w:sz w:val="20"/>
                <w:lang w:val="en-GB"/>
              </w:rPr>
              <w:t>Total cases</w:t>
            </w:r>
            <w:r>
              <w:rPr>
                <w:sz w:val="20"/>
                <w:lang w:val="en-GB"/>
              </w:rPr>
              <w:tab/>
            </w:r>
          </w:p>
          <w:p w:rsidR="00000000" w:rsidRDefault="00000000">
            <w:pPr>
              <w:tabs>
                <w:tab w:val="clear" w:pos="720"/>
                <w:tab w:val="left" w:leader="dot" w:pos="3402"/>
              </w:tabs>
              <w:spacing w:before="100" w:after="100"/>
              <w:jc w:val="left"/>
              <w:rPr>
                <w:sz w:val="20"/>
                <w:lang w:val="en-GB"/>
              </w:rPr>
            </w:pPr>
            <w:r>
              <w:rPr>
                <w:sz w:val="20"/>
                <w:lang w:val="en-GB"/>
              </w:rPr>
              <w:t>Convictions</w:t>
            </w:r>
            <w:r>
              <w:rPr>
                <w:sz w:val="20"/>
                <w:lang w:val="en-GB"/>
              </w:rPr>
              <w:tab/>
            </w:r>
          </w:p>
          <w:p w:rsidR="00000000" w:rsidRDefault="00000000">
            <w:pPr>
              <w:tabs>
                <w:tab w:val="clear" w:pos="720"/>
                <w:tab w:val="left" w:leader="dot" w:pos="3402"/>
              </w:tabs>
              <w:spacing w:before="100" w:after="100"/>
              <w:jc w:val="left"/>
              <w:rPr>
                <w:sz w:val="20"/>
                <w:lang w:val="en-GB"/>
              </w:rPr>
            </w:pPr>
            <w:r>
              <w:rPr>
                <w:sz w:val="20"/>
                <w:lang w:val="en-GB"/>
              </w:rPr>
              <w:t>Awaiting trial</w:t>
            </w:r>
            <w:r>
              <w:rPr>
                <w:sz w:val="20"/>
                <w:lang w:val="en-GB"/>
              </w:rPr>
              <w:tab/>
            </w:r>
          </w:p>
        </w:tc>
        <w:tc>
          <w:tcPr>
            <w:tcW w:w="1672" w:type="dxa"/>
          </w:tcPr>
          <w:p w:rsidR="00000000" w:rsidRDefault="00000000">
            <w:pPr>
              <w:tabs>
                <w:tab w:val="clear" w:pos="720"/>
                <w:tab w:val="left" w:leader="dot" w:pos="3402"/>
              </w:tabs>
              <w:spacing w:before="100" w:after="100"/>
              <w:jc w:val="center"/>
              <w:rPr>
                <w:sz w:val="20"/>
                <w:lang w:val="en-GB"/>
              </w:rPr>
            </w:pPr>
            <w:r>
              <w:rPr>
                <w:sz w:val="20"/>
                <w:lang w:val="en-GB"/>
              </w:rPr>
              <w:t>1,495</w:t>
            </w:r>
          </w:p>
          <w:p w:rsidR="00000000" w:rsidRDefault="00000000">
            <w:pPr>
              <w:tabs>
                <w:tab w:val="clear" w:pos="720"/>
                <w:tab w:val="left" w:leader="dot" w:pos="3402"/>
              </w:tabs>
              <w:spacing w:before="100" w:after="100"/>
              <w:jc w:val="center"/>
              <w:rPr>
                <w:sz w:val="20"/>
                <w:lang w:val="en-GB"/>
              </w:rPr>
            </w:pPr>
            <w:r>
              <w:rPr>
                <w:sz w:val="20"/>
                <w:lang w:val="en-GB"/>
              </w:rPr>
              <w:t>54%</w:t>
            </w:r>
          </w:p>
          <w:p w:rsidR="00000000" w:rsidRDefault="00000000">
            <w:pPr>
              <w:tabs>
                <w:tab w:val="clear" w:pos="720"/>
                <w:tab w:val="left" w:leader="dot" w:pos="3402"/>
              </w:tabs>
              <w:spacing w:before="100" w:after="100"/>
              <w:jc w:val="center"/>
              <w:rPr>
                <w:b/>
                <w:sz w:val="20"/>
                <w:lang w:val="en-GB"/>
              </w:rPr>
            </w:pPr>
            <w:r>
              <w:rPr>
                <w:sz w:val="20"/>
                <w:lang w:val="en-GB"/>
              </w:rPr>
              <w:t>46%</w:t>
            </w:r>
          </w:p>
        </w:tc>
      </w:tr>
    </w:tbl>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212.</w:t>
      </w:r>
      <w:r>
        <w:rPr>
          <w:sz w:val="24"/>
          <w:lang w:val="en-GB"/>
        </w:rPr>
        <w:tab/>
        <w:t>The application of socio-educational measures to juvenile offenders is vital to the attainment of the goals of rehabilitation and reintegration, which are more important than the goals of prevention and punishment, for such measures have helped to create in these juveniles an awareness of their responsibility for their actions.</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213.</w:t>
      </w:r>
      <w:r>
        <w:rPr>
          <w:sz w:val="24"/>
          <w:lang w:val="en-GB"/>
        </w:rPr>
        <w:tab/>
        <w:t>The Judiciary’s Juvenile Centres Division has nine closed facilities, one of which is intended exclusively for juvenile offenders, and one open facility, known as the Adolescents Guidance Centre, for the enforcement of sentences of supervised liberty (</w:t>
      </w:r>
      <w:r>
        <w:rPr>
          <w:i/>
          <w:sz w:val="24"/>
          <w:lang w:val="en-GB"/>
        </w:rPr>
        <w:t>libertad asistida</w:t>
      </w:r>
      <w:r>
        <w:rPr>
          <w:sz w:val="24"/>
          <w:lang w:val="en-GB"/>
        </w:rPr>
        <w:t>).</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214.</w:t>
      </w:r>
      <w:r>
        <w:rPr>
          <w:sz w:val="24"/>
          <w:lang w:val="en-GB"/>
        </w:rPr>
        <w:tab/>
        <w:t>The lack of juvenile centres in some areas in the interior of the country causes difficulties in the administration of justice when socio-educational internment measures are ordered.  In such cases the juveniles are transferred to facilities far from their homes; the situation is worse in the case of juveniles convicted of crimes, who are transferred to Lima.</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215.</w:t>
      </w:r>
      <w:r>
        <w:rPr>
          <w:sz w:val="24"/>
          <w:lang w:val="en-GB"/>
        </w:rPr>
        <w:tab/>
        <w:t>The streamlining of the procedures of the administration of juvenile justice is something to be considered.  In 2000 for example, out of a total of 3,387 juvenile offenders held in juvenile centres only 1,722 had been convicted, and 1,665 were awaiting trial.</w:t>
      </w:r>
      <w:r>
        <w:rPr>
          <w:rStyle w:val="FootnoteReference"/>
          <w:b/>
          <w:sz w:val="24"/>
          <w:lang w:val="en-GB"/>
        </w:rPr>
        <w:footnoteReference w:customMarkFollows="1" w:id="85"/>
        <w:t>85</w:t>
      </w:r>
    </w:p>
    <w:p w:rsidR="00000000" w:rsidRDefault="00000000">
      <w:pPr>
        <w:tabs>
          <w:tab w:val="clear" w:pos="720"/>
        </w:tabs>
        <w:jc w:val="left"/>
        <w:rPr>
          <w:sz w:val="24"/>
          <w:lang w:val="en-GB"/>
        </w:rPr>
      </w:pPr>
    </w:p>
    <w:p w:rsidR="00000000" w:rsidRDefault="00000000">
      <w:pPr>
        <w:tabs>
          <w:tab w:val="clear" w:pos="720"/>
        </w:tabs>
        <w:spacing w:after="200"/>
        <w:jc w:val="center"/>
        <w:rPr>
          <w:sz w:val="20"/>
          <w:lang w:val="en-GB"/>
        </w:rPr>
      </w:pPr>
      <w:r>
        <w:rPr>
          <w:b/>
          <w:sz w:val="20"/>
          <w:lang w:val="en-GB"/>
        </w:rPr>
        <w:t>Juveniles deprived of liberty for criminal offences</w:t>
      </w:r>
    </w:p>
    <w:tbl>
      <w:tblPr>
        <w:tblW w:w="0" w:type="auto"/>
        <w:jc w:val="center"/>
        <w:tblInd w:w="92" w:type="dxa"/>
        <w:tblLayout w:type="fixed"/>
        <w:tblCellMar>
          <w:left w:w="70" w:type="dxa"/>
          <w:right w:w="70" w:type="dxa"/>
        </w:tblCellMar>
        <w:tblLook w:val="0000" w:firstRow="0" w:lastRow="0" w:firstColumn="0" w:lastColumn="0" w:noHBand="0" w:noVBand="0"/>
      </w:tblPr>
      <w:tblGrid>
        <w:gridCol w:w="1778"/>
        <w:gridCol w:w="1129"/>
        <w:gridCol w:w="1129"/>
        <w:gridCol w:w="1129"/>
        <w:gridCol w:w="1129"/>
        <w:gridCol w:w="1129"/>
        <w:gridCol w:w="1130"/>
      </w:tblGrid>
      <w:tr w:rsidR="00000000">
        <w:tblPrEx>
          <w:tblCellMar>
            <w:top w:w="0" w:type="dxa"/>
            <w:bottom w:w="0" w:type="dxa"/>
          </w:tblCellMar>
        </w:tblPrEx>
        <w:trPr>
          <w:jc w:val="center"/>
        </w:trPr>
        <w:tc>
          <w:tcPr>
            <w:tcW w:w="1778" w:type="dxa"/>
            <w:tcBorders>
              <w:top w:val="single" w:sz="4" w:space="0" w:color="auto"/>
            </w:tcBorders>
          </w:tcPr>
          <w:p w:rsidR="00000000" w:rsidRDefault="00000000">
            <w:pPr>
              <w:spacing w:before="60" w:after="60"/>
              <w:jc w:val="center"/>
              <w:rPr>
                <w:sz w:val="20"/>
                <w:lang w:val="en-GB"/>
              </w:rPr>
            </w:pPr>
          </w:p>
        </w:tc>
        <w:tc>
          <w:tcPr>
            <w:tcW w:w="1129" w:type="dxa"/>
            <w:tcBorders>
              <w:top w:val="single" w:sz="4" w:space="0" w:color="auto"/>
            </w:tcBorders>
          </w:tcPr>
          <w:p w:rsidR="00000000" w:rsidRDefault="00000000">
            <w:pPr>
              <w:spacing w:before="60" w:after="60"/>
              <w:jc w:val="center"/>
              <w:rPr>
                <w:i/>
                <w:iCs/>
                <w:sz w:val="20"/>
                <w:lang w:val="en-GB"/>
              </w:rPr>
            </w:pPr>
            <w:r>
              <w:rPr>
                <w:i/>
                <w:iCs/>
                <w:sz w:val="20"/>
                <w:lang w:val="en-GB"/>
              </w:rPr>
              <w:t>1995</w:t>
            </w:r>
          </w:p>
        </w:tc>
        <w:tc>
          <w:tcPr>
            <w:tcW w:w="1129" w:type="dxa"/>
            <w:tcBorders>
              <w:top w:val="single" w:sz="4" w:space="0" w:color="auto"/>
            </w:tcBorders>
          </w:tcPr>
          <w:p w:rsidR="00000000" w:rsidRDefault="00000000">
            <w:pPr>
              <w:spacing w:before="60" w:after="60"/>
              <w:jc w:val="center"/>
              <w:rPr>
                <w:i/>
                <w:iCs/>
                <w:sz w:val="20"/>
                <w:lang w:val="en-GB"/>
              </w:rPr>
            </w:pPr>
            <w:r>
              <w:rPr>
                <w:i/>
                <w:iCs/>
                <w:sz w:val="20"/>
                <w:lang w:val="en-GB"/>
              </w:rPr>
              <w:t>1996</w:t>
            </w:r>
          </w:p>
        </w:tc>
        <w:tc>
          <w:tcPr>
            <w:tcW w:w="1129" w:type="dxa"/>
            <w:tcBorders>
              <w:top w:val="single" w:sz="4" w:space="0" w:color="auto"/>
            </w:tcBorders>
          </w:tcPr>
          <w:p w:rsidR="00000000" w:rsidRDefault="00000000">
            <w:pPr>
              <w:spacing w:before="60" w:after="60"/>
              <w:jc w:val="center"/>
              <w:rPr>
                <w:i/>
                <w:iCs/>
                <w:sz w:val="20"/>
                <w:lang w:val="en-GB"/>
              </w:rPr>
            </w:pPr>
            <w:r>
              <w:rPr>
                <w:i/>
                <w:iCs/>
                <w:sz w:val="20"/>
                <w:lang w:val="en-GB"/>
              </w:rPr>
              <w:t>1997</w:t>
            </w:r>
          </w:p>
        </w:tc>
        <w:tc>
          <w:tcPr>
            <w:tcW w:w="1129" w:type="dxa"/>
            <w:tcBorders>
              <w:top w:val="single" w:sz="4" w:space="0" w:color="auto"/>
            </w:tcBorders>
          </w:tcPr>
          <w:p w:rsidR="00000000" w:rsidRDefault="00000000">
            <w:pPr>
              <w:spacing w:before="60" w:after="60"/>
              <w:jc w:val="center"/>
              <w:rPr>
                <w:i/>
                <w:iCs/>
                <w:sz w:val="20"/>
                <w:lang w:val="en-GB"/>
              </w:rPr>
            </w:pPr>
            <w:r>
              <w:rPr>
                <w:i/>
                <w:iCs/>
                <w:sz w:val="20"/>
                <w:lang w:val="en-GB"/>
              </w:rPr>
              <w:t>1998</w:t>
            </w:r>
          </w:p>
        </w:tc>
        <w:tc>
          <w:tcPr>
            <w:tcW w:w="1129" w:type="dxa"/>
            <w:tcBorders>
              <w:top w:val="single" w:sz="4" w:space="0" w:color="auto"/>
            </w:tcBorders>
          </w:tcPr>
          <w:p w:rsidR="00000000" w:rsidRDefault="00000000">
            <w:pPr>
              <w:spacing w:before="60" w:after="60"/>
              <w:jc w:val="center"/>
              <w:rPr>
                <w:i/>
                <w:iCs/>
                <w:sz w:val="20"/>
                <w:lang w:val="en-GB"/>
              </w:rPr>
            </w:pPr>
            <w:r>
              <w:rPr>
                <w:i/>
                <w:iCs/>
                <w:sz w:val="20"/>
                <w:lang w:val="en-GB"/>
              </w:rPr>
              <w:t>1999</w:t>
            </w:r>
          </w:p>
        </w:tc>
        <w:tc>
          <w:tcPr>
            <w:tcW w:w="1130" w:type="dxa"/>
            <w:tcBorders>
              <w:top w:val="single" w:sz="4" w:space="0" w:color="auto"/>
            </w:tcBorders>
          </w:tcPr>
          <w:p w:rsidR="00000000" w:rsidRDefault="00000000">
            <w:pPr>
              <w:spacing w:before="60" w:after="60"/>
              <w:jc w:val="center"/>
              <w:rPr>
                <w:i/>
                <w:iCs/>
                <w:sz w:val="20"/>
                <w:lang w:val="en-GB"/>
              </w:rPr>
            </w:pPr>
            <w:r>
              <w:rPr>
                <w:i/>
                <w:iCs/>
                <w:sz w:val="20"/>
                <w:lang w:val="en-GB"/>
              </w:rPr>
              <w:t>2000</w:t>
            </w:r>
          </w:p>
        </w:tc>
      </w:tr>
      <w:tr w:rsidR="00000000">
        <w:tblPrEx>
          <w:tblCellMar>
            <w:top w:w="0" w:type="dxa"/>
            <w:bottom w:w="0" w:type="dxa"/>
          </w:tblCellMar>
        </w:tblPrEx>
        <w:trPr>
          <w:jc w:val="center"/>
        </w:trPr>
        <w:tc>
          <w:tcPr>
            <w:tcW w:w="1778" w:type="dxa"/>
          </w:tcPr>
          <w:p w:rsidR="00000000" w:rsidRDefault="00000000">
            <w:pPr>
              <w:spacing w:before="60" w:after="60"/>
              <w:rPr>
                <w:sz w:val="20"/>
                <w:szCs w:val="24"/>
                <w:lang w:val="en-GB"/>
              </w:rPr>
            </w:pPr>
            <w:r>
              <w:rPr>
                <w:sz w:val="20"/>
                <w:lang w:val="en-GB"/>
              </w:rPr>
              <w:t>Male</w:t>
            </w:r>
          </w:p>
        </w:tc>
        <w:tc>
          <w:tcPr>
            <w:tcW w:w="1129" w:type="dxa"/>
          </w:tcPr>
          <w:p w:rsidR="00000000" w:rsidRDefault="00000000">
            <w:pPr>
              <w:tabs>
                <w:tab w:val="clear" w:pos="720"/>
                <w:tab w:val="decimal" w:pos="728"/>
              </w:tabs>
              <w:spacing w:before="60" w:after="60"/>
              <w:rPr>
                <w:sz w:val="20"/>
                <w:lang w:val="en-GB"/>
              </w:rPr>
            </w:pPr>
            <w:r>
              <w:rPr>
                <w:sz w:val="20"/>
                <w:lang w:val="en-GB"/>
              </w:rPr>
              <w:t>579</w:t>
            </w:r>
          </w:p>
        </w:tc>
        <w:tc>
          <w:tcPr>
            <w:tcW w:w="1129" w:type="dxa"/>
          </w:tcPr>
          <w:p w:rsidR="00000000" w:rsidRDefault="00000000">
            <w:pPr>
              <w:tabs>
                <w:tab w:val="clear" w:pos="720"/>
                <w:tab w:val="decimal" w:pos="728"/>
              </w:tabs>
              <w:spacing w:before="60" w:after="60"/>
              <w:rPr>
                <w:sz w:val="20"/>
                <w:lang w:val="en-GB"/>
              </w:rPr>
            </w:pPr>
            <w:r>
              <w:rPr>
                <w:sz w:val="20"/>
                <w:lang w:val="en-GB"/>
              </w:rPr>
              <w:t>577</w:t>
            </w:r>
          </w:p>
        </w:tc>
        <w:tc>
          <w:tcPr>
            <w:tcW w:w="1129" w:type="dxa"/>
          </w:tcPr>
          <w:p w:rsidR="00000000" w:rsidRDefault="00000000">
            <w:pPr>
              <w:tabs>
                <w:tab w:val="clear" w:pos="720"/>
                <w:tab w:val="decimal" w:pos="728"/>
              </w:tabs>
              <w:spacing w:before="60" w:after="60"/>
              <w:rPr>
                <w:sz w:val="20"/>
                <w:lang w:val="en-GB"/>
              </w:rPr>
            </w:pPr>
            <w:r>
              <w:rPr>
                <w:sz w:val="20"/>
                <w:lang w:val="en-GB"/>
              </w:rPr>
              <w:t>438</w:t>
            </w:r>
          </w:p>
        </w:tc>
        <w:tc>
          <w:tcPr>
            <w:tcW w:w="1129" w:type="dxa"/>
          </w:tcPr>
          <w:p w:rsidR="00000000" w:rsidRDefault="00000000">
            <w:pPr>
              <w:tabs>
                <w:tab w:val="clear" w:pos="720"/>
                <w:tab w:val="decimal" w:pos="728"/>
              </w:tabs>
              <w:spacing w:before="60" w:after="60"/>
              <w:rPr>
                <w:sz w:val="20"/>
                <w:lang w:val="en-GB"/>
              </w:rPr>
            </w:pPr>
            <w:r>
              <w:rPr>
                <w:sz w:val="20"/>
                <w:lang w:val="en-GB"/>
              </w:rPr>
              <w:t>-</w:t>
            </w:r>
          </w:p>
        </w:tc>
        <w:tc>
          <w:tcPr>
            <w:tcW w:w="1129" w:type="dxa"/>
          </w:tcPr>
          <w:p w:rsidR="00000000" w:rsidRDefault="00000000">
            <w:pPr>
              <w:tabs>
                <w:tab w:val="clear" w:pos="720"/>
                <w:tab w:val="decimal" w:pos="728"/>
              </w:tabs>
              <w:spacing w:before="60" w:after="60"/>
              <w:rPr>
                <w:sz w:val="20"/>
                <w:lang w:val="en-GB"/>
              </w:rPr>
            </w:pPr>
            <w:r>
              <w:rPr>
                <w:sz w:val="20"/>
                <w:lang w:val="en-GB"/>
              </w:rPr>
              <w:t>606</w:t>
            </w:r>
          </w:p>
        </w:tc>
        <w:tc>
          <w:tcPr>
            <w:tcW w:w="1130" w:type="dxa"/>
          </w:tcPr>
          <w:p w:rsidR="00000000" w:rsidRDefault="00000000">
            <w:pPr>
              <w:tabs>
                <w:tab w:val="clear" w:pos="720"/>
                <w:tab w:val="decimal" w:pos="728"/>
              </w:tabs>
              <w:spacing w:before="60" w:after="60"/>
              <w:rPr>
                <w:sz w:val="20"/>
                <w:lang w:val="en-GB"/>
              </w:rPr>
            </w:pPr>
            <w:r>
              <w:rPr>
                <w:sz w:val="20"/>
                <w:lang w:val="en-GB"/>
              </w:rPr>
              <w:t>839</w:t>
            </w:r>
          </w:p>
        </w:tc>
      </w:tr>
      <w:tr w:rsidR="00000000">
        <w:tblPrEx>
          <w:tblCellMar>
            <w:top w:w="0" w:type="dxa"/>
            <w:bottom w:w="0" w:type="dxa"/>
          </w:tblCellMar>
        </w:tblPrEx>
        <w:trPr>
          <w:jc w:val="center"/>
        </w:trPr>
        <w:tc>
          <w:tcPr>
            <w:tcW w:w="1778" w:type="dxa"/>
          </w:tcPr>
          <w:p w:rsidR="00000000" w:rsidRDefault="00000000">
            <w:pPr>
              <w:spacing w:before="60" w:after="60"/>
              <w:rPr>
                <w:sz w:val="20"/>
                <w:lang w:val="en-GB"/>
              </w:rPr>
            </w:pPr>
            <w:r>
              <w:rPr>
                <w:sz w:val="20"/>
                <w:lang w:val="en-GB"/>
              </w:rPr>
              <w:t>Female</w:t>
            </w:r>
          </w:p>
        </w:tc>
        <w:tc>
          <w:tcPr>
            <w:tcW w:w="1129" w:type="dxa"/>
          </w:tcPr>
          <w:p w:rsidR="00000000" w:rsidRDefault="00000000">
            <w:pPr>
              <w:tabs>
                <w:tab w:val="clear" w:pos="720"/>
                <w:tab w:val="decimal" w:pos="728"/>
              </w:tabs>
              <w:spacing w:before="60" w:after="60"/>
              <w:rPr>
                <w:sz w:val="20"/>
                <w:lang w:val="en-GB"/>
              </w:rPr>
            </w:pPr>
            <w:r>
              <w:rPr>
                <w:sz w:val="20"/>
                <w:lang w:val="en-GB"/>
              </w:rPr>
              <w:t>30</w:t>
            </w:r>
          </w:p>
        </w:tc>
        <w:tc>
          <w:tcPr>
            <w:tcW w:w="1129" w:type="dxa"/>
          </w:tcPr>
          <w:p w:rsidR="00000000" w:rsidRDefault="00000000">
            <w:pPr>
              <w:tabs>
                <w:tab w:val="clear" w:pos="720"/>
                <w:tab w:val="decimal" w:pos="728"/>
              </w:tabs>
              <w:spacing w:before="60" w:after="60"/>
              <w:rPr>
                <w:sz w:val="20"/>
                <w:lang w:val="en-GB"/>
              </w:rPr>
            </w:pPr>
            <w:r>
              <w:rPr>
                <w:sz w:val="20"/>
                <w:lang w:val="en-GB"/>
              </w:rPr>
              <w:t>31</w:t>
            </w:r>
          </w:p>
        </w:tc>
        <w:tc>
          <w:tcPr>
            <w:tcW w:w="1129" w:type="dxa"/>
          </w:tcPr>
          <w:p w:rsidR="00000000" w:rsidRDefault="00000000">
            <w:pPr>
              <w:tabs>
                <w:tab w:val="clear" w:pos="720"/>
                <w:tab w:val="decimal" w:pos="728"/>
              </w:tabs>
              <w:spacing w:before="60" w:after="60"/>
              <w:rPr>
                <w:sz w:val="20"/>
                <w:lang w:val="en-GB"/>
              </w:rPr>
            </w:pPr>
            <w:r>
              <w:rPr>
                <w:sz w:val="20"/>
                <w:lang w:val="en-GB"/>
              </w:rPr>
              <w:t>29</w:t>
            </w:r>
          </w:p>
        </w:tc>
        <w:tc>
          <w:tcPr>
            <w:tcW w:w="1129" w:type="dxa"/>
          </w:tcPr>
          <w:p w:rsidR="00000000" w:rsidRDefault="00000000">
            <w:pPr>
              <w:tabs>
                <w:tab w:val="clear" w:pos="720"/>
                <w:tab w:val="decimal" w:pos="728"/>
              </w:tabs>
              <w:spacing w:before="60" w:after="60"/>
              <w:rPr>
                <w:sz w:val="20"/>
                <w:lang w:val="en-GB"/>
              </w:rPr>
            </w:pPr>
            <w:r>
              <w:rPr>
                <w:sz w:val="20"/>
                <w:lang w:val="en-GB"/>
              </w:rPr>
              <w:t>-</w:t>
            </w:r>
          </w:p>
        </w:tc>
        <w:tc>
          <w:tcPr>
            <w:tcW w:w="1129" w:type="dxa"/>
          </w:tcPr>
          <w:p w:rsidR="00000000" w:rsidRDefault="00000000">
            <w:pPr>
              <w:tabs>
                <w:tab w:val="clear" w:pos="720"/>
                <w:tab w:val="decimal" w:pos="728"/>
              </w:tabs>
              <w:spacing w:before="60" w:after="60"/>
              <w:rPr>
                <w:sz w:val="20"/>
                <w:lang w:val="en-GB"/>
              </w:rPr>
            </w:pPr>
            <w:r>
              <w:rPr>
                <w:sz w:val="20"/>
                <w:lang w:val="en-GB"/>
              </w:rPr>
              <w:t>30</w:t>
            </w:r>
          </w:p>
        </w:tc>
        <w:tc>
          <w:tcPr>
            <w:tcW w:w="1130" w:type="dxa"/>
          </w:tcPr>
          <w:p w:rsidR="00000000" w:rsidRDefault="00000000">
            <w:pPr>
              <w:tabs>
                <w:tab w:val="clear" w:pos="720"/>
                <w:tab w:val="decimal" w:pos="728"/>
              </w:tabs>
              <w:spacing w:before="60" w:after="60"/>
              <w:rPr>
                <w:sz w:val="20"/>
                <w:lang w:val="en-GB"/>
              </w:rPr>
            </w:pPr>
            <w:r>
              <w:rPr>
                <w:sz w:val="20"/>
                <w:lang w:val="en-GB"/>
              </w:rPr>
              <w:t>40</w:t>
            </w:r>
          </w:p>
        </w:tc>
      </w:tr>
      <w:tr w:rsidR="00000000">
        <w:tblPrEx>
          <w:tblCellMar>
            <w:top w:w="0" w:type="dxa"/>
            <w:bottom w:w="0" w:type="dxa"/>
          </w:tblCellMar>
        </w:tblPrEx>
        <w:trPr>
          <w:jc w:val="center"/>
        </w:trPr>
        <w:tc>
          <w:tcPr>
            <w:tcW w:w="1778" w:type="dxa"/>
            <w:tcBorders>
              <w:bottom w:val="single" w:sz="4" w:space="0" w:color="auto"/>
            </w:tcBorders>
          </w:tcPr>
          <w:p w:rsidR="00000000" w:rsidRDefault="00000000">
            <w:pPr>
              <w:spacing w:before="60" w:after="60"/>
              <w:rPr>
                <w:sz w:val="20"/>
                <w:lang w:val="en-GB"/>
              </w:rPr>
            </w:pPr>
            <w:r>
              <w:rPr>
                <w:sz w:val="20"/>
                <w:lang w:val="en-GB"/>
              </w:rPr>
              <w:tab/>
              <w:t>Total</w:t>
            </w:r>
          </w:p>
        </w:tc>
        <w:tc>
          <w:tcPr>
            <w:tcW w:w="1129" w:type="dxa"/>
            <w:tcBorders>
              <w:bottom w:val="single" w:sz="4" w:space="0" w:color="auto"/>
            </w:tcBorders>
          </w:tcPr>
          <w:p w:rsidR="00000000" w:rsidRDefault="00000000">
            <w:pPr>
              <w:tabs>
                <w:tab w:val="clear" w:pos="720"/>
                <w:tab w:val="decimal" w:pos="728"/>
              </w:tabs>
              <w:spacing w:before="60" w:after="60"/>
              <w:rPr>
                <w:sz w:val="20"/>
                <w:lang w:val="en-GB"/>
              </w:rPr>
            </w:pPr>
            <w:r>
              <w:rPr>
                <w:sz w:val="20"/>
                <w:lang w:val="en-GB"/>
              </w:rPr>
              <w:t>609</w:t>
            </w:r>
          </w:p>
        </w:tc>
        <w:tc>
          <w:tcPr>
            <w:tcW w:w="1129" w:type="dxa"/>
            <w:tcBorders>
              <w:bottom w:val="single" w:sz="4" w:space="0" w:color="auto"/>
            </w:tcBorders>
          </w:tcPr>
          <w:p w:rsidR="00000000" w:rsidRDefault="00000000">
            <w:pPr>
              <w:tabs>
                <w:tab w:val="clear" w:pos="720"/>
                <w:tab w:val="decimal" w:pos="728"/>
              </w:tabs>
              <w:spacing w:before="60" w:after="60"/>
              <w:rPr>
                <w:sz w:val="20"/>
                <w:lang w:val="en-GB"/>
              </w:rPr>
            </w:pPr>
            <w:r>
              <w:rPr>
                <w:sz w:val="20"/>
                <w:lang w:val="en-GB"/>
              </w:rPr>
              <w:t>608</w:t>
            </w:r>
          </w:p>
        </w:tc>
        <w:tc>
          <w:tcPr>
            <w:tcW w:w="1129" w:type="dxa"/>
            <w:tcBorders>
              <w:bottom w:val="single" w:sz="4" w:space="0" w:color="auto"/>
            </w:tcBorders>
          </w:tcPr>
          <w:p w:rsidR="00000000" w:rsidRDefault="00000000">
            <w:pPr>
              <w:tabs>
                <w:tab w:val="clear" w:pos="720"/>
                <w:tab w:val="decimal" w:pos="728"/>
              </w:tabs>
              <w:spacing w:before="60" w:after="60"/>
              <w:rPr>
                <w:sz w:val="20"/>
                <w:lang w:val="en-GB"/>
              </w:rPr>
            </w:pPr>
            <w:r>
              <w:rPr>
                <w:sz w:val="20"/>
                <w:lang w:val="en-GB"/>
              </w:rPr>
              <w:t>467</w:t>
            </w:r>
          </w:p>
        </w:tc>
        <w:tc>
          <w:tcPr>
            <w:tcW w:w="1129" w:type="dxa"/>
            <w:tcBorders>
              <w:bottom w:val="single" w:sz="4" w:space="0" w:color="auto"/>
            </w:tcBorders>
          </w:tcPr>
          <w:p w:rsidR="00000000" w:rsidRDefault="00000000">
            <w:pPr>
              <w:tabs>
                <w:tab w:val="clear" w:pos="720"/>
                <w:tab w:val="decimal" w:pos="728"/>
              </w:tabs>
              <w:spacing w:before="60" w:after="60"/>
              <w:rPr>
                <w:sz w:val="20"/>
                <w:lang w:val="en-GB"/>
              </w:rPr>
            </w:pPr>
            <w:r>
              <w:rPr>
                <w:sz w:val="20"/>
                <w:lang w:val="en-GB"/>
              </w:rPr>
              <w:t>-</w:t>
            </w:r>
          </w:p>
        </w:tc>
        <w:tc>
          <w:tcPr>
            <w:tcW w:w="1129" w:type="dxa"/>
            <w:tcBorders>
              <w:bottom w:val="single" w:sz="4" w:space="0" w:color="auto"/>
            </w:tcBorders>
          </w:tcPr>
          <w:p w:rsidR="00000000" w:rsidRDefault="00000000">
            <w:pPr>
              <w:tabs>
                <w:tab w:val="clear" w:pos="720"/>
                <w:tab w:val="decimal" w:pos="728"/>
              </w:tabs>
              <w:spacing w:before="60" w:after="60"/>
              <w:rPr>
                <w:sz w:val="20"/>
                <w:lang w:val="en-GB"/>
              </w:rPr>
            </w:pPr>
            <w:r>
              <w:rPr>
                <w:sz w:val="20"/>
                <w:lang w:val="en-GB"/>
              </w:rPr>
              <w:t>636</w:t>
            </w:r>
          </w:p>
        </w:tc>
        <w:tc>
          <w:tcPr>
            <w:tcW w:w="1130" w:type="dxa"/>
            <w:tcBorders>
              <w:bottom w:val="single" w:sz="4" w:space="0" w:color="auto"/>
            </w:tcBorders>
          </w:tcPr>
          <w:p w:rsidR="00000000" w:rsidRDefault="00000000">
            <w:pPr>
              <w:tabs>
                <w:tab w:val="clear" w:pos="720"/>
                <w:tab w:val="decimal" w:pos="728"/>
              </w:tabs>
              <w:spacing w:before="60" w:after="60"/>
              <w:rPr>
                <w:sz w:val="20"/>
                <w:lang w:val="en-GB"/>
              </w:rPr>
            </w:pPr>
            <w:r>
              <w:rPr>
                <w:sz w:val="20"/>
                <w:lang w:val="en-GB"/>
              </w:rPr>
              <w:t>879</w:t>
            </w:r>
          </w:p>
        </w:tc>
      </w:tr>
    </w:tbl>
    <w:p w:rsidR="00000000" w:rsidRDefault="00000000">
      <w:pPr>
        <w:tabs>
          <w:tab w:val="clear" w:pos="720"/>
        </w:tabs>
        <w:spacing w:before="80"/>
        <w:ind w:firstLine="567"/>
        <w:jc w:val="left"/>
        <w:rPr>
          <w:sz w:val="20"/>
          <w:lang w:val="en-GB"/>
        </w:rPr>
      </w:pPr>
      <w:r>
        <w:rPr>
          <w:i/>
          <w:sz w:val="20"/>
          <w:lang w:val="en-GB"/>
        </w:rPr>
        <w:t>Source</w:t>
      </w:r>
      <w:r>
        <w:rPr>
          <w:sz w:val="20"/>
          <w:lang w:val="en-GB"/>
        </w:rPr>
        <w:t xml:space="preserve">:  </w:t>
      </w:r>
      <w:r>
        <w:rPr>
          <w:i/>
          <w:sz w:val="20"/>
          <w:lang w:val="en-GB"/>
        </w:rPr>
        <w:t xml:space="preserve">El Sistema Penal Juvenil en el Perú </w:t>
      </w:r>
      <w:r>
        <w:rPr>
          <w:sz w:val="20"/>
          <w:lang w:val="en-GB"/>
        </w:rPr>
        <w:t>(The Juvenile Justice System in Peru).  Ombudsman’s Office.  October 2000.</w:t>
      </w:r>
    </w:p>
    <w:p w:rsidR="00000000" w:rsidRDefault="00000000">
      <w:pPr>
        <w:tabs>
          <w:tab w:val="clear" w:pos="720"/>
        </w:tabs>
        <w:jc w:val="left"/>
        <w:rPr>
          <w:sz w:val="24"/>
          <w:lang w:val="en-GB"/>
        </w:rPr>
      </w:pPr>
      <w:r>
        <w:rPr>
          <w:b/>
          <w:sz w:val="24"/>
          <w:lang w:val="en-GB"/>
        </w:rPr>
        <w:t>4.</w:t>
      </w:r>
      <w:r>
        <w:rPr>
          <w:b/>
          <w:sz w:val="24"/>
          <w:lang w:val="en-GB"/>
        </w:rPr>
        <w:tab/>
        <w:t xml:space="preserve"> Gang violence</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216.</w:t>
      </w:r>
      <w:r>
        <w:rPr>
          <w:sz w:val="24"/>
          <w:lang w:val="en-GB"/>
        </w:rPr>
        <w:tab/>
        <w:t>Under the current Pernicious Gang Violence Act (Legislative Decree No. 899) the sole available penalty is imprisonment for a term of between three and six years.  Experience has shown that the intensification of the State’s repressive approach to juvenile violence has not checked this social problem.</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217.</w:t>
      </w:r>
      <w:r>
        <w:rPr>
          <w:sz w:val="24"/>
          <w:lang w:val="en-GB"/>
        </w:rPr>
        <w:tab/>
        <w:t>The Children’s and Adolescents’ Code defines a pernicious gang as a group of adolescents aged 12 to 17 years who act together to attack third persons, injure their physical integrity or threaten their lives, to damage public or private property, or to commit disorderly acts which disrupt the public order.  However, despite the characterization of such acts as crimes in the Code, the problem has not declined; this prompts the conclusion that it is not sufficient to punish such crimes but that alternative means of tackling the problem must be sought, such as prevention and the treatment and rehabilitation of offenders.</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218.</w:t>
      </w:r>
      <w:r>
        <w:rPr>
          <w:sz w:val="24"/>
          <w:lang w:val="en-GB"/>
        </w:rPr>
        <w:tab/>
        <w:t>According to the Office of Civic Participation of the National Police, 400 gangs had been identified in Lima and Callao as of February 2000, with a membership of about 12,950 persons, including juveniles and adults.  Of this total, 88 per cent (11,396) were aged under 24.</w:t>
      </w:r>
    </w:p>
    <w:p w:rsidR="00000000" w:rsidRDefault="00000000">
      <w:pPr>
        <w:tabs>
          <w:tab w:val="clear" w:pos="720"/>
        </w:tabs>
        <w:jc w:val="left"/>
        <w:rPr>
          <w:sz w:val="24"/>
          <w:lang w:val="en-GB"/>
        </w:rPr>
      </w:pPr>
    </w:p>
    <w:p w:rsidR="00000000" w:rsidRDefault="00000000">
      <w:pPr>
        <w:tabs>
          <w:tab w:val="clear" w:pos="720"/>
        </w:tabs>
        <w:jc w:val="center"/>
        <w:rPr>
          <w:sz w:val="24"/>
          <w:lang w:val="en-GB"/>
        </w:rPr>
      </w:pPr>
      <w:r>
        <w:rPr>
          <w:b/>
          <w:sz w:val="24"/>
          <w:lang w:val="en-GB"/>
        </w:rPr>
        <w:t>IV.  MATRIX OF THE RIGHTS OF THE CHILD INCORPORATED</w:t>
      </w:r>
      <w:r>
        <w:rPr>
          <w:b/>
          <w:sz w:val="24"/>
          <w:lang w:val="en-GB"/>
        </w:rPr>
        <w:br/>
        <w:t>WITH THE PNAI 2002-2010</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219.</w:t>
      </w:r>
      <w:r>
        <w:rPr>
          <w:sz w:val="24"/>
          <w:lang w:val="en-GB"/>
        </w:rPr>
        <w:tab/>
        <w:t>This matrix is the outcome of the incorporation the matrix for monitoring the PNAI 2002-2010</w:t>
      </w:r>
      <w:r>
        <w:rPr>
          <w:rStyle w:val="FootnoteReference"/>
          <w:b/>
          <w:sz w:val="24"/>
          <w:lang w:val="en-GB"/>
        </w:rPr>
        <w:footnoteReference w:customMarkFollows="1" w:id="86"/>
        <w:t>86</w:t>
      </w:r>
      <w:r>
        <w:rPr>
          <w:sz w:val="24"/>
          <w:lang w:val="en-GB"/>
        </w:rPr>
        <w:t xml:space="preserve"> of the fundamental rights established in the Convention on the Rights of the Child.</w:t>
      </w:r>
      <w:r>
        <w:rPr>
          <w:rStyle w:val="FootnoteReference"/>
          <w:b/>
          <w:sz w:val="24"/>
          <w:lang w:val="en-GB"/>
        </w:rPr>
        <w:footnoteReference w:customMarkFollows="1" w:id="87"/>
        <w:t>87</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220.</w:t>
      </w:r>
      <w:r>
        <w:rPr>
          <w:sz w:val="24"/>
          <w:lang w:val="en-GB"/>
        </w:rPr>
        <w:tab/>
        <w:t>The purpose of the matrix is to compare the outcomes envisaged in the PNAI with the current position of the indicators of the progress made in the delivery of the rights recognized in the Convention.  Although indicators of the delivery of these rights have been established, it has not yet proved possible to determine the current position of some of them, even though the various public agencies working on children’s issues contributed to the formulation of the PNAI.  However, qualitative descriptions have been produced and, with a view to ensuring that the data on which the descriptions are based are as accurate as possible, sources were requested to supply the most up-to-date, reliable and official figures.</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221.</w:t>
      </w:r>
      <w:r>
        <w:rPr>
          <w:sz w:val="24"/>
          <w:lang w:val="en-GB"/>
        </w:rPr>
        <w:tab/>
        <w:t>The matrix will certainly offer a fuller and more reliable picture of the progress made in the delivery of these rights by the Peruvian State in accordance with the Constitution.</w:t>
      </w:r>
    </w:p>
    <w:p w:rsidR="00000000" w:rsidRDefault="00000000">
      <w:pPr>
        <w:tabs>
          <w:tab w:val="clear" w:pos="720"/>
        </w:tabs>
        <w:jc w:val="left"/>
        <w:rPr>
          <w:sz w:val="24"/>
          <w:lang w:val="en-GB"/>
        </w:rPr>
      </w:pPr>
    </w:p>
    <w:p w:rsidR="00000000" w:rsidRDefault="00000000">
      <w:pPr>
        <w:tabs>
          <w:tab w:val="clear" w:pos="720"/>
        </w:tabs>
        <w:jc w:val="left"/>
        <w:rPr>
          <w:b/>
          <w:sz w:val="20"/>
          <w:lang w:val="en-GB"/>
        </w:rPr>
        <w:sectPr w:rsidR="00000000">
          <w:headerReference w:type="even" r:id="rId24"/>
          <w:headerReference w:type="default" r:id="rId25"/>
          <w:pgSz w:w="11906" w:h="16838" w:code="9"/>
          <w:pgMar w:top="851" w:right="1247" w:bottom="1418" w:left="1247" w:header="737" w:footer="737" w:gutter="0"/>
          <w:cols w:space="72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1715"/>
        <w:gridCol w:w="8"/>
        <w:gridCol w:w="2215"/>
        <w:gridCol w:w="2236"/>
        <w:gridCol w:w="2713"/>
        <w:gridCol w:w="2230"/>
        <w:gridCol w:w="3283"/>
      </w:tblGrid>
      <w:tr w:rsidR="00000000">
        <w:trPr>
          <w:cantSplit/>
          <w:tblHeader/>
        </w:trPr>
        <w:tc>
          <w:tcPr>
            <w:tcW w:w="1715" w:type="dxa"/>
            <w:vAlign w:val="center"/>
          </w:tcPr>
          <w:p w:rsidR="00000000" w:rsidRDefault="00000000">
            <w:pPr>
              <w:spacing w:before="80" w:after="80"/>
              <w:jc w:val="center"/>
              <w:rPr>
                <w:i/>
                <w:iCs/>
                <w:sz w:val="20"/>
                <w:szCs w:val="16"/>
                <w:lang w:val="en-GB"/>
              </w:rPr>
            </w:pPr>
            <w:r>
              <w:rPr>
                <w:b/>
                <w:i/>
                <w:iCs/>
                <w:sz w:val="20"/>
                <w:lang w:val="en-GB"/>
              </w:rPr>
              <w:t>PNAI outcomes</w:t>
            </w:r>
          </w:p>
        </w:tc>
        <w:tc>
          <w:tcPr>
            <w:tcW w:w="2223" w:type="dxa"/>
            <w:gridSpan w:val="2"/>
            <w:vAlign w:val="center"/>
          </w:tcPr>
          <w:p w:rsidR="00000000" w:rsidRDefault="00000000">
            <w:pPr>
              <w:keepNext/>
              <w:keepLines/>
              <w:spacing w:before="80" w:after="80"/>
              <w:jc w:val="center"/>
              <w:rPr>
                <w:i/>
                <w:iCs/>
                <w:sz w:val="20"/>
                <w:szCs w:val="16"/>
                <w:lang w:val="en-GB"/>
              </w:rPr>
            </w:pPr>
            <w:r>
              <w:rPr>
                <w:b/>
                <w:i/>
                <w:iCs/>
                <w:sz w:val="20"/>
                <w:lang w:val="en-GB"/>
              </w:rPr>
              <w:t>Targets</w:t>
            </w:r>
          </w:p>
        </w:tc>
        <w:tc>
          <w:tcPr>
            <w:tcW w:w="2236" w:type="dxa"/>
            <w:vAlign w:val="center"/>
          </w:tcPr>
          <w:p w:rsidR="00000000" w:rsidRDefault="00000000">
            <w:pPr>
              <w:spacing w:before="80" w:after="80"/>
              <w:jc w:val="center"/>
              <w:rPr>
                <w:i/>
                <w:iCs/>
                <w:sz w:val="20"/>
                <w:szCs w:val="16"/>
                <w:lang w:val="en-GB"/>
              </w:rPr>
            </w:pPr>
            <w:r>
              <w:rPr>
                <w:b/>
                <w:i/>
                <w:iCs/>
                <w:sz w:val="20"/>
                <w:lang w:val="en-GB"/>
              </w:rPr>
              <w:t>Indicators</w:t>
            </w:r>
          </w:p>
        </w:tc>
        <w:tc>
          <w:tcPr>
            <w:tcW w:w="2713" w:type="dxa"/>
            <w:vAlign w:val="center"/>
          </w:tcPr>
          <w:p w:rsidR="00000000" w:rsidRDefault="00000000">
            <w:pPr>
              <w:spacing w:before="80" w:after="80"/>
              <w:jc w:val="center"/>
              <w:rPr>
                <w:i/>
                <w:iCs/>
                <w:sz w:val="20"/>
                <w:szCs w:val="16"/>
                <w:lang w:val="en-GB"/>
              </w:rPr>
            </w:pPr>
            <w:r>
              <w:rPr>
                <w:b/>
                <w:i/>
                <w:iCs/>
                <w:sz w:val="20"/>
                <w:lang w:val="en-GB"/>
              </w:rPr>
              <w:t>Current position</w:t>
            </w:r>
          </w:p>
        </w:tc>
        <w:tc>
          <w:tcPr>
            <w:tcW w:w="2230" w:type="dxa"/>
            <w:vAlign w:val="center"/>
          </w:tcPr>
          <w:p w:rsidR="00000000" w:rsidRDefault="00000000">
            <w:pPr>
              <w:spacing w:before="80" w:after="80"/>
              <w:jc w:val="center"/>
              <w:rPr>
                <w:i/>
                <w:iCs/>
                <w:sz w:val="20"/>
                <w:szCs w:val="16"/>
                <w:lang w:val="en-GB"/>
              </w:rPr>
            </w:pPr>
            <w:r>
              <w:rPr>
                <w:b/>
                <w:i/>
                <w:iCs/>
                <w:sz w:val="20"/>
                <w:lang w:val="en-GB"/>
              </w:rPr>
              <w:t>Information source</w:t>
            </w:r>
          </w:p>
        </w:tc>
        <w:tc>
          <w:tcPr>
            <w:tcW w:w="3283" w:type="dxa"/>
            <w:vAlign w:val="center"/>
          </w:tcPr>
          <w:p w:rsidR="00000000" w:rsidRDefault="00000000">
            <w:pPr>
              <w:spacing w:before="80" w:after="80"/>
              <w:jc w:val="center"/>
              <w:rPr>
                <w:i/>
                <w:iCs/>
                <w:sz w:val="20"/>
                <w:szCs w:val="16"/>
                <w:lang w:val="en-GB"/>
              </w:rPr>
            </w:pPr>
            <w:r>
              <w:rPr>
                <w:b/>
                <w:i/>
                <w:iCs/>
                <w:sz w:val="20"/>
                <w:lang w:val="en-GB"/>
              </w:rPr>
              <w:t>Agencies responsible</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400" w:type="dxa"/>
            <w:gridSpan w:val="7"/>
            <w:tcBorders>
              <w:left w:val="single" w:sz="4" w:space="0" w:color="auto"/>
              <w:bottom w:val="single" w:sz="4" w:space="0" w:color="auto"/>
              <w:right w:val="single" w:sz="4" w:space="0" w:color="auto"/>
            </w:tcBorders>
          </w:tcPr>
          <w:p w:rsidR="00000000" w:rsidRDefault="00000000">
            <w:pPr>
              <w:spacing w:after="80"/>
              <w:jc w:val="left"/>
              <w:rPr>
                <w:b/>
                <w:sz w:val="20"/>
                <w:lang w:val="en-GB"/>
              </w:rPr>
            </w:pPr>
            <w:r>
              <w:rPr>
                <w:b/>
                <w:sz w:val="20"/>
                <w:lang w:val="en-GB"/>
              </w:rPr>
              <w:t>1.</w:t>
            </w:r>
            <w:r>
              <w:rPr>
                <w:b/>
                <w:sz w:val="20"/>
                <w:lang w:val="en-GB"/>
              </w:rPr>
              <w:tab/>
              <w:t>The right to life</w:t>
            </w:r>
          </w:p>
          <w:p w:rsidR="00000000" w:rsidRDefault="00000000">
            <w:pPr>
              <w:spacing w:before="60" w:after="60"/>
              <w:jc w:val="left"/>
              <w:rPr>
                <w:bCs/>
                <w:sz w:val="20"/>
                <w:lang w:val="en-GB"/>
              </w:rPr>
            </w:pPr>
            <w:r>
              <w:rPr>
                <w:b/>
                <w:sz w:val="20"/>
                <w:lang w:val="en-GB"/>
              </w:rPr>
              <w:tab/>
              <w:t>Human life is the period of time lived by a person from conception in the womb until death and consists of the manifestation and activities of a human being.  Once conceived, every child has the right to life; article 6 of the Convention therefore declares this right to be an inherent right.</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15"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left"/>
              <w:rPr>
                <w:sz w:val="20"/>
                <w:szCs w:val="16"/>
                <w:lang w:val="en-GB"/>
              </w:rPr>
            </w:pPr>
            <w:r>
              <w:rPr>
                <w:sz w:val="20"/>
                <w:lang w:val="en-GB"/>
              </w:rPr>
              <w:t>O1.  Conditions for healthy and safe maternity and childbirth</w:t>
            </w:r>
          </w:p>
        </w:tc>
        <w:tc>
          <w:tcPr>
            <w:tcW w:w="2223" w:type="dxa"/>
            <w:gridSpan w:val="2"/>
            <w:tcBorders>
              <w:top w:val="single" w:sz="4" w:space="0" w:color="auto"/>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T1.  To cut the maternal mortality rate to no higher than 80 per 100,000 live births</w:t>
            </w:r>
          </w:p>
        </w:tc>
        <w:tc>
          <w:tcPr>
            <w:tcW w:w="2236" w:type="dxa"/>
            <w:tcBorders>
              <w:top w:val="single" w:sz="4" w:space="0" w:color="auto"/>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I.1  Maternal mortality rate</w:t>
            </w:r>
          </w:p>
        </w:tc>
        <w:tc>
          <w:tcPr>
            <w:tcW w:w="2713" w:type="dxa"/>
            <w:tcBorders>
              <w:top w:val="single" w:sz="4" w:space="0" w:color="auto"/>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In 2000 the maternal mortality rate was 185 per 100,000 live births (ENDES-2000)</w:t>
            </w:r>
          </w:p>
        </w:tc>
        <w:tc>
          <w:tcPr>
            <w:tcW w:w="2230" w:type="dxa"/>
            <w:tcBorders>
              <w:top w:val="single" w:sz="4" w:space="0" w:color="auto"/>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S1.1.1  ENDES-INEI survey</w:t>
            </w:r>
            <w:r>
              <w:rPr>
                <w:sz w:val="20"/>
                <w:lang w:val="en-GB"/>
              </w:rPr>
              <w:br/>
              <w:t>S1.2.1  ENDES-INEI survey</w:t>
            </w:r>
          </w:p>
        </w:tc>
        <w:tc>
          <w:tcPr>
            <w:tcW w:w="3283" w:type="dxa"/>
            <w:vMerge w:val="restart"/>
            <w:tcBorders>
              <w:top w:val="single" w:sz="4" w:space="0" w:color="auto"/>
              <w:left w:val="single" w:sz="4" w:space="0" w:color="auto"/>
              <w:bottom w:val="single" w:sz="4" w:space="0" w:color="auto"/>
              <w:right w:val="single" w:sz="4" w:space="0" w:color="auto"/>
            </w:tcBorders>
          </w:tcPr>
          <w:p w:rsidR="00000000" w:rsidRDefault="00000000">
            <w:pPr>
              <w:jc w:val="left"/>
              <w:rPr>
                <w:i/>
                <w:sz w:val="20"/>
                <w:lang w:val="en-GB"/>
              </w:rPr>
            </w:pPr>
          </w:p>
          <w:p w:rsidR="00000000" w:rsidRDefault="00000000">
            <w:pPr>
              <w:jc w:val="left"/>
              <w:rPr>
                <w:i/>
                <w:sz w:val="20"/>
                <w:lang w:val="en-GB"/>
              </w:rPr>
            </w:pPr>
          </w:p>
          <w:p w:rsidR="00000000" w:rsidRDefault="00000000">
            <w:pPr>
              <w:jc w:val="left"/>
              <w:rPr>
                <w:i/>
                <w:sz w:val="20"/>
                <w:lang w:val="en-GB"/>
              </w:rPr>
            </w:pPr>
          </w:p>
          <w:p w:rsidR="00000000" w:rsidRDefault="00000000">
            <w:pPr>
              <w:jc w:val="left"/>
              <w:rPr>
                <w:i/>
                <w:sz w:val="20"/>
                <w:lang w:val="en-GB"/>
              </w:rPr>
            </w:pPr>
          </w:p>
          <w:p w:rsidR="00000000" w:rsidRDefault="00000000">
            <w:pPr>
              <w:jc w:val="left"/>
              <w:rPr>
                <w:i/>
                <w:sz w:val="20"/>
                <w:lang w:val="en-GB"/>
              </w:rPr>
            </w:pPr>
          </w:p>
          <w:p w:rsidR="00000000" w:rsidRDefault="00000000">
            <w:pPr>
              <w:jc w:val="left"/>
              <w:rPr>
                <w:i/>
                <w:sz w:val="20"/>
                <w:lang w:val="en-GB"/>
              </w:rPr>
            </w:pPr>
          </w:p>
          <w:p w:rsidR="00000000" w:rsidRDefault="00000000">
            <w:pPr>
              <w:jc w:val="left"/>
              <w:rPr>
                <w:i/>
                <w:sz w:val="20"/>
                <w:lang w:val="en-GB"/>
              </w:rPr>
            </w:pPr>
          </w:p>
          <w:p w:rsidR="00000000" w:rsidRDefault="00000000">
            <w:pPr>
              <w:jc w:val="left"/>
              <w:rPr>
                <w:i/>
                <w:sz w:val="20"/>
                <w:lang w:val="en-GB"/>
              </w:rPr>
            </w:pPr>
          </w:p>
          <w:p w:rsidR="00000000" w:rsidRDefault="00000000">
            <w:pPr>
              <w:jc w:val="left"/>
              <w:rPr>
                <w:i/>
                <w:sz w:val="20"/>
                <w:lang w:val="en-GB"/>
              </w:rPr>
            </w:pPr>
          </w:p>
          <w:p w:rsidR="00000000" w:rsidRDefault="00000000">
            <w:pPr>
              <w:jc w:val="left"/>
              <w:rPr>
                <w:i/>
                <w:sz w:val="20"/>
                <w:lang w:val="en-GB"/>
              </w:rPr>
            </w:pPr>
          </w:p>
          <w:p w:rsidR="00000000" w:rsidRDefault="00000000">
            <w:pPr>
              <w:jc w:val="left"/>
              <w:rPr>
                <w:sz w:val="20"/>
                <w:lang w:val="en-GB"/>
              </w:rPr>
            </w:pPr>
            <w:r>
              <w:rPr>
                <w:i/>
                <w:sz w:val="20"/>
                <w:lang w:val="en-GB"/>
              </w:rPr>
              <w:t>Direct R.1</w:t>
            </w:r>
            <w:r>
              <w:rPr>
                <w:sz w:val="20"/>
                <w:lang w:val="en-GB"/>
              </w:rPr>
              <w:t>: MINSA, MINEDU, churches, Ministry of Justice, Attorney-General, prefectures, municipalities, ombudsmen, MCLP, MIMDES</w:t>
            </w:r>
          </w:p>
          <w:p w:rsidR="00000000" w:rsidRDefault="00000000">
            <w:pPr>
              <w:jc w:val="left"/>
              <w:rPr>
                <w:sz w:val="20"/>
                <w:szCs w:val="16"/>
                <w:lang w:val="en-GB"/>
              </w:rPr>
            </w:pPr>
            <w:r>
              <w:rPr>
                <w:i/>
                <w:sz w:val="20"/>
                <w:lang w:val="en-GB"/>
              </w:rPr>
              <w:t>Support R1</w:t>
            </w:r>
            <w:r>
              <w:rPr>
                <w:sz w:val="20"/>
                <w:lang w:val="en-GB"/>
              </w:rPr>
              <w:t>: UNFPA, PAHO, WHO, international cooperation, national and international NGOs, churches, private sector, civic and community organizations, families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15"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c>
          <w:tcPr>
            <w:tcW w:w="2223" w:type="dxa"/>
            <w:gridSpan w:val="2"/>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T1.2  To cut the perinatal mortality rate to no higher than 15 per 1,000 live births</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pt-BR"/>
              </w:rPr>
            </w:pPr>
            <w:r>
              <w:rPr>
                <w:sz w:val="20"/>
                <w:szCs w:val="16"/>
                <w:lang w:val="pt-BR"/>
              </w:rPr>
              <w:t>I1.2 Tasa de mortalidad perinatal.</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In 2000, 55% of deaths of children aged under 12 months occurred during the first month of life.  The perinatal mortality rate is 23 per 1,000 pregnancies lasting seven months or longer.  The rate for women aged 40-49 is 47 per 1,000 and aged 20-29 18 per 1,000 (ENDES-2000)</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S1.2.2  RENIEC Register of Births and Deaths</w:t>
            </w:r>
          </w:p>
        </w:tc>
        <w:tc>
          <w:tcPr>
            <w:tcW w:w="3283"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15"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c>
          <w:tcPr>
            <w:tcW w:w="2223" w:type="dxa"/>
            <w:gridSpan w:val="2"/>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T1.3  The maternal mortality rate to be no higher than 120 per 100,000 live births in any province in any of the country’s poor regions</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I1.3  The maternal mortality rate by province</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In 2000 Puno and Amazonas had a maternal mortality rate of over 300 per 100,000 live births (ENDES-2000)</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S1.3.1  ENDES-INEI survey</w:t>
            </w:r>
          </w:p>
        </w:tc>
        <w:tc>
          <w:tcPr>
            <w:tcW w:w="3283"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15" w:type="dxa"/>
            <w:vMerge/>
            <w:tcBorders>
              <w:top w:val="single" w:sz="4" w:space="0" w:color="auto"/>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c>
          <w:tcPr>
            <w:tcW w:w="2223" w:type="dxa"/>
            <w:gridSpan w:val="2"/>
            <w:tcBorders>
              <w:top w:val="single" w:sz="4" w:space="0" w:color="auto"/>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T1.4  The perinatal mortality rate to be no higher than 22 per 1,000 in any province in any of the country’s poor regions</w:t>
            </w:r>
          </w:p>
        </w:tc>
        <w:tc>
          <w:tcPr>
            <w:tcW w:w="2236" w:type="dxa"/>
            <w:tcBorders>
              <w:top w:val="single" w:sz="4" w:space="0" w:color="auto"/>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I1.4   Perinatal mortality rate by province</w:t>
            </w:r>
          </w:p>
        </w:tc>
        <w:tc>
          <w:tcPr>
            <w:tcW w:w="2713" w:type="dxa"/>
            <w:tcBorders>
              <w:top w:val="single" w:sz="4" w:space="0" w:color="auto"/>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The highest perinatal mortality rates are for women living in the departments of Pasco and Cuzco, with 40 and 48 deaths respectively for every 1,000 pregnancies lasting seven months or longer.  The rate for Cuzco (48 per 1,000) is five times the rate for Tacna (10 per 1,000), which has the lowest rate of any department (ENDES-2000).</w:t>
            </w:r>
          </w:p>
        </w:tc>
        <w:tc>
          <w:tcPr>
            <w:tcW w:w="2230" w:type="dxa"/>
            <w:tcBorders>
              <w:top w:val="single" w:sz="4" w:space="0" w:color="auto"/>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S1.4.1  ENDES-INEI surveys</w:t>
            </w:r>
            <w:r>
              <w:rPr>
                <w:sz w:val="20"/>
                <w:lang w:val="en-GB"/>
              </w:rPr>
              <w:br/>
              <w:t>S1.4.2  RENIEC Register of Births and Deaths</w:t>
            </w:r>
          </w:p>
        </w:tc>
        <w:tc>
          <w:tcPr>
            <w:tcW w:w="3283" w:type="dxa"/>
            <w:vMerge/>
            <w:tcBorders>
              <w:top w:val="single" w:sz="4" w:space="0" w:color="auto"/>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15"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c>
          <w:tcPr>
            <w:tcW w:w="2223" w:type="dxa"/>
            <w:gridSpan w:val="2"/>
            <w:tcBorders>
              <w:top w:val="nil"/>
              <w:left w:val="nil"/>
              <w:bottom w:val="single" w:sz="4" w:space="0" w:color="auto"/>
              <w:right w:val="single" w:sz="4" w:space="0" w:color="auto"/>
            </w:tcBorders>
            <w:vAlign w:val="center"/>
          </w:tcPr>
          <w:p w:rsidR="00000000" w:rsidRDefault="00000000">
            <w:pPr>
              <w:spacing w:before="40" w:after="40"/>
              <w:jc w:val="left"/>
              <w:rPr>
                <w:sz w:val="20"/>
                <w:szCs w:val="16"/>
                <w:lang w:val="en-GB"/>
              </w:rPr>
            </w:pPr>
            <w:r>
              <w:rPr>
                <w:sz w:val="20"/>
                <w:lang w:val="en-GB"/>
              </w:rPr>
              <w:t>T1.5  To ensure that the coverage of institutional childbirth reaches 90% of all pregnancies and is no lower than 50 % in any province in any of the country’s poor regions</w:t>
            </w:r>
          </w:p>
        </w:tc>
        <w:tc>
          <w:tcPr>
            <w:tcW w:w="2236" w:type="dxa"/>
            <w:tcBorders>
              <w:top w:val="nil"/>
              <w:left w:val="nil"/>
              <w:bottom w:val="single" w:sz="4" w:space="0" w:color="auto"/>
              <w:right w:val="single" w:sz="4" w:space="0" w:color="auto"/>
            </w:tcBorders>
            <w:vAlign w:val="center"/>
          </w:tcPr>
          <w:p w:rsidR="00000000" w:rsidRDefault="00000000">
            <w:pPr>
              <w:spacing w:before="40" w:after="40"/>
              <w:jc w:val="left"/>
              <w:rPr>
                <w:sz w:val="20"/>
                <w:szCs w:val="16"/>
                <w:lang w:val="en-GB"/>
              </w:rPr>
            </w:pPr>
            <w:r>
              <w:rPr>
                <w:sz w:val="20"/>
                <w:lang w:val="en-GB"/>
              </w:rPr>
              <w:t>I1.5  Proportion of live births taking place in health facilities</w:t>
            </w:r>
          </w:p>
        </w:tc>
        <w:tc>
          <w:tcPr>
            <w:tcW w:w="2713" w:type="dxa"/>
            <w:tcBorders>
              <w:top w:val="nil"/>
              <w:left w:val="nil"/>
              <w:bottom w:val="single" w:sz="4" w:space="0" w:color="auto"/>
              <w:right w:val="single" w:sz="4" w:space="0" w:color="auto"/>
            </w:tcBorders>
            <w:vAlign w:val="center"/>
          </w:tcPr>
          <w:p w:rsidR="00000000" w:rsidRDefault="00000000">
            <w:pPr>
              <w:spacing w:before="40" w:after="40"/>
              <w:jc w:val="left"/>
              <w:rPr>
                <w:sz w:val="20"/>
                <w:szCs w:val="16"/>
                <w:lang w:val="en-GB"/>
              </w:rPr>
            </w:pPr>
            <w:r>
              <w:rPr>
                <w:sz w:val="20"/>
                <w:lang w:val="en-GB"/>
              </w:rPr>
              <w:t>In 2000 the coverage was 58%.  Huancavelica had the lowest rate of coverage, at 19% (ENDES-2000)</w:t>
            </w:r>
          </w:p>
        </w:tc>
        <w:tc>
          <w:tcPr>
            <w:tcW w:w="2230" w:type="dxa"/>
            <w:tcBorders>
              <w:top w:val="nil"/>
              <w:left w:val="nil"/>
              <w:bottom w:val="single" w:sz="4" w:space="0" w:color="auto"/>
              <w:right w:val="single" w:sz="4" w:space="0" w:color="auto"/>
            </w:tcBorders>
            <w:vAlign w:val="center"/>
          </w:tcPr>
          <w:p w:rsidR="00000000" w:rsidRDefault="00000000">
            <w:pPr>
              <w:spacing w:before="40" w:after="40"/>
              <w:jc w:val="left"/>
              <w:rPr>
                <w:sz w:val="20"/>
                <w:szCs w:val="16"/>
                <w:lang w:val="en-GB"/>
              </w:rPr>
            </w:pPr>
            <w:r>
              <w:rPr>
                <w:sz w:val="20"/>
                <w:lang w:val="en-GB"/>
              </w:rPr>
              <w:t>S1.5.1  ENDES-INEI surveys</w:t>
            </w:r>
            <w:r>
              <w:rPr>
                <w:sz w:val="20"/>
                <w:lang w:val="en-GB"/>
              </w:rPr>
              <w:br/>
              <w:t>S1.5.2  RENIEC Register of Births and Deaths</w:t>
            </w:r>
          </w:p>
        </w:tc>
        <w:tc>
          <w:tcPr>
            <w:tcW w:w="3283"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15"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c>
          <w:tcPr>
            <w:tcW w:w="2223" w:type="dxa"/>
            <w:gridSpan w:val="2"/>
            <w:tcBorders>
              <w:top w:val="nil"/>
              <w:left w:val="nil"/>
              <w:bottom w:val="single" w:sz="4" w:space="0" w:color="auto"/>
              <w:right w:val="single" w:sz="4" w:space="0" w:color="auto"/>
            </w:tcBorders>
            <w:vAlign w:val="center"/>
          </w:tcPr>
          <w:p w:rsidR="00000000" w:rsidRDefault="00000000">
            <w:pPr>
              <w:spacing w:before="40" w:after="40"/>
              <w:jc w:val="left"/>
              <w:rPr>
                <w:sz w:val="20"/>
                <w:szCs w:val="16"/>
                <w:lang w:val="en-GB"/>
              </w:rPr>
            </w:pPr>
            <w:r>
              <w:rPr>
                <w:sz w:val="20"/>
                <w:lang w:val="en-GB"/>
              </w:rPr>
              <w:t>T1.6  To improve technical capacity, treatment and standards in 100% of the health and education services for pregnant women</w:t>
            </w:r>
          </w:p>
        </w:tc>
        <w:tc>
          <w:tcPr>
            <w:tcW w:w="2236" w:type="dxa"/>
            <w:tcBorders>
              <w:top w:val="nil"/>
              <w:left w:val="nil"/>
              <w:bottom w:val="single" w:sz="4" w:space="0" w:color="auto"/>
              <w:right w:val="single" w:sz="4" w:space="0" w:color="auto"/>
            </w:tcBorders>
            <w:vAlign w:val="center"/>
          </w:tcPr>
          <w:p w:rsidR="00000000" w:rsidRDefault="00000000">
            <w:pPr>
              <w:spacing w:before="40" w:after="40"/>
              <w:jc w:val="left"/>
              <w:rPr>
                <w:sz w:val="20"/>
                <w:szCs w:val="16"/>
                <w:lang w:val="en-GB"/>
              </w:rPr>
            </w:pPr>
            <w:r>
              <w:rPr>
                <w:sz w:val="20"/>
                <w:lang w:val="en-GB"/>
              </w:rPr>
              <w:t>I1.6  Numbers of health establishments which meet defined standards for quality of care</w:t>
            </w:r>
          </w:p>
        </w:tc>
        <w:tc>
          <w:tcPr>
            <w:tcW w:w="2713" w:type="dxa"/>
            <w:tcBorders>
              <w:top w:val="nil"/>
              <w:left w:val="nil"/>
              <w:bottom w:val="single" w:sz="4" w:space="0" w:color="auto"/>
              <w:right w:val="single" w:sz="4" w:space="0" w:color="auto"/>
            </w:tcBorders>
            <w:vAlign w:val="center"/>
          </w:tcPr>
          <w:p w:rsidR="00000000" w:rsidRDefault="00000000">
            <w:pPr>
              <w:spacing w:before="40" w:after="40"/>
              <w:jc w:val="left"/>
              <w:rPr>
                <w:sz w:val="20"/>
                <w:szCs w:val="16"/>
                <w:lang w:val="en-GB"/>
              </w:rPr>
            </w:pPr>
            <w:r>
              <w:rPr>
                <w:sz w:val="20"/>
                <w:lang w:val="en-GB"/>
              </w:rPr>
              <w:t>The widest antenatal-care coverage is found in Lima (96%).  The departments with the lowest rates are Amazonas, Loreto and Huánaco, with 61, 64 and 66 per cent respectively.  The average is 77 per cent (ENDES-2000)</w:t>
            </w:r>
          </w:p>
        </w:tc>
        <w:tc>
          <w:tcPr>
            <w:tcW w:w="2230" w:type="dxa"/>
            <w:tcBorders>
              <w:top w:val="nil"/>
              <w:left w:val="nil"/>
              <w:bottom w:val="single" w:sz="4" w:space="0" w:color="auto"/>
              <w:right w:val="single" w:sz="4" w:space="0" w:color="auto"/>
            </w:tcBorders>
            <w:vAlign w:val="center"/>
          </w:tcPr>
          <w:p w:rsidR="00000000" w:rsidRDefault="00000000">
            <w:pPr>
              <w:spacing w:before="40" w:after="40"/>
              <w:jc w:val="left"/>
              <w:rPr>
                <w:sz w:val="20"/>
                <w:szCs w:val="16"/>
                <w:lang w:val="en-GB"/>
              </w:rPr>
            </w:pPr>
            <w:r>
              <w:rPr>
                <w:sz w:val="20"/>
                <w:lang w:val="en-GB"/>
              </w:rPr>
              <w:t>S1.6.1  MINSA</w:t>
            </w:r>
          </w:p>
        </w:tc>
        <w:tc>
          <w:tcPr>
            <w:tcW w:w="3283"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15"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c>
          <w:tcPr>
            <w:tcW w:w="2223" w:type="dxa"/>
            <w:gridSpan w:val="2"/>
            <w:tcBorders>
              <w:top w:val="nil"/>
              <w:left w:val="nil"/>
              <w:bottom w:val="single" w:sz="4" w:space="0" w:color="auto"/>
              <w:right w:val="single" w:sz="4" w:space="0" w:color="auto"/>
            </w:tcBorders>
            <w:vAlign w:val="center"/>
          </w:tcPr>
          <w:p w:rsidR="00000000" w:rsidRDefault="00000000">
            <w:pPr>
              <w:spacing w:before="40" w:after="40"/>
              <w:jc w:val="left"/>
              <w:rPr>
                <w:sz w:val="20"/>
                <w:szCs w:val="16"/>
                <w:lang w:val="en-GB"/>
              </w:rPr>
            </w:pPr>
            <w:r>
              <w:rPr>
                <w:sz w:val="20"/>
                <w:lang w:val="en-GB"/>
              </w:rPr>
              <w:t>T1.7  To equip 70  per cent of schools with institutional education projects on the content of sex education, prevention of risky sexual behaviour, antenatal care and feeding of infants</w:t>
            </w:r>
          </w:p>
        </w:tc>
        <w:tc>
          <w:tcPr>
            <w:tcW w:w="2236" w:type="dxa"/>
            <w:tcBorders>
              <w:top w:val="nil"/>
              <w:left w:val="nil"/>
              <w:bottom w:val="single" w:sz="4" w:space="0" w:color="auto"/>
              <w:right w:val="single" w:sz="4" w:space="0" w:color="auto"/>
            </w:tcBorders>
            <w:vAlign w:val="center"/>
          </w:tcPr>
          <w:p w:rsidR="00000000" w:rsidRDefault="00000000">
            <w:pPr>
              <w:spacing w:before="40" w:after="40"/>
              <w:jc w:val="left"/>
              <w:rPr>
                <w:sz w:val="20"/>
                <w:szCs w:val="16"/>
                <w:lang w:val="en-GB"/>
              </w:rPr>
            </w:pPr>
            <w:r>
              <w:rPr>
                <w:sz w:val="20"/>
                <w:lang w:val="en-GB"/>
              </w:rPr>
              <w:t>I1.7  Proportion of schools equipped with institutional education projects on sex education, prevention of risky sexual behaviour, personal care and feeding of infants</w:t>
            </w:r>
          </w:p>
        </w:tc>
        <w:tc>
          <w:tcPr>
            <w:tcW w:w="2713" w:type="dxa"/>
            <w:tcBorders>
              <w:top w:val="nil"/>
              <w:left w:val="nil"/>
              <w:bottom w:val="single" w:sz="4" w:space="0" w:color="auto"/>
              <w:right w:val="single" w:sz="4" w:space="0" w:color="auto"/>
            </w:tcBorders>
            <w:vAlign w:val="center"/>
          </w:tcPr>
          <w:p w:rsidR="00000000" w:rsidRDefault="00000000">
            <w:pPr>
              <w:spacing w:before="40" w:after="40"/>
              <w:jc w:val="left"/>
              <w:rPr>
                <w:sz w:val="20"/>
                <w:szCs w:val="16"/>
                <w:lang w:val="en-GB"/>
              </w:rPr>
            </w:pPr>
            <w:r>
              <w:rPr>
                <w:sz w:val="20"/>
                <w:szCs w:val="16"/>
                <w:lang w:val="en-GB"/>
              </w:rPr>
              <w:t> </w:t>
            </w:r>
          </w:p>
        </w:tc>
        <w:tc>
          <w:tcPr>
            <w:tcW w:w="2230" w:type="dxa"/>
            <w:tcBorders>
              <w:top w:val="nil"/>
              <w:left w:val="nil"/>
              <w:bottom w:val="single" w:sz="4" w:space="0" w:color="auto"/>
              <w:right w:val="single" w:sz="4" w:space="0" w:color="auto"/>
            </w:tcBorders>
            <w:vAlign w:val="center"/>
          </w:tcPr>
          <w:p w:rsidR="00000000" w:rsidRDefault="00000000">
            <w:pPr>
              <w:spacing w:before="40" w:after="40"/>
              <w:jc w:val="left"/>
              <w:rPr>
                <w:sz w:val="20"/>
                <w:szCs w:val="16"/>
                <w:lang w:val="en-GB"/>
              </w:rPr>
            </w:pPr>
            <w:r>
              <w:rPr>
                <w:sz w:val="20"/>
                <w:lang w:val="en-GB"/>
              </w:rPr>
              <w:t>S1.7.1  MINEDU</w:t>
            </w:r>
          </w:p>
        </w:tc>
        <w:tc>
          <w:tcPr>
            <w:tcW w:w="3283"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15"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c>
          <w:tcPr>
            <w:tcW w:w="2223" w:type="dxa"/>
            <w:gridSpan w:val="2"/>
            <w:tcBorders>
              <w:top w:val="nil"/>
              <w:left w:val="nil"/>
              <w:bottom w:val="single" w:sz="4" w:space="0" w:color="auto"/>
              <w:right w:val="single" w:sz="4" w:space="0" w:color="auto"/>
            </w:tcBorders>
            <w:vAlign w:val="center"/>
          </w:tcPr>
          <w:p w:rsidR="00000000" w:rsidRDefault="00000000">
            <w:pPr>
              <w:spacing w:before="40" w:after="40"/>
              <w:jc w:val="left"/>
              <w:rPr>
                <w:sz w:val="20"/>
                <w:szCs w:val="16"/>
                <w:lang w:val="en-GB"/>
              </w:rPr>
            </w:pPr>
            <w:r>
              <w:rPr>
                <w:sz w:val="20"/>
                <w:lang w:val="en-GB"/>
              </w:rPr>
              <w:t>T1.8  To deal promptly with 100 per cent cases of violence against pregnant women reported by the police, health centres, the Attorney-General, the Judiciary, children’s ombudsmen and PROMUDEH</w:t>
            </w:r>
          </w:p>
        </w:tc>
        <w:tc>
          <w:tcPr>
            <w:tcW w:w="2236" w:type="dxa"/>
            <w:tcBorders>
              <w:top w:val="nil"/>
              <w:left w:val="nil"/>
              <w:bottom w:val="single" w:sz="4" w:space="0" w:color="auto"/>
              <w:right w:val="single" w:sz="4" w:space="0" w:color="auto"/>
            </w:tcBorders>
            <w:vAlign w:val="center"/>
          </w:tcPr>
          <w:p w:rsidR="00000000" w:rsidRDefault="00000000">
            <w:pPr>
              <w:spacing w:before="40" w:after="40"/>
              <w:jc w:val="left"/>
              <w:rPr>
                <w:sz w:val="20"/>
                <w:szCs w:val="16"/>
                <w:lang w:val="en-GB"/>
              </w:rPr>
            </w:pPr>
            <w:r>
              <w:rPr>
                <w:sz w:val="20"/>
                <w:lang w:val="en-GB"/>
              </w:rPr>
              <w:t>I1.8  Proportion of cases of violence against pregnant women dealt with promptly when reported by the police, health centres, the Attorney-General, the Judiciary and children’s ombudsmen</w:t>
            </w:r>
          </w:p>
        </w:tc>
        <w:tc>
          <w:tcPr>
            <w:tcW w:w="2713" w:type="dxa"/>
            <w:tcBorders>
              <w:top w:val="nil"/>
              <w:left w:val="nil"/>
              <w:bottom w:val="single" w:sz="4" w:space="0" w:color="auto"/>
              <w:right w:val="single" w:sz="4" w:space="0" w:color="auto"/>
            </w:tcBorders>
            <w:vAlign w:val="center"/>
          </w:tcPr>
          <w:p w:rsidR="00000000" w:rsidRDefault="00000000">
            <w:pPr>
              <w:spacing w:before="40" w:after="40"/>
              <w:jc w:val="left"/>
              <w:rPr>
                <w:sz w:val="20"/>
                <w:szCs w:val="16"/>
                <w:lang w:val="en-GB"/>
              </w:rPr>
            </w:pPr>
            <w:r>
              <w:rPr>
                <w:sz w:val="20"/>
                <w:lang w:val="en-GB"/>
              </w:rPr>
              <w:t>Forty-one per cent of women who were in a relationship at some time have been shoved, beaten or otherwise physically assaulted by the spouse or partner, 83 per cent occasionally and a significant 16 per cent frequently (ENDES-2000)</w:t>
            </w:r>
          </w:p>
        </w:tc>
        <w:tc>
          <w:tcPr>
            <w:tcW w:w="2230" w:type="dxa"/>
            <w:tcBorders>
              <w:top w:val="nil"/>
              <w:left w:val="nil"/>
              <w:bottom w:val="single" w:sz="4" w:space="0" w:color="auto"/>
              <w:right w:val="single" w:sz="4" w:space="0" w:color="auto"/>
            </w:tcBorders>
            <w:vAlign w:val="center"/>
          </w:tcPr>
          <w:p w:rsidR="00000000" w:rsidRDefault="00000000">
            <w:pPr>
              <w:spacing w:before="40" w:after="40"/>
              <w:jc w:val="left"/>
              <w:rPr>
                <w:sz w:val="20"/>
                <w:szCs w:val="16"/>
                <w:lang w:val="en-GB"/>
              </w:rPr>
            </w:pPr>
            <w:r>
              <w:rPr>
                <w:sz w:val="20"/>
                <w:lang w:val="en-GB"/>
              </w:rPr>
              <w:t>S1.8.1  MINSA</w:t>
            </w:r>
          </w:p>
        </w:tc>
        <w:tc>
          <w:tcPr>
            <w:tcW w:w="3283"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15"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c>
          <w:tcPr>
            <w:tcW w:w="2223" w:type="dxa"/>
            <w:gridSpan w:val="2"/>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T1.9  To bring 85 per cent of pregnant women in extremely poor areas into the supplementary food programmes</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I1.9  Proportion of pregnant women in extremely poor areas using the supplementary food programmes</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szCs w:val="16"/>
                <w:lang w:val="en-GB"/>
              </w:rPr>
              <w:t> </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S1.9.1  INEI household surveys</w:t>
            </w:r>
            <w:r>
              <w:rPr>
                <w:sz w:val="20"/>
                <w:lang w:val="en-GB"/>
              </w:rPr>
              <w:br/>
              <w:t>S1.9.2  MINSA</w:t>
            </w:r>
          </w:p>
        </w:tc>
        <w:tc>
          <w:tcPr>
            <w:tcW w:w="3283"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15"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c>
          <w:tcPr>
            <w:tcW w:w="2223" w:type="dxa"/>
            <w:gridSpan w:val="2"/>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T1.10  To provide 95 per cent of pregnant women in all provinces with access to antenatal services aimed at the care of women and early development and growth</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I1.10  Proportion of live births with antenatal checks</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szCs w:val="16"/>
                <w:lang w:val="en-GB"/>
              </w:rPr>
              <w:t> </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S1.10.1  ENDES-INEI surveys</w:t>
            </w:r>
            <w:r>
              <w:rPr>
                <w:sz w:val="20"/>
                <w:lang w:val="en-GB"/>
              </w:rPr>
              <w:br/>
              <w:t>S1.10.2  MINSA</w:t>
            </w:r>
          </w:p>
        </w:tc>
        <w:tc>
          <w:tcPr>
            <w:tcW w:w="3283"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15"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c>
          <w:tcPr>
            <w:tcW w:w="2223" w:type="dxa"/>
            <w:gridSpan w:val="2"/>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T.1.11  To invest health services in the poorest areas with the capacity to act independently to provide safe childbirth services using scientific methods and good practices, with respect for local culture</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I1.11  Proportion of health services in extremely poor areas having the capacity to act independently to provide safe childbirth services using scientific methods and good practices, with respect for local culture</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szCs w:val="16"/>
                <w:lang w:val="en-GB"/>
              </w:rPr>
              <w:t> </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S1.11.1  MINSA</w:t>
            </w:r>
          </w:p>
        </w:tc>
        <w:tc>
          <w:tcPr>
            <w:tcW w:w="3283"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15" w:type="dxa"/>
            <w:vMerge w:val="restart"/>
            <w:tcBorders>
              <w:top w:val="nil"/>
              <w:left w:val="single" w:sz="4" w:space="0" w:color="auto"/>
              <w:bottom w:val="single" w:sz="4" w:space="0" w:color="000000"/>
              <w:right w:val="single" w:sz="4" w:space="0" w:color="auto"/>
            </w:tcBorders>
            <w:vAlign w:val="center"/>
          </w:tcPr>
          <w:p w:rsidR="00000000" w:rsidRDefault="00000000">
            <w:pPr>
              <w:jc w:val="left"/>
              <w:rPr>
                <w:sz w:val="20"/>
                <w:szCs w:val="16"/>
                <w:lang w:val="en-GB"/>
              </w:rPr>
            </w:pPr>
            <w:r>
              <w:rPr>
                <w:sz w:val="20"/>
                <w:lang w:val="en-GB"/>
              </w:rPr>
              <w:t>O5  Guaranteed conditions for children to exercise the right to life</w:t>
            </w:r>
          </w:p>
        </w:tc>
        <w:tc>
          <w:tcPr>
            <w:tcW w:w="2223" w:type="dxa"/>
            <w:gridSpan w:val="2"/>
            <w:vMerge w:val="restart"/>
            <w:tcBorders>
              <w:top w:val="nil"/>
              <w:left w:val="single" w:sz="4" w:space="0" w:color="auto"/>
              <w:bottom w:val="single" w:sz="4" w:space="0" w:color="000000"/>
              <w:right w:val="single" w:sz="4" w:space="0" w:color="auto"/>
            </w:tcBorders>
            <w:vAlign w:val="center"/>
          </w:tcPr>
          <w:p w:rsidR="00000000" w:rsidRDefault="00000000">
            <w:pPr>
              <w:jc w:val="left"/>
              <w:rPr>
                <w:sz w:val="20"/>
                <w:szCs w:val="16"/>
                <w:lang w:val="en-GB"/>
              </w:rPr>
            </w:pPr>
            <w:r>
              <w:rPr>
                <w:sz w:val="20"/>
                <w:lang w:val="en-GB"/>
              </w:rPr>
              <w:t>T5.1.1  To cut infant mortality to no higher than 20 per 1,000 live births and mortality among under-fives to no higher than 30 per 1,000, and to ensure that no province in any of the country’s poor areas has an infant mortality rate higher than 27 per 1,000 or an under-fives mortality rate higher than 40 per 1,000</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I5.1.1  Infant mortality rates</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Between 1991 and 2000 the national infant mortality rate was reduced from 52 to 33 per 1,000 live births.  Sixty out of every 1,000 babies born alive died every year in rural areas and 28 per 1,000 in urban areas (2000).  The annual infant mortality rate is estimated to exceed 19,000; 8,000 of these deaths occur during the first week of life and more than half (55%) during the first month.  Children of mothers without any education are three times more likely to die than children of mothers with higher education (ENDES-2000)</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S5.1.1.1  INEI surveys and mortality tables</w:t>
            </w:r>
          </w:p>
        </w:tc>
        <w:tc>
          <w:tcPr>
            <w:tcW w:w="3283" w:type="dxa"/>
            <w:vMerge w:val="restart"/>
            <w:tcBorders>
              <w:top w:val="nil"/>
              <w:left w:val="single" w:sz="4" w:space="0" w:color="auto"/>
              <w:bottom w:val="single" w:sz="4" w:space="0" w:color="000000"/>
              <w:right w:val="single" w:sz="4" w:space="0" w:color="auto"/>
            </w:tcBorders>
            <w:vAlign w:val="center"/>
          </w:tcPr>
          <w:p w:rsidR="00000000" w:rsidRDefault="00000000">
            <w:pPr>
              <w:jc w:val="left"/>
              <w:rPr>
                <w:sz w:val="20"/>
                <w:lang w:val="en-GB"/>
              </w:rPr>
            </w:pPr>
            <w:r>
              <w:rPr>
                <w:i/>
                <w:sz w:val="20"/>
                <w:lang w:val="en-GB"/>
              </w:rPr>
              <w:t>Direct R5</w:t>
            </w:r>
            <w:r>
              <w:rPr>
                <w:sz w:val="20"/>
                <w:lang w:val="en-GB"/>
              </w:rPr>
              <w:t>:  MINSA, local authorities, PCM, CTARs, MCLPC</w:t>
            </w:r>
          </w:p>
          <w:p w:rsidR="00000000" w:rsidRDefault="00000000">
            <w:pPr>
              <w:jc w:val="left"/>
              <w:rPr>
                <w:sz w:val="20"/>
                <w:szCs w:val="16"/>
                <w:lang w:val="en-GB"/>
              </w:rPr>
            </w:pPr>
            <w:r>
              <w:rPr>
                <w:i/>
                <w:sz w:val="20"/>
                <w:lang w:val="en-GB"/>
              </w:rPr>
              <w:t>Support R5</w:t>
            </w:r>
            <w:r>
              <w:rPr>
                <w:sz w:val="20"/>
                <w:lang w:val="en-GB"/>
              </w:rPr>
              <w:t>:  PAHO, WHO, UNICEF, international cooperation, communication media, prefectures, NGOs, churches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15" w:type="dxa"/>
            <w:vMerge/>
            <w:tcBorders>
              <w:top w:val="nil"/>
              <w:left w:val="single" w:sz="4" w:space="0" w:color="auto"/>
              <w:bottom w:val="single" w:sz="4" w:space="0" w:color="000000"/>
              <w:right w:val="single" w:sz="4" w:space="0" w:color="auto"/>
            </w:tcBorders>
            <w:vAlign w:val="center"/>
          </w:tcPr>
          <w:p w:rsidR="00000000" w:rsidRDefault="00000000">
            <w:pPr>
              <w:jc w:val="left"/>
              <w:rPr>
                <w:sz w:val="20"/>
                <w:szCs w:val="16"/>
                <w:lang w:val="en-GB"/>
              </w:rPr>
            </w:pPr>
          </w:p>
        </w:tc>
        <w:tc>
          <w:tcPr>
            <w:tcW w:w="2223" w:type="dxa"/>
            <w:gridSpan w:val="2"/>
            <w:vMerge/>
            <w:tcBorders>
              <w:top w:val="nil"/>
              <w:left w:val="single" w:sz="4" w:space="0" w:color="auto"/>
              <w:bottom w:val="single" w:sz="4" w:space="0" w:color="000000"/>
              <w:right w:val="single" w:sz="4" w:space="0" w:color="auto"/>
            </w:tcBorders>
            <w:vAlign w:val="center"/>
          </w:tcPr>
          <w:p w:rsidR="00000000" w:rsidRDefault="00000000">
            <w:pPr>
              <w:jc w:val="left"/>
              <w:rPr>
                <w:sz w:val="20"/>
                <w:szCs w:val="16"/>
                <w:lang w:val="en-GB"/>
              </w:rPr>
            </w:pP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I5.1.2  Mortality rate among under-fives</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The probability of a child’s dying before age five was reduced from 73 to 47 per 1,000 live births between 1990-1995 and 1995-2000, i.e. by about 36 per cent.</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S5.1.2.1  INEI surveys and life tables</w:t>
            </w:r>
          </w:p>
        </w:tc>
        <w:tc>
          <w:tcPr>
            <w:tcW w:w="3283" w:type="dxa"/>
            <w:vMerge/>
            <w:tcBorders>
              <w:top w:val="nil"/>
              <w:left w:val="single" w:sz="4" w:space="0" w:color="auto"/>
              <w:bottom w:val="single" w:sz="4" w:space="0" w:color="000000"/>
              <w:right w:val="single" w:sz="4" w:space="0" w:color="auto"/>
            </w:tcBorders>
            <w:vAlign w:val="center"/>
          </w:tcPr>
          <w:p w:rsidR="00000000" w:rsidRDefault="00000000">
            <w:pPr>
              <w:jc w:val="left"/>
              <w:rPr>
                <w:sz w:val="20"/>
                <w:szCs w:val="16"/>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400" w:type="dxa"/>
            <w:gridSpan w:val="7"/>
            <w:tcBorders>
              <w:top w:val="single" w:sz="4" w:space="0" w:color="auto"/>
              <w:left w:val="single" w:sz="4" w:space="0" w:color="auto"/>
              <w:bottom w:val="single" w:sz="4" w:space="0" w:color="auto"/>
              <w:right w:val="single" w:sz="4" w:space="0" w:color="000000"/>
            </w:tcBorders>
          </w:tcPr>
          <w:p w:rsidR="00000000" w:rsidRDefault="00000000">
            <w:pPr>
              <w:keepNext/>
              <w:spacing w:after="60"/>
              <w:jc w:val="left"/>
              <w:rPr>
                <w:b/>
                <w:sz w:val="20"/>
                <w:lang w:val="en-GB"/>
              </w:rPr>
            </w:pPr>
            <w:r>
              <w:rPr>
                <w:b/>
                <w:sz w:val="20"/>
                <w:lang w:val="en-GB"/>
              </w:rPr>
              <w:t>2.  The right to an identity</w:t>
            </w:r>
          </w:p>
          <w:p w:rsidR="00000000" w:rsidRDefault="00000000">
            <w:pPr>
              <w:keepNext/>
              <w:spacing w:after="60"/>
              <w:jc w:val="left"/>
              <w:rPr>
                <w:bCs/>
                <w:sz w:val="20"/>
                <w:lang w:val="en-GB"/>
              </w:rPr>
            </w:pPr>
            <w:r>
              <w:rPr>
                <w:bCs/>
                <w:sz w:val="20"/>
                <w:lang w:val="en-GB"/>
              </w:rPr>
              <w:tab/>
              <w:t>This right means that no one may alter the set of physical and mental attributes and other characteristics which identify a person in society. i.e.  that every person is “a self” and not “another” in his or her capacity as a valid human being having a unique and irreproducible individuality vis-à-vis his or her fellow human beings.  This right also includes:</w:t>
            </w:r>
          </w:p>
          <w:p w:rsidR="00000000" w:rsidRDefault="00000000">
            <w:pPr>
              <w:keepNext/>
              <w:spacing w:after="60"/>
              <w:jc w:val="left"/>
              <w:rPr>
                <w:bCs/>
                <w:sz w:val="20"/>
                <w:lang w:val="en-GB"/>
              </w:rPr>
            </w:pPr>
            <w:r>
              <w:rPr>
                <w:bCs/>
                <w:sz w:val="20"/>
                <w:lang w:val="en-GB"/>
              </w:rPr>
              <w:tab/>
              <w:t>The right to a name.  This right means the individual identification of a child by means of a distinctive appellation consisting of a linguistic expression designating the person and differentiating one person from another, including the surnames of the parents.</w:t>
            </w:r>
          </w:p>
          <w:p w:rsidR="00000000" w:rsidRDefault="00000000">
            <w:pPr>
              <w:keepNext/>
              <w:keepLines/>
              <w:spacing w:before="40" w:after="40" w:line="216" w:lineRule="auto"/>
              <w:ind w:firstLine="567"/>
              <w:jc w:val="left"/>
              <w:rPr>
                <w:bCs/>
                <w:sz w:val="20"/>
                <w:lang w:val="en-GB"/>
              </w:rPr>
            </w:pPr>
            <w:r>
              <w:rPr>
                <w:bCs/>
                <w:sz w:val="20"/>
                <w:lang w:val="en-GB"/>
              </w:rPr>
              <w:t>The right to a nationality.  This right embraces the relationship of rights and duties of a child with a given State, either because the child was born in the State’s territory or because his or her parents were born there.</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val="restart"/>
            <w:tcBorders>
              <w:top w:val="nil"/>
              <w:left w:val="single" w:sz="4" w:space="0" w:color="auto"/>
              <w:bottom w:val="single" w:sz="4" w:space="0" w:color="auto"/>
              <w:right w:val="single" w:sz="4" w:space="0" w:color="auto"/>
            </w:tcBorders>
            <w:vAlign w:val="center"/>
          </w:tcPr>
          <w:p w:rsidR="00000000" w:rsidRDefault="00000000">
            <w:pPr>
              <w:keepNext/>
              <w:jc w:val="left"/>
              <w:rPr>
                <w:sz w:val="20"/>
                <w:szCs w:val="16"/>
                <w:lang w:val="en-GB"/>
              </w:rPr>
            </w:pPr>
            <w:r>
              <w:rPr>
                <w:sz w:val="20"/>
                <w:lang w:val="en-GB"/>
              </w:rPr>
              <w:t>O.2  To establish a universal right to a name and an identity for all children</w:t>
            </w:r>
          </w:p>
        </w:tc>
        <w:tc>
          <w:tcPr>
            <w:tcW w:w="2215" w:type="dxa"/>
            <w:tcBorders>
              <w:top w:val="nil"/>
              <w:left w:val="nil"/>
              <w:bottom w:val="single" w:sz="4" w:space="0" w:color="auto"/>
              <w:right w:val="single" w:sz="4" w:space="0" w:color="auto"/>
            </w:tcBorders>
            <w:vAlign w:val="center"/>
          </w:tcPr>
          <w:p w:rsidR="00000000" w:rsidRDefault="00000000">
            <w:pPr>
              <w:keepNext/>
              <w:keepLines/>
              <w:jc w:val="left"/>
              <w:rPr>
                <w:sz w:val="20"/>
                <w:szCs w:val="16"/>
                <w:lang w:val="en-GB"/>
              </w:rPr>
            </w:pPr>
            <w:r>
              <w:rPr>
                <w:sz w:val="20"/>
                <w:lang w:val="en-GB"/>
              </w:rPr>
              <w:t>T2.1  One hundred per cent of all infants to be registered before the age of three months</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I2.1  Proportion of children aged one year entered in the Register</w:t>
            </w:r>
          </w:p>
        </w:tc>
        <w:tc>
          <w:tcPr>
            <w:tcW w:w="2713" w:type="dxa"/>
            <w:tcBorders>
              <w:top w:val="nil"/>
              <w:left w:val="nil"/>
              <w:bottom w:val="single" w:sz="4" w:space="0" w:color="auto"/>
              <w:right w:val="single" w:sz="4" w:space="0" w:color="auto"/>
            </w:tcBorders>
            <w:vAlign w:val="center"/>
          </w:tcPr>
          <w:p w:rsidR="00000000" w:rsidRDefault="00000000">
            <w:pPr>
              <w:jc w:val="left"/>
              <w:rPr>
                <w:sz w:val="20"/>
                <w:lang w:val="en-GB"/>
              </w:rPr>
            </w:pPr>
            <w:r>
              <w:rPr>
                <w:sz w:val="20"/>
                <w:lang w:val="en-GB"/>
              </w:rPr>
              <w:t>(1)  According to UNICEF, 15 per cent of Peru’s children are not registered (equivalent to 110,000 babies) (</w:t>
            </w:r>
            <w:r>
              <w:rPr>
                <w:i/>
                <w:sz w:val="20"/>
                <w:lang w:val="en-GB"/>
              </w:rPr>
              <w:t>El Peruano</w:t>
            </w:r>
            <w:r>
              <w:rPr>
                <w:sz w:val="20"/>
                <w:lang w:val="en-GB"/>
              </w:rPr>
              <w:t>, 24 October 2000)</w:t>
            </w:r>
          </w:p>
          <w:p w:rsidR="00000000" w:rsidRDefault="00000000">
            <w:pPr>
              <w:jc w:val="left"/>
              <w:rPr>
                <w:sz w:val="20"/>
                <w:lang w:val="en-GB"/>
              </w:rPr>
            </w:pPr>
            <w:r>
              <w:rPr>
                <w:sz w:val="20"/>
                <w:lang w:val="en-GB"/>
              </w:rPr>
              <w:t>(2)  Non-registrations totalled nine per cent in 2000  (La Exclusión Social en el Perú.  UNICEF.  Lima, June 2001).</w:t>
            </w:r>
          </w:p>
          <w:p w:rsidR="00000000" w:rsidRDefault="00000000">
            <w:pPr>
              <w:jc w:val="left"/>
              <w:rPr>
                <w:sz w:val="20"/>
                <w:szCs w:val="16"/>
                <w:lang w:val="en-GB"/>
              </w:rPr>
            </w:pPr>
            <w:r>
              <w:rPr>
                <w:sz w:val="20"/>
                <w:lang w:val="en-GB"/>
              </w:rPr>
              <w:t xml:space="preserve">(3)  In 1993, 438 of the 1,145 indigenous communities surveyed had a registry office, but only 372 were operating, and only for the registration of births.  Leaders of indigenous organizations estimated that 40 per cent of the total indigenous population was not registered (UNICEF, </w:t>
            </w:r>
            <w:r>
              <w:rPr>
                <w:i/>
                <w:sz w:val="20"/>
                <w:lang w:val="en-GB"/>
              </w:rPr>
              <w:t>idem</w:t>
            </w:r>
            <w:r>
              <w:rPr>
                <w:sz w:val="20"/>
                <w:lang w:val="en-GB"/>
              </w:rPr>
              <w:t>.)</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S2.1.1  INEI surveys       S2.1.2  RENIEC       S2.1.3   MINSA</w:t>
            </w:r>
          </w:p>
        </w:tc>
        <w:tc>
          <w:tcPr>
            <w:tcW w:w="3283" w:type="dxa"/>
            <w:vMerge w:val="restart"/>
            <w:tcBorders>
              <w:top w:val="nil"/>
              <w:left w:val="single" w:sz="4" w:space="0" w:color="auto"/>
              <w:bottom w:val="single" w:sz="4" w:space="0" w:color="auto"/>
              <w:right w:val="single" w:sz="4" w:space="0" w:color="auto"/>
            </w:tcBorders>
            <w:vAlign w:val="center"/>
          </w:tcPr>
          <w:p w:rsidR="00000000" w:rsidRDefault="00000000">
            <w:pPr>
              <w:jc w:val="left"/>
              <w:rPr>
                <w:sz w:val="20"/>
                <w:lang w:val="en-GB"/>
              </w:rPr>
            </w:pPr>
            <w:r>
              <w:rPr>
                <w:i/>
                <w:sz w:val="20"/>
                <w:lang w:val="en-GB"/>
              </w:rPr>
              <w:t>Direct R2</w:t>
            </w:r>
            <w:r>
              <w:rPr>
                <w:sz w:val="20"/>
                <w:lang w:val="en-GB"/>
              </w:rPr>
              <w:t>:  MINSA, local authorities, RENIEC, PROMUDEH, children’s ombudsmen, MCLP</w:t>
            </w:r>
          </w:p>
          <w:p w:rsidR="00000000" w:rsidRDefault="00000000">
            <w:pPr>
              <w:jc w:val="left"/>
              <w:rPr>
                <w:sz w:val="20"/>
                <w:szCs w:val="16"/>
                <w:lang w:val="en-GB"/>
              </w:rPr>
            </w:pPr>
            <w:r>
              <w:rPr>
                <w:i/>
                <w:sz w:val="20"/>
                <w:lang w:val="en-GB"/>
              </w:rPr>
              <w:t>Support R2</w:t>
            </w:r>
            <w:r>
              <w:rPr>
                <w:sz w:val="20"/>
                <w:lang w:val="en-GB"/>
              </w:rPr>
              <w:t>:  UNFPA, PAHO, WHO, UNICEF, international cooperation, national and international NGOs, churches, private sector, civic and community organizations, communication media, families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T2.2  To ensure that 100 per cent of children, including children not registered before the expiry of the three-month limit, have an identity document</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I2.2  Proportion of children in the first grade possessing an identity document</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Title 5, article 31, of the RENIEC Act (No. 26497)</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S2.2.1  MINED</w:t>
            </w:r>
            <w:r>
              <w:rPr>
                <w:sz w:val="20"/>
                <w:lang w:val="en-GB"/>
              </w:rPr>
              <w:br/>
              <w:t>S2.2.2   RENIEC</w:t>
            </w:r>
          </w:p>
        </w:tc>
        <w:tc>
          <w:tcPr>
            <w:tcW w:w="3283"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T2.3  All health centres and children’s rights monitors to be in a position to provide systematic guidance for parents on the procedures for the prompt registration of their babies</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I2.3  Proportion of health centres and human rights monitors providing systematic guidance for parents on the prompt registration of their babies</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See regulations on the registration of births and late registration (National Register of Identity and Civil Status Act (No. 26497)</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pt-BR"/>
              </w:rPr>
            </w:pPr>
            <w:r>
              <w:rPr>
                <w:sz w:val="20"/>
                <w:lang w:val="pt-BR"/>
              </w:rPr>
              <w:t>S2.3.1  MINSA</w:t>
            </w:r>
            <w:r>
              <w:rPr>
                <w:sz w:val="20"/>
                <w:lang w:val="pt-BR"/>
              </w:rPr>
              <w:br/>
              <w:t>S2.3.2  MIMDES</w:t>
            </w:r>
          </w:p>
        </w:tc>
        <w:tc>
          <w:tcPr>
            <w:tcW w:w="3283"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pt-BR"/>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pt-BR"/>
              </w:rPr>
            </w:pP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T2.4  All services for the registration and identification of children to be provided free of charge nation-wide</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I2.4  Proportion of services for the registration and identification of children provided free of charge</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szCs w:val="16"/>
                <w:lang w:val="en-GB"/>
              </w:rPr>
              <w:t> </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S2.4.1  RENIEC</w:t>
            </w:r>
          </w:p>
        </w:tc>
        <w:tc>
          <w:tcPr>
            <w:tcW w:w="3283"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400" w:type="dxa"/>
            <w:gridSpan w:val="7"/>
            <w:tcBorders>
              <w:top w:val="single" w:sz="4" w:space="0" w:color="auto"/>
              <w:left w:val="single" w:sz="4" w:space="0" w:color="auto"/>
              <w:bottom w:val="single" w:sz="4" w:space="0" w:color="auto"/>
              <w:right w:val="single" w:sz="4" w:space="0" w:color="000000"/>
            </w:tcBorders>
          </w:tcPr>
          <w:p w:rsidR="00000000" w:rsidRDefault="00000000">
            <w:pPr>
              <w:keepNext/>
              <w:spacing w:after="60"/>
              <w:jc w:val="left"/>
              <w:rPr>
                <w:b/>
                <w:sz w:val="20"/>
                <w:lang w:val="en-GB"/>
              </w:rPr>
            </w:pPr>
            <w:r>
              <w:rPr>
                <w:b/>
                <w:sz w:val="20"/>
                <w:lang w:val="en-GB"/>
              </w:rPr>
              <w:t>3.</w:t>
            </w:r>
            <w:r>
              <w:rPr>
                <w:b/>
                <w:sz w:val="20"/>
                <w:lang w:val="en-GB"/>
              </w:rPr>
              <w:tab/>
              <w:t>The right to a family environment</w:t>
            </w:r>
          </w:p>
          <w:p w:rsidR="00000000" w:rsidRDefault="00000000">
            <w:pPr>
              <w:keepNext/>
              <w:spacing w:before="60" w:after="60"/>
              <w:jc w:val="left"/>
              <w:rPr>
                <w:bCs/>
                <w:sz w:val="20"/>
                <w:lang w:val="en-GB"/>
              </w:rPr>
            </w:pPr>
            <w:r>
              <w:rPr>
                <w:b/>
                <w:sz w:val="20"/>
                <w:lang w:val="en-GB"/>
              </w:rPr>
              <w:tab/>
            </w:r>
            <w:r>
              <w:rPr>
                <w:bCs/>
                <w:sz w:val="20"/>
                <w:lang w:val="en-GB"/>
              </w:rPr>
              <w:t>This right refers to the right of children to grow and develop within a group of persons united by marriage or created by a de facto union, between whom legal rights and obligations exist.  In fact, all children need a home to shelter them and in which they can freely develop their physical selves, their emotional and affective lives and their intimate relationships in the company of those persons to whom they are bound by blood and by parental affection.  According to the 1993 Constitution, the family and marriage constitute one of the fundamental and natural institutions of society</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6174" w:type="dxa"/>
            <w:gridSpan w:val="4"/>
            <w:tcBorders>
              <w:top w:val="nil"/>
              <w:left w:val="single" w:sz="4" w:space="0" w:color="auto"/>
              <w:bottom w:val="single" w:sz="4" w:space="0" w:color="auto"/>
              <w:right w:val="single" w:sz="4" w:space="0" w:color="auto"/>
            </w:tcBorders>
          </w:tcPr>
          <w:p w:rsidR="00000000" w:rsidRDefault="00000000">
            <w:pPr>
              <w:keepNext/>
              <w:jc w:val="left"/>
              <w:rPr>
                <w:sz w:val="20"/>
                <w:lang w:val="en-GB"/>
              </w:rPr>
            </w:pPr>
            <w:r>
              <w:rPr>
                <w:sz w:val="20"/>
                <w:szCs w:val="14"/>
                <w:lang w:val="en-GB"/>
              </w:rPr>
              <w:t> </w:t>
            </w:r>
            <w:r>
              <w:rPr>
                <w:sz w:val="20"/>
                <w:lang w:val="en-GB"/>
              </w:rPr>
              <w:t>National Secretariat for Adoptions </w:t>
            </w:r>
          </w:p>
        </w:tc>
        <w:tc>
          <w:tcPr>
            <w:tcW w:w="2713" w:type="dxa"/>
            <w:tcBorders>
              <w:top w:val="nil"/>
              <w:left w:val="single" w:sz="4" w:space="0" w:color="auto"/>
              <w:bottom w:val="single" w:sz="4" w:space="0" w:color="auto"/>
              <w:right w:val="single" w:sz="4" w:space="0" w:color="auto"/>
            </w:tcBorders>
          </w:tcPr>
          <w:p w:rsidR="00000000" w:rsidRDefault="00000000">
            <w:pPr>
              <w:keepNext/>
              <w:jc w:val="left"/>
              <w:rPr>
                <w:sz w:val="20"/>
                <w:lang w:val="en-GB"/>
              </w:rPr>
            </w:pPr>
            <w:r>
              <w:rPr>
                <w:sz w:val="20"/>
                <w:lang w:val="en-GB"/>
              </w:rPr>
              <w:t>Although 2,272 children were formally adopted in the period 1993-2002, some eight per cent of households have a child aged under 15 years living with them as “adopted” children; these are children who do not live with either of their biological parents even when they are alive.  The proportion is higher in rural areas (9%) than in urban areas (7%).</w:t>
            </w:r>
          </w:p>
          <w:p w:rsidR="00000000" w:rsidRDefault="00000000">
            <w:pPr>
              <w:keepNext/>
              <w:jc w:val="left"/>
              <w:rPr>
                <w:sz w:val="20"/>
                <w:szCs w:val="14"/>
                <w:lang w:val="es-ES"/>
              </w:rPr>
            </w:pPr>
            <w:r>
              <w:rPr>
                <w:sz w:val="20"/>
                <w:lang w:val="en-GB"/>
              </w:rPr>
              <w:t>To date, the Secretariat has 10 local offices nation-wide, in the departments of Arequipa, Ayacucho, Cuzco, Huánuco, Lambayeque, La Libertad, Moquegua, Loreto, Piura and Puno; a further 13 local offices are needed to secure total coverage</w:t>
            </w:r>
          </w:p>
        </w:tc>
        <w:tc>
          <w:tcPr>
            <w:tcW w:w="2230" w:type="dxa"/>
            <w:tcBorders>
              <w:top w:val="nil"/>
              <w:left w:val="single" w:sz="4" w:space="0" w:color="auto"/>
              <w:bottom w:val="single" w:sz="4" w:space="0" w:color="auto"/>
              <w:right w:val="single" w:sz="4" w:space="0" w:color="auto"/>
            </w:tcBorders>
          </w:tcPr>
          <w:p w:rsidR="00000000" w:rsidRDefault="00000000">
            <w:pPr>
              <w:keepNext/>
              <w:jc w:val="left"/>
              <w:rPr>
                <w:sz w:val="20"/>
                <w:lang w:val="en-GB"/>
              </w:rPr>
            </w:pPr>
            <w:r>
              <w:rPr>
                <w:sz w:val="20"/>
                <w:lang w:val="en-GB"/>
              </w:rPr>
              <w:t>MIMDES </w:t>
            </w:r>
          </w:p>
        </w:tc>
        <w:tc>
          <w:tcPr>
            <w:tcW w:w="3283" w:type="dxa"/>
            <w:tcBorders>
              <w:top w:val="nil"/>
              <w:left w:val="single" w:sz="4" w:space="0" w:color="auto"/>
              <w:bottom w:val="single" w:sz="4" w:space="0" w:color="auto"/>
              <w:right w:val="single" w:sz="4" w:space="0" w:color="auto"/>
            </w:tcBorders>
          </w:tcPr>
          <w:p w:rsidR="00000000" w:rsidRDefault="00000000">
            <w:pPr>
              <w:keepNext/>
              <w:jc w:val="left"/>
              <w:rPr>
                <w:sz w:val="20"/>
                <w:lang w:val="en-GB"/>
              </w:rPr>
            </w:pPr>
            <w:r>
              <w:rPr>
                <w:sz w:val="20"/>
                <w:lang w:val="en-GB"/>
              </w:rPr>
              <w:t> </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4400" w:type="dxa"/>
            <w:gridSpan w:val="7"/>
            <w:tcBorders>
              <w:top w:val="single" w:sz="4" w:space="0" w:color="auto"/>
            </w:tcBorders>
          </w:tcPr>
          <w:p w:rsidR="00000000" w:rsidRDefault="00000000">
            <w:pPr>
              <w:keepNext/>
              <w:jc w:val="left"/>
              <w:rPr>
                <w:b/>
                <w:sz w:val="20"/>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4400" w:type="dxa"/>
            <w:gridSpan w:val="7"/>
          </w:tcPr>
          <w:p w:rsidR="00000000" w:rsidRDefault="00000000">
            <w:pPr>
              <w:keepNext/>
              <w:jc w:val="left"/>
              <w:rPr>
                <w:b/>
                <w:sz w:val="20"/>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4400" w:type="dxa"/>
            <w:gridSpan w:val="7"/>
          </w:tcPr>
          <w:p w:rsidR="00000000" w:rsidRDefault="00000000">
            <w:pPr>
              <w:keepNext/>
              <w:jc w:val="left"/>
              <w:rPr>
                <w:b/>
                <w:sz w:val="20"/>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4400" w:type="dxa"/>
            <w:gridSpan w:val="7"/>
          </w:tcPr>
          <w:p w:rsidR="00000000" w:rsidRDefault="00000000">
            <w:pPr>
              <w:keepNext/>
              <w:jc w:val="left"/>
              <w:rPr>
                <w:b/>
                <w:sz w:val="20"/>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4400" w:type="dxa"/>
            <w:gridSpan w:val="7"/>
          </w:tcPr>
          <w:p w:rsidR="00000000" w:rsidRDefault="00000000">
            <w:pPr>
              <w:keepNext/>
              <w:jc w:val="left"/>
              <w:rPr>
                <w:b/>
                <w:sz w:val="20"/>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4400" w:type="dxa"/>
            <w:gridSpan w:val="7"/>
          </w:tcPr>
          <w:p w:rsidR="00000000" w:rsidRDefault="00000000">
            <w:pPr>
              <w:keepNext/>
              <w:jc w:val="left"/>
              <w:rPr>
                <w:b/>
                <w:sz w:val="20"/>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4400" w:type="dxa"/>
            <w:gridSpan w:val="7"/>
            <w:tcBorders>
              <w:left w:val="single" w:sz="4" w:space="0" w:color="auto"/>
              <w:bottom w:val="single" w:sz="4" w:space="0" w:color="auto"/>
              <w:right w:val="single" w:sz="4" w:space="0" w:color="000000"/>
            </w:tcBorders>
          </w:tcPr>
          <w:p w:rsidR="00000000" w:rsidRDefault="00000000">
            <w:pPr>
              <w:keepNext/>
              <w:jc w:val="left"/>
              <w:rPr>
                <w:b/>
                <w:sz w:val="20"/>
                <w:lang w:val="en-GB"/>
              </w:rPr>
            </w:pPr>
            <w:r>
              <w:rPr>
                <w:b/>
                <w:sz w:val="20"/>
                <w:lang w:val="en-GB"/>
              </w:rPr>
              <w:t>4.</w:t>
            </w:r>
            <w:r>
              <w:rPr>
                <w:b/>
                <w:sz w:val="20"/>
                <w:lang w:val="en-GB"/>
              </w:rPr>
              <w:tab/>
              <w:t>The right to education</w:t>
            </w:r>
          </w:p>
          <w:p w:rsidR="00000000" w:rsidRDefault="00000000">
            <w:pPr>
              <w:keepNext/>
              <w:keepLines/>
              <w:jc w:val="left"/>
              <w:rPr>
                <w:bCs/>
                <w:sz w:val="20"/>
                <w:lang w:val="en-GB"/>
              </w:rPr>
            </w:pPr>
            <w:r>
              <w:rPr>
                <w:b/>
                <w:sz w:val="20"/>
                <w:lang w:val="en-GB"/>
              </w:rPr>
              <w:tab/>
            </w:r>
            <w:r>
              <w:rPr>
                <w:bCs/>
                <w:sz w:val="20"/>
                <w:lang w:val="en-GB"/>
              </w:rPr>
              <w:t>This right means opportunities to receive and transmit information and knowledge with a view to preparing people to perform certain actions and form relations with other persons, and opportunities of access to the necessary guidance and advice for the integrated development of the person.</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val="restart"/>
            <w:tcBorders>
              <w:top w:val="nil"/>
              <w:left w:val="single" w:sz="4" w:space="0" w:color="auto"/>
              <w:bottom w:val="single" w:sz="4" w:space="0" w:color="auto"/>
              <w:right w:val="single" w:sz="4" w:space="0" w:color="auto"/>
            </w:tcBorders>
            <w:vAlign w:val="center"/>
          </w:tcPr>
          <w:p w:rsidR="00000000" w:rsidRDefault="00000000">
            <w:pPr>
              <w:keepNext/>
              <w:keepLines/>
              <w:jc w:val="left"/>
              <w:rPr>
                <w:sz w:val="20"/>
                <w:szCs w:val="16"/>
                <w:lang w:val="en-GB"/>
              </w:rPr>
            </w:pPr>
            <w:r>
              <w:rPr>
                <w:sz w:val="20"/>
                <w:lang w:val="en-GB"/>
              </w:rPr>
              <w:t>O7.  Integrated development of children from an early age</w:t>
            </w:r>
          </w:p>
        </w:tc>
        <w:tc>
          <w:tcPr>
            <w:tcW w:w="2215" w:type="dxa"/>
            <w:tcBorders>
              <w:top w:val="nil"/>
              <w:left w:val="nil"/>
              <w:bottom w:val="single" w:sz="4" w:space="0" w:color="auto"/>
              <w:right w:val="single" w:sz="4" w:space="0" w:color="auto"/>
            </w:tcBorders>
            <w:vAlign w:val="center"/>
          </w:tcPr>
          <w:p w:rsidR="00000000" w:rsidRDefault="00000000">
            <w:pPr>
              <w:keepNext/>
              <w:keepLines/>
              <w:jc w:val="left"/>
              <w:rPr>
                <w:sz w:val="20"/>
                <w:szCs w:val="16"/>
                <w:lang w:val="en-GB"/>
              </w:rPr>
            </w:pPr>
            <w:r>
              <w:rPr>
                <w:sz w:val="20"/>
                <w:lang w:val="en-GB"/>
              </w:rPr>
              <w:t>T7.1.1  To ensure the participation of 60 per cent of children aged up to three years in institutional programmes of early stimulation</w:t>
            </w:r>
          </w:p>
        </w:tc>
        <w:tc>
          <w:tcPr>
            <w:tcW w:w="2236" w:type="dxa"/>
            <w:tcBorders>
              <w:top w:val="nil"/>
              <w:left w:val="nil"/>
              <w:bottom w:val="single" w:sz="4" w:space="0" w:color="auto"/>
              <w:right w:val="single" w:sz="4" w:space="0" w:color="auto"/>
            </w:tcBorders>
            <w:vAlign w:val="center"/>
          </w:tcPr>
          <w:p w:rsidR="00000000" w:rsidRDefault="00000000">
            <w:pPr>
              <w:keepNext/>
              <w:keepLines/>
              <w:jc w:val="left"/>
              <w:rPr>
                <w:sz w:val="20"/>
                <w:szCs w:val="16"/>
                <w:lang w:val="en-GB"/>
              </w:rPr>
            </w:pPr>
            <w:r>
              <w:rPr>
                <w:sz w:val="20"/>
                <w:lang w:val="en-GB"/>
              </w:rPr>
              <w:t>I7.1  Proportion of children aged up to three years participating in institutional programmes of early stimulation</w:t>
            </w:r>
          </w:p>
        </w:tc>
        <w:tc>
          <w:tcPr>
            <w:tcW w:w="2713" w:type="dxa"/>
            <w:tcBorders>
              <w:top w:val="nil"/>
              <w:left w:val="nil"/>
              <w:bottom w:val="single" w:sz="4" w:space="0" w:color="auto"/>
              <w:right w:val="single" w:sz="4" w:space="0" w:color="auto"/>
            </w:tcBorders>
            <w:vAlign w:val="center"/>
          </w:tcPr>
          <w:p w:rsidR="00000000" w:rsidRDefault="00000000">
            <w:pPr>
              <w:keepNext/>
              <w:jc w:val="left"/>
              <w:rPr>
                <w:sz w:val="20"/>
                <w:lang w:val="en-GB"/>
              </w:rPr>
            </w:pPr>
            <w:r>
              <w:rPr>
                <w:sz w:val="20"/>
                <w:lang w:val="en-GB"/>
              </w:rPr>
              <w:t>(1)  The direct and indirect attention given to children of this age is insufficient (it is the age of greatest risk and the age of the flowering of the various potentials of human beings).  In 1999 the coverage totalled 41.5 % (Strategic Sectoral Education Plan 2002-2006)</w:t>
            </w:r>
          </w:p>
          <w:p w:rsidR="00000000" w:rsidRDefault="00000000">
            <w:pPr>
              <w:keepNext/>
              <w:keepLines/>
              <w:jc w:val="left"/>
              <w:rPr>
                <w:sz w:val="20"/>
                <w:szCs w:val="16"/>
                <w:lang w:val="en-US"/>
              </w:rPr>
            </w:pPr>
            <w:r>
              <w:rPr>
                <w:sz w:val="20"/>
                <w:lang w:val="en-GB"/>
              </w:rPr>
              <w:t>(2)  In 2001, 50,000 children were catered for in Wawa Wasi centres nation-wide (Wawa Wasi Programme).</w:t>
            </w:r>
          </w:p>
        </w:tc>
        <w:tc>
          <w:tcPr>
            <w:tcW w:w="2230" w:type="dxa"/>
            <w:tcBorders>
              <w:top w:val="nil"/>
              <w:left w:val="nil"/>
              <w:bottom w:val="single" w:sz="4" w:space="0" w:color="auto"/>
              <w:right w:val="single" w:sz="4" w:space="0" w:color="auto"/>
            </w:tcBorders>
            <w:vAlign w:val="center"/>
          </w:tcPr>
          <w:p w:rsidR="00000000" w:rsidRDefault="00000000">
            <w:pPr>
              <w:keepNext/>
              <w:keepLines/>
              <w:jc w:val="left"/>
              <w:rPr>
                <w:sz w:val="20"/>
                <w:szCs w:val="16"/>
                <w:lang w:val="en-US"/>
              </w:rPr>
            </w:pPr>
            <w:r>
              <w:rPr>
                <w:sz w:val="20"/>
                <w:lang w:val="en-GB"/>
              </w:rPr>
              <w:t>S7.1.1  MINEDU      S7.1.2  INEI survey</w:t>
            </w:r>
          </w:p>
        </w:tc>
        <w:tc>
          <w:tcPr>
            <w:tcW w:w="3283" w:type="dxa"/>
            <w:vMerge w:val="restart"/>
            <w:tcBorders>
              <w:top w:val="nil"/>
              <w:left w:val="single" w:sz="4" w:space="0" w:color="auto"/>
              <w:bottom w:val="single" w:sz="4" w:space="0" w:color="auto"/>
              <w:right w:val="single" w:sz="4" w:space="0" w:color="auto"/>
            </w:tcBorders>
          </w:tcPr>
          <w:p w:rsidR="00000000" w:rsidRDefault="00000000">
            <w:pPr>
              <w:keepNext/>
              <w:jc w:val="left"/>
              <w:rPr>
                <w:i/>
                <w:sz w:val="20"/>
                <w:lang w:val="en-GB"/>
              </w:rPr>
            </w:pPr>
          </w:p>
          <w:p w:rsidR="00000000" w:rsidRDefault="00000000">
            <w:pPr>
              <w:keepNext/>
              <w:jc w:val="left"/>
              <w:rPr>
                <w:i/>
                <w:sz w:val="20"/>
                <w:lang w:val="en-GB"/>
              </w:rPr>
            </w:pPr>
          </w:p>
          <w:p w:rsidR="00000000" w:rsidRDefault="00000000">
            <w:pPr>
              <w:keepNext/>
              <w:jc w:val="left"/>
              <w:rPr>
                <w:i/>
                <w:sz w:val="20"/>
                <w:lang w:val="en-GB"/>
              </w:rPr>
            </w:pPr>
          </w:p>
          <w:p w:rsidR="00000000" w:rsidRDefault="00000000">
            <w:pPr>
              <w:keepNext/>
              <w:jc w:val="left"/>
              <w:rPr>
                <w:i/>
                <w:sz w:val="20"/>
                <w:lang w:val="en-GB"/>
              </w:rPr>
            </w:pPr>
          </w:p>
          <w:p w:rsidR="00000000" w:rsidRDefault="00000000">
            <w:pPr>
              <w:keepNext/>
              <w:jc w:val="left"/>
              <w:rPr>
                <w:i/>
                <w:sz w:val="20"/>
                <w:lang w:val="en-GB"/>
              </w:rPr>
            </w:pPr>
          </w:p>
          <w:p w:rsidR="00000000" w:rsidRDefault="00000000">
            <w:pPr>
              <w:keepNext/>
              <w:jc w:val="left"/>
              <w:rPr>
                <w:i/>
                <w:sz w:val="20"/>
                <w:lang w:val="en-GB"/>
              </w:rPr>
            </w:pPr>
          </w:p>
          <w:p w:rsidR="00000000" w:rsidRDefault="00000000">
            <w:pPr>
              <w:keepNext/>
              <w:jc w:val="left"/>
              <w:rPr>
                <w:i/>
                <w:sz w:val="20"/>
                <w:lang w:val="en-GB"/>
              </w:rPr>
            </w:pPr>
          </w:p>
          <w:p w:rsidR="00000000" w:rsidRDefault="00000000">
            <w:pPr>
              <w:keepNext/>
              <w:jc w:val="left"/>
              <w:rPr>
                <w:i/>
                <w:sz w:val="20"/>
                <w:lang w:val="en-GB"/>
              </w:rPr>
            </w:pPr>
          </w:p>
          <w:p w:rsidR="00000000" w:rsidRDefault="00000000">
            <w:pPr>
              <w:keepNext/>
              <w:jc w:val="left"/>
              <w:rPr>
                <w:i/>
                <w:sz w:val="20"/>
                <w:lang w:val="en-GB"/>
              </w:rPr>
            </w:pPr>
          </w:p>
          <w:p w:rsidR="00000000" w:rsidRDefault="00000000">
            <w:pPr>
              <w:keepNext/>
              <w:jc w:val="left"/>
              <w:rPr>
                <w:sz w:val="20"/>
                <w:lang w:val="en-GB"/>
              </w:rPr>
            </w:pPr>
            <w:r>
              <w:rPr>
                <w:i/>
                <w:sz w:val="20"/>
                <w:lang w:val="en-GB"/>
              </w:rPr>
              <w:t>Direct R7</w:t>
            </w:r>
            <w:r>
              <w:rPr>
                <w:sz w:val="20"/>
                <w:lang w:val="en-GB"/>
              </w:rPr>
              <w:t>:  MINSA, MIMDES, MINEDU, MCLCP, education associations</w:t>
            </w:r>
          </w:p>
          <w:p w:rsidR="00000000" w:rsidRDefault="00000000">
            <w:pPr>
              <w:keepNext/>
              <w:keepLines/>
              <w:jc w:val="left"/>
              <w:rPr>
                <w:sz w:val="20"/>
                <w:szCs w:val="16"/>
                <w:lang w:val="en-US"/>
              </w:rPr>
            </w:pPr>
            <w:r>
              <w:rPr>
                <w:i/>
                <w:sz w:val="20"/>
                <w:lang w:val="en-GB"/>
              </w:rPr>
              <w:t>Support R7</w:t>
            </w:r>
            <w:r>
              <w:rPr>
                <w:sz w:val="20"/>
                <w:lang w:val="en-GB"/>
              </w:rPr>
              <w:t>:  Children’s ombudsmen, INR, universities, communication media, vocational schools, NGOs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US"/>
              </w:rPr>
            </w:pP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T7.2.2  To ensure that 80 per cent of children aged three to five have access to an initial education programme</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I7.2  Proportion of children enrolling in the first grade who have received initial education</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The net attendance rates for initial education are as follows: four years - boys 49.5 and girls 53 %; five years - boys 66 and girls 69 %.  The figures by geographical region are: Metropolitan Lima - 50 %; rest of the coast - 51 %; mountains - 40 %; and forests - 47.5 % (Strategic Sectoral Education Plan 2002-2006)</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S7.2.1  MINEDU     S7.2.2  INEI surveys</w:t>
            </w:r>
          </w:p>
        </w:tc>
        <w:tc>
          <w:tcPr>
            <w:tcW w:w="3283"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T7.3.3  To ensure that persons with disabilities and their families and advocates have access at all stages to full information about diagnosis and entitlements and the available services and programmes</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I7.3  Proportion of households with a disabled member who have access at all stages to full information about diagnosis and entitlements and the available services and programmes</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szCs w:val="16"/>
                <w:lang w:val="en-GB"/>
              </w:rPr>
              <w:t> </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S7.3.1  INEI surveys</w:t>
            </w:r>
          </w:p>
        </w:tc>
        <w:tc>
          <w:tcPr>
            <w:tcW w:w="3283"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T7.4.4  To ensure that 70 per cent of the initial education programmes available to extremely poor children provide coordinated health, nutrition and education services</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I7.4  Proportion of initial education programmes available to extremely poor children which provide coordinated health, nutrition and education services</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szCs w:val="16"/>
                <w:lang w:val="en-GB"/>
              </w:rPr>
              <w:t> </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US"/>
              </w:rPr>
            </w:pPr>
            <w:r>
              <w:rPr>
                <w:sz w:val="20"/>
                <w:lang w:val="en-GB"/>
              </w:rPr>
              <w:t>S7.4.1  MINEDU</w:t>
            </w:r>
          </w:p>
        </w:tc>
        <w:tc>
          <w:tcPr>
            <w:tcW w:w="3283"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US"/>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US"/>
              </w:rPr>
            </w:pP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T7.5.5  To ensure by 2010 that 60 per cent of children attending programmes of education for development exhibit a high level of social and emotional development</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I7.5  Proportion of children exhibiting a high level of social and emotional development</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szCs w:val="16"/>
                <w:lang w:val="en-GB"/>
              </w:rPr>
              <w:t> </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US"/>
              </w:rPr>
            </w:pPr>
            <w:r>
              <w:rPr>
                <w:sz w:val="20"/>
                <w:lang w:val="en-GB"/>
              </w:rPr>
              <w:t>S7.5.1  MINEDU</w:t>
            </w:r>
          </w:p>
        </w:tc>
        <w:tc>
          <w:tcPr>
            <w:tcW w:w="3283"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US"/>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US"/>
              </w:rPr>
            </w:pP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US"/>
              </w:rPr>
            </w:pPr>
            <w:r>
              <w:rPr>
                <w:sz w:val="20"/>
                <w:lang w:val="en-GB"/>
              </w:rPr>
              <w:t>T7.6.6  To ensure by 2010 that 80 per cent of State early education programmes have the means of evaluating and promoting optimum levels of child development in various areas of performance</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I7.6  Proportion of early education programmes producing evaluations of children’s educational performance and development</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szCs w:val="16"/>
                <w:lang w:val="en-GB"/>
              </w:rPr>
              <w:t> </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pt-BR"/>
              </w:rPr>
            </w:pPr>
            <w:r>
              <w:rPr>
                <w:sz w:val="20"/>
                <w:lang w:val="pt-BR"/>
              </w:rPr>
              <w:t>S7.6.1  MINEDU</w:t>
            </w:r>
          </w:p>
        </w:tc>
        <w:tc>
          <w:tcPr>
            <w:tcW w:w="3283"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pt-BR"/>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val="restart"/>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r>
              <w:rPr>
                <w:sz w:val="20"/>
                <w:lang w:val="pt-BR"/>
              </w:rPr>
              <w:t xml:space="preserve">O8.  </w:t>
            </w:r>
            <w:r>
              <w:rPr>
                <w:sz w:val="20"/>
                <w:lang w:val="en-GB"/>
              </w:rPr>
              <w:t>To guarantee good-quality cross-cultural basic education for all children</w:t>
            </w: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T8.1  To ensure that 85 per cent of children aged six to 12 are enrolled in the correct grade</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I8.1  Proportion of children aged six to 12 enrolled in the correct grade for their age</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The ratio of over-age pupils in rural and urban areas is 2:1.  In rural areas 23 per cent of pupils in primary education are over-age for their grade, while the urban rate is 14 per cent.  The following are some of the attendance rates for boys and girls</w:t>
            </w:r>
            <w:r>
              <w:rPr>
                <w:b/>
                <w:sz w:val="20"/>
                <w:lang w:val="en-GB"/>
              </w:rPr>
              <w:t xml:space="preserve"> </w:t>
            </w:r>
            <w:r>
              <w:rPr>
                <w:sz w:val="20"/>
                <w:lang w:val="en-GB"/>
              </w:rPr>
              <w:t>aged six to 12 at the level corresponding to their age: Metropolitan Lima - boys 58 and girls 61.5 per cent; rest of the coast - boys 49 and girls 61 per cent; forests - boys 44.5 and girls 48 per cent (Strategic Sectoral Education Plan 2002-2006)</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S8.1.1  MINEDU       S8.1.2  INEI surveys</w:t>
            </w:r>
          </w:p>
        </w:tc>
        <w:tc>
          <w:tcPr>
            <w:tcW w:w="3283" w:type="dxa"/>
            <w:vMerge w:val="restart"/>
            <w:tcBorders>
              <w:top w:val="nil"/>
              <w:left w:val="single" w:sz="4" w:space="0" w:color="auto"/>
              <w:bottom w:val="single" w:sz="4" w:space="0" w:color="auto"/>
              <w:right w:val="single" w:sz="4" w:space="0" w:color="auto"/>
            </w:tcBorders>
            <w:vAlign w:val="center"/>
          </w:tcPr>
          <w:p w:rsidR="00000000" w:rsidRDefault="00000000">
            <w:pPr>
              <w:jc w:val="left"/>
              <w:rPr>
                <w:sz w:val="20"/>
                <w:lang w:val="en-GB"/>
              </w:rPr>
            </w:pPr>
            <w:r>
              <w:rPr>
                <w:i/>
                <w:sz w:val="20"/>
                <w:lang w:val="en-GB"/>
              </w:rPr>
              <w:t>Direct R8</w:t>
            </w:r>
            <w:r>
              <w:rPr>
                <w:sz w:val="20"/>
                <w:lang w:val="en-GB"/>
              </w:rPr>
              <w:t>:  MINEDU, education associations, MCLCP</w:t>
            </w:r>
          </w:p>
          <w:p w:rsidR="00000000" w:rsidRDefault="00000000">
            <w:pPr>
              <w:jc w:val="left"/>
              <w:rPr>
                <w:sz w:val="20"/>
                <w:szCs w:val="16"/>
                <w:lang w:val="en-GB"/>
              </w:rPr>
            </w:pPr>
            <w:r>
              <w:rPr>
                <w:i/>
                <w:sz w:val="20"/>
                <w:lang w:val="en-GB"/>
              </w:rPr>
              <w:t>Support R8</w:t>
            </w:r>
            <w:r>
              <w:rPr>
                <w:sz w:val="20"/>
                <w:lang w:val="en-GB"/>
              </w:rPr>
              <w:t>:  UNICEF, UNESCO, international cooperation, mass media, universities, grass-roots indigenous organizations, national and international NGOs, churches, private sector, civic and community organizations, families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T8.2  To ensure that 85 per cent of children complete primary or basic education</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I8.2  Proportion of children aged 12 to 14 with complete primary education or at least one year of secondary education</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In 1999-2000 the graduation rate from primary education was 88 per cent; the repeated-year rate was nine per cent and the drop-out rate three per cent (</w:t>
            </w:r>
            <w:r>
              <w:rPr>
                <w:i/>
                <w:sz w:val="20"/>
                <w:lang w:val="en-GB"/>
              </w:rPr>
              <w:t>Peru in Numbers</w:t>
            </w:r>
            <w:r>
              <w:rPr>
                <w:sz w:val="20"/>
                <w:lang w:val="en-GB"/>
              </w:rPr>
              <w:t xml:space="preserve"> statistical yearbook 2001.  Lima, September 2001)</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S8.2.1  INEI surveys</w:t>
            </w:r>
          </w:p>
        </w:tc>
        <w:tc>
          <w:tcPr>
            <w:tcW w:w="3283"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T8.4  To ensure that 90 per cent of rural girls attend and complete the six years of primary education</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I8.4  Proportion of rural girls aged 12 to 14 with complete primary education or at least one year of secondary education</w:t>
            </w:r>
          </w:p>
        </w:tc>
        <w:tc>
          <w:tcPr>
            <w:tcW w:w="2713" w:type="dxa"/>
            <w:tcBorders>
              <w:top w:val="nil"/>
              <w:left w:val="nil"/>
              <w:bottom w:val="single" w:sz="4" w:space="0" w:color="auto"/>
              <w:right w:val="single" w:sz="4" w:space="0" w:color="auto"/>
            </w:tcBorders>
            <w:vAlign w:val="center"/>
          </w:tcPr>
          <w:p w:rsidR="00000000" w:rsidRDefault="00000000">
            <w:pPr>
              <w:jc w:val="left"/>
              <w:rPr>
                <w:sz w:val="20"/>
                <w:lang w:val="en-GB"/>
              </w:rPr>
            </w:pPr>
            <w:r>
              <w:rPr>
                <w:sz w:val="20"/>
                <w:lang w:val="en-GB"/>
              </w:rPr>
              <w:t>(1)  Five per cent of poor girls do not go to school; the figure is 10 per cent for extremely poor girls</w:t>
            </w:r>
          </w:p>
          <w:p w:rsidR="00000000" w:rsidRDefault="00000000">
            <w:pPr>
              <w:jc w:val="left"/>
              <w:rPr>
                <w:sz w:val="20"/>
                <w:lang w:val="en-GB"/>
              </w:rPr>
            </w:pPr>
            <w:r>
              <w:rPr>
                <w:sz w:val="20"/>
                <w:lang w:val="en-GB"/>
              </w:rPr>
              <w:t>(2)  There are only 26,586 rural schools for 75,000 small settlements (1998)</w:t>
            </w:r>
          </w:p>
          <w:p w:rsidR="00000000" w:rsidRDefault="00000000">
            <w:pPr>
              <w:jc w:val="left"/>
              <w:rPr>
                <w:sz w:val="20"/>
                <w:szCs w:val="16"/>
                <w:lang w:val="en-GB"/>
              </w:rPr>
            </w:pPr>
            <w:r>
              <w:rPr>
                <w:sz w:val="20"/>
                <w:lang w:val="en-GB"/>
              </w:rPr>
              <w:t>(3)  In urban areas boys attend school for an average of 9.3 years, slightly longer than girls (8.1 years).  The average for rural girls is 2.9 years, and the gap between urban and rural girls widened from 4.5 years in 1996 to 5.2 years in 2000.  Similarly, the average for rural boys is longer at 4.7 years than the average of 2.9 years for rural girls, but the gap widened from 1.5 years in 1996 to 1.8 years in 2000 (ENDES-2000)</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S8.4.1  INEI survey</w:t>
            </w:r>
          </w:p>
        </w:tc>
        <w:tc>
          <w:tcPr>
            <w:tcW w:w="3283"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T8.5  To ensure that 75 per cent of children achieve the basic educational standards.  The average level of achievement to be no lower than 60 per cent in any province in any of the country’s non-excluded regions</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I8.5  Proportion of children in the sixth grade of primary education attaining the basic educational standards</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In 1997 Peru occupied last place in mathematics and second-last place in language among the countries of Latin America in an international assessment of pupils in the third and fourth primary grades made by UNESCO (Strategic Sectoral Education Plan 2002-2006)</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S8.5.1  MINEDU</w:t>
            </w:r>
          </w:p>
        </w:tc>
        <w:tc>
          <w:tcPr>
            <w:tcW w:w="3283"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T8.6  To achieve by 2010 an increase of five per cent in the number of sixth-graders passing the Academic Performance Test in rural and urban areas</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I8.6  Proportion of sixth-graders passing the Academic Performance Test</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szCs w:val="16"/>
                <w:lang w:val="en-GB"/>
              </w:rPr>
              <w:t> </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S8.6.1  MINEDU</w:t>
            </w:r>
          </w:p>
        </w:tc>
        <w:tc>
          <w:tcPr>
            <w:tcW w:w="3283"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T8.7  To ensure that the primary enrolment and retention rates are no lower than 85 per cent in any province in any of the country’s excluded regions</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I8.7  Proportion of children aged 12 to 14 with complete primary education or at least one year of secondary education</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The graduation rate from primary education was 88 per cent in 1999-2000; the repeated-year rate was nine per cent and the drop-out rate three per cent (</w:t>
            </w:r>
            <w:r>
              <w:rPr>
                <w:i/>
                <w:sz w:val="20"/>
                <w:lang w:val="en-GB"/>
              </w:rPr>
              <w:t>Peru in Numbers</w:t>
            </w:r>
            <w:r>
              <w:rPr>
                <w:sz w:val="20"/>
                <w:lang w:val="en-GB"/>
              </w:rPr>
              <w:t xml:space="preserve"> statistical yearbook 2001.  Lima, September 2001)</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S8.7.1  INEI surveys</w:t>
            </w:r>
          </w:p>
        </w:tc>
        <w:tc>
          <w:tcPr>
            <w:tcW w:w="3283"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T8.8  To ensure by 2010 that at least 60 per cent of children aged three to five who have attended initial education have developed social, cognitive and communication skills</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I8.8  Proportion of children successful completing the first grade of primary school</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US"/>
              </w:rPr>
            </w:pPr>
            <w:r>
              <w:rPr>
                <w:sz w:val="20"/>
                <w:lang w:val="en-GB"/>
              </w:rPr>
              <w:t>According to the 2000 Census of Schools, 89 per cent of pupils complete the first grade of primary school successfully</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US"/>
              </w:rPr>
            </w:pPr>
            <w:r>
              <w:rPr>
                <w:sz w:val="20"/>
                <w:lang w:val="en-GB"/>
              </w:rPr>
              <w:t>S8.8.1  MINEDU</w:t>
            </w:r>
          </w:p>
        </w:tc>
        <w:tc>
          <w:tcPr>
            <w:tcW w:w="3283"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US"/>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23" w:type="dxa"/>
            <w:gridSpan w:val="2"/>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r>
              <w:rPr>
                <w:sz w:val="20"/>
                <w:lang w:val="en-GB"/>
              </w:rPr>
              <w:t>O9  Elimination of the worst forms of child labour and promotion of educational alternatives to such labour</w:t>
            </w: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T9.4  To introduce mechanisms to retain working children in the education system and reduce their drop-out rate</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I9.4  Existence of a mechanism to retain working children in the education system and reduce their drop-out rate</w:t>
            </w:r>
          </w:p>
        </w:tc>
        <w:tc>
          <w:tcPr>
            <w:tcW w:w="2713" w:type="dxa"/>
            <w:tcBorders>
              <w:top w:val="nil"/>
              <w:left w:val="nil"/>
              <w:bottom w:val="single" w:sz="4" w:space="0" w:color="auto"/>
              <w:right w:val="single" w:sz="4" w:space="0" w:color="auto"/>
            </w:tcBorders>
            <w:noWrap/>
            <w:vAlign w:val="center"/>
          </w:tcPr>
          <w:p w:rsidR="00000000" w:rsidRDefault="00000000">
            <w:pPr>
              <w:jc w:val="left"/>
              <w:rPr>
                <w:sz w:val="20"/>
                <w:szCs w:val="16"/>
                <w:lang w:val="en-GB"/>
              </w:rPr>
            </w:pPr>
            <w:r>
              <w:rPr>
                <w:sz w:val="20"/>
                <w:szCs w:val="16"/>
                <w:lang w:val="en-GB"/>
              </w:rPr>
              <w:t> </w:t>
            </w:r>
          </w:p>
        </w:tc>
        <w:tc>
          <w:tcPr>
            <w:tcW w:w="2230" w:type="dxa"/>
            <w:tcBorders>
              <w:top w:val="nil"/>
              <w:left w:val="nil"/>
              <w:bottom w:val="single" w:sz="4" w:space="0" w:color="auto"/>
              <w:right w:val="single" w:sz="4" w:space="0" w:color="auto"/>
            </w:tcBorders>
            <w:noWrap/>
            <w:vAlign w:val="center"/>
          </w:tcPr>
          <w:p w:rsidR="00000000" w:rsidRDefault="00000000">
            <w:pPr>
              <w:jc w:val="left"/>
              <w:rPr>
                <w:sz w:val="20"/>
                <w:szCs w:val="16"/>
                <w:lang w:val="en-GB"/>
              </w:rPr>
            </w:pPr>
            <w:r>
              <w:rPr>
                <w:sz w:val="20"/>
                <w:lang w:val="en-GB"/>
              </w:rPr>
              <w:t>S9.4.1  MINEDU</w:t>
            </w:r>
          </w:p>
        </w:tc>
        <w:tc>
          <w:tcPr>
            <w:tcW w:w="3283" w:type="dxa"/>
            <w:tcBorders>
              <w:top w:val="nil"/>
              <w:left w:val="nil"/>
              <w:bottom w:val="single" w:sz="4" w:space="0" w:color="auto"/>
              <w:right w:val="single" w:sz="4" w:space="0" w:color="auto"/>
            </w:tcBorders>
            <w:noWrap/>
            <w:vAlign w:val="center"/>
          </w:tcPr>
          <w:p w:rsidR="00000000" w:rsidRDefault="00000000">
            <w:pPr>
              <w:jc w:val="left"/>
              <w:rPr>
                <w:sz w:val="20"/>
                <w:szCs w:val="16"/>
                <w:lang w:val="en-GB"/>
              </w:rPr>
            </w:pPr>
            <w:r>
              <w:rPr>
                <w:i/>
                <w:sz w:val="20"/>
                <w:lang w:val="en-GB"/>
              </w:rPr>
              <w:t>Direct R9</w:t>
            </w:r>
            <w:r>
              <w:rPr>
                <w:sz w:val="20"/>
                <w:lang w:val="en-GB"/>
              </w:rPr>
              <w:t>:  MINEDU</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val="restart"/>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r>
              <w:rPr>
                <w:sz w:val="20"/>
                <w:lang w:val="en-GB"/>
              </w:rPr>
              <w:t>O10  Good-quality secondary education</w:t>
            </w: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T10.1  To ensure that 80 per cent of children completing secondary education do so at the correct age</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I10.1  Proportion of persons aged 17 to 20 with complete secondary education or at least one year of higher education</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The over-age rate in secondary education is 28 per cent in rural areas and 20 per cent in urban areas (ENDES-2000)</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S10.1.1  INEI survey</w:t>
            </w:r>
          </w:p>
        </w:tc>
        <w:tc>
          <w:tcPr>
            <w:tcW w:w="3283" w:type="dxa"/>
            <w:vMerge w:val="restart"/>
            <w:tcBorders>
              <w:top w:val="nil"/>
              <w:left w:val="single" w:sz="4" w:space="0" w:color="auto"/>
              <w:bottom w:val="single" w:sz="4" w:space="0" w:color="auto"/>
              <w:right w:val="single" w:sz="4" w:space="0" w:color="auto"/>
            </w:tcBorders>
            <w:vAlign w:val="center"/>
          </w:tcPr>
          <w:p w:rsidR="00000000" w:rsidRDefault="00000000">
            <w:pPr>
              <w:jc w:val="left"/>
              <w:rPr>
                <w:sz w:val="20"/>
                <w:lang w:val="en-GB"/>
              </w:rPr>
            </w:pPr>
            <w:r>
              <w:rPr>
                <w:i/>
                <w:sz w:val="20"/>
                <w:lang w:val="en-GB"/>
              </w:rPr>
              <w:t>Direct R10</w:t>
            </w:r>
            <w:r>
              <w:rPr>
                <w:sz w:val="20"/>
                <w:lang w:val="en-GB"/>
              </w:rPr>
              <w:t>:  MINEDU, education associations, MCLCP</w:t>
            </w:r>
          </w:p>
          <w:p w:rsidR="00000000" w:rsidRDefault="00000000">
            <w:pPr>
              <w:jc w:val="left"/>
              <w:rPr>
                <w:sz w:val="20"/>
                <w:szCs w:val="16"/>
                <w:lang w:val="en-GB"/>
              </w:rPr>
            </w:pPr>
            <w:r>
              <w:rPr>
                <w:i/>
                <w:sz w:val="20"/>
                <w:lang w:val="en-GB"/>
              </w:rPr>
              <w:t>Support R10</w:t>
            </w:r>
            <w:r>
              <w:rPr>
                <w:sz w:val="20"/>
                <w:lang w:val="en-GB"/>
              </w:rPr>
              <w:t>:  UNESCO, international cooperation, mass media, national and international NGOs, churches, private sector, civic and community organizations, families, youth organizations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T10.2  The completion rate in secondary education to be no lower than 80 per cent in any province in any of the country’s poor regions</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I10.2  proportion of persons aged 17 to 20 with complete secondary education or at least one year of higher education</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The secondary graduation rate was 89 per cent in 1999-2000; the repeated-year rate was seven per cent and the drop-out rate four per cent (</w:t>
            </w:r>
            <w:r>
              <w:rPr>
                <w:i/>
                <w:sz w:val="20"/>
                <w:lang w:val="en-GB"/>
              </w:rPr>
              <w:t>Peru in Numbers</w:t>
            </w:r>
            <w:r>
              <w:rPr>
                <w:sz w:val="20"/>
                <w:lang w:val="en-GB"/>
              </w:rPr>
              <w:t xml:space="preserve"> statistical yearbook 2001.  Lima, September 2001)</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US"/>
              </w:rPr>
            </w:pPr>
            <w:r>
              <w:rPr>
                <w:sz w:val="20"/>
                <w:lang w:val="en-GB"/>
              </w:rPr>
              <w:t>S10.2.1  INEI survey</w:t>
            </w:r>
          </w:p>
        </w:tc>
        <w:tc>
          <w:tcPr>
            <w:tcW w:w="3283"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US"/>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US"/>
              </w:rPr>
            </w:pP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T10.5  To ensure by 2005 that the humans rights course is fully incorporated in the curriculum of all the country’s public and private schools</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I10.5  Existence of a one-year course on human rights</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szCs w:val="16"/>
                <w:lang w:val="en-GB"/>
              </w:rPr>
              <w:t> </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S10.5.1  MINEDU</w:t>
            </w:r>
          </w:p>
        </w:tc>
        <w:tc>
          <w:tcPr>
            <w:tcW w:w="3283"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val="restart"/>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r>
              <w:rPr>
                <w:sz w:val="20"/>
                <w:lang w:val="en-GB"/>
              </w:rPr>
              <w:t>O11  Reduced teenage pregnancy rate</w:t>
            </w: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T11.3  To ensure that 70 per cent of schools have institutional teaching projects on the content of sex education, gender equity, prevention of risky sexual behaviour, antenatal care, and comprehensive care of children</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I11.3.1  Proportion of schools with institutional teaching projects on the content of sex education, gender equity, prevention of risky sexual behaviour, antenatal care, and comprehensive care of children</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szCs w:val="16"/>
                <w:lang w:val="en-GB"/>
              </w:rPr>
              <w:t> </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S11.3  MINEDU</w:t>
            </w:r>
          </w:p>
        </w:tc>
        <w:tc>
          <w:tcPr>
            <w:tcW w:w="3283" w:type="dxa"/>
            <w:vMerge w:val="restart"/>
            <w:tcBorders>
              <w:top w:val="nil"/>
              <w:left w:val="single" w:sz="4" w:space="0" w:color="auto"/>
              <w:bottom w:val="single" w:sz="4" w:space="0" w:color="auto"/>
              <w:right w:val="single" w:sz="4" w:space="0" w:color="auto"/>
            </w:tcBorders>
            <w:vAlign w:val="center"/>
          </w:tcPr>
          <w:p w:rsidR="00000000" w:rsidRDefault="00000000">
            <w:pPr>
              <w:jc w:val="left"/>
              <w:rPr>
                <w:sz w:val="20"/>
                <w:lang w:val="en-GB"/>
              </w:rPr>
            </w:pPr>
            <w:r>
              <w:rPr>
                <w:i/>
                <w:sz w:val="20"/>
                <w:lang w:val="en-GB"/>
              </w:rPr>
              <w:t>Direct R11</w:t>
            </w:r>
            <w:r>
              <w:rPr>
                <w:sz w:val="20"/>
                <w:lang w:val="en-GB"/>
              </w:rPr>
              <w:t>:  MINEDU, MINSA, education associations, MIMDES, PNP, MCLCP</w:t>
            </w:r>
          </w:p>
          <w:p w:rsidR="00000000" w:rsidRDefault="00000000">
            <w:pPr>
              <w:jc w:val="left"/>
              <w:rPr>
                <w:sz w:val="20"/>
                <w:szCs w:val="16"/>
                <w:lang w:val="en-GB"/>
              </w:rPr>
            </w:pPr>
            <w:r>
              <w:rPr>
                <w:i/>
                <w:sz w:val="20"/>
                <w:lang w:val="en-GB"/>
              </w:rPr>
              <w:t>Support R11</w:t>
            </w:r>
            <w:r>
              <w:rPr>
                <w:sz w:val="20"/>
                <w:lang w:val="en-GB"/>
              </w:rPr>
              <w:t>: UNFPA, children’s ombudsmen, communication media, national and international NGOs, churches, private sector, civic and community organizations, families, youth organizations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T11.4  To ensure that no pregnant teenagers give up school for reasons connected with their personal situation</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I11.4.1  Cases of teenage or other females of childbearing age who give up school for reasons connected with their pregnancy</w:t>
            </w:r>
            <w:r>
              <w:rPr>
                <w:sz w:val="20"/>
                <w:lang w:val="en-GB"/>
              </w:rPr>
              <w:br/>
              <w:t>I11.4.2  Pregnancy rate in the schools</w:t>
            </w:r>
          </w:p>
        </w:tc>
        <w:tc>
          <w:tcPr>
            <w:tcW w:w="2713" w:type="dxa"/>
            <w:tcBorders>
              <w:top w:val="nil"/>
              <w:left w:val="nil"/>
              <w:bottom w:val="single" w:sz="4" w:space="0" w:color="auto"/>
              <w:right w:val="single" w:sz="4" w:space="0" w:color="auto"/>
            </w:tcBorders>
            <w:vAlign w:val="center"/>
          </w:tcPr>
          <w:p w:rsidR="00000000" w:rsidRDefault="00000000">
            <w:pPr>
              <w:jc w:val="left"/>
              <w:rPr>
                <w:sz w:val="20"/>
                <w:lang w:val="en-GB"/>
              </w:rPr>
            </w:pPr>
            <w:r>
              <w:rPr>
                <w:sz w:val="20"/>
                <w:lang w:val="en-GB"/>
              </w:rPr>
              <w:t>(1)  Twenty-three per cent of adolescents, most of them girls, do not attend school</w:t>
            </w:r>
          </w:p>
          <w:p w:rsidR="00000000" w:rsidRDefault="00000000">
            <w:pPr>
              <w:jc w:val="left"/>
              <w:rPr>
                <w:sz w:val="20"/>
                <w:szCs w:val="16"/>
                <w:lang w:val="en-US"/>
              </w:rPr>
            </w:pPr>
            <w:r>
              <w:rPr>
                <w:sz w:val="20"/>
                <w:lang w:val="en-GB"/>
              </w:rPr>
              <w:t>(2)  Article 14 of the Children’s and Adolescents’ Code (ENDES-2000)</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US"/>
              </w:rPr>
            </w:pPr>
            <w:r>
              <w:rPr>
                <w:sz w:val="20"/>
                <w:lang w:val="en-GB"/>
              </w:rPr>
              <w:t>S11.4  MINEDU</w:t>
            </w:r>
          </w:p>
        </w:tc>
        <w:tc>
          <w:tcPr>
            <w:tcW w:w="3283"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US"/>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left"/>
              <w:rPr>
                <w:sz w:val="20"/>
                <w:szCs w:val="16"/>
                <w:lang w:val="en-GB"/>
              </w:rPr>
            </w:pPr>
            <w:r>
              <w:rPr>
                <w:sz w:val="20"/>
                <w:lang w:val="en-GB"/>
              </w:rPr>
              <w:t>O12  Reduction of STI and HIV/AIDS among adolescents</w:t>
            </w: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T12.1  To reduce by 50 per cent the incidence of STI and HIV/AIDS among adolescents</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I12.1.1  Adolescent STI rates.</w:t>
            </w:r>
            <w:r>
              <w:rPr>
                <w:sz w:val="20"/>
                <w:lang w:val="en-GB"/>
              </w:rPr>
              <w:br/>
              <w:t>I12.1.2 Incidence of HIV/AIDS among adolescents</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(1)  The male to female ratio of AIDS sufferers is 3:1.2;  as of December 1999 there were 4,500 children aged under 15 living with HIV/AIDS (ENDES-2000)</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S12.1.1  MINSA</w:t>
            </w:r>
          </w:p>
        </w:tc>
        <w:tc>
          <w:tcPr>
            <w:tcW w:w="3283" w:type="dxa"/>
            <w:vMerge w:val="restart"/>
            <w:tcBorders>
              <w:top w:val="nil"/>
              <w:left w:val="single" w:sz="4" w:space="0" w:color="auto"/>
              <w:bottom w:val="single" w:sz="4" w:space="0" w:color="auto"/>
              <w:right w:val="single" w:sz="4" w:space="0" w:color="auto"/>
            </w:tcBorders>
            <w:vAlign w:val="center"/>
          </w:tcPr>
          <w:p w:rsidR="00000000" w:rsidRDefault="00000000">
            <w:pPr>
              <w:jc w:val="left"/>
              <w:rPr>
                <w:sz w:val="20"/>
                <w:lang w:val="en-GB"/>
              </w:rPr>
            </w:pPr>
            <w:r>
              <w:rPr>
                <w:i/>
                <w:sz w:val="20"/>
                <w:lang w:val="en-GB"/>
              </w:rPr>
              <w:t>Direct R12</w:t>
            </w:r>
            <w:r>
              <w:rPr>
                <w:sz w:val="20"/>
                <w:lang w:val="en-GB"/>
              </w:rPr>
              <w:t>:  MINSA, MINEDU, education associations, MIMDES, MCLCP</w:t>
            </w:r>
          </w:p>
          <w:p w:rsidR="00000000" w:rsidRDefault="00000000">
            <w:pPr>
              <w:jc w:val="left"/>
              <w:rPr>
                <w:sz w:val="20"/>
                <w:szCs w:val="16"/>
                <w:lang w:val="en-GB"/>
              </w:rPr>
            </w:pPr>
            <w:r>
              <w:rPr>
                <w:i/>
                <w:sz w:val="20"/>
                <w:lang w:val="en-GB"/>
              </w:rPr>
              <w:t>Support R12</w:t>
            </w:r>
            <w:r>
              <w:rPr>
                <w:sz w:val="20"/>
                <w:lang w:val="en-GB"/>
              </w:rPr>
              <w:t>:  UNFPA, PAHO/WHO, CONFIEP, communication media, national and international NGOs, churches, private sector, civic and community organizations, families, youth organizations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tcBorders>
              <w:top w:val="single" w:sz="4" w:space="0" w:color="auto"/>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T12.2  To ensure that 100 per cent of adolescents and secondary teachers have acquired knowledge and skills connected with sex education and are aware of the risks of STI and HIV/AIDS</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I12.2.1  Proportion of adolescents who have knowledge and skills connected with sex education and are aware of the risks of STI and HIV/AIDS</w:t>
            </w:r>
            <w:r>
              <w:rPr>
                <w:sz w:val="20"/>
                <w:szCs w:val="16"/>
                <w:lang w:val="en-GB"/>
              </w:rPr>
              <w:br/>
            </w:r>
            <w:r>
              <w:rPr>
                <w:sz w:val="20"/>
                <w:lang w:val="en-GB"/>
              </w:rPr>
              <w:t>I12.2.2  Proportion of secondary teachers who have adequate knowledge and skills connected with sex education and are aware of the risks of STI and HIV/AIDS</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szCs w:val="16"/>
                <w:lang w:val="en-GB"/>
              </w:rPr>
              <w:t> </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pt-BR"/>
              </w:rPr>
            </w:pPr>
            <w:r>
              <w:rPr>
                <w:sz w:val="20"/>
                <w:lang w:val="pt-BR"/>
              </w:rPr>
              <w:t>S12.2.1  MINSA    S12.2.2   MINEDU      S12.2.3  ENDES/INEI surveys</w:t>
            </w:r>
          </w:p>
        </w:tc>
        <w:tc>
          <w:tcPr>
            <w:tcW w:w="3283"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pt-BR"/>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400" w:type="dxa"/>
            <w:gridSpan w:val="7"/>
            <w:tcBorders>
              <w:top w:val="single" w:sz="4" w:space="0" w:color="auto"/>
              <w:left w:val="single" w:sz="4" w:space="0" w:color="auto"/>
              <w:bottom w:val="single" w:sz="4" w:space="0" w:color="auto"/>
              <w:right w:val="single" w:sz="4" w:space="0" w:color="000000"/>
            </w:tcBorders>
          </w:tcPr>
          <w:p w:rsidR="00000000" w:rsidRDefault="00000000">
            <w:pPr>
              <w:keepNext/>
              <w:spacing w:after="80"/>
              <w:jc w:val="left"/>
              <w:rPr>
                <w:b/>
                <w:sz w:val="20"/>
                <w:lang w:val="en-GB"/>
              </w:rPr>
            </w:pPr>
            <w:r>
              <w:rPr>
                <w:b/>
                <w:sz w:val="20"/>
                <w:lang w:val="en-GB"/>
              </w:rPr>
              <w:t>5.</w:t>
            </w:r>
            <w:r>
              <w:rPr>
                <w:b/>
                <w:sz w:val="20"/>
                <w:lang w:val="en-GB"/>
              </w:rPr>
              <w:tab/>
              <w:t>The right to health</w:t>
            </w:r>
          </w:p>
          <w:p w:rsidR="00000000" w:rsidRDefault="00000000">
            <w:pPr>
              <w:keepNext/>
              <w:spacing w:after="80"/>
              <w:jc w:val="left"/>
              <w:rPr>
                <w:bCs/>
                <w:sz w:val="20"/>
                <w:lang w:val="en-GB"/>
              </w:rPr>
            </w:pPr>
            <w:r>
              <w:rPr>
                <w:b/>
                <w:sz w:val="20"/>
                <w:lang w:val="en-GB"/>
              </w:rPr>
              <w:tab/>
            </w:r>
            <w:r>
              <w:rPr>
                <w:bCs/>
                <w:sz w:val="20"/>
                <w:lang w:val="en-GB"/>
              </w:rPr>
              <w:t>This means the right of all children to maintain a state of full physical and mental health for their normal development through the provision of health and social measures relating to their maintenance, clothing, housing and medical care, at a level affordable by public and community resources.</w:t>
            </w:r>
          </w:p>
          <w:p w:rsidR="00000000" w:rsidRDefault="00000000">
            <w:pPr>
              <w:keepNext/>
              <w:keepLines/>
              <w:spacing w:before="60" w:after="60"/>
              <w:jc w:val="left"/>
              <w:rPr>
                <w:bCs/>
                <w:sz w:val="20"/>
                <w:lang w:val="en-GB"/>
              </w:rPr>
            </w:pPr>
            <w:r>
              <w:rPr>
                <w:bCs/>
                <w:sz w:val="20"/>
                <w:lang w:val="en-GB"/>
              </w:rPr>
              <w:tab/>
              <w:t>This right is manifested in the rights to health, clothing. Housing, health education and physical education.</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val="restart"/>
            <w:tcBorders>
              <w:top w:val="nil"/>
              <w:left w:val="single" w:sz="4" w:space="0" w:color="auto"/>
              <w:bottom w:val="single" w:sz="4" w:space="0" w:color="auto"/>
              <w:right w:val="single" w:sz="4" w:space="0" w:color="auto"/>
            </w:tcBorders>
            <w:vAlign w:val="center"/>
          </w:tcPr>
          <w:p w:rsidR="00000000" w:rsidRDefault="00000000">
            <w:pPr>
              <w:keepNext/>
              <w:keepLines/>
              <w:jc w:val="left"/>
              <w:rPr>
                <w:sz w:val="20"/>
                <w:szCs w:val="16"/>
                <w:lang w:val="en-GB"/>
              </w:rPr>
            </w:pPr>
            <w:r>
              <w:rPr>
                <w:sz w:val="20"/>
                <w:lang w:val="en-GB"/>
              </w:rPr>
              <w:t>O3  Breastfeeding and food supplements for all children</w:t>
            </w:r>
          </w:p>
        </w:tc>
        <w:tc>
          <w:tcPr>
            <w:tcW w:w="2215" w:type="dxa"/>
            <w:tcBorders>
              <w:top w:val="nil"/>
              <w:left w:val="nil"/>
              <w:bottom w:val="single" w:sz="4" w:space="0" w:color="auto"/>
              <w:right w:val="single" w:sz="4" w:space="0" w:color="auto"/>
            </w:tcBorders>
            <w:vAlign w:val="center"/>
          </w:tcPr>
          <w:p w:rsidR="00000000" w:rsidRDefault="00000000">
            <w:pPr>
              <w:keepNext/>
              <w:keepLines/>
              <w:jc w:val="left"/>
              <w:rPr>
                <w:sz w:val="20"/>
                <w:szCs w:val="16"/>
                <w:lang w:val="en-GB"/>
              </w:rPr>
            </w:pPr>
            <w:r>
              <w:rPr>
                <w:sz w:val="20"/>
                <w:lang w:val="en-GB"/>
              </w:rPr>
              <w:t>T3.1  To reduce by 20 per cent the proportion of live births with low birth-weight</w:t>
            </w:r>
          </w:p>
        </w:tc>
        <w:tc>
          <w:tcPr>
            <w:tcW w:w="2236" w:type="dxa"/>
            <w:tcBorders>
              <w:top w:val="nil"/>
              <w:left w:val="nil"/>
              <w:bottom w:val="single" w:sz="4" w:space="0" w:color="auto"/>
              <w:right w:val="single" w:sz="4" w:space="0" w:color="auto"/>
            </w:tcBorders>
            <w:vAlign w:val="center"/>
          </w:tcPr>
          <w:p w:rsidR="00000000" w:rsidRDefault="00000000">
            <w:pPr>
              <w:keepNext/>
              <w:keepLines/>
              <w:jc w:val="left"/>
              <w:rPr>
                <w:sz w:val="20"/>
                <w:szCs w:val="16"/>
                <w:lang w:val="en-GB"/>
              </w:rPr>
            </w:pPr>
            <w:r>
              <w:rPr>
                <w:sz w:val="20"/>
                <w:lang w:val="en-GB"/>
              </w:rPr>
              <w:t>I3.1  Proportion of live births with low birth-weight</w:t>
            </w:r>
          </w:p>
        </w:tc>
        <w:tc>
          <w:tcPr>
            <w:tcW w:w="2713" w:type="dxa"/>
            <w:tcBorders>
              <w:top w:val="nil"/>
              <w:left w:val="nil"/>
              <w:bottom w:val="single" w:sz="4" w:space="0" w:color="auto"/>
              <w:right w:val="single" w:sz="4" w:space="0" w:color="auto"/>
            </w:tcBorders>
            <w:vAlign w:val="center"/>
          </w:tcPr>
          <w:p w:rsidR="00000000" w:rsidRDefault="00000000">
            <w:pPr>
              <w:keepNext/>
              <w:keepLines/>
              <w:jc w:val="left"/>
              <w:rPr>
                <w:sz w:val="20"/>
                <w:szCs w:val="16"/>
                <w:lang w:val="en-GB"/>
              </w:rPr>
            </w:pPr>
            <w:r>
              <w:rPr>
                <w:sz w:val="20"/>
                <w:lang w:val="en-GB"/>
              </w:rPr>
              <w:t>Some six per cent of babies born in the past five years had low birth-weight (under 2.5 kilos).  There are differences in the failure to report birth-weight (because the baby was not weighed): the failure rate is about 28 per cent nation-wide but higher in rural areas (48%) than in urban areas (10%) (ENDES-2000)</w:t>
            </w:r>
          </w:p>
        </w:tc>
        <w:tc>
          <w:tcPr>
            <w:tcW w:w="2230" w:type="dxa"/>
            <w:tcBorders>
              <w:top w:val="nil"/>
              <w:left w:val="nil"/>
              <w:bottom w:val="single" w:sz="4" w:space="0" w:color="auto"/>
              <w:right w:val="single" w:sz="4" w:space="0" w:color="auto"/>
            </w:tcBorders>
            <w:vAlign w:val="center"/>
          </w:tcPr>
          <w:p w:rsidR="00000000" w:rsidRDefault="00000000">
            <w:pPr>
              <w:keepNext/>
              <w:keepLines/>
              <w:jc w:val="left"/>
              <w:rPr>
                <w:sz w:val="20"/>
                <w:szCs w:val="16"/>
                <w:lang w:val="en-GB"/>
              </w:rPr>
            </w:pPr>
            <w:r>
              <w:rPr>
                <w:sz w:val="20"/>
                <w:lang w:val="en-GB"/>
              </w:rPr>
              <w:t>S3.1.1  RENIEC</w:t>
            </w:r>
            <w:r>
              <w:rPr>
                <w:sz w:val="20"/>
                <w:lang w:val="en-GB"/>
              </w:rPr>
              <w:br/>
              <w:t>S3.1.2   INEI survey</w:t>
            </w:r>
          </w:p>
        </w:tc>
        <w:tc>
          <w:tcPr>
            <w:tcW w:w="3283" w:type="dxa"/>
            <w:vMerge w:val="restart"/>
            <w:tcBorders>
              <w:top w:val="nil"/>
              <w:left w:val="single" w:sz="4" w:space="0" w:color="auto"/>
              <w:bottom w:val="single" w:sz="4" w:space="0" w:color="auto"/>
              <w:right w:val="single" w:sz="4" w:space="0" w:color="auto"/>
            </w:tcBorders>
          </w:tcPr>
          <w:p w:rsidR="00000000" w:rsidRDefault="00000000">
            <w:pPr>
              <w:keepNext/>
              <w:jc w:val="left"/>
              <w:rPr>
                <w:i/>
                <w:sz w:val="20"/>
                <w:lang w:val="en-GB"/>
              </w:rPr>
            </w:pPr>
          </w:p>
          <w:p w:rsidR="00000000" w:rsidRDefault="00000000">
            <w:pPr>
              <w:keepNext/>
              <w:jc w:val="left"/>
              <w:rPr>
                <w:i/>
                <w:sz w:val="20"/>
                <w:lang w:val="en-GB"/>
              </w:rPr>
            </w:pPr>
          </w:p>
          <w:p w:rsidR="00000000" w:rsidRDefault="00000000">
            <w:pPr>
              <w:keepNext/>
              <w:jc w:val="left"/>
              <w:rPr>
                <w:i/>
                <w:sz w:val="20"/>
                <w:lang w:val="en-GB"/>
              </w:rPr>
            </w:pPr>
          </w:p>
          <w:p w:rsidR="00000000" w:rsidRDefault="00000000">
            <w:pPr>
              <w:keepNext/>
              <w:jc w:val="left"/>
              <w:rPr>
                <w:i/>
                <w:sz w:val="20"/>
                <w:lang w:val="en-GB"/>
              </w:rPr>
            </w:pPr>
          </w:p>
          <w:p w:rsidR="00000000" w:rsidRDefault="00000000">
            <w:pPr>
              <w:keepNext/>
              <w:jc w:val="left"/>
              <w:rPr>
                <w:i/>
                <w:sz w:val="20"/>
                <w:lang w:val="en-GB"/>
              </w:rPr>
            </w:pPr>
          </w:p>
          <w:p w:rsidR="00000000" w:rsidRDefault="00000000">
            <w:pPr>
              <w:keepNext/>
              <w:jc w:val="left"/>
              <w:rPr>
                <w:i/>
                <w:sz w:val="20"/>
                <w:lang w:val="en-GB"/>
              </w:rPr>
            </w:pPr>
          </w:p>
          <w:p w:rsidR="00000000" w:rsidRDefault="00000000">
            <w:pPr>
              <w:keepNext/>
              <w:jc w:val="left"/>
              <w:rPr>
                <w:i/>
                <w:sz w:val="20"/>
                <w:lang w:val="en-GB"/>
              </w:rPr>
            </w:pPr>
          </w:p>
          <w:p w:rsidR="00000000" w:rsidRDefault="00000000">
            <w:pPr>
              <w:keepNext/>
              <w:jc w:val="left"/>
              <w:rPr>
                <w:i/>
                <w:sz w:val="20"/>
                <w:lang w:val="en-GB"/>
              </w:rPr>
            </w:pPr>
          </w:p>
          <w:p w:rsidR="00000000" w:rsidRDefault="00000000">
            <w:pPr>
              <w:keepNext/>
              <w:jc w:val="left"/>
              <w:rPr>
                <w:i/>
                <w:sz w:val="20"/>
                <w:lang w:val="en-GB"/>
              </w:rPr>
            </w:pPr>
          </w:p>
          <w:p w:rsidR="00000000" w:rsidRDefault="00000000">
            <w:pPr>
              <w:keepNext/>
              <w:jc w:val="left"/>
              <w:rPr>
                <w:sz w:val="20"/>
                <w:lang w:val="en-GB"/>
              </w:rPr>
            </w:pPr>
            <w:r>
              <w:rPr>
                <w:i/>
                <w:sz w:val="20"/>
                <w:lang w:val="en-GB"/>
              </w:rPr>
              <w:t>Direct R3</w:t>
            </w:r>
            <w:r>
              <w:rPr>
                <w:sz w:val="20"/>
                <w:lang w:val="en-GB"/>
              </w:rPr>
              <w:t>:  MINSA, MINEDU, education associations, MCLCP, MIMDES</w:t>
            </w:r>
          </w:p>
          <w:p w:rsidR="00000000" w:rsidRDefault="00000000">
            <w:pPr>
              <w:keepNext/>
              <w:jc w:val="left"/>
              <w:rPr>
                <w:sz w:val="20"/>
                <w:lang w:val="en-GB"/>
              </w:rPr>
            </w:pPr>
            <w:r>
              <w:rPr>
                <w:i/>
                <w:sz w:val="20"/>
                <w:lang w:val="en-GB"/>
              </w:rPr>
              <w:t>Support R3</w:t>
            </w:r>
            <w:r>
              <w:rPr>
                <w:sz w:val="20"/>
                <w:lang w:val="en-GB"/>
              </w:rPr>
              <w:t>:  UNFPA, UNICEF, international cooperation, mass media, national and international NGOs, churches, private sector, civic and community organizations, families</w:t>
            </w:r>
          </w:p>
          <w:p w:rsidR="00000000" w:rsidRDefault="00000000">
            <w:pPr>
              <w:keepNext/>
              <w:keepLines/>
              <w:jc w:val="left"/>
              <w:rPr>
                <w:sz w:val="20"/>
                <w:szCs w:val="16"/>
                <w:lang w:val="en-GB"/>
              </w:rPr>
            </w:pPr>
            <w:r>
              <w:rPr>
                <w:sz w:val="20"/>
                <w:lang w:val="en-GB"/>
              </w:rPr>
              <w:t>Supplementary Food Programme; PRONAA school meals programme, comprehensive health insurance scheme</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T3.2  To reduce chronic malnutrition among children aged under three years by 20 per cent throughout the country</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I3.2  Proportion of under-threes with chronic malnutrition</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One quarter of three-year-olds suffer from chronic malnutrition.  The three national surveys carried out during the decade show a considerable gap between the rates in urban areas (13 per cent in 200) and rural areas (same level of 40 per cent in 1996 and 2000) (ENDES-2000)</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S3.2.1  INEI surveys</w:t>
            </w:r>
          </w:p>
        </w:tc>
        <w:tc>
          <w:tcPr>
            <w:tcW w:w="3283"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T3.3  To ensure that 80 per cent of children aged under 12 months are exclusively breast-fed up to the sixth month</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I3.3  Proportion of children aged under 12 months exclusively breast-fed up to the sixth month</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In 2000 the rate of exclusive breastfeeding up to the sixth month was about 58 per cent (19 points higher than in 1996), with an increase in the average duration of exclusive breastfeeding from 2.7 months in 1996 to 4.2 months in 2000 (ENDES-2000)</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S3.3.1  INEI surveys</w:t>
            </w:r>
          </w:p>
        </w:tc>
        <w:tc>
          <w:tcPr>
            <w:tcW w:w="3283"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T3.4  To improve nutritional practices for 80 per cent of under-threes</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I3.4  Proportion of under-threes whose mothers have taken up good child-nutrition practices</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Consumer surveys show that 58 per cent of under-twos have an insufficient energy intake (ENDES-2000)</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S3.4.1  INEI surveys</w:t>
            </w:r>
          </w:p>
        </w:tc>
        <w:tc>
          <w:tcPr>
            <w:tcW w:w="3283"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23" w:type="dxa"/>
            <w:gridSpan w:val="2"/>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r>
              <w:rPr>
                <w:sz w:val="20"/>
                <w:lang w:val="en-GB"/>
              </w:rPr>
              <w:t>O5  Guaranteed conditions for children to exercise the right to life</w:t>
            </w: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T5.3   To ensure that 100 per cent of children aged under 12 months receive BCG, DPT and polio vaccinations and that 100 per cent of one-year-olds are vaccinated against measles to consolidate the eradication of polio, measles and tetanus</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I5.3.1  Proportion of  children aged under 12 months receiving BCG, DPT and polio vaccinations</w:t>
            </w:r>
            <w:r>
              <w:rPr>
                <w:sz w:val="20"/>
                <w:lang w:val="en-GB"/>
              </w:rPr>
              <w:br/>
              <w:t>I5.3.2  Proportion of one-year-olds vaccinated against measles</w:t>
            </w:r>
            <w:r>
              <w:rPr>
                <w:sz w:val="20"/>
                <w:lang w:val="en-GB"/>
              </w:rPr>
              <w:br/>
              <w:t>I5.3.3  Confirmed cases of polio, measles and neonatal tetanus</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The coverage of polio (96% in 2000) and DPT3 (94% in 2000) vaccination are satisfactory with respect to children aged under 12 months.  However, rural areas in the interior of the country experience problems, especially difficulty of access, with the result that 33 per cent of remote districts had a coverage rate of under 80 per cent in 2000 (ENDES-2000)</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pt-BR"/>
              </w:rPr>
            </w:pPr>
            <w:r>
              <w:rPr>
                <w:sz w:val="20"/>
                <w:lang w:val="pt-BR"/>
              </w:rPr>
              <w:t>S5.3.1  MINSA        S5.3.2  MINSA</w:t>
            </w:r>
            <w:r>
              <w:rPr>
                <w:sz w:val="20"/>
                <w:lang w:val="pt-BR"/>
              </w:rPr>
              <w:br/>
              <w:t>S5.3.3  MINSA</w:t>
            </w:r>
            <w:r>
              <w:rPr>
                <w:sz w:val="20"/>
                <w:szCs w:val="16"/>
                <w:lang w:val="pt-BR"/>
              </w:rPr>
              <w:t xml:space="preserve"> </w:t>
            </w:r>
          </w:p>
        </w:tc>
        <w:tc>
          <w:tcPr>
            <w:tcW w:w="3283" w:type="dxa"/>
            <w:tcBorders>
              <w:top w:val="nil"/>
              <w:left w:val="nil"/>
              <w:bottom w:val="single" w:sz="4" w:space="0" w:color="auto"/>
              <w:right w:val="single" w:sz="4" w:space="0" w:color="auto"/>
            </w:tcBorders>
            <w:vAlign w:val="center"/>
          </w:tcPr>
          <w:p w:rsidR="00000000" w:rsidRDefault="00000000">
            <w:pPr>
              <w:jc w:val="left"/>
              <w:rPr>
                <w:sz w:val="20"/>
                <w:lang w:val="en-GB"/>
              </w:rPr>
            </w:pPr>
            <w:r>
              <w:rPr>
                <w:i/>
                <w:sz w:val="20"/>
                <w:lang w:val="en-GB"/>
              </w:rPr>
              <w:t>Direct R5</w:t>
            </w:r>
            <w:r>
              <w:rPr>
                <w:sz w:val="20"/>
                <w:lang w:val="en-GB"/>
              </w:rPr>
              <w:t>:  MINSA, SEDAPAL, local authorities, PCM, CTARS, MCLCP</w:t>
            </w:r>
          </w:p>
          <w:p w:rsidR="00000000" w:rsidRDefault="00000000">
            <w:pPr>
              <w:jc w:val="left"/>
              <w:rPr>
                <w:sz w:val="20"/>
                <w:szCs w:val="16"/>
                <w:lang w:val="en-GB"/>
              </w:rPr>
            </w:pPr>
            <w:r>
              <w:rPr>
                <w:i/>
                <w:sz w:val="20"/>
                <w:lang w:val="en-GB"/>
              </w:rPr>
              <w:t>Support R5</w:t>
            </w:r>
            <w:r>
              <w:rPr>
                <w:sz w:val="20"/>
                <w:lang w:val="en-GB"/>
              </w:rPr>
              <w:t>:  PAHO, WHO, UNICEF, international cooperation, communication media, prefectures, NGOs, churches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val="restart"/>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r>
              <w:rPr>
                <w:sz w:val="20"/>
                <w:lang w:val="en-GB"/>
              </w:rPr>
              <w:t>O6  Improvement of children’s intake of micronutrients</w:t>
            </w: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T6.1  To reduce chronic malnutrition by 20 per cent and acute malnutrition by 30 per cent in extremely poor areas</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I6.1.1  Chronic malnutrition rate</w:t>
            </w:r>
            <w:r>
              <w:rPr>
                <w:sz w:val="20"/>
                <w:lang w:val="en-GB"/>
              </w:rPr>
              <w:br/>
              <w:t>I16.1.2  Acute malnutrition rate</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Twenty-five per cent of under-fives suffer from chronic malnutrition.  Low weight for height or acute malnutrition is found only among one per cent of the children, and this rate is similar to the rate in previous years.  The problem is more serious among children aged 12 to 15 months (2%) and children of mothers living in the departments of Apúrimac, Loreto, Madre de Dios and Ayacucho, where over two per cent suffer from acute malnutrition (ENDES-2000)</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S6.1.1  INEI surveys     S6.1.2  MINSA</w:t>
            </w:r>
          </w:p>
        </w:tc>
        <w:tc>
          <w:tcPr>
            <w:tcW w:w="3283" w:type="dxa"/>
            <w:vMerge w:val="restart"/>
            <w:tcBorders>
              <w:top w:val="nil"/>
              <w:left w:val="single" w:sz="4" w:space="0" w:color="auto"/>
              <w:bottom w:val="single" w:sz="4" w:space="0" w:color="auto"/>
              <w:right w:val="single" w:sz="4" w:space="0" w:color="auto"/>
            </w:tcBorders>
            <w:vAlign w:val="center"/>
          </w:tcPr>
          <w:p w:rsidR="00000000" w:rsidRDefault="00000000">
            <w:pPr>
              <w:jc w:val="left"/>
              <w:rPr>
                <w:sz w:val="20"/>
                <w:lang w:val="en-GB"/>
              </w:rPr>
            </w:pPr>
            <w:r>
              <w:rPr>
                <w:i/>
                <w:sz w:val="20"/>
                <w:lang w:val="en-GB"/>
              </w:rPr>
              <w:t>Direct R6</w:t>
            </w:r>
            <w:r>
              <w:rPr>
                <w:sz w:val="20"/>
                <w:lang w:val="en-GB"/>
              </w:rPr>
              <w:t>:  MINSA, ESSALUD, local authorities, grass-roots social organizations, MIMDES, MCLCP</w:t>
            </w:r>
          </w:p>
          <w:p w:rsidR="00000000" w:rsidRDefault="00000000">
            <w:pPr>
              <w:jc w:val="left"/>
              <w:rPr>
                <w:sz w:val="20"/>
                <w:szCs w:val="16"/>
                <w:lang w:val="en-GB"/>
              </w:rPr>
            </w:pPr>
            <w:r>
              <w:rPr>
                <w:i/>
                <w:sz w:val="20"/>
                <w:lang w:val="en-GB"/>
              </w:rPr>
              <w:t>Support R6</w:t>
            </w:r>
            <w:r>
              <w:rPr>
                <w:sz w:val="20"/>
                <w:lang w:val="en-GB"/>
              </w:rPr>
              <w:t>:  NGOs, SIN, PAHO, UNICEF, international cooperation, universities, national and international NGOs, churches, private sector, civic and community organizations, communication media, families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T6.2  To elimination on a sustainable basis diseases caused by vitamin-A deficiency</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I6.2.1  Incidence of diseases caused by vitamin-A deficiency</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Sixty-seven per cent of children have an insufficient intake of vitamin A and 42 per cent do not take in rnough iron (ENDES-2000)</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S6.2.1  MINSA</w:t>
            </w:r>
          </w:p>
        </w:tc>
        <w:tc>
          <w:tcPr>
            <w:tcW w:w="3283"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T6.3  To reduce the incidence of anaemia among pregnant women by 20 per cent</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I6.3.1  Incidence of anaemia among pregnant women</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Nation-wide, 36 per cent of females of childbearing age suffer from some degree of anaemia; in rural areas the rate is 41 per cent (ENDES-1996, ENDES-2000)</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S6.3.1  MINSA</w:t>
            </w:r>
          </w:p>
        </w:tc>
        <w:tc>
          <w:tcPr>
            <w:tcW w:w="3283"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T6.4  To reduce the incidence of anaemia among under-threes by 40 per cent</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I6.4.1  Incidence of anaemia among under-threes</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In 2000, 70 per cent of under-twos exhibited some degree of anaemia, the rate being higher among children living in mountain areas (56%) and in other rural areas (53%).  In Cuzco, 71 per cent of under-fives suffer from anaemia; the rate is over 62 per cent in the departments of Tacna and Puno (ENDES-2000)</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S6.4.1  INEI surveys</w:t>
            </w:r>
          </w:p>
        </w:tc>
        <w:tc>
          <w:tcPr>
            <w:tcW w:w="3283"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T6.5  To keep iodine deficiency under control in the mountain and forest regions</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I6.5.1  Proportion of children with iodine deficiency in the mountain and forest regions</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With respect of ailments due to iodine deficiency, Peru has attained the target of universal iodization of salt for human consumption</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S6.5.1  INEI surveys</w:t>
            </w:r>
          </w:p>
        </w:tc>
        <w:tc>
          <w:tcPr>
            <w:tcW w:w="3283"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val="restart"/>
            <w:tcBorders>
              <w:top w:val="nil"/>
              <w:left w:val="single" w:sz="4" w:space="0" w:color="auto"/>
              <w:bottom w:val="single" w:sz="4" w:space="0" w:color="000000"/>
              <w:right w:val="single" w:sz="4" w:space="0" w:color="auto"/>
            </w:tcBorders>
            <w:vAlign w:val="center"/>
          </w:tcPr>
          <w:p w:rsidR="00000000" w:rsidRDefault="00000000">
            <w:pPr>
              <w:jc w:val="left"/>
              <w:rPr>
                <w:sz w:val="20"/>
                <w:szCs w:val="16"/>
                <w:lang w:val="en-GB"/>
              </w:rPr>
            </w:pPr>
            <w:r>
              <w:rPr>
                <w:sz w:val="20"/>
                <w:lang w:val="en-GB"/>
              </w:rPr>
              <w:t>O11  Reduced teenage pregnancy rate</w:t>
            </w: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T11.1  To reduce the teenage fertility rate by 30 per cent</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I11.1  Fertility rate among girls aged 15 to 19</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In 2000, 11 per cent of girls aged 15 to 19 were already mothers (ENDES-2000)</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S11.1.1  INEI surveys</w:t>
            </w:r>
          </w:p>
        </w:tc>
        <w:tc>
          <w:tcPr>
            <w:tcW w:w="3283" w:type="dxa"/>
            <w:vMerge w:val="restart"/>
            <w:tcBorders>
              <w:top w:val="nil"/>
              <w:left w:val="single" w:sz="4" w:space="0" w:color="auto"/>
              <w:bottom w:val="single" w:sz="4" w:space="0" w:color="000000"/>
              <w:right w:val="single" w:sz="4" w:space="0" w:color="auto"/>
            </w:tcBorders>
            <w:vAlign w:val="center"/>
          </w:tcPr>
          <w:p w:rsidR="00000000" w:rsidRDefault="00000000">
            <w:pPr>
              <w:jc w:val="left"/>
              <w:rPr>
                <w:sz w:val="20"/>
                <w:lang w:val="en-GB"/>
              </w:rPr>
            </w:pPr>
            <w:r>
              <w:rPr>
                <w:i/>
                <w:sz w:val="20"/>
                <w:lang w:val="pt-BR"/>
              </w:rPr>
              <w:t>Direct R11</w:t>
            </w:r>
            <w:r>
              <w:rPr>
                <w:sz w:val="20"/>
                <w:lang w:val="pt-BR"/>
              </w:rPr>
              <w:t xml:space="preserve">:  MINEDU, MINSA. </w:t>
            </w:r>
            <w:r>
              <w:rPr>
                <w:sz w:val="20"/>
                <w:lang w:val="en-GB"/>
              </w:rPr>
              <w:t>Education associations, MIMDES, PNP, MCLCP</w:t>
            </w:r>
          </w:p>
          <w:p w:rsidR="00000000" w:rsidRDefault="00000000">
            <w:pPr>
              <w:jc w:val="left"/>
              <w:rPr>
                <w:sz w:val="20"/>
                <w:szCs w:val="16"/>
                <w:lang w:val="en-GB"/>
              </w:rPr>
            </w:pPr>
            <w:r>
              <w:rPr>
                <w:i/>
                <w:sz w:val="20"/>
                <w:lang w:val="en-GB"/>
              </w:rPr>
              <w:t>Support R11</w:t>
            </w:r>
            <w:r>
              <w:rPr>
                <w:sz w:val="20"/>
                <w:lang w:val="en-GB"/>
              </w:rPr>
              <w:t>:  UNFPA, children’s ombudsmen, communication media, national and international NGOs, churches, private sector, civic and community organizations, families, youth organizations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tcBorders>
              <w:top w:val="nil"/>
              <w:left w:val="single" w:sz="4" w:space="0" w:color="auto"/>
              <w:bottom w:val="single" w:sz="4" w:space="0" w:color="000000"/>
              <w:right w:val="single" w:sz="4" w:space="0" w:color="auto"/>
            </w:tcBorders>
            <w:vAlign w:val="center"/>
          </w:tcPr>
          <w:p w:rsidR="00000000" w:rsidRDefault="00000000">
            <w:pPr>
              <w:jc w:val="left"/>
              <w:rPr>
                <w:sz w:val="20"/>
                <w:szCs w:val="16"/>
                <w:lang w:val="en-GB"/>
              </w:rPr>
            </w:pP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T11.2  To reduce the maternal mortality rate among teenagers in poor areas and in the mountain and Amazon regions by 55 per cent</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I11.2  Maternal mortality rate among teenagers</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szCs w:val="16"/>
                <w:lang w:val="en-GB"/>
              </w:rPr>
              <w:t> </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S11.2.1  ENDES-INEI surveys</w:t>
            </w:r>
          </w:p>
        </w:tc>
        <w:tc>
          <w:tcPr>
            <w:tcW w:w="3283" w:type="dxa"/>
            <w:vMerge/>
            <w:tcBorders>
              <w:top w:val="nil"/>
              <w:left w:val="single" w:sz="4" w:space="0" w:color="auto"/>
              <w:bottom w:val="single" w:sz="4" w:space="0" w:color="000000"/>
              <w:right w:val="single" w:sz="4" w:space="0" w:color="auto"/>
            </w:tcBorders>
            <w:vAlign w:val="center"/>
          </w:tcPr>
          <w:p w:rsidR="00000000" w:rsidRDefault="00000000">
            <w:pPr>
              <w:jc w:val="left"/>
              <w:rPr>
                <w:sz w:val="20"/>
                <w:szCs w:val="16"/>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400" w:type="dxa"/>
            <w:gridSpan w:val="7"/>
            <w:tcBorders>
              <w:top w:val="single" w:sz="4" w:space="0" w:color="auto"/>
              <w:left w:val="single" w:sz="4" w:space="0" w:color="auto"/>
              <w:bottom w:val="single" w:sz="4" w:space="0" w:color="auto"/>
              <w:right w:val="single" w:sz="4" w:space="0" w:color="000000"/>
            </w:tcBorders>
          </w:tcPr>
          <w:p w:rsidR="00000000" w:rsidRDefault="00000000">
            <w:pPr>
              <w:spacing w:after="60"/>
              <w:jc w:val="left"/>
              <w:rPr>
                <w:b/>
                <w:sz w:val="20"/>
                <w:lang w:val="en-GB"/>
              </w:rPr>
            </w:pPr>
            <w:r>
              <w:rPr>
                <w:b/>
                <w:sz w:val="20"/>
                <w:lang w:val="en-GB"/>
              </w:rPr>
              <w:t>6.</w:t>
            </w:r>
            <w:r>
              <w:rPr>
                <w:b/>
                <w:sz w:val="20"/>
                <w:lang w:val="en-GB"/>
              </w:rPr>
              <w:tab/>
              <w:t>The right to participate and the freedom of association</w:t>
            </w:r>
          </w:p>
          <w:p w:rsidR="00000000" w:rsidRDefault="00000000">
            <w:pPr>
              <w:spacing w:after="60"/>
              <w:jc w:val="left"/>
              <w:rPr>
                <w:bCs/>
                <w:sz w:val="20"/>
                <w:lang w:val="en-GB"/>
              </w:rPr>
            </w:pPr>
            <w:r>
              <w:rPr>
                <w:b/>
                <w:sz w:val="20"/>
                <w:lang w:val="en-GB"/>
              </w:rPr>
              <w:tab/>
            </w:r>
            <w:r>
              <w:rPr>
                <w:bCs/>
                <w:sz w:val="20"/>
                <w:lang w:val="en-GB"/>
              </w:rPr>
              <w:t>The right to participate is the right of all children to be involved in the taking of decisions in the places where their lives are developing (community, school, district, etc.) through membership of organizations which their peers may form or participation in the activities carried on in these places, where they may freely express their opinions.</w:t>
            </w:r>
          </w:p>
          <w:p w:rsidR="00000000" w:rsidRDefault="00000000">
            <w:pPr>
              <w:keepLines/>
              <w:spacing w:before="60" w:after="60"/>
              <w:jc w:val="left"/>
              <w:rPr>
                <w:bCs/>
                <w:sz w:val="20"/>
                <w:lang w:val="en-GB"/>
              </w:rPr>
            </w:pPr>
            <w:r>
              <w:rPr>
                <w:b/>
                <w:sz w:val="20"/>
                <w:lang w:val="en-GB"/>
              </w:rPr>
              <w:tab/>
            </w:r>
            <w:r>
              <w:rPr>
                <w:bCs/>
                <w:sz w:val="20"/>
                <w:lang w:val="en-GB"/>
              </w:rPr>
              <w:t>The freedom of association is the right of all children to form organizations to pursue useful purposes through joint activities.  The purposes and activities may take any form, subject to the requirements of public order and morals</w:t>
            </w:r>
            <w:r>
              <w:rPr>
                <w:b/>
                <w:sz w:val="20"/>
                <w:lang w:val="en-GB"/>
              </w:rPr>
              <w:t>.</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23"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keepLines/>
              <w:jc w:val="left"/>
              <w:rPr>
                <w:sz w:val="20"/>
                <w:szCs w:val="16"/>
                <w:lang w:val="en-GB"/>
              </w:rPr>
            </w:pPr>
            <w:r>
              <w:rPr>
                <w:sz w:val="20"/>
                <w:lang w:val="en-GB"/>
              </w:rPr>
              <w:t>O16  Conditions to encourage and guarantee participation by children</w:t>
            </w:r>
          </w:p>
        </w:tc>
        <w:tc>
          <w:tcPr>
            <w:tcW w:w="2215" w:type="dxa"/>
            <w:tcBorders>
              <w:top w:val="single" w:sz="4" w:space="0" w:color="auto"/>
              <w:left w:val="nil"/>
              <w:bottom w:val="single" w:sz="4" w:space="0" w:color="auto"/>
              <w:right w:val="single" w:sz="4" w:space="0" w:color="auto"/>
            </w:tcBorders>
            <w:vAlign w:val="center"/>
          </w:tcPr>
          <w:p w:rsidR="00000000" w:rsidRDefault="00000000">
            <w:pPr>
              <w:keepLines/>
              <w:jc w:val="left"/>
              <w:rPr>
                <w:sz w:val="20"/>
                <w:szCs w:val="16"/>
                <w:lang w:val="en-GB"/>
              </w:rPr>
            </w:pPr>
            <w:r>
              <w:rPr>
                <w:sz w:val="20"/>
                <w:lang w:val="en-GB"/>
              </w:rPr>
              <w:t>T16.1  To ensure by 2005 that 30 per cent of adolescents are promoting and exercising their rights by participating in associations and taking decisions relating to their comprehensive development and environment and to public policies</w:t>
            </w:r>
          </w:p>
        </w:tc>
        <w:tc>
          <w:tcPr>
            <w:tcW w:w="2236" w:type="dxa"/>
            <w:tcBorders>
              <w:top w:val="single" w:sz="4" w:space="0" w:color="auto"/>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I16.1  Proportion of adolescents participating in organizations for the protection of their rights</w:t>
            </w:r>
          </w:p>
        </w:tc>
        <w:tc>
          <w:tcPr>
            <w:tcW w:w="2713" w:type="dxa"/>
            <w:tcBorders>
              <w:top w:val="single" w:sz="4" w:space="0" w:color="auto"/>
              <w:left w:val="nil"/>
              <w:bottom w:val="single" w:sz="4" w:space="0" w:color="auto"/>
              <w:right w:val="single" w:sz="4" w:space="0" w:color="auto"/>
            </w:tcBorders>
            <w:vAlign w:val="center"/>
          </w:tcPr>
          <w:p w:rsidR="00000000" w:rsidRDefault="00000000">
            <w:pPr>
              <w:jc w:val="left"/>
              <w:rPr>
                <w:sz w:val="20"/>
                <w:szCs w:val="16"/>
                <w:lang w:val="en-GB"/>
              </w:rPr>
            </w:pPr>
            <w:r>
              <w:rPr>
                <w:sz w:val="20"/>
                <w:szCs w:val="16"/>
                <w:lang w:val="en-GB"/>
              </w:rPr>
              <w:t> </w:t>
            </w:r>
          </w:p>
        </w:tc>
        <w:tc>
          <w:tcPr>
            <w:tcW w:w="2230" w:type="dxa"/>
            <w:tcBorders>
              <w:top w:val="single" w:sz="4" w:space="0" w:color="auto"/>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S16.1.1  Children’s ombudsmen</w:t>
            </w:r>
            <w:r>
              <w:rPr>
                <w:sz w:val="20"/>
                <w:lang w:val="en-GB"/>
              </w:rPr>
              <w:br/>
              <w:t>S16.1.2  MIMDES</w:t>
            </w:r>
          </w:p>
        </w:tc>
        <w:tc>
          <w:tcPr>
            <w:tcW w:w="3283" w:type="dxa"/>
            <w:tcBorders>
              <w:top w:val="single" w:sz="4" w:space="0" w:color="auto"/>
              <w:left w:val="nil"/>
              <w:bottom w:val="single" w:sz="4" w:space="0" w:color="auto"/>
              <w:right w:val="single" w:sz="4" w:space="0" w:color="auto"/>
            </w:tcBorders>
            <w:vAlign w:val="center"/>
          </w:tcPr>
          <w:p w:rsidR="00000000" w:rsidRDefault="00000000">
            <w:pPr>
              <w:jc w:val="left"/>
              <w:rPr>
                <w:sz w:val="20"/>
                <w:lang w:val="en-GB"/>
              </w:rPr>
            </w:pPr>
            <w:r>
              <w:rPr>
                <w:i/>
                <w:sz w:val="20"/>
                <w:lang w:val="en-GB"/>
              </w:rPr>
              <w:t>Direct R16</w:t>
            </w:r>
            <w:r>
              <w:rPr>
                <w:sz w:val="20"/>
                <w:lang w:val="en-GB"/>
              </w:rPr>
              <w:t>:  MINEDU, education associations, children’s ombudmen, local authorities, MIMDES, Ministry of Transport, Communications and Housing, PNP</w:t>
            </w:r>
          </w:p>
          <w:p w:rsidR="00000000" w:rsidRDefault="00000000">
            <w:pPr>
              <w:jc w:val="left"/>
              <w:rPr>
                <w:sz w:val="20"/>
                <w:szCs w:val="16"/>
                <w:lang w:val="en-GB"/>
              </w:rPr>
            </w:pPr>
            <w:r>
              <w:rPr>
                <w:i/>
                <w:sz w:val="20"/>
                <w:lang w:val="en-GB"/>
              </w:rPr>
              <w:t>Support R16</w:t>
            </w:r>
            <w:r>
              <w:rPr>
                <w:sz w:val="20"/>
                <w:lang w:val="en-GB"/>
              </w:rPr>
              <w:t>:  National and international NGOs, churches, private sector, civic and community organizations, families, youth organizations, vocational schools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400" w:type="dxa"/>
            <w:gridSpan w:val="7"/>
            <w:tcBorders>
              <w:top w:val="single" w:sz="4" w:space="0" w:color="auto"/>
              <w:left w:val="single" w:sz="4" w:space="0" w:color="auto"/>
              <w:bottom w:val="single" w:sz="4" w:space="0" w:color="auto"/>
              <w:right w:val="single" w:sz="4" w:space="0" w:color="000000"/>
            </w:tcBorders>
            <w:vAlign w:val="center"/>
          </w:tcPr>
          <w:p w:rsidR="00000000" w:rsidRDefault="00000000">
            <w:pPr>
              <w:keepNext/>
              <w:spacing w:after="80"/>
              <w:jc w:val="left"/>
              <w:rPr>
                <w:b/>
                <w:sz w:val="20"/>
                <w:lang w:val="en-GB"/>
              </w:rPr>
            </w:pPr>
            <w:r>
              <w:rPr>
                <w:b/>
                <w:sz w:val="20"/>
                <w:lang w:val="en-GB"/>
              </w:rPr>
              <w:t>7.</w:t>
            </w:r>
            <w:r>
              <w:rPr>
                <w:b/>
                <w:sz w:val="20"/>
                <w:lang w:val="en-GB"/>
              </w:rPr>
              <w:tab/>
              <w:t>The freedom of expression and the right to receive information</w:t>
            </w:r>
          </w:p>
          <w:p w:rsidR="00000000" w:rsidRDefault="00000000">
            <w:pPr>
              <w:keepNext/>
              <w:spacing w:after="80"/>
              <w:jc w:val="left"/>
              <w:rPr>
                <w:bCs/>
                <w:sz w:val="20"/>
                <w:lang w:val="en-GB"/>
              </w:rPr>
            </w:pPr>
            <w:r>
              <w:rPr>
                <w:b/>
                <w:sz w:val="20"/>
                <w:lang w:val="en-GB"/>
              </w:rPr>
              <w:tab/>
            </w:r>
            <w:r>
              <w:rPr>
                <w:bCs/>
                <w:sz w:val="20"/>
                <w:lang w:val="en-GB"/>
              </w:rPr>
              <w:t>The freedom of expression is the right of all children to express their opinions on the various aspects of their situation; it is closely connected with the right to participate, for it provides an outlet for children’s various opinions, attitudes and perceptions concerning matters affecting their interests and influencing decision-taking.</w:t>
            </w:r>
          </w:p>
          <w:p w:rsidR="00000000" w:rsidRDefault="00000000">
            <w:pPr>
              <w:keepNext/>
              <w:keepLines/>
              <w:spacing w:before="60" w:after="60"/>
              <w:jc w:val="left"/>
              <w:rPr>
                <w:bCs/>
                <w:sz w:val="20"/>
                <w:lang w:val="en-GB"/>
              </w:rPr>
            </w:pPr>
            <w:r>
              <w:rPr>
                <w:b/>
                <w:sz w:val="20"/>
                <w:lang w:val="en-GB"/>
              </w:rPr>
              <w:tab/>
            </w:r>
            <w:r>
              <w:rPr>
                <w:bCs/>
                <w:sz w:val="20"/>
                <w:lang w:val="en-GB"/>
              </w:rPr>
              <w:t>The right to receive information is the right of children to have access to knowledge about the various aspects of their situation, be they connected with science, technology or journalism, which are of public importance and necessary to children’s participation and full and authentic involvement in society</w:t>
            </w:r>
            <w:r>
              <w:rPr>
                <w:b/>
                <w:sz w:val="20"/>
                <w:lang w:val="en-GB"/>
              </w:rPr>
              <w:t>.</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val="restart"/>
            <w:tcBorders>
              <w:top w:val="nil"/>
              <w:left w:val="single" w:sz="4" w:space="0" w:color="auto"/>
              <w:bottom w:val="single" w:sz="4" w:space="0" w:color="auto"/>
              <w:right w:val="single" w:sz="4" w:space="0" w:color="auto"/>
            </w:tcBorders>
            <w:vAlign w:val="center"/>
          </w:tcPr>
          <w:p w:rsidR="00000000" w:rsidRDefault="00000000">
            <w:pPr>
              <w:keepNext/>
              <w:keepLines/>
              <w:jc w:val="left"/>
              <w:rPr>
                <w:sz w:val="20"/>
                <w:szCs w:val="16"/>
                <w:lang w:val="en-GB"/>
              </w:rPr>
            </w:pPr>
            <w:r>
              <w:rPr>
                <w:sz w:val="20"/>
                <w:lang w:val="en-GB"/>
              </w:rPr>
              <w:t>O16  Conditions to encourage and guarantee participation by children</w:t>
            </w:r>
          </w:p>
        </w:tc>
        <w:tc>
          <w:tcPr>
            <w:tcW w:w="2215" w:type="dxa"/>
            <w:tcBorders>
              <w:top w:val="nil"/>
              <w:left w:val="nil"/>
              <w:bottom w:val="single" w:sz="4" w:space="0" w:color="auto"/>
              <w:right w:val="single" w:sz="4" w:space="0" w:color="auto"/>
            </w:tcBorders>
            <w:vAlign w:val="center"/>
          </w:tcPr>
          <w:p w:rsidR="00000000" w:rsidRDefault="00000000">
            <w:pPr>
              <w:keepNext/>
              <w:keepLines/>
              <w:jc w:val="left"/>
              <w:rPr>
                <w:sz w:val="20"/>
                <w:szCs w:val="16"/>
                <w:lang w:val="en-GB"/>
              </w:rPr>
            </w:pPr>
            <w:r>
              <w:rPr>
                <w:sz w:val="20"/>
                <w:lang w:val="en-GB"/>
              </w:rPr>
              <w:t>T16.2  To ensure by 2010 that 70 per cent of adolescents in the schools are taking part in associations and in the development of a curriculum based on the personal/social approach and the promotion of democratic and cross-cultural values</w:t>
            </w:r>
          </w:p>
        </w:tc>
        <w:tc>
          <w:tcPr>
            <w:tcW w:w="2236" w:type="dxa"/>
            <w:tcBorders>
              <w:top w:val="nil"/>
              <w:left w:val="nil"/>
              <w:bottom w:val="single" w:sz="4" w:space="0" w:color="auto"/>
              <w:right w:val="single" w:sz="4" w:space="0" w:color="auto"/>
            </w:tcBorders>
            <w:vAlign w:val="center"/>
          </w:tcPr>
          <w:p w:rsidR="00000000" w:rsidRDefault="00000000">
            <w:pPr>
              <w:keepNext/>
              <w:keepLines/>
              <w:jc w:val="left"/>
              <w:rPr>
                <w:sz w:val="20"/>
                <w:szCs w:val="16"/>
                <w:lang w:val="en-GB"/>
              </w:rPr>
            </w:pPr>
            <w:r>
              <w:rPr>
                <w:sz w:val="20"/>
                <w:lang w:val="en-GB"/>
              </w:rPr>
              <w:t>I16.2  Proportion of adolescents in the schools involved in associations and self-education activities</w:t>
            </w:r>
          </w:p>
        </w:tc>
        <w:tc>
          <w:tcPr>
            <w:tcW w:w="2713" w:type="dxa"/>
            <w:tcBorders>
              <w:top w:val="nil"/>
              <w:left w:val="nil"/>
              <w:bottom w:val="single" w:sz="4" w:space="0" w:color="auto"/>
              <w:right w:val="single" w:sz="4" w:space="0" w:color="auto"/>
            </w:tcBorders>
            <w:vAlign w:val="center"/>
          </w:tcPr>
          <w:p w:rsidR="00000000" w:rsidRDefault="00000000">
            <w:pPr>
              <w:keepNext/>
              <w:keepLines/>
              <w:jc w:val="left"/>
              <w:rPr>
                <w:sz w:val="20"/>
                <w:szCs w:val="16"/>
                <w:lang w:val="en-GB"/>
              </w:rPr>
            </w:pPr>
            <w:r>
              <w:rPr>
                <w:sz w:val="20"/>
                <w:szCs w:val="16"/>
                <w:lang w:val="en-GB"/>
              </w:rPr>
              <w:t> </w:t>
            </w:r>
          </w:p>
        </w:tc>
        <w:tc>
          <w:tcPr>
            <w:tcW w:w="2230" w:type="dxa"/>
            <w:tcBorders>
              <w:top w:val="nil"/>
              <w:left w:val="nil"/>
              <w:bottom w:val="single" w:sz="4" w:space="0" w:color="auto"/>
              <w:right w:val="single" w:sz="4" w:space="0" w:color="auto"/>
            </w:tcBorders>
            <w:vAlign w:val="center"/>
          </w:tcPr>
          <w:p w:rsidR="00000000" w:rsidRDefault="00000000">
            <w:pPr>
              <w:keepNext/>
              <w:keepLines/>
              <w:jc w:val="left"/>
              <w:rPr>
                <w:sz w:val="20"/>
                <w:szCs w:val="16"/>
                <w:lang w:val="en-GB"/>
              </w:rPr>
            </w:pPr>
            <w:r>
              <w:rPr>
                <w:sz w:val="20"/>
                <w:lang w:val="en-GB"/>
              </w:rPr>
              <w:t>S16.2  MINEDU</w:t>
            </w:r>
          </w:p>
        </w:tc>
        <w:tc>
          <w:tcPr>
            <w:tcW w:w="3283" w:type="dxa"/>
            <w:vMerge w:val="restart"/>
            <w:tcBorders>
              <w:top w:val="nil"/>
              <w:left w:val="single" w:sz="4" w:space="0" w:color="auto"/>
              <w:bottom w:val="single" w:sz="4" w:space="0" w:color="auto"/>
              <w:right w:val="single" w:sz="4" w:space="0" w:color="auto"/>
            </w:tcBorders>
            <w:vAlign w:val="center"/>
          </w:tcPr>
          <w:p w:rsidR="00000000" w:rsidRDefault="00000000">
            <w:pPr>
              <w:keepNext/>
              <w:jc w:val="left"/>
              <w:rPr>
                <w:sz w:val="20"/>
                <w:lang w:val="en-GB"/>
              </w:rPr>
            </w:pPr>
            <w:r>
              <w:rPr>
                <w:i/>
                <w:sz w:val="20"/>
                <w:lang w:val="en-GB"/>
              </w:rPr>
              <w:t>Direct R16</w:t>
            </w:r>
            <w:r>
              <w:rPr>
                <w:sz w:val="20"/>
                <w:lang w:val="en-GB"/>
              </w:rPr>
              <w:t>:  MINEDU, education associations, children’s ombudsmen, local governments, MIMDES, Ministry of Transport, Communications and Housing, PNP</w:t>
            </w:r>
          </w:p>
          <w:p w:rsidR="00000000" w:rsidRDefault="00000000">
            <w:pPr>
              <w:keepNext/>
              <w:keepLines/>
              <w:jc w:val="left"/>
              <w:rPr>
                <w:sz w:val="20"/>
                <w:szCs w:val="16"/>
                <w:lang w:val="en-GB"/>
              </w:rPr>
            </w:pPr>
            <w:r>
              <w:rPr>
                <w:i/>
                <w:sz w:val="20"/>
                <w:lang w:val="en-GB"/>
              </w:rPr>
              <w:t>Support R16</w:t>
            </w:r>
            <w:r>
              <w:rPr>
                <w:sz w:val="20"/>
                <w:lang w:val="en-GB"/>
              </w:rPr>
              <w:t>:  National and international NGOs, churches, private sector, civic and community organizations, families, youth organizations, vocational schools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tcBorders>
              <w:top w:val="nil"/>
              <w:left w:val="single" w:sz="4" w:space="0" w:color="auto"/>
              <w:bottom w:val="single" w:sz="4" w:space="0" w:color="auto"/>
              <w:right w:val="single" w:sz="4" w:space="0" w:color="auto"/>
            </w:tcBorders>
            <w:vAlign w:val="center"/>
          </w:tcPr>
          <w:p w:rsidR="00000000" w:rsidRDefault="00000000">
            <w:pPr>
              <w:keepNext/>
              <w:keepLines/>
              <w:jc w:val="left"/>
              <w:rPr>
                <w:sz w:val="20"/>
                <w:szCs w:val="16"/>
                <w:lang w:val="en-GB"/>
              </w:rPr>
            </w:pPr>
          </w:p>
        </w:tc>
        <w:tc>
          <w:tcPr>
            <w:tcW w:w="2215" w:type="dxa"/>
            <w:tcBorders>
              <w:top w:val="nil"/>
              <w:left w:val="nil"/>
              <w:bottom w:val="single" w:sz="4" w:space="0" w:color="auto"/>
              <w:right w:val="single" w:sz="4" w:space="0" w:color="auto"/>
            </w:tcBorders>
            <w:vAlign w:val="center"/>
          </w:tcPr>
          <w:p w:rsidR="00000000" w:rsidRDefault="00000000">
            <w:pPr>
              <w:keepNext/>
              <w:keepLines/>
              <w:jc w:val="left"/>
              <w:rPr>
                <w:sz w:val="20"/>
                <w:szCs w:val="16"/>
                <w:lang w:val="en-GB"/>
              </w:rPr>
            </w:pPr>
            <w:r>
              <w:rPr>
                <w:sz w:val="20"/>
                <w:lang w:val="en-GB"/>
              </w:rPr>
              <w:t>T16.3  To ensure by 2010 that in 80 per cent of schools adolescents are participating in associations connected with the management and functioning of their schools</w:t>
            </w:r>
          </w:p>
        </w:tc>
        <w:tc>
          <w:tcPr>
            <w:tcW w:w="2236" w:type="dxa"/>
            <w:tcBorders>
              <w:top w:val="nil"/>
              <w:left w:val="nil"/>
              <w:bottom w:val="single" w:sz="4" w:space="0" w:color="auto"/>
              <w:right w:val="single" w:sz="4" w:space="0" w:color="auto"/>
            </w:tcBorders>
            <w:vAlign w:val="center"/>
          </w:tcPr>
          <w:p w:rsidR="00000000" w:rsidRDefault="00000000">
            <w:pPr>
              <w:keepNext/>
              <w:keepLines/>
              <w:jc w:val="left"/>
              <w:rPr>
                <w:sz w:val="20"/>
                <w:szCs w:val="16"/>
                <w:lang w:val="en-GB"/>
              </w:rPr>
            </w:pPr>
            <w:r>
              <w:rPr>
                <w:sz w:val="20"/>
                <w:lang w:val="en-GB"/>
              </w:rPr>
              <w:t>I16.3  Proportion of adolescents participating in meetings to discuss aspects of the management and functioning of their schools</w:t>
            </w:r>
          </w:p>
        </w:tc>
        <w:tc>
          <w:tcPr>
            <w:tcW w:w="2713" w:type="dxa"/>
            <w:tcBorders>
              <w:top w:val="nil"/>
              <w:left w:val="nil"/>
              <w:bottom w:val="single" w:sz="4" w:space="0" w:color="auto"/>
              <w:right w:val="single" w:sz="4" w:space="0" w:color="auto"/>
            </w:tcBorders>
            <w:vAlign w:val="center"/>
          </w:tcPr>
          <w:p w:rsidR="00000000" w:rsidRDefault="00000000">
            <w:pPr>
              <w:keepNext/>
              <w:keepLines/>
              <w:jc w:val="left"/>
              <w:rPr>
                <w:sz w:val="20"/>
                <w:szCs w:val="16"/>
                <w:lang w:val="en-GB"/>
              </w:rPr>
            </w:pPr>
            <w:r>
              <w:rPr>
                <w:sz w:val="20"/>
                <w:szCs w:val="16"/>
                <w:lang w:val="en-GB"/>
              </w:rPr>
              <w:t> </w:t>
            </w:r>
          </w:p>
        </w:tc>
        <w:tc>
          <w:tcPr>
            <w:tcW w:w="2230" w:type="dxa"/>
            <w:tcBorders>
              <w:top w:val="nil"/>
              <w:left w:val="nil"/>
              <w:bottom w:val="single" w:sz="4" w:space="0" w:color="auto"/>
              <w:right w:val="single" w:sz="4" w:space="0" w:color="auto"/>
            </w:tcBorders>
            <w:vAlign w:val="center"/>
          </w:tcPr>
          <w:p w:rsidR="00000000" w:rsidRDefault="00000000">
            <w:pPr>
              <w:keepNext/>
              <w:keepLines/>
              <w:jc w:val="left"/>
              <w:rPr>
                <w:sz w:val="20"/>
                <w:szCs w:val="16"/>
                <w:lang w:val="en-US"/>
              </w:rPr>
            </w:pPr>
            <w:r>
              <w:rPr>
                <w:sz w:val="20"/>
                <w:lang w:val="en-GB"/>
              </w:rPr>
              <w:t>S16.3  MINEDU</w:t>
            </w:r>
          </w:p>
        </w:tc>
        <w:tc>
          <w:tcPr>
            <w:tcW w:w="3283" w:type="dxa"/>
            <w:vMerge/>
            <w:tcBorders>
              <w:top w:val="nil"/>
              <w:left w:val="single" w:sz="4" w:space="0" w:color="auto"/>
              <w:bottom w:val="single" w:sz="4" w:space="0" w:color="auto"/>
              <w:right w:val="single" w:sz="4" w:space="0" w:color="auto"/>
            </w:tcBorders>
            <w:vAlign w:val="center"/>
          </w:tcPr>
          <w:p w:rsidR="00000000" w:rsidRDefault="00000000">
            <w:pPr>
              <w:keepNext/>
              <w:keepLines/>
              <w:jc w:val="left"/>
              <w:rPr>
                <w:sz w:val="20"/>
                <w:szCs w:val="16"/>
                <w:lang w:val="en-US"/>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val="restart"/>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r>
              <w:rPr>
                <w:sz w:val="20"/>
                <w:lang w:val="en-GB"/>
              </w:rPr>
              <w:t>O19  Reliable systems providing timely information on children</w:t>
            </w: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T19.1  Establishment of a system providing up-to-date and timely information on the situation of children at the national, regional and local levels</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I19.1  Availability of a system providing up-to-date and timely information on the situation of children at the national, regional and local levels</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szCs w:val="16"/>
                <w:lang w:val="en-GB"/>
              </w:rPr>
              <w:t> </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pt-BR"/>
              </w:rPr>
            </w:pPr>
            <w:r>
              <w:rPr>
                <w:sz w:val="20"/>
                <w:lang w:val="pt-BR"/>
              </w:rPr>
              <w:t>S19.1.1  INEI</w:t>
            </w:r>
            <w:r>
              <w:rPr>
                <w:sz w:val="20"/>
                <w:lang w:val="pt-BR"/>
              </w:rPr>
              <w:br/>
              <w:t>S19.1.2  Municipalities      S19.1.3  CTARs      S19.1.4  MIMDES</w:t>
            </w:r>
          </w:p>
        </w:tc>
        <w:tc>
          <w:tcPr>
            <w:tcW w:w="3283" w:type="dxa"/>
            <w:vMerge w:val="restart"/>
            <w:tcBorders>
              <w:top w:val="nil"/>
              <w:left w:val="single" w:sz="4" w:space="0" w:color="auto"/>
              <w:bottom w:val="single" w:sz="4" w:space="0" w:color="auto"/>
              <w:right w:val="single" w:sz="4" w:space="0" w:color="auto"/>
            </w:tcBorders>
            <w:vAlign w:val="center"/>
          </w:tcPr>
          <w:p w:rsidR="00000000" w:rsidRDefault="00000000">
            <w:pPr>
              <w:jc w:val="left"/>
              <w:rPr>
                <w:sz w:val="20"/>
                <w:lang w:val="pt-BR"/>
              </w:rPr>
            </w:pPr>
            <w:r>
              <w:rPr>
                <w:i/>
                <w:sz w:val="20"/>
                <w:lang w:val="pt-BR"/>
              </w:rPr>
              <w:t>Direct R19</w:t>
            </w:r>
            <w:r>
              <w:rPr>
                <w:sz w:val="20"/>
                <w:lang w:val="pt-BR"/>
              </w:rPr>
              <w:t>:  MIMDES, INEI, MINEDU, MINSA, MEF, RENIEC</w:t>
            </w:r>
          </w:p>
          <w:p w:rsidR="00000000" w:rsidRDefault="00000000">
            <w:pPr>
              <w:jc w:val="left"/>
              <w:rPr>
                <w:sz w:val="20"/>
                <w:szCs w:val="16"/>
                <w:lang w:val="en-GB"/>
              </w:rPr>
            </w:pPr>
            <w:r>
              <w:rPr>
                <w:i/>
                <w:sz w:val="20"/>
                <w:lang w:val="en-GB"/>
              </w:rPr>
              <w:t>Support R19</w:t>
            </w:r>
            <w:r>
              <w:rPr>
                <w:sz w:val="20"/>
                <w:lang w:val="en-GB"/>
              </w:rPr>
              <w:t>:  UNICEF, ILO, UNFPA, national and international NGOs, churches, private sector, civic and community organizations, families, youth organizations, vocational schools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T19.2  To establish a PNAI monitoring and supervision system</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I19.2  Existence of a PNAI monitoring and supervision system</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szCs w:val="16"/>
                <w:lang w:val="en-GB"/>
              </w:rPr>
              <w:t> </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pt-BR"/>
              </w:rPr>
            </w:pPr>
            <w:r>
              <w:rPr>
                <w:sz w:val="20"/>
                <w:lang w:val="pt-BR"/>
              </w:rPr>
              <w:t>S19.2.1  INEI</w:t>
            </w:r>
            <w:r>
              <w:rPr>
                <w:sz w:val="20"/>
                <w:lang w:val="pt-BR"/>
              </w:rPr>
              <w:br/>
              <w:t>S19.2.2  MIMDES</w:t>
            </w:r>
          </w:p>
        </w:tc>
        <w:tc>
          <w:tcPr>
            <w:tcW w:w="3283"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pt-BR"/>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400" w:type="dxa"/>
            <w:gridSpan w:val="7"/>
            <w:tcBorders>
              <w:top w:val="single" w:sz="4" w:space="0" w:color="auto"/>
              <w:left w:val="single" w:sz="4" w:space="0" w:color="auto"/>
              <w:bottom w:val="single" w:sz="4" w:space="0" w:color="auto"/>
              <w:right w:val="single" w:sz="4" w:space="0" w:color="000000"/>
            </w:tcBorders>
            <w:vAlign w:val="center"/>
          </w:tcPr>
          <w:p w:rsidR="00000000" w:rsidRDefault="00000000">
            <w:pPr>
              <w:keepNext/>
              <w:spacing w:after="80"/>
              <w:jc w:val="left"/>
              <w:rPr>
                <w:b/>
                <w:sz w:val="20"/>
                <w:lang w:val="en-GB"/>
              </w:rPr>
            </w:pPr>
            <w:r>
              <w:rPr>
                <w:b/>
                <w:sz w:val="20"/>
                <w:lang w:val="en-GB"/>
              </w:rPr>
              <w:t>8.</w:t>
            </w:r>
            <w:r>
              <w:rPr>
                <w:b/>
                <w:sz w:val="20"/>
                <w:lang w:val="en-GB"/>
              </w:rPr>
              <w:tab/>
              <w:t>The freedom of thought, conscience, religion and the right to use one’s own culture and language</w:t>
            </w:r>
          </w:p>
          <w:p w:rsidR="00000000" w:rsidRDefault="00000000">
            <w:pPr>
              <w:keepNext/>
              <w:spacing w:after="80"/>
              <w:jc w:val="left"/>
              <w:rPr>
                <w:bCs/>
                <w:sz w:val="20"/>
                <w:lang w:val="en-GB"/>
              </w:rPr>
            </w:pPr>
            <w:r>
              <w:rPr>
                <w:b/>
                <w:sz w:val="20"/>
                <w:lang w:val="en-GB"/>
              </w:rPr>
              <w:tab/>
            </w:r>
            <w:r>
              <w:rPr>
                <w:bCs/>
                <w:sz w:val="20"/>
                <w:lang w:val="en-GB"/>
              </w:rPr>
              <w:t>The freedom of conscience consists of the capacity to think one’s own thoughts; it includes the ethical training of the human being; it posits the confrontation of one’s self in a quest for authenticity.  It also includes the right of every person to form internal beliefs in accordance with his or her own true knowledge and understanding, without any interference.</w:t>
            </w:r>
          </w:p>
          <w:p w:rsidR="00000000" w:rsidRDefault="00000000">
            <w:pPr>
              <w:keepNext/>
              <w:jc w:val="left"/>
              <w:rPr>
                <w:bCs/>
                <w:sz w:val="20"/>
                <w:lang w:val="en-GB"/>
              </w:rPr>
            </w:pPr>
            <w:r>
              <w:rPr>
                <w:b/>
                <w:sz w:val="20"/>
                <w:lang w:val="en-GB"/>
              </w:rPr>
              <w:tab/>
            </w:r>
            <w:r>
              <w:rPr>
                <w:bCs/>
                <w:sz w:val="20"/>
                <w:lang w:val="en-GB"/>
              </w:rPr>
              <w:t>The freedom of religion is closely connected with the freedom of conscience, for it implies, through manifestation and worship, expressing oneself in terms of one’s religious beliefs, i.e. in terms of the spiritual dimension</w:t>
            </w:r>
          </w:p>
          <w:p w:rsidR="00000000" w:rsidRDefault="00000000">
            <w:pPr>
              <w:keepNext/>
              <w:keepLines/>
              <w:spacing w:before="60" w:after="60"/>
              <w:jc w:val="left"/>
              <w:rPr>
                <w:bCs/>
                <w:sz w:val="20"/>
                <w:lang w:val="en-GB"/>
              </w:rPr>
            </w:pPr>
            <w:r>
              <w:rPr>
                <w:bCs/>
                <w:sz w:val="20"/>
                <w:lang w:val="en-GB"/>
              </w:rPr>
              <w:tab/>
              <w:t>The use of one’s own culture and language is also part of the freedoms of conscience and expression</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23" w:type="dxa"/>
            <w:gridSpan w:val="2"/>
            <w:tcBorders>
              <w:top w:val="nil"/>
              <w:left w:val="single" w:sz="4" w:space="0" w:color="auto"/>
              <w:bottom w:val="single" w:sz="4" w:space="0" w:color="auto"/>
              <w:right w:val="single" w:sz="4" w:space="0" w:color="auto"/>
            </w:tcBorders>
            <w:vAlign w:val="center"/>
          </w:tcPr>
          <w:p w:rsidR="00000000" w:rsidRDefault="00000000">
            <w:pPr>
              <w:keepNext/>
              <w:keepLines/>
              <w:jc w:val="left"/>
              <w:rPr>
                <w:sz w:val="20"/>
                <w:szCs w:val="16"/>
                <w:lang w:val="en-GB"/>
              </w:rPr>
            </w:pPr>
            <w:r>
              <w:rPr>
                <w:sz w:val="20"/>
                <w:lang w:val="en-GB"/>
              </w:rPr>
              <w:t>O8  Cross-cultural and good-quality basic education for all children</w:t>
            </w:r>
          </w:p>
        </w:tc>
        <w:tc>
          <w:tcPr>
            <w:tcW w:w="2215" w:type="dxa"/>
            <w:tcBorders>
              <w:top w:val="nil"/>
              <w:left w:val="nil"/>
              <w:bottom w:val="single" w:sz="4" w:space="0" w:color="auto"/>
              <w:right w:val="single" w:sz="4" w:space="0" w:color="auto"/>
            </w:tcBorders>
            <w:vAlign w:val="center"/>
          </w:tcPr>
          <w:p w:rsidR="00000000" w:rsidRDefault="00000000">
            <w:pPr>
              <w:keepNext/>
              <w:keepLines/>
              <w:jc w:val="left"/>
              <w:rPr>
                <w:sz w:val="20"/>
                <w:szCs w:val="16"/>
                <w:lang w:val="en-GB"/>
              </w:rPr>
            </w:pPr>
            <w:r>
              <w:rPr>
                <w:sz w:val="20"/>
                <w:lang w:val="en-GB"/>
              </w:rPr>
              <w:t>T8.3  To ensure by 2010 that at least 60 per cent of children of school age living in areas where the mother tongue is not Spanish are participating in bilingual cross-cultural education programmes</w:t>
            </w:r>
          </w:p>
        </w:tc>
        <w:tc>
          <w:tcPr>
            <w:tcW w:w="2236" w:type="dxa"/>
            <w:tcBorders>
              <w:top w:val="nil"/>
              <w:left w:val="nil"/>
              <w:bottom w:val="single" w:sz="4" w:space="0" w:color="auto"/>
              <w:right w:val="single" w:sz="4" w:space="0" w:color="auto"/>
            </w:tcBorders>
            <w:vAlign w:val="center"/>
          </w:tcPr>
          <w:p w:rsidR="00000000" w:rsidRDefault="00000000">
            <w:pPr>
              <w:keepNext/>
              <w:keepLines/>
              <w:jc w:val="left"/>
              <w:rPr>
                <w:sz w:val="20"/>
                <w:szCs w:val="16"/>
                <w:lang w:val="en-GB"/>
              </w:rPr>
            </w:pPr>
            <w:r>
              <w:rPr>
                <w:sz w:val="20"/>
                <w:lang w:val="en-GB"/>
              </w:rPr>
              <w:t>I8.3  Proportion of children living in areas where the mother tongue is not Spanish participating in bilingual cross-cultural education programmes</w:t>
            </w:r>
          </w:p>
        </w:tc>
        <w:tc>
          <w:tcPr>
            <w:tcW w:w="2713" w:type="dxa"/>
            <w:tcBorders>
              <w:top w:val="nil"/>
              <w:left w:val="nil"/>
              <w:bottom w:val="single" w:sz="4" w:space="0" w:color="auto"/>
              <w:right w:val="single" w:sz="4" w:space="0" w:color="auto"/>
            </w:tcBorders>
            <w:vAlign w:val="center"/>
          </w:tcPr>
          <w:p w:rsidR="00000000" w:rsidRDefault="00000000">
            <w:pPr>
              <w:keepNext/>
              <w:keepLines/>
              <w:jc w:val="left"/>
              <w:rPr>
                <w:sz w:val="20"/>
                <w:szCs w:val="16"/>
                <w:lang w:val="en-GB"/>
              </w:rPr>
            </w:pPr>
            <w:r>
              <w:rPr>
                <w:sz w:val="20"/>
                <w:szCs w:val="16"/>
                <w:lang w:val="en-GB"/>
              </w:rPr>
              <w:t> </w:t>
            </w:r>
          </w:p>
        </w:tc>
        <w:tc>
          <w:tcPr>
            <w:tcW w:w="2230" w:type="dxa"/>
            <w:tcBorders>
              <w:top w:val="nil"/>
              <w:left w:val="nil"/>
              <w:bottom w:val="single" w:sz="4" w:space="0" w:color="auto"/>
              <w:right w:val="single" w:sz="4" w:space="0" w:color="auto"/>
            </w:tcBorders>
            <w:vAlign w:val="center"/>
          </w:tcPr>
          <w:p w:rsidR="00000000" w:rsidRDefault="00000000">
            <w:pPr>
              <w:keepNext/>
              <w:keepLines/>
              <w:jc w:val="left"/>
              <w:rPr>
                <w:sz w:val="20"/>
                <w:szCs w:val="16"/>
                <w:lang w:val="en-GB"/>
              </w:rPr>
            </w:pPr>
            <w:r>
              <w:rPr>
                <w:sz w:val="20"/>
                <w:lang w:val="en-GB"/>
              </w:rPr>
              <w:t>S8.3.1  MINEDU</w:t>
            </w:r>
          </w:p>
        </w:tc>
        <w:tc>
          <w:tcPr>
            <w:tcW w:w="3283" w:type="dxa"/>
            <w:tcBorders>
              <w:top w:val="nil"/>
              <w:left w:val="nil"/>
              <w:bottom w:val="single" w:sz="4" w:space="0" w:color="auto"/>
              <w:right w:val="single" w:sz="4" w:space="0" w:color="auto"/>
            </w:tcBorders>
            <w:vAlign w:val="center"/>
          </w:tcPr>
          <w:p w:rsidR="00000000" w:rsidRDefault="00000000">
            <w:pPr>
              <w:jc w:val="left"/>
              <w:rPr>
                <w:sz w:val="20"/>
                <w:lang w:val="en-GB"/>
              </w:rPr>
            </w:pPr>
            <w:r>
              <w:rPr>
                <w:i/>
                <w:sz w:val="20"/>
                <w:lang w:val="en-GB"/>
              </w:rPr>
              <w:t>Direct R8</w:t>
            </w:r>
            <w:r>
              <w:rPr>
                <w:sz w:val="20"/>
                <w:lang w:val="en-GB"/>
              </w:rPr>
              <w:t>:  MINEDU, education associations, MCLPC</w:t>
            </w:r>
          </w:p>
          <w:p w:rsidR="00000000" w:rsidRDefault="00000000">
            <w:pPr>
              <w:keepNext/>
              <w:keepLines/>
              <w:jc w:val="left"/>
              <w:rPr>
                <w:sz w:val="20"/>
                <w:szCs w:val="16"/>
                <w:lang w:val="en-GB"/>
              </w:rPr>
            </w:pPr>
            <w:r>
              <w:rPr>
                <w:i/>
                <w:sz w:val="20"/>
                <w:lang w:val="en-GB"/>
              </w:rPr>
              <w:t>Support R8</w:t>
            </w:r>
            <w:r>
              <w:rPr>
                <w:sz w:val="20"/>
                <w:lang w:val="en-GB"/>
              </w:rPr>
              <w:t>:  UNICEF, UNESCO, international cooperation, mass media, universities, grass-roots indigenous organizations, national and international NGOs, churches, private sector, civic and community organizations, families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30"/>
        </w:trPr>
        <w:tc>
          <w:tcPr>
            <w:tcW w:w="1723" w:type="dxa"/>
            <w:gridSpan w:val="2"/>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left"/>
              <w:rPr>
                <w:sz w:val="20"/>
                <w:szCs w:val="16"/>
                <w:lang w:val="en-GB"/>
              </w:rPr>
            </w:pPr>
            <w:r>
              <w:rPr>
                <w:sz w:val="20"/>
                <w:lang w:val="en-GB"/>
              </w:rPr>
              <w:t>O10  Good-quality secondary education</w:t>
            </w:r>
          </w:p>
        </w:tc>
        <w:tc>
          <w:tcPr>
            <w:tcW w:w="2215" w:type="dxa"/>
            <w:vMerge w:val="restart"/>
            <w:tcBorders>
              <w:top w:val="nil"/>
              <w:left w:val="nil"/>
              <w:right w:val="single" w:sz="4" w:space="0" w:color="auto"/>
            </w:tcBorders>
            <w:vAlign w:val="center"/>
          </w:tcPr>
          <w:p w:rsidR="00000000" w:rsidRDefault="00000000">
            <w:pPr>
              <w:keepNext/>
              <w:keepLines/>
              <w:jc w:val="left"/>
              <w:rPr>
                <w:sz w:val="20"/>
                <w:szCs w:val="16"/>
                <w:lang w:val="en-GB"/>
              </w:rPr>
            </w:pPr>
            <w:r>
              <w:rPr>
                <w:sz w:val="20"/>
                <w:lang w:val="en-GB"/>
              </w:rPr>
              <w:t>T10.3  To establish bilingual cross-cultural education programmes in 60 per cent of areas where the mother tongue is not Spanish</w:t>
            </w:r>
          </w:p>
        </w:tc>
        <w:tc>
          <w:tcPr>
            <w:tcW w:w="2236" w:type="dxa"/>
            <w:vMerge w:val="restart"/>
            <w:tcBorders>
              <w:top w:val="nil"/>
              <w:left w:val="nil"/>
              <w:right w:val="single" w:sz="4" w:space="0" w:color="auto"/>
            </w:tcBorders>
            <w:vAlign w:val="center"/>
          </w:tcPr>
          <w:p w:rsidR="00000000" w:rsidRDefault="00000000">
            <w:pPr>
              <w:keepNext/>
              <w:keepLines/>
              <w:jc w:val="left"/>
              <w:rPr>
                <w:sz w:val="20"/>
                <w:szCs w:val="16"/>
                <w:lang w:val="en-GB"/>
              </w:rPr>
            </w:pPr>
            <w:r>
              <w:rPr>
                <w:sz w:val="20"/>
                <w:lang w:val="en-GB"/>
              </w:rPr>
              <w:t>I10.3  Proportion of areas where the mother tongue is not Spanish which have bilingual cross-cultural education programmes</w:t>
            </w:r>
          </w:p>
        </w:tc>
        <w:tc>
          <w:tcPr>
            <w:tcW w:w="2713" w:type="dxa"/>
            <w:vMerge w:val="restart"/>
            <w:tcBorders>
              <w:top w:val="nil"/>
              <w:left w:val="nil"/>
              <w:right w:val="single" w:sz="4" w:space="0" w:color="auto"/>
            </w:tcBorders>
            <w:vAlign w:val="center"/>
          </w:tcPr>
          <w:p w:rsidR="00000000" w:rsidRDefault="00000000">
            <w:pPr>
              <w:keepNext/>
              <w:keepLines/>
              <w:jc w:val="left"/>
              <w:rPr>
                <w:sz w:val="20"/>
                <w:szCs w:val="16"/>
                <w:lang w:val="en-GB"/>
              </w:rPr>
            </w:pPr>
            <w:r>
              <w:rPr>
                <w:sz w:val="20"/>
                <w:szCs w:val="16"/>
                <w:lang w:val="en-GB"/>
              </w:rPr>
              <w:t> </w:t>
            </w:r>
          </w:p>
        </w:tc>
        <w:tc>
          <w:tcPr>
            <w:tcW w:w="2230" w:type="dxa"/>
            <w:vMerge w:val="restart"/>
            <w:tcBorders>
              <w:top w:val="nil"/>
              <w:left w:val="nil"/>
              <w:right w:val="single" w:sz="4" w:space="0" w:color="auto"/>
            </w:tcBorders>
            <w:vAlign w:val="center"/>
          </w:tcPr>
          <w:p w:rsidR="00000000" w:rsidRDefault="00000000">
            <w:pPr>
              <w:keepNext/>
              <w:keepLines/>
              <w:jc w:val="left"/>
              <w:rPr>
                <w:sz w:val="20"/>
                <w:szCs w:val="16"/>
                <w:lang w:val="en-GB"/>
              </w:rPr>
            </w:pPr>
            <w:r>
              <w:rPr>
                <w:sz w:val="20"/>
                <w:lang w:val="en-GB"/>
              </w:rPr>
              <w:t>S10.3.1  MINEDU</w:t>
            </w:r>
          </w:p>
        </w:tc>
        <w:tc>
          <w:tcPr>
            <w:tcW w:w="3283"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left"/>
              <w:rPr>
                <w:sz w:val="20"/>
                <w:lang w:val="en-GB"/>
              </w:rPr>
            </w:pPr>
            <w:r>
              <w:rPr>
                <w:i/>
                <w:sz w:val="20"/>
                <w:lang w:val="en-GB"/>
              </w:rPr>
              <w:t>Direct R10</w:t>
            </w:r>
            <w:r>
              <w:rPr>
                <w:sz w:val="20"/>
                <w:lang w:val="en-GB"/>
              </w:rPr>
              <w:t>:  MINEDU, education associations, MCLPC</w:t>
            </w:r>
          </w:p>
          <w:p w:rsidR="00000000" w:rsidRDefault="00000000">
            <w:pPr>
              <w:keepNext/>
              <w:keepLines/>
              <w:jc w:val="left"/>
              <w:rPr>
                <w:sz w:val="20"/>
                <w:szCs w:val="16"/>
                <w:lang w:val="en-GB"/>
              </w:rPr>
            </w:pPr>
            <w:r>
              <w:rPr>
                <w:i/>
                <w:sz w:val="20"/>
                <w:lang w:val="en-GB"/>
              </w:rPr>
              <w:t>Support R10</w:t>
            </w:r>
            <w:r>
              <w:rPr>
                <w:sz w:val="20"/>
                <w:lang w:val="en-GB"/>
              </w:rPr>
              <w:t>:  UNESCO, international cooperation, mass media, national and international NGOs, churches, private sector, civic and community organizations, families, youth organizations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76"/>
        </w:trPr>
        <w:tc>
          <w:tcPr>
            <w:tcW w:w="1723" w:type="dxa"/>
            <w:gridSpan w:val="2"/>
            <w:vMerge/>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left"/>
              <w:rPr>
                <w:sz w:val="20"/>
                <w:szCs w:val="16"/>
                <w:lang w:val="en-GB"/>
              </w:rPr>
            </w:pPr>
          </w:p>
        </w:tc>
        <w:tc>
          <w:tcPr>
            <w:tcW w:w="2215" w:type="dxa"/>
            <w:vMerge/>
            <w:tcBorders>
              <w:left w:val="nil"/>
              <w:bottom w:val="single" w:sz="4" w:space="0" w:color="auto"/>
              <w:right w:val="single" w:sz="4" w:space="0" w:color="auto"/>
            </w:tcBorders>
            <w:vAlign w:val="center"/>
          </w:tcPr>
          <w:p w:rsidR="00000000" w:rsidRDefault="00000000">
            <w:pPr>
              <w:keepNext/>
              <w:keepLines/>
              <w:jc w:val="left"/>
              <w:rPr>
                <w:sz w:val="20"/>
                <w:szCs w:val="16"/>
                <w:lang w:val="en-GB"/>
              </w:rPr>
            </w:pPr>
          </w:p>
        </w:tc>
        <w:tc>
          <w:tcPr>
            <w:tcW w:w="2236" w:type="dxa"/>
            <w:vMerge/>
            <w:tcBorders>
              <w:left w:val="nil"/>
              <w:bottom w:val="single" w:sz="4" w:space="0" w:color="auto"/>
              <w:right w:val="single" w:sz="4" w:space="0" w:color="auto"/>
            </w:tcBorders>
            <w:vAlign w:val="center"/>
          </w:tcPr>
          <w:p w:rsidR="00000000" w:rsidRDefault="00000000">
            <w:pPr>
              <w:keepNext/>
              <w:keepLines/>
              <w:jc w:val="left"/>
              <w:rPr>
                <w:sz w:val="20"/>
                <w:szCs w:val="16"/>
                <w:lang w:val="en-GB"/>
              </w:rPr>
            </w:pPr>
          </w:p>
        </w:tc>
        <w:tc>
          <w:tcPr>
            <w:tcW w:w="2713" w:type="dxa"/>
            <w:vMerge/>
            <w:tcBorders>
              <w:left w:val="nil"/>
              <w:bottom w:val="single" w:sz="4" w:space="0" w:color="auto"/>
              <w:right w:val="single" w:sz="4" w:space="0" w:color="auto"/>
            </w:tcBorders>
            <w:vAlign w:val="center"/>
          </w:tcPr>
          <w:p w:rsidR="00000000" w:rsidRDefault="00000000">
            <w:pPr>
              <w:keepNext/>
              <w:keepLines/>
              <w:jc w:val="left"/>
              <w:rPr>
                <w:sz w:val="20"/>
                <w:szCs w:val="16"/>
                <w:lang w:val="en-GB"/>
              </w:rPr>
            </w:pPr>
          </w:p>
        </w:tc>
        <w:tc>
          <w:tcPr>
            <w:tcW w:w="2230" w:type="dxa"/>
            <w:vMerge/>
            <w:tcBorders>
              <w:left w:val="nil"/>
              <w:bottom w:val="single" w:sz="4" w:space="0" w:color="auto"/>
              <w:right w:val="single" w:sz="4" w:space="0" w:color="auto"/>
            </w:tcBorders>
            <w:vAlign w:val="center"/>
          </w:tcPr>
          <w:p w:rsidR="00000000" w:rsidRDefault="00000000">
            <w:pPr>
              <w:keepNext/>
              <w:keepLines/>
              <w:jc w:val="left"/>
              <w:rPr>
                <w:sz w:val="20"/>
                <w:szCs w:val="16"/>
                <w:lang w:val="en-GB"/>
              </w:rPr>
            </w:pPr>
          </w:p>
        </w:tc>
        <w:tc>
          <w:tcPr>
            <w:tcW w:w="3283" w:type="dxa"/>
            <w:vMerge/>
            <w:tcBorders>
              <w:left w:val="single" w:sz="4" w:space="0" w:color="auto"/>
              <w:bottom w:val="single" w:sz="4" w:space="0" w:color="auto"/>
              <w:right w:val="single" w:sz="4" w:space="0" w:color="auto"/>
            </w:tcBorders>
            <w:vAlign w:val="center"/>
          </w:tcPr>
          <w:p w:rsidR="00000000" w:rsidRDefault="00000000">
            <w:pPr>
              <w:keepNext/>
              <w:keepLines/>
              <w:jc w:val="left"/>
              <w:rPr>
                <w:sz w:val="20"/>
                <w:szCs w:val="16"/>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left"/>
              <w:rPr>
                <w:sz w:val="20"/>
                <w:szCs w:val="16"/>
                <w:lang w:val="en-GB"/>
              </w:rPr>
            </w:pPr>
          </w:p>
        </w:tc>
        <w:tc>
          <w:tcPr>
            <w:tcW w:w="2215" w:type="dxa"/>
            <w:tcBorders>
              <w:top w:val="single" w:sz="4" w:space="0" w:color="auto"/>
              <w:left w:val="nil"/>
              <w:bottom w:val="single" w:sz="4" w:space="0" w:color="auto"/>
              <w:right w:val="single" w:sz="4" w:space="0" w:color="auto"/>
            </w:tcBorders>
            <w:vAlign w:val="center"/>
          </w:tcPr>
          <w:p w:rsidR="00000000" w:rsidRDefault="00000000">
            <w:pPr>
              <w:keepNext/>
              <w:keepLines/>
              <w:jc w:val="left"/>
              <w:rPr>
                <w:sz w:val="20"/>
                <w:szCs w:val="16"/>
                <w:lang w:val="en-GB"/>
              </w:rPr>
            </w:pPr>
            <w:r>
              <w:rPr>
                <w:sz w:val="20"/>
                <w:lang w:val="en-GB"/>
              </w:rPr>
              <w:t>T10.4  To ensure by 2010 that 60 per cent of adolescents in areas where the mother tongue is not Spanish are participating in bilingual cross-cultural education programmes</w:t>
            </w:r>
          </w:p>
        </w:tc>
        <w:tc>
          <w:tcPr>
            <w:tcW w:w="2236" w:type="dxa"/>
            <w:tcBorders>
              <w:top w:val="single" w:sz="4" w:space="0" w:color="auto"/>
              <w:left w:val="nil"/>
              <w:bottom w:val="single" w:sz="4" w:space="0" w:color="auto"/>
              <w:right w:val="single" w:sz="4" w:space="0" w:color="auto"/>
            </w:tcBorders>
            <w:vAlign w:val="center"/>
          </w:tcPr>
          <w:p w:rsidR="00000000" w:rsidRDefault="00000000">
            <w:pPr>
              <w:keepNext/>
              <w:keepLines/>
              <w:jc w:val="left"/>
              <w:rPr>
                <w:sz w:val="20"/>
                <w:szCs w:val="16"/>
                <w:lang w:val="en-GB"/>
              </w:rPr>
            </w:pPr>
            <w:r>
              <w:rPr>
                <w:sz w:val="20"/>
                <w:lang w:val="en-GB"/>
              </w:rPr>
              <w:t>I10.4  Proportion of adolescents in areas where the mother tongue is not Spanish participating in bilingual cross-cultural education programmes for adolescents</w:t>
            </w:r>
          </w:p>
        </w:tc>
        <w:tc>
          <w:tcPr>
            <w:tcW w:w="2713" w:type="dxa"/>
            <w:tcBorders>
              <w:top w:val="single" w:sz="4" w:space="0" w:color="auto"/>
              <w:left w:val="nil"/>
              <w:bottom w:val="single" w:sz="4" w:space="0" w:color="auto"/>
              <w:right w:val="single" w:sz="4" w:space="0" w:color="auto"/>
            </w:tcBorders>
            <w:vAlign w:val="center"/>
          </w:tcPr>
          <w:p w:rsidR="00000000" w:rsidRDefault="00000000">
            <w:pPr>
              <w:keepNext/>
              <w:keepLines/>
              <w:jc w:val="left"/>
              <w:rPr>
                <w:sz w:val="20"/>
                <w:szCs w:val="16"/>
                <w:lang w:val="en-GB"/>
              </w:rPr>
            </w:pPr>
            <w:r>
              <w:rPr>
                <w:sz w:val="20"/>
                <w:szCs w:val="16"/>
                <w:lang w:val="en-GB"/>
              </w:rPr>
              <w:t> </w:t>
            </w:r>
          </w:p>
        </w:tc>
        <w:tc>
          <w:tcPr>
            <w:tcW w:w="2230" w:type="dxa"/>
            <w:tcBorders>
              <w:top w:val="single" w:sz="4" w:space="0" w:color="auto"/>
              <w:left w:val="nil"/>
              <w:bottom w:val="single" w:sz="4" w:space="0" w:color="auto"/>
              <w:right w:val="single" w:sz="4" w:space="0" w:color="auto"/>
            </w:tcBorders>
            <w:vAlign w:val="center"/>
          </w:tcPr>
          <w:p w:rsidR="00000000" w:rsidRDefault="00000000">
            <w:pPr>
              <w:keepNext/>
              <w:keepLines/>
              <w:jc w:val="left"/>
              <w:rPr>
                <w:sz w:val="20"/>
                <w:szCs w:val="16"/>
                <w:lang w:val="en-GB"/>
              </w:rPr>
            </w:pPr>
            <w:r>
              <w:rPr>
                <w:sz w:val="20"/>
                <w:lang w:val="en-GB"/>
              </w:rPr>
              <w:t>S10.4.1  MINEDU</w:t>
            </w:r>
          </w:p>
        </w:tc>
        <w:tc>
          <w:tcPr>
            <w:tcW w:w="3283" w:type="dxa"/>
            <w:vMerge/>
            <w:tcBorders>
              <w:left w:val="single" w:sz="4" w:space="0" w:color="auto"/>
              <w:bottom w:val="single" w:sz="4" w:space="0" w:color="auto"/>
              <w:right w:val="single" w:sz="4" w:space="0" w:color="auto"/>
            </w:tcBorders>
            <w:vAlign w:val="center"/>
          </w:tcPr>
          <w:p w:rsidR="00000000" w:rsidRDefault="00000000">
            <w:pPr>
              <w:keepNext/>
              <w:keepLines/>
              <w:jc w:val="left"/>
              <w:rPr>
                <w:sz w:val="20"/>
                <w:szCs w:val="16"/>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tcBorders>
              <w:top w:val="single" w:sz="4" w:space="0" w:color="auto"/>
            </w:tcBorders>
            <w:vAlign w:val="center"/>
          </w:tcPr>
          <w:p w:rsidR="00000000" w:rsidRDefault="00000000">
            <w:pPr>
              <w:keepNext/>
              <w:keepLines/>
              <w:jc w:val="left"/>
              <w:rPr>
                <w:sz w:val="20"/>
                <w:szCs w:val="16"/>
                <w:lang w:val="en-GB"/>
              </w:rPr>
            </w:pPr>
          </w:p>
        </w:tc>
        <w:tc>
          <w:tcPr>
            <w:tcW w:w="2215" w:type="dxa"/>
            <w:tcBorders>
              <w:top w:val="single" w:sz="4" w:space="0" w:color="auto"/>
            </w:tcBorders>
            <w:vAlign w:val="center"/>
          </w:tcPr>
          <w:p w:rsidR="00000000" w:rsidRDefault="00000000">
            <w:pPr>
              <w:keepNext/>
              <w:keepLines/>
              <w:jc w:val="left"/>
              <w:rPr>
                <w:sz w:val="20"/>
                <w:lang w:val="en-GB"/>
              </w:rPr>
            </w:pPr>
          </w:p>
        </w:tc>
        <w:tc>
          <w:tcPr>
            <w:tcW w:w="2236" w:type="dxa"/>
            <w:tcBorders>
              <w:top w:val="single" w:sz="4" w:space="0" w:color="auto"/>
            </w:tcBorders>
            <w:vAlign w:val="center"/>
          </w:tcPr>
          <w:p w:rsidR="00000000" w:rsidRDefault="00000000">
            <w:pPr>
              <w:keepNext/>
              <w:keepLines/>
              <w:jc w:val="left"/>
              <w:rPr>
                <w:sz w:val="20"/>
                <w:lang w:val="en-GB"/>
              </w:rPr>
            </w:pPr>
          </w:p>
        </w:tc>
        <w:tc>
          <w:tcPr>
            <w:tcW w:w="2713" w:type="dxa"/>
            <w:tcBorders>
              <w:top w:val="single" w:sz="4" w:space="0" w:color="auto"/>
            </w:tcBorders>
            <w:vAlign w:val="center"/>
          </w:tcPr>
          <w:p w:rsidR="00000000" w:rsidRDefault="00000000">
            <w:pPr>
              <w:keepNext/>
              <w:keepLines/>
              <w:jc w:val="left"/>
              <w:rPr>
                <w:sz w:val="20"/>
                <w:szCs w:val="16"/>
                <w:lang w:val="en-GB"/>
              </w:rPr>
            </w:pPr>
          </w:p>
        </w:tc>
        <w:tc>
          <w:tcPr>
            <w:tcW w:w="2230" w:type="dxa"/>
            <w:tcBorders>
              <w:top w:val="single" w:sz="4" w:space="0" w:color="auto"/>
            </w:tcBorders>
            <w:vAlign w:val="center"/>
          </w:tcPr>
          <w:p w:rsidR="00000000" w:rsidRDefault="00000000">
            <w:pPr>
              <w:keepNext/>
              <w:keepLines/>
              <w:jc w:val="left"/>
              <w:rPr>
                <w:sz w:val="20"/>
                <w:lang w:val="en-GB"/>
              </w:rPr>
            </w:pPr>
          </w:p>
        </w:tc>
        <w:tc>
          <w:tcPr>
            <w:tcW w:w="3283" w:type="dxa"/>
            <w:tcBorders>
              <w:top w:val="single" w:sz="4" w:space="0" w:color="auto"/>
            </w:tcBorders>
            <w:vAlign w:val="center"/>
          </w:tcPr>
          <w:p w:rsidR="00000000" w:rsidRDefault="00000000">
            <w:pPr>
              <w:keepNext/>
              <w:keepLines/>
              <w:jc w:val="left"/>
              <w:rPr>
                <w:sz w:val="20"/>
                <w:szCs w:val="16"/>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tcBorders>
              <w:top w:val="nil"/>
            </w:tcBorders>
            <w:vAlign w:val="center"/>
          </w:tcPr>
          <w:p w:rsidR="00000000" w:rsidRDefault="00000000">
            <w:pPr>
              <w:keepNext/>
              <w:keepLines/>
              <w:jc w:val="left"/>
              <w:rPr>
                <w:sz w:val="20"/>
                <w:szCs w:val="16"/>
                <w:lang w:val="en-GB"/>
              </w:rPr>
            </w:pPr>
          </w:p>
        </w:tc>
        <w:tc>
          <w:tcPr>
            <w:tcW w:w="2215" w:type="dxa"/>
            <w:tcBorders>
              <w:top w:val="nil"/>
            </w:tcBorders>
            <w:vAlign w:val="center"/>
          </w:tcPr>
          <w:p w:rsidR="00000000" w:rsidRDefault="00000000">
            <w:pPr>
              <w:keepNext/>
              <w:keepLines/>
              <w:jc w:val="left"/>
              <w:rPr>
                <w:sz w:val="20"/>
                <w:lang w:val="en-GB"/>
              </w:rPr>
            </w:pPr>
          </w:p>
        </w:tc>
        <w:tc>
          <w:tcPr>
            <w:tcW w:w="2236" w:type="dxa"/>
            <w:tcBorders>
              <w:top w:val="nil"/>
            </w:tcBorders>
            <w:vAlign w:val="center"/>
          </w:tcPr>
          <w:p w:rsidR="00000000" w:rsidRDefault="00000000">
            <w:pPr>
              <w:keepNext/>
              <w:keepLines/>
              <w:jc w:val="left"/>
              <w:rPr>
                <w:sz w:val="20"/>
                <w:lang w:val="en-GB"/>
              </w:rPr>
            </w:pPr>
          </w:p>
        </w:tc>
        <w:tc>
          <w:tcPr>
            <w:tcW w:w="2713" w:type="dxa"/>
            <w:tcBorders>
              <w:top w:val="nil"/>
            </w:tcBorders>
            <w:vAlign w:val="center"/>
          </w:tcPr>
          <w:p w:rsidR="00000000" w:rsidRDefault="00000000">
            <w:pPr>
              <w:keepNext/>
              <w:keepLines/>
              <w:jc w:val="left"/>
              <w:rPr>
                <w:sz w:val="20"/>
                <w:szCs w:val="16"/>
                <w:lang w:val="en-GB"/>
              </w:rPr>
            </w:pPr>
          </w:p>
        </w:tc>
        <w:tc>
          <w:tcPr>
            <w:tcW w:w="2230" w:type="dxa"/>
            <w:tcBorders>
              <w:top w:val="nil"/>
            </w:tcBorders>
            <w:vAlign w:val="center"/>
          </w:tcPr>
          <w:p w:rsidR="00000000" w:rsidRDefault="00000000">
            <w:pPr>
              <w:keepNext/>
              <w:keepLines/>
              <w:jc w:val="left"/>
              <w:rPr>
                <w:sz w:val="20"/>
                <w:lang w:val="en-GB"/>
              </w:rPr>
            </w:pPr>
          </w:p>
        </w:tc>
        <w:tc>
          <w:tcPr>
            <w:tcW w:w="3283" w:type="dxa"/>
            <w:vAlign w:val="center"/>
          </w:tcPr>
          <w:p w:rsidR="00000000" w:rsidRDefault="00000000">
            <w:pPr>
              <w:keepNext/>
              <w:keepLines/>
              <w:jc w:val="left"/>
              <w:rPr>
                <w:sz w:val="20"/>
                <w:szCs w:val="16"/>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tcBorders>
              <w:top w:val="nil"/>
            </w:tcBorders>
            <w:vAlign w:val="center"/>
          </w:tcPr>
          <w:p w:rsidR="00000000" w:rsidRDefault="00000000">
            <w:pPr>
              <w:keepNext/>
              <w:keepLines/>
              <w:jc w:val="left"/>
              <w:rPr>
                <w:sz w:val="20"/>
                <w:szCs w:val="16"/>
                <w:lang w:val="en-GB"/>
              </w:rPr>
            </w:pPr>
          </w:p>
        </w:tc>
        <w:tc>
          <w:tcPr>
            <w:tcW w:w="2215" w:type="dxa"/>
            <w:tcBorders>
              <w:top w:val="nil"/>
            </w:tcBorders>
            <w:vAlign w:val="center"/>
          </w:tcPr>
          <w:p w:rsidR="00000000" w:rsidRDefault="00000000">
            <w:pPr>
              <w:keepNext/>
              <w:keepLines/>
              <w:jc w:val="left"/>
              <w:rPr>
                <w:sz w:val="20"/>
                <w:lang w:val="en-GB"/>
              </w:rPr>
            </w:pPr>
          </w:p>
        </w:tc>
        <w:tc>
          <w:tcPr>
            <w:tcW w:w="2236" w:type="dxa"/>
            <w:tcBorders>
              <w:top w:val="nil"/>
            </w:tcBorders>
            <w:vAlign w:val="center"/>
          </w:tcPr>
          <w:p w:rsidR="00000000" w:rsidRDefault="00000000">
            <w:pPr>
              <w:keepNext/>
              <w:keepLines/>
              <w:jc w:val="left"/>
              <w:rPr>
                <w:sz w:val="20"/>
                <w:lang w:val="en-GB"/>
              </w:rPr>
            </w:pPr>
          </w:p>
        </w:tc>
        <w:tc>
          <w:tcPr>
            <w:tcW w:w="2713" w:type="dxa"/>
            <w:tcBorders>
              <w:top w:val="nil"/>
            </w:tcBorders>
            <w:vAlign w:val="center"/>
          </w:tcPr>
          <w:p w:rsidR="00000000" w:rsidRDefault="00000000">
            <w:pPr>
              <w:keepNext/>
              <w:keepLines/>
              <w:jc w:val="left"/>
              <w:rPr>
                <w:sz w:val="20"/>
                <w:szCs w:val="16"/>
                <w:lang w:val="en-GB"/>
              </w:rPr>
            </w:pPr>
          </w:p>
        </w:tc>
        <w:tc>
          <w:tcPr>
            <w:tcW w:w="2230" w:type="dxa"/>
            <w:tcBorders>
              <w:top w:val="nil"/>
            </w:tcBorders>
            <w:vAlign w:val="center"/>
          </w:tcPr>
          <w:p w:rsidR="00000000" w:rsidRDefault="00000000">
            <w:pPr>
              <w:keepNext/>
              <w:keepLines/>
              <w:jc w:val="left"/>
              <w:rPr>
                <w:sz w:val="20"/>
                <w:lang w:val="en-GB"/>
              </w:rPr>
            </w:pPr>
          </w:p>
        </w:tc>
        <w:tc>
          <w:tcPr>
            <w:tcW w:w="3283" w:type="dxa"/>
            <w:vAlign w:val="center"/>
          </w:tcPr>
          <w:p w:rsidR="00000000" w:rsidRDefault="00000000">
            <w:pPr>
              <w:keepNext/>
              <w:keepLines/>
              <w:jc w:val="left"/>
              <w:rPr>
                <w:sz w:val="20"/>
                <w:szCs w:val="16"/>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400" w:type="dxa"/>
            <w:gridSpan w:val="7"/>
            <w:tcBorders>
              <w:left w:val="single" w:sz="4" w:space="0" w:color="auto"/>
              <w:bottom w:val="single" w:sz="4" w:space="0" w:color="auto"/>
              <w:right w:val="single" w:sz="4" w:space="0" w:color="000000"/>
            </w:tcBorders>
            <w:vAlign w:val="center"/>
          </w:tcPr>
          <w:p w:rsidR="00000000" w:rsidRDefault="00000000">
            <w:pPr>
              <w:keepNext/>
              <w:spacing w:after="80"/>
              <w:jc w:val="left"/>
              <w:rPr>
                <w:b/>
                <w:sz w:val="20"/>
                <w:lang w:val="en-GB"/>
              </w:rPr>
            </w:pPr>
            <w:r>
              <w:rPr>
                <w:b/>
                <w:sz w:val="20"/>
                <w:lang w:val="en-GB"/>
              </w:rPr>
              <w:t>9.</w:t>
            </w:r>
            <w:r>
              <w:rPr>
                <w:b/>
                <w:sz w:val="20"/>
                <w:lang w:val="en-GB"/>
              </w:rPr>
              <w:tab/>
              <w:t>The right to play and recreation</w:t>
            </w:r>
          </w:p>
          <w:p w:rsidR="00000000" w:rsidRDefault="00000000">
            <w:pPr>
              <w:keepNext/>
              <w:keepLines/>
              <w:spacing w:before="60" w:after="60"/>
              <w:jc w:val="left"/>
              <w:rPr>
                <w:bCs/>
                <w:sz w:val="20"/>
                <w:lang w:val="en-GB"/>
              </w:rPr>
            </w:pPr>
            <w:r>
              <w:rPr>
                <w:bCs/>
                <w:sz w:val="20"/>
                <w:lang w:val="en-GB"/>
              </w:rPr>
              <w:tab/>
              <w:t>This right is related to the right to develop freely and the right to well-being; in other words it is a right focused on children, for it is designed to secure the full development of their physical, spiritual and intellectual capacities in order to complete their full realization as human beings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6174" w:type="dxa"/>
            <w:gridSpan w:val="4"/>
            <w:tcBorders>
              <w:top w:val="nil"/>
              <w:left w:val="single" w:sz="4" w:space="0" w:color="auto"/>
              <w:bottom w:val="single" w:sz="4" w:space="0" w:color="auto"/>
              <w:right w:val="single" w:sz="4" w:space="0" w:color="auto"/>
            </w:tcBorders>
          </w:tcPr>
          <w:p w:rsidR="00000000" w:rsidRDefault="00000000">
            <w:pPr>
              <w:keepNext/>
              <w:keepLines/>
              <w:jc w:val="left"/>
              <w:rPr>
                <w:sz w:val="20"/>
                <w:szCs w:val="14"/>
                <w:lang w:val="en-GB"/>
              </w:rPr>
            </w:pPr>
            <w:r>
              <w:rPr>
                <w:sz w:val="20"/>
                <w:lang w:val="en-GB"/>
              </w:rPr>
              <w:t xml:space="preserve">The function of the </w:t>
            </w:r>
            <w:r>
              <w:rPr>
                <w:i/>
                <w:sz w:val="20"/>
                <w:lang w:val="en-GB"/>
              </w:rPr>
              <w:t>Parque de Leyendas</w:t>
            </w:r>
            <w:r>
              <w:rPr>
                <w:sz w:val="20"/>
                <w:lang w:val="en-GB"/>
              </w:rPr>
              <w:t xml:space="preserve"> Board (PATPAL) is to provide for the community’s cultural well-being, leisure and recreation and to foster the indigenous resources of Peru’s 16 natural regions</w:t>
            </w:r>
          </w:p>
        </w:tc>
        <w:tc>
          <w:tcPr>
            <w:tcW w:w="2713" w:type="dxa"/>
            <w:tcBorders>
              <w:top w:val="nil"/>
              <w:left w:val="nil"/>
              <w:bottom w:val="single" w:sz="4" w:space="0" w:color="auto"/>
              <w:right w:val="single" w:sz="4" w:space="0" w:color="auto"/>
            </w:tcBorders>
            <w:vAlign w:val="center"/>
          </w:tcPr>
          <w:p w:rsidR="00000000" w:rsidRDefault="00000000">
            <w:pPr>
              <w:keepNext/>
              <w:keepLines/>
              <w:jc w:val="left"/>
              <w:rPr>
                <w:sz w:val="20"/>
                <w:szCs w:val="14"/>
                <w:lang w:val="es-ES"/>
              </w:rPr>
            </w:pPr>
            <w:r>
              <w:rPr>
                <w:sz w:val="20"/>
                <w:lang w:val="en-GB"/>
              </w:rPr>
              <w:t xml:space="preserve">The </w:t>
            </w:r>
            <w:r>
              <w:rPr>
                <w:i/>
                <w:sz w:val="20"/>
                <w:lang w:val="en-GB"/>
              </w:rPr>
              <w:t>Parque de Leyendas</w:t>
            </w:r>
            <w:r>
              <w:rPr>
                <w:sz w:val="20"/>
                <w:lang w:val="en-GB"/>
              </w:rPr>
              <w:t>, whose 969,557.38 square metres have been declared inviolable by law, is owned by PATPAL, a decentralized agency of MIMDES having legal personality under public law</w:t>
            </w:r>
          </w:p>
        </w:tc>
        <w:tc>
          <w:tcPr>
            <w:tcW w:w="2230" w:type="dxa"/>
            <w:tcBorders>
              <w:top w:val="nil"/>
              <w:left w:val="nil"/>
              <w:bottom w:val="single" w:sz="4" w:space="0" w:color="auto"/>
              <w:right w:val="single" w:sz="4" w:space="0" w:color="auto"/>
            </w:tcBorders>
            <w:vAlign w:val="center"/>
          </w:tcPr>
          <w:p w:rsidR="00000000" w:rsidRDefault="00000000">
            <w:pPr>
              <w:keepNext/>
              <w:keepLines/>
              <w:jc w:val="left"/>
              <w:rPr>
                <w:sz w:val="20"/>
                <w:szCs w:val="14"/>
                <w:lang w:val="en-GB"/>
              </w:rPr>
            </w:pPr>
            <w:r>
              <w:rPr>
                <w:sz w:val="20"/>
                <w:szCs w:val="14"/>
                <w:lang w:val="en-GB"/>
              </w:rPr>
              <w:t> </w:t>
            </w:r>
          </w:p>
        </w:tc>
        <w:tc>
          <w:tcPr>
            <w:tcW w:w="3283" w:type="dxa"/>
            <w:tcBorders>
              <w:top w:val="nil"/>
              <w:left w:val="nil"/>
              <w:bottom w:val="single" w:sz="4" w:space="0" w:color="auto"/>
              <w:right w:val="single" w:sz="4" w:space="0" w:color="auto"/>
            </w:tcBorders>
            <w:vAlign w:val="center"/>
          </w:tcPr>
          <w:p w:rsidR="00000000" w:rsidRDefault="00000000">
            <w:pPr>
              <w:keepNext/>
              <w:keepLines/>
              <w:jc w:val="left"/>
              <w:rPr>
                <w:sz w:val="20"/>
                <w:szCs w:val="14"/>
                <w:lang w:val="en-GB"/>
              </w:rPr>
            </w:pPr>
            <w:r>
              <w:rPr>
                <w:sz w:val="20"/>
                <w:szCs w:val="14"/>
                <w:lang w:val="en-GB"/>
              </w:rPr>
              <w:t> </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400" w:type="dxa"/>
            <w:gridSpan w:val="7"/>
            <w:tcBorders>
              <w:top w:val="single" w:sz="4" w:space="0" w:color="auto"/>
              <w:left w:val="single" w:sz="4" w:space="0" w:color="auto"/>
              <w:bottom w:val="single" w:sz="4" w:space="0" w:color="auto"/>
              <w:right w:val="single" w:sz="4" w:space="0" w:color="000000"/>
            </w:tcBorders>
            <w:vAlign w:val="center"/>
          </w:tcPr>
          <w:p w:rsidR="00000000" w:rsidRDefault="00000000">
            <w:pPr>
              <w:keepNext/>
              <w:spacing w:before="60" w:after="60"/>
              <w:jc w:val="left"/>
              <w:rPr>
                <w:b/>
                <w:sz w:val="20"/>
                <w:lang w:val="en-GB"/>
              </w:rPr>
            </w:pPr>
            <w:r>
              <w:rPr>
                <w:b/>
                <w:sz w:val="20"/>
                <w:lang w:val="en-GB"/>
              </w:rPr>
              <w:t>10.  The right of disabled children to receive special attention</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val="restart"/>
            <w:tcBorders>
              <w:top w:val="nil"/>
              <w:left w:val="single" w:sz="4" w:space="0" w:color="auto"/>
              <w:bottom w:val="single" w:sz="4" w:space="0" w:color="auto"/>
              <w:right w:val="single" w:sz="4" w:space="0" w:color="auto"/>
            </w:tcBorders>
            <w:vAlign w:val="center"/>
          </w:tcPr>
          <w:p w:rsidR="00000000" w:rsidRDefault="00000000">
            <w:pPr>
              <w:keepNext/>
              <w:jc w:val="left"/>
              <w:rPr>
                <w:sz w:val="20"/>
                <w:szCs w:val="16"/>
                <w:lang w:val="en-GB"/>
              </w:rPr>
            </w:pPr>
            <w:r>
              <w:rPr>
                <w:sz w:val="20"/>
                <w:lang w:val="en-GB"/>
              </w:rPr>
              <w:t>O4  Identification of and provision for the special needs of disabled children</w:t>
            </w:r>
          </w:p>
        </w:tc>
        <w:tc>
          <w:tcPr>
            <w:tcW w:w="2215" w:type="dxa"/>
            <w:tcBorders>
              <w:top w:val="nil"/>
              <w:left w:val="nil"/>
              <w:bottom w:val="single" w:sz="4" w:space="0" w:color="auto"/>
              <w:right w:val="single" w:sz="4" w:space="0" w:color="auto"/>
            </w:tcBorders>
            <w:vAlign w:val="center"/>
          </w:tcPr>
          <w:p w:rsidR="00000000" w:rsidRDefault="00000000">
            <w:pPr>
              <w:keepNext/>
              <w:jc w:val="left"/>
              <w:rPr>
                <w:sz w:val="20"/>
                <w:szCs w:val="16"/>
                <w:lang w:val="en-GB"/>
              </w:rPr>
            </w:pPr>
            <w:r>
              <w:rPr>
                <w:sz w:val="20"/>
                <w:lang w:val="en-GB"/>
              </w:rPr>
              <w:t>T4.1  To produce a comprehensive analysis of the situation of disabled children nation-wide and of the available public services</w:t>
            </w:r>
          </w:p>
        </w:tc>
        <w:tc>
          <w:tcPr>
            <w:tcW w:w="2236" w:type="dxa"/>
            <w:tcBorders>
              <w:top w:val="nil"/>
              <w:left w:val="nil"/>
              <w:bottom w:val="single" w:sz="4" w:space="0" w:color="auto"/>
              <w:right w:val="single" w:sz="4" w:space="0" w:color="auto"/>
            </w:tcBorders>
            <w:vAlign w:val="center"/>
          </w:tcPr>
          <w:p w:rsidR="00000000" w:rsidRDefault="00000000">
            <w:pPr>
              <w:keepNext/>
              <w:jc w:val="left"/>
              <w:rPr>
                <w:sz w:val="20"/>
                <w:szCs w:val="16"/>
                <w:lang w:val="en-GB"/>
              </w:rPr>
            </w:pPr>
            <w:r>
              <w:rPr>
                <w:sz w:val="20"/>
                <w:lang w:val="en-GB"/>
              </w:rPr>
              <w:t>I4.1  Nation-wide study of the numbers and characteristics of disabled children</w:t>
            </w:r>
          </w:p>
        </w:tc>
        <w:tc>
          <w:tcPr>
            <w:tcW w:w="2713" w:type="dxa"/>
            <w:tcBorders>
              <w:top w:val="nil"/>
              <w:left w:val="nil"/>
              <w:bottom w:val="single" w:sz="4" w:space="0" w:color="auto"/>
              <w:right w:val="single" w:sz="4" w:space="0" w:color="auto"/>
            </w:tcBorders>
            <w:vAlign w:val="center"/>
          </w:tcPr>
          <w:p w:rsidR="00000000" w:rsidRDefault="00000000">
            <w:pPr>
              <w:keepNext/>
              <w:jc w:val="left"/>
              <w:rPr>
                <w:sz w:val="20"/>
                <w:szCs w:val="16"/>
                <w:lang w:val="pt-BR"/>
              </w:rPr>
            </w:pPr>
            <w:r>
              <w:rPr>
                <w:sz w:val="20"/>
                <w:lang w:val="en-GB"/>
              </w:rPr>
              <w:t xml:space="preserve">Peru has almost 700,0000 children with some degree of disability (estimate based on the document </w:t>
            </w:r>
            <w:r>
              <w:rPr>
                <w:i/>
                <w:sz w:val="20"/>
                <w:lang w:val="en-GB"/>
              </w:rPr>
              <w:t>Perú: Perfil socio-demográfico de la población discapacitada</w:t>
            </w:r>
            <w:r>
              <w:rPr>
                <w:sz w:val="20"/>
                <w:lang w:val="en-GB"/>
              </w:rPr>
              <w:t xml:space="preserve">.  </w:t>
            </w:r>
            <w:r>
              <w:rPr>
                <w:sz w:val="20"/>
                <w:lang w:val="pt-BR"/>
              </w:rPr>
              <w:t>INEI, Februuary 1996)</w:t>
            </w:r>
          </w:p>
        </w:tc>
        <w:tc>
          <w:tcPr>
            <w:tcW w:w="2230" w:type="dxa"/>
            <w:tcBorders>
              <w:top w:val="nil"/>
              <w:left w:val="nil"/>
              <w:bottom w:val="single" w:sz="4" w:space="0" w:color="auto"/>
              <w:right w:val="single" w:sz="4" w:space="0" w:color="auto"/>
            </w:tcBorders>
            <w:vAlign w:val="center"/>
          </w:tcPr>
          <w:p w:rsidR="00000000" w:rsidRDefault="00000000">
            <w:pPr>
              <w:keepNext/>
              <w:jc w:val="left"/>
              <w:rPr>
                <w:sz w:val="20"/>
                <w:szCs w:val="16"/>
                <w:lang w:val="pt-BR"/>
              </w:rPr>
            </w:pPr>
            <w:r>
              <w:rPr>
                <w:sz w:val="20"/>
                <w:lang w:val="pt-BR"/>
              </w:rPr>
              <w:t>S4.1.1  MINSA</w:t>
            </w:r>
          </w:p>
        </w:tc>
        <w:tc>
          <w:tcPr>
            <w:tcW w:w="3283" w:type="dxa"/>
            <w:vMerge w:val="restart"/>
            <w:tcBorders>
              <w:top w:val="nil"/>
              <w:left w:val="single" w:sz="4" w:space="0" w:color="auto"/>
              <w:bottom w:val="single" w:sz="4" w:space="0" w:color="auto"/>
              <w:right w:val="single" w:sz="4" w:space="0" w:color="auto"/>
            </w:tcBorders>
          </w:tcPr>
          <w:p w:rsidR="00000000" w:rsidRDefault="00000000">
            <w:pPr>
              <w:keepNext/>
              <w:jc w:val="left"/>
              <w:rPr>
                <w:i/>
                <w:sz w:val="20"/>
                <w:lang w:val="pt-BR"/>
              </w:rPr>
            </w:pPr>
          </w:p>
          <w:p w:rsidR="00000000" w:rsidRDefault="00000000">
            <w:pPr>
              <w:keepNext/>
              <w:jc w:val="left"/>
              <w:rPr>
                <w:i/>
                <w:sz w:val="20"/>
                <w:lang w:val="pt-BR"/>
              </w:rPr>
            </w:pPr>
          </w:p>
          <w:p w:rsidR="00000000" w:rsidRDefault="00000000">
            <w:pPr>
              <w:keepNext/>
              <w:jc w:val="left"/>
              <w:rPr>
                <w:i/>
                <w:sz w:val="20"/>
                <w:lang w:val="pt-BR"/>
              </w:rPr>
            </w:pPr>
          </w:p>
          <w:p w:rsidR="00000000" w:rsidRDefault="00000000">
            <w:pPr>
              <w:keepNext/>
              <w:jc w:val="left"/>
              <w:rPr>
                <w:i/>
                <w:sz w:val="20"/>
                <w:lang w:val="pt-BR"/>
              </w:rPr>
            </w:pPr>
          </w:p>
          <w:p w:rsidR="00000000" w:rsidRDefault="00000000">
            <w:pPr>
              <w:keepNext/>
              <w:jc w:val="left"/>
              <w:rPr>
                <w:i/>
                <w:sz w:val="20"/>
                <w:lang w:val="pt-BR"/>
              </w:rPr>
            </w:pPr>
          </w:p>
          <w:p w:rsidR="00000000" w:rsidRDefault="00000000">
            <w:pPr>
              <w:keepNext/>
              <w:jc w:val="left"/>
              <w:rPr>
                <w:i/>
                <w:sz w:val="20"/>
                <w:lang w:val="pt-BR"/>
              </w:rPr>
            </w:pPr>
          </w:p>
          <w:p w:rsidR="00000000" w:rsidRDefault="00000000">
            <w:pPr>
              <w:keepNext/>
              <w:jc w:val="left"/>
              <w:rPr>
                <w:sz w:val="20"/>
                <w:lang w:val="en-GB"/>
              </w:rPr>
            </w:pPr>
            <w:r>
              <w:rPr>
                <w:i/>
                <w:sz w:val="20"/>
                <w:lang w:val="pt-BR"/>
              </w:rPr>
              <w:t>Direct R4</w:t>
            </w:r>
            <w:r>
              <w:rPr>
                <w:sz w:val="20"/>
                <w:lang w:val="pt-BR"/>
              </w:rPr>
              <w:t xml:space="preserve">:  MINSA, MIMDES. </w:t>
            </w:r>
            <w:r>
              <w:rPr>
                <w:sz w:val="20"/>
                <w:lang w:val="en-GB"/>
              </w:rPr>
              <w:t>MCLCP</w:t>
            </w:r>
          </w:p>
          <w:p w:rsidR="00000000" w:rsidRDefault="00000000">
            <w:pPr>
              <w:keepNext/>
              <w:jc w:val="left"/>
              <w:rPr>
                <w:sz w:val="20"/>
                <w:szCs w:val="16"/>
                <w:lang w:val="en-GB"/>
              </w:rPr>
            </w:pPr>
            <w:r>
              <w:rPr>
                <w:i/>
                <w:sz w:val="20"/>
                <w:lang w:val="en-GB"/>
              </w:rPr>
              <w:t>Support R4</w:t>
            </w:r>
            <w:r>
              <w:rPr>
                <w:sz w:val="20"/>
                <w:lang w:val="en-GB"/>
              </w:rPr>
              <w:t>:  Universities, national and international NGOs, churches, private sector, civic and community organizations, families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T4.2  To extend the coverage of special education to 30 per cent, with a presence at all the levels and in all the modalities of the national education system</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I4.2  Proportion of children requiring special education who have received or are receiving it</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In 2000 there were 30,834 students enrolled in special education, not all of them under 18 (</w:t>
            </w:r>
            <w:r>
              <w:rPr>
                <w:i/>
                <w:sz w:val="20"/>
                <w:lang w:val="en-GB"/>
              </w:rPr>
              <w:t>Peru in Numbers</w:t>
            </w:r>
            <w:r>
              <w:rPr>
                <w:sz w:val="20"/>
                <w:lang w:val="en-GB"/>
              </w:rPr>
              <w:t xml:space="preserve"> statistical yearbook 2001.  Lima, September 2001)</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S4.2.1  INEI special surveys</w:t>
            </w:r>
          </w:p>
        </w:tc>
        <w:tc>
          <w:tcPr>
            <w:tcW w:w="3283"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T4.3  Sixty per cent of special education schools to be staffed by specialized personnel, with provision of suitable materials and accessible infrastructure</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I4.3  Proportion of special education schools with specialized personnel, suitable materials and accessible infrastructure</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In 2000 there were 3,639 special education teachers working in the school modality and 169 in the non-school modality (</w:t>
            </w:r>
            <w:r>
              <w:rPr>
                <w:i/>
                <w:sz w:val="20"/>
                <w:lang w:val="en-GB"/>
              </w:rPr>
              <w:t>Peru in Numbers</w:t>
            </w:r>
            <w:r>
              <w:rPr>
                <w:sz w:val="20"/>
                <w:lang w:val="en-GB"/>
              </w:rPr>
              <w:t xml:space="preserve"> statistical yearbook 2001.  Lima, September 2001)</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S4.3.1  MINEDU</w:t>
            </w:r>
          </w:p>
        </w:tc>
        <w:tc>
          <w:tcPr>
            <w:tcW w:w="3283"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T4.4  To ensure that 50 per cent of health centres nation-wide have been equipped with rehabilitation facilities and services and have established coordination with the education services in their districts</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I4.4  Proportion of health centres which have been equipped with rehabilitation facilities and services and have established coordination with the education services in their districts</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szCs w:val="16"/>
                <w:lang w:val="en-GB"/>
              </w:rPr>
              <w:t> </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S4.4.1  MINSA</w:t>
            </w:r>
          </w:p>
        </w:tc>
        <w:tc>
          <w:tcPr>
            <w:tcW w:w="3283"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T4.5  Formulation and introduction of a regulatory framework for the incorporation of inclusion policies in the national health and education programmes, in order to ensure the participation of disabled children in community life throughout Peru</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I4.5  Existence of a regulatory framework and establishment of programmes to ensure the development of inclusive schools throughout the country</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szCs w:val="16"/>
                <w:lang w:val="en-GB"/>
              </w:rPr>
              <w:t> </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pt-BR"/>
              </w:rPr>
            </w:pPr>
            <w:r>
              <w:rPr>
                <w:sz w:val="20"/>
                <w:lang w:val="pt-BR"/>
              </w:rPr>
              <w:t>S4.5.1  MINEDU     S4.5.2  MINSA</w:t>
            </w:r>
          </w:p>
        </w:tc>
        <w:tc>
          <w:tcPr>
            <w:tcW w:w="3283"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pt-BR"/>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val="restart"/>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r>
              <w:rPr>
                <w:sz w:val="20"/>
                <w:lang w:val="en-GB"/>
              </w:rPr>
              <w:t>O18  Infrastructure and services adapted to the needs and culture of all children, with priority for children with special needs</w:t>
            </w: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T18.1  To ensure that 75 per cent of children with disabilities and special needs enjoy the benefit of social services and programmes adapted to their needs</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I18.1  Proportion of children with disabilities and special needs enjoying social services and programmes adapted to their needs</w:t>
            </w:r>
          </w:p>
        </w:tc>
        <w:tc>
          <w:tcPr>
            <w:tcW w:w="2713" w:type="dxa"/>
            <w:tcBorders>
              <w:top w:val="nil"/>
              <w:left w:val="nil"/>
              <w:bottom w:val="single" w:sz="4" w:space="0" w:color="auto"/>
              <w:right w:val="single" w:sz="4" w:space="0" w:color="auto"/>
            </w:tcBorders>
            <w:vAlign w:val="center"/>
          </w:tcPr>
          <w:p w:rsidR="00000000" w:rsidRDefault="00000000">
            <w:pPr>
              <w:jc w:val="left"/>
              <w:rPr>
                <w:sz w:val="20"/>
                <w:lang w:val="en-GB"/>
              </w:rPr>
            </w:pPr>
            <w:r>
              <w:rPr>
                <w:sz w:val="20"/>
                <w:lang w:val="en-GB"/>
              </w:rPr>
              <w:t>(1)  In 2000 there were 28,369 pupils enrolled in special education (</w:t>
            </w:r>
            <w:r>
              <w:rPr>
                <w:i/>
                <w:sz w:val="20"/>
                <w:lang w:val="en-GB"/>
              </w:rPr>
              <w:t>Peru in Numbers</w:t>
            </w:r>
            <w:r>
              <w:rPr>
                <w:sz w:val="20"/>
                <w:lang w:val="en-GB"/>
              </w:rPr>
              <w:t xml:space="preserve"> statistical yearbook 2001.  Lima, September 2001)</w:t>
            </w:r>
          </w:p>
          <w:p w:rsidR="00000000" w:rsidRDefault="00000000">
            <w:pPr>
              <w:jc w:val="left"/>
              <w:rPr>
                <w:sz w:val="20"/>
                <w:szCs w:val="16"/>
                <w:lang w:val="en-GB"/>
              </w:rPr>
            </w:pPr>
            <w:r>
              <w:rPr>
                <w:sz w:val="20"/>
                <w:lang w:val="en-GB"/>
              </w:rPr>
              <w:t xml:space="preserve">(2)  Peru has almost 700,000 children with some degree of disability (estimate based on the document </w:t>
            </w:r>
            <w:r>
              <w:rPr>
                <w:i/>
                <w:sz w:val="20"/>
                <w:lang w:val="en-GB"/>
              </w:rPr>
              <w:t>Perú: Perfil socio-demografico de la población discapacitada</w:t>
            </w:r>
            <w:r>
              <w:rPr>
                <w:sz w:val="20"/>
                <w:lang w:val="en-GB"/>
              </w:rPr>
              <w:t>.  INEI, February 1996)</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S18.1.1  MINEDU     S18.1.2  MINSA     S18.1.3  MIMDES</w:t>
            </w:r>
          </w:p>
        </w:tc>
        <w:tc>
          <w:tcPr>
            <w:tcW w:w="3283" w:type="dxa"/>
            <w:vMerge w:val="restart"/>
            <w:tcBorders>
              <w:top w:val="nil"/>
              <w:left w:val="single" w:sz="4" w:space="0" w:color="auto"/>
              <w:bottom w:val="single" w:sz="4" w:space="0" w:color="auto"/>
              <w:right w:val="single" w:sz="4" w:space="0" w:color="auto"/>
            </w:tcBorders>
            <w:vAlign w:val="center"/>
          </w:tcPr>
          <w:p w:rsidR="00000000" w:rsidRDefault="00000000">
            <w:pPr>
              <w:jc w:val="left"/>
              <w:rPr>
                <w:sz w:val="20"/>
                <w:lang w:val="en-GB"/>
              </w:rPr>
            </w:pPr>
            <w:r>
              <w:rPr>
                <w:i/>
                <w:sz w:val="20"/>
                <w:lang w:val="en-GB"/>
              </w:rPr>
              <w:t>Direct R18</w:t>
            </w:r>
            <w:r>
              <w:rPr>
                <w:sz w:val="20"/>
                <w:lang w:val="en-GB"/>
              </w:rPr>
              <w:t>:  MINEDU, local authorities, education associations, MINSA, MIMDES</w:t>
            </w:r>
          </w:p>
          <w:p w:rsidR="00000000" w:rsidRDefault="00000000">
            <w:pPr>
              <w:jc w:val="left"/>
              <w:rPr>
                <w:sz w:val="20"/>
                <w:szCs w:val="16"/>
                <w:lang w:val="en-GB"/>
              </w:rPr>
            </w:pPr>
            <w:r>
              <w:rPr>
                <w:i/>
                <w:sz w:val="20"/>
                <w:lang w:val="en-GB"/>
              </w:rPr>
              <w:t>Support R18</w:t>
            </w:r>
            <w:r>
              <w:rPr>
                <w:sz w:val="20"/>
                <w:lang w:val="en-GB"/>
              </w:rPr>
              <w:t>:  Children’s ombudsmen, NGOs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T18.2  To ensure that the whole public access infrastructure is specially adapted for disabled children</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I18.2  Proportion of the public access infrastructure specially adapted for disabled children</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szCs w:val="16"/>
                <w:lang w:val="en-GB"/>
              </w:rPr>
              <w:t> </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pt-BR"/>
              </w:rPr>
            </w:pPr>
            <w:r>
              <w:rPr>
                <w:sz w:val="20"/>
                <w:lang w:val="pt-BR"/>
              </w:rPr>
              <w:t>S18.2.1  MINEDU     S18.2.2  MINSA</w:t>
            </w:r>
          </w:p>
        </w:tc>
        <w:tc>
          <w:tcPr>
            <w:tcW w:w="3283"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pt-BR"/>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pt-BR"/>
              </w:rPr>
            </w:pP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T18.3  To increase enrolment in special education by 28 per cent by 2005, with a presence at all the levels and in all the modalities of the education system nation-wide, with special emphasis on the rural population</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I18.3  Proportion of children requiring special education who are enrolled in special education schools</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szCs w:val="16"/>
                <w:lang w:val="en-GB"/>
              </w:rPr>
              <w:t> </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S18.2.3  Local authorities</w:t>
            </w:r>
          </w:p>
        </w:tc>
        <w:tc>
          <w:tcPr>
            <w:tcW w:w="3283"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T18.4  To formulate by 2005 a regulatory framework for the introduction of inclusive schools throughout the country</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I18.4  Existence of a regulatory framework for the introduction of inclusive schools</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szCs w:val="16"/>
                <w:lang w:val="en-GB"/>
              </w:rPr>
              <w:t> </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S18.3.1  MINEDU</w:t>
            </w:r>
          </w:p>
        </w:tc>
        <w:tc>
          <w:tcPr>
            <w:tcW w:w="3283"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400" w:type="dxa"/>
            <w:gridSpan w:val="7"/>
            <w:tcBorders>
              <w:top w:val="single" w:sz="4" w:space="0" w:color="auto"/>
              <w:left w:val="single" w:sz="4" w:space="0" w:color="auto"/>
              <w:bottom w:val="single" w:sz="4" w:space="0" w:color="auto"/>
              <w:right w:val="single" w:sz="4" w:space="0" w:color="000000"/>
            </w:tcBorders>
            <w:vAlign w:val="center"/>
          </w:tcPr>
          <w:p w:rsidR="00000000" w:rsidRDefault="00000000">
            <w:pPr>
              <w:spacing w:before="60" w:after="60"/>
              <w:jc w:val="left"/>
              <w:rPr>
                <w:b/>
                <w:sz w:val="20"/>
                <w:lang w:val="en-GB"/>
              </w:rPr>
            </w:pPr>
            <w:r>
              <w:rPr>
                <w:b/>
                <w:sz w:val="20"/>
                <w:lang w:val="en-GB"/>
              </w:rPr>
              <w:t>##11.</w:t>
            </w:r>
            <w:r>
              <w:rPr>
                <w:b/>
                <w:sz w:val="20"/>
                <w:lang w:val="en-GB"/>
              </w:rPr>
              <w:tab/>
              <w:t>The right to comprehensive protection from sexual abuse and exploitation</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val="restart"/>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r>
              <w:rPr>
                <w:sz w:val="20"/>
                <w:lang w:val="en-GB"/>
              </w:rPr>
              <w:t>O21  Reduction of the sexual exploitation of children</w:t>
            </w: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T21.1  To eradicate the sexual exploitation of children by 2010</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I21.1  Cases of sexual exploitation of children</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According to information from the Network of Organizations to End Child Prostitution, Child Pornography and Trafficking in Children for Sexual Purposes (ECPAT International), in 1996 an estimated total of 500,000 children suffered sexual exploitation (taken from the ECPAT web page)</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S21.1.1  Attorney-General</w:t>
            </w:r>
          </w:p>
        </w:tc>
        <w:tc>
          <w:tcPr>
            <w:tcW w:w="3283" w:type="dxa"/>
            <w:vMerge w:val="restart"/>
            <w:tcBorders>
              <w:top w:val="nil"/>
              <w:left w:val="single" w:sz="4" w:space="0" w:color="auto"/>
              <w:bottom w:val="single" w:sz="4" w:space="0" w:color="auto"/>
              <w:right w:val="single" w:sz="4" w:space="0" w:color="auto"/>
            </w:tcBorders>
            <w:vAlign w:val="center"/>
          </w:tcPr>
          <w:p w:rsidR="00000000" w:rsidRDefault="00000000">
            <w:pPr>
              <w:jc w:val="left"/>
              <w:rPr>
                <w:sz w:val="20"/>
                <w:lang w:val="en-GB"/>
              </w:rPr>
            </w:pPr>
            <w:r>
              <w:rPr>
                <w:i/>
                <w:sz w:val="20"/>
                <w:lang w:val="en-GB"/>
              </w:rPr>
              <w:t>Direct R21</w:t>
            </w:r>
            <w:r>
              <w:rPr>
                <w:sz w:val="20"/>
                <w:lang w:val="en-GB"/>
              </w:rPr>
              <w:t>:  MITINCI, Attorney-General, prefectures, Judiciary, local authorities, communication media, MIMDES, PNP</w:t>
            </w:r>
          </w:p>
          <w:p w:rsidR="00000000" w:rsidRDefault="00000000">
            <w:pPr>
              <w:jc w:val="left"/>
              <w:rPr>
                <w:sz w:val="20"/>
                <w:szCs w:val="16"/>
                <w:lang w:val="en-GB"/>
              </w:rPr>
            </w:pPr>
            <w:r>
              <w:rPr>
                <w:i/>
                <w:sz w:val="20"/>
                <w:lang w:val="en-GB"/>
              </w:rPr>
              <w:t>Support R21</w:t>
            </w:r>
            <w:r>
              <w:rPr>
                <w:sz w:val="20"/>
                <w:lang w:val="en-GB"/>
              </w:rPr>
              <w:t>: UNFPA, UNICEF, PAHO/WHO, national and international NGOs, ILO, churches, private sector, civic and community organizations, families, youth organizations, vocational schools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T21.2  To introduce by 2005 legislation on the sexual and commercial exploitation of children matched by preventive measures and programmes for the care and reintegration of victims and for suppression of such exploitation and punishment of persons implicated in child prostitution and pornography</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I21.2  Existence of legislation on the sexual and commercial exploitation of children</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The Congress of the Republic has approved the Optional Protocols to the Convention on the Rights of the Child on the involvement of children in armed conflict and on the sale of children, child prostitution and child pornography, adopted by the General Assembly of the United Nations on 25 May 2000 and signed by Peru on 1 November 2000</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S21.2.1  MIMDES</w:t>
            </w:r>
          </w:p>
        </w:tc>
        <w:tc>
          <w:tcPr>
            <w:tcW w:w="3283"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r>
              <w:rPr>
                <w:sz w:val="20"/>
                <w:lang w:val="en-GB"/>
              </w:rPr>
              <w:t>O22  Lower levels of abuse and elimination of sexual abuse of children</w:t>
            </w: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T22.2  To eliminate the sexual abuse of children</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I22.2  Number of cases of children suffering sexual abuse</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pt-BR"/>
              </w:rPr>
            </w:pPr>
            <w:r>
              <w:rPr>
                <w:sz w:val="20"/>
                <w:lang w:val="en-GB"/>
              </w:rPr>
              <w:t>It is estimated that in 80 per cent of cases of sexual abuse the victim is a member of the perpetrator’s family circle and that 60 per cent of pregnancies in girls aged 11 to 14 are the result of incest or rape (</w:t>
            </w:r>
            <w:r>
              <w:rPr>
                <w:i/>
                <w:sz w:val="20"/>
                <w:lang w:val="en-GB"/>
              </w:rPr>
              <w:t>La Exclusión Social en el Perú</w:t>
            </w:r>
            <w:r>
              <w:rPr>
                <w:sz w:val="20"/>
                <w:lang w:val="en-GB"/>
              </w:rPr>
              <w:t xml:space="preserve">.  </w:t>
            </w:r>
            <w:r>
              <w:rPr>
                <w:sz w:val="20"/>
                <w:lang w:val="pt-BR"/>
              </w:rPr>
              <w:t>UNICEF.  Lima, June 2001)</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S22.2.1  National Police</w:t>
            </w:r>
          </w:p>
        </w:tc>
        <w:tc>
          <w:tcPr>
            <w:tcW w:w="3283" w:type="dxa"/>
            <w:tcBorders>
              <w:top w:val="nil"/>
              <w:left w:val="single" w:sz="4" w:space="0" w:color="auto"/>
              <w:bottom w:val="single" w:sz="4" w:space="0" w:color="auto"/>
              <w:right w:val="single" w:sz="4" w:space="0" w:color="auto"/>
            </w:tcBorders>
            <w:vAlign w:val="center"/>
          </w:tcPr>
          <w:p w:rsidR="00000000" w:rsidRDefault="00000000">
            <w:pPr>
              <w:jc w:val="left"/>
              <w:rPr>
                <w:sz w:val="20"/>
                <w:lang w:val="en-GB"/>
              </w:rPr>
            </w:pPr>
            <w:r>
              <w:rPr>
                <w:i/>
                <w:sz w:val="20"/>
                <w:lang w:val="en-GB"/>
              </w:rPr>
              <w:t>Direct R22</w:t>
            </w:r>
            <w:r>
              <w:rPr>
                <w:sz w:val="20"/>
                <w:lang w:val="en-GB"/>
              </w:rPr>
              <w:t>:  MIMDES, MINSA, MINEDU, children’s ombudsmen, Attorney-General, Judiciary, National Police</w:t>
            </w:r>
          </w:p>
          <w:p w:rsidR="00000000" w:rsidRDefault="00000000">
            <w:pPr>
              <w:jc w:val="left"/>
              <w:rPr>
                <w:sz w:val="20"/>
                <w:szCs w:val="16"/>
                <w:lang w:val="en-GB"/>
              </w:rPr>
            </w:pPr>
            <w:r>
              <w:rPr>
                <w:i/>
                <w:sz w:val="20"/>
                <w:lang w:val="en-GB"/>
              </w:rPr>
              <w:t>Support R22</w:t>
            </w:r>
            <w:r>
              <w:rPr>
                <w:sz w:val="20"/>
                <w:lang w:val="en-GB"/>
              </w:rPr>
              <w:t>:  Churches, children’s organizations, NGOs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400" w:type="dxa"/>
            <w:gridSpan w:val="7"/>
            <w:tcBorders>
              <w:top w:val="single" w:sz="4" w:space="0" w:color="auto"/>
              <w:left w:val="single" w:sz="4" w:space="0" w:color="auto"/>
              <w:bottom w:val="single" w:sz="4" w:space="0" w:color="auto"/>
              <w:right w:val="single" w:sz="4" w:space="0" w:color="000000"/>
            </w:tcBorders>
            <w:vAlign w:val="center"/>
          </w:tcPr>
          <w:p w:rsidR="00000000" w:rsidRDefault="00000000">
            <w:pPr>
              <w:keepNext/>
              <w:spacing w:after="80"/>
              <w:jc w:val="left"/>
              <w:rPr>
                <w:b/>
                <w:sz w:val="20"/>
                <w:lang w:val="en-GB"/>
              </w:rPr>
            </w:pPr>
            <w:r>
              <w:rPr>
                <w:b/>
                <w:sz w:val="20"/>
                <w:lang w:val="en-GB"/>
              </w:rPr>
              <w:t>12.</w:t>
            </w:r>
            <w:r>
              <w:rPr>
                <w:b/>
                <w:sz w:val="20"/>
                <w:lang w:val="en-GB"/>
              </w:rPr>
              <w:tab/>
              <w:t>The right to comprehensive protection against the illicit transfer of children and their illicit retention by their father or mother</w:t>
            </w:r>
          </w:p>
          <w:p w:rsidR="00000000" w:rsidRDefault="00000000">
            <w:pPr>
              <w:keepNext/>
              <w:spacing w:after="80"/>
              <w:jc w:val="left"/>
              <w:rPr>
                <w:bCs/>
                <w:sz w:val="20"/>
                <w:lang w:val="en-GB"/>
              </w:rPr>
            </w:pPr>
            <w:r>
              <w:rPr>
                <w:b/>
                <w:sz w:val="20"/>
                <w:lang w:val="en-GB"/>
              </w:rPr>
              <w:tab/>
            </w:r>
            <w:r>
              <w:rPr>
                <w:bCs/>
                <w:sz w:val="20"/>
                <w:lang w:val="en-GB"/>
              </w:rPr>
              <w:t>This right is derived from the fundamental right of every child to live with his or her parents or retain direct contact with them if they are separated.  The State is responsible for regulating these matters, and it is the purpose of The Hague Convention on the Civil Aspects of International Child Abduction to ensure that rights of custody and rights of access are effectively implemented in the signatory States and that neither parent or any other relative uses communication routes and the possibility of crossing frontiers to retain or remove a child or infringes the rights established by law, by treaty or by the courts to the detriment of a father, mother or relative.</w:t>
            </w:r>
          </w:p>
          <w:p w:rsidR="00000000" w:rsidRDefault="00000000">
            <w:pPr>
              <w:keepNext/>
              <w:keepLines/>
              <w:spacing w:before="60" w:after="60"/>
              <w:jc w:val="left"/>
              <w:rPr>
                <w:sz w:val="20"/>
                <w:lang w:val="en-GB"/>
              </w:rPr>
            </w:pPr>
            <w:r>
              <w:rPr>
                <w:b/>
                <w:sz w:val="20"/>
                <w:lang w:val="en-GB"/>
              </w:rPr>
              <w:tab/>
            </w:r>
            <w:r>
              <w:rPr>
                <w:bCs/>
                <w:sz w:val="20"/>
                <w:lang w:val="en-GB"/>
              </w:rPr>
              <w:t>According to the Convention, rights of custody include the care of the person of the child and, in particular, the right to determine the child’s place of residence (known in Peruvian legislation as “</w:t>
            </w:r>
            <w:r>
              <w:rPr>
                <w:bCs/>
                <w:i/>
                <w:sz w:val="20"/>
                <w:lang w:val="en-GB"/>
              </w:rPr>
              <w:t>tenencia</w:t>
            </w:r>
            <w:r>
              <w:rPr>
                <w:bCs/>
                <w:sz w:val="20"/>
                <w:lang w:val="en-GB"/>
              </w:rPr>
              <w:t>”, while rights of access include the right to take a child for a limited period of time to a place other than the child’s habitual residence (known in Peruvian legislation as the “</w:t>
            </w:r>
            <w:r>
              <w:rPr>
                <w:bCs/>
                <w:i/>
                <w:sz w:val="20"/>
                <w:lang w:val="en-GB"/>
              </w:rPr>
              <w:t>régimen de visitas</w:t>
            </w:r>
            <w:r>
              <w:rPr>
                <w:bCs/>
                <w:sz w:val="20"/>
                <w:lang w:val="en-GB"/>
              </w:rPr>
              <w:t>”).  The Convention applies to children aged under 16 years</w:t>
            </w:r>
            <w:r>
              <w:rPr>
                <w:b/>
                <w:sz w:val="20"/>
                <w:lang w:val="en-GB"/>
              </w:rPr>
              <w:t>.</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6174" w:type="dxa"/>
            <w:gridSpan w:val="4"/>
            <w:tcBorders>
              <w:top w:val="nil"/>
              <w:left w:val="single" w:sz="4" w:space="0" w:color="auto"/>
              <w:bottom w:val="nil"/>
              <w:right w:val="single" w:sz="4" w:space="0" w:color="auto"/>
            </w:tcBorders>
            <w:vAlign w:val="center"/>
          </w:tcPr>
          <w:p w:rsidR="00000000" w:rsidRDefault="00000000">
            <w:pPr>
              <w:keepNext/>
              <w:keepLines/>
              <w:jc w:val="left"/>
              <w:rPr>
                <w:bCs/>
                <w:sz w:val="20"/>
                <w:szCs w:val="14"/>
                <w:lang w:val="en-GB"/>
              </w:rPr>
            </w:pPr>
            <w:r>
              <w:rPr>
                <w:sz w:val="20"/>
                <w:lang w:val="en-GB"/>
              </w:rPr>
              <w:t>Ministerial Decision No.206-2002-PROMUDEH designated the Division for the Welfare of Children and Adolescents to discharge the duties of Central Authority as representative of the Ministry for Women and Social Development.</w:t>
            </w:r>
          </w:p>
        </w:tc>
        <w:tc>
          <w:tcPr>
            <w:tcW w:w="2713" w:type="dxa"/>
            <w:tcBorders>
              <w:top w:val="nil"/>
              <w:left w:val="single" w:sz="4" w:space="0" w:color="auto"/>
              <w:bottom w:val="nil"/>
              <w:right w:val="single" w:sz="4" w:space="0" w:color="auto"/>
            </w:tcBorders>
            <w:vAlign w:val="center"/>
          </w:tcPr>
          <w:p w:rsidR="00000000" w:rsidRDefault="00000000">
            <w:pPr>
              <w:keepNext/>
              <w:keepLines/>
              <w:jc w:val="left"/>
              <w:rPr>
                <w:bCs/>
                <w:sz w:val="20"/>
                <w:szCs w:val="14"/>
                <w:lang w:val="en-GB"/>
              </w:rPr>
            </w:pPr>
            <w:r>
              <w:rPr>
                <w:sz w:val="20"/>
                <w:lang w:val="en-GB"/>
              </w:rPr>
              <w:t>The following are the main functions of the Central Authority: (1) to verify that a child and his or her abductor have entered or left the country; (2) to determine the exact whereabouts of a child and his or her abductor; and (3) to transmit requests to Peru’s judicial authority or to the Central Authority of another State.</w:t>
            </w:r>
            <w:r>
              <w:rPr>
                <w:sz w:val="20"/>
                <w:lang w:val="en-GB"/>
              </w:rPr>
              <w:br/>
              <w:t>Since the end of January 2002 the Division has taken up eight cases of abduction; a bill on the incorporation of the Convention into national legislation is under consideration..</w:t>
            </w:r>
          </w:p>
        </w:tc>
        <w:tc>
          <w:tcPr>
            <w:tcW w:w="2230" w:type="dxa"/>
            <w:tcBorders>
              <w:top w:val="nil"/>
              <w:left w:val="single" w:sz="4" w:space="0" w:color="auto"/>
              <w:bottom w:val="nil"/>
              <w:right w:val="single" w:sz="4" w:space="0" w:color="auto"/>
            </w:tcBorders>
            <w:vAlign w:val="center"/>
          </w:tcPr>
          <w:p w:rsidR="00000000" w:rsidRDefault="00000000">
            <w:pPr>
              <w:keepNext/>
              <w:keepLines/>
              <w:jc w:val="left"/>
              <w:rPr>
                <w:bCs/>
                <w:sz w:val="20"/>
                <w:szCs w:val="14"/>
                <w:lang w:val="en-GB"/>
              </w:rPr>
            </w:pPr>
          </w:p>
        </w:tc>
        <w:tc>
          <w:tcPr>
            <w:tcW w:w="3283" w:type="dxa"/>
            <w:tcBorders>
              <w:top w:val="nil"/>
              <w:left w:val="single" w:sz="4" w:space="0" w:color="auto"/>
              <w:bottom w:val="nil"/>
              <w:right w:val="single" w:sz="4" w:space="0" w:color="auto"/>
            </w:tcBorders>
            <w:vAlign w:val="center"/>
          </w:tcPr>
          <w:p w:rsidR="00000000" w:rsidRDefault="00000000">
            <w:pPr>
              <w:keepNext/>
              <w:keepLines/>
              <w:jc w:val="left"/>
              <w:rPr>
                <w:bCs/>
                <w:sz w:val="20"/>
                <w:szCs w:val="14"/>
                <w:lang w:val="en-GB"/>
              </w:rPr>
            </w:pPr>
            <w:r>
              <w:rPr>
                <w:bCs/>
                <w:sz w:val="20"/>
                <w:szCs w:val="14"/>
                <w:lang w:val="en-GB"/>
              </w:rPr>
              <w:t> </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400" w:type="dxa"/>
            <w:gridSpan w:val="7"/>
            <w:tcBorders>
              <w:top w:val="single" w:sz="4" w:space="0" w:color="auto"/>
              <w:left w:val="single" w:sz="4" w:space="0" w:color="auto"/>
              <w:bottom w:val="single" w:sz="4" w:space="0" w:color="auto"/>
              <w:right w:val="single" w:sz="4" w:space="0" w:color="000000"/>
            </w:tcBorders>
            <w:vAlign w:val="center"/>
          </w:tcPr>
          <w:p w:rsidR="00000000" w:rsidRDefault="00000000">
            <w:pPr>
              <w:keepNext/>
              <w:keepLines/>
              <w:spacing w:before="60" w:after="60"/>
              <w:jc w:val="left"/>
              <w:rPr>
                <w:b/>
                <w:sz w:val="20"/>
                <w:lang w:val="en-GB"/>
              </w:rPr>
            </w:pPr>
            <w:r>
              <w:rPr>
                <w:b/>
                <w:sz w:val="20"/>
                <w:lang w:val="en-GB"/>
              </w:rPr>
              <w:t>13.</w:t>
            </w:r>
            <w:r>
              <w:rPr>
                <w:b/>
                <w:sz w:val="20"/>
                <w:lang w:val="en-GB"/>
              </w:rPr>
              <w:tab/>
              <w:t>The right to comprehensive protection from economic exploitation, including child labour</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val="restart"/>
            <w:tcBorders>
              <w:top w:val="nil"/>
              <w:left w:val="single" w:sz="4" w:space="0" w:color="auto"/>
              <w:bottom w:val="single" w:sz="4" w:space="0" w:color="auto"/>
              <w:right w:val="single" w:sz="4" w:space="0" w:color="auto"/>
            </w:tcBorders>
            <w:vAlign w:val="center"/>
          </w:tcPr>
          <w:p w:rsidR="00000000" w:rsidRDefault="00000000">
            <w:pPr>
              <w:keepNext/>
              <w:keepLines/>
              <w:jc w:val="left"/>
              <w:rPr>
                <w:sz w:val="20"/>
                <w:szCs w:val="16"/>
                <w:lang w:val="en-GB"/>
              </w:rPr>
            </w:pPr>
            <w:r>
              <w:rPr>
                <w:sz w:val="20"/>
                <w:lang w:val="en-GB"/>
              </w:rPr>
              <w:t>O9  Elimination of the worst forms of child labour and establishment of educational alternatives to child labour</w:t>
            </w:r>
          </w:p>
        </w:tc>
        <w:tc>
          <w:tcPr>
            <w:tcW w:w="2215" w:type="dxa"/>
            <w:tcBorders>
              <w:top w:val="nil"/>
              <w:left w:val="nil"/>
              <w:bottom w:val="single" w:sz="4" w:space="0" w:color="auto"/>
              <w:right w:val="single" w:sz="4" w:space="0" w:color="auto"/>
            </w:tcBorders>
            <w:vAlign w:val="center"/>
          </w:tcPr>
          <w:p w:rsidR="00000000" w:rsidRDefault="00000000">
            <w:pPr>
              <w:keepNext/>
              <w:keepLines/>
              <w:jc w:val="left"/>
              <w:rPr>
                <w:sz w:val="20"/>
                <w:szCs w:val="16"/>
                <w:lang w:val="en-GB"/>
              </w:rPr>
            </w:pPr>
            <w:r>
              <w:rPr>
                <w:sz w:val="20"/>
                <w:lang w:val="en-GB"/>
              </w:rPr>
              <w:t>T9.1  To eliminate the worst forms of child labour and reduce the number of child beggars</w:t>
            </w:r>
          </w:p>
        </w:tc>
        <w:tc>
          <w:tcPr>
            <w:tcW w:w="2236" w:type="dxa"/>
            <w:tcBorders>
              <w:top w:val="nil"/>
              <w:left w:val="nil"/>
              <w:bottom w:val="single" w:sz="4" w:space="0" w:color="auto"/>
              <w:right w:val="single" w:sz="4" w:space="0" w:color="auto"/>
            </w:tcBorders>
            <w:vAlign w:val="center"/>
          </w:tcPr>
          <w:p w:rsidR="00000000" w:rsidRDefault="00000000">
            <w:pPr>
              <w:keepNext/>
              <w:keepLines/>
              <w:jc w:val="left"/>
              <w:rPr>
                <w:sz w:val="20"/>
                <w:szCs w:val="16"/>
                <w:lang w:val="en-GB"/>
              </w:rPr>
            </w:pPr>
            <w:r>
              <w:rPr>
                <w:sz w:val="20"/>
                <w:lang w:val="en-GB"/>
              </w:rPr>
              <w:t>I9.1.1  Incidence of the worst forms of child labour</w:t>
            </w:r>
            <w:r>
              <w:rPr>
                <w:sz w:val="20"/>
                <w:lang w:val="en-GB"/>
              </w:rPr>
              <w:br/>
              <w:t>I9.1.2  Number of child beggars</w:t>
            </w:r>
          </w:p>
        </w:tc>
        <w:tc>
          <w:tcPr>
            <w:tcW w:w="2713" w:type="dxa"/>
            <w:tcBorders>
              <w:top w:val="nil"/>
              <w:left w:val="nil"/>
              <w:bottom w:val="single" w:sz="4" w:space="0" w:color="auto"/>
              <w:right w:val="single" w:sz="4" w:space="0" w:color="auto"/>
            </w:tcBorders>
            <w:vAlign w:val="center"/>
          </w:tcPr>
          <w:p w:rsidR="00000000" w:rsidRDefault="00000000">
            <w:pPr>
              <w:keepNext/>
              <w:keepLines/>
              <w:jc w:val="left"/>
              <w:rPr>
                <w:sz w:val="20"/>
                <w:szCs w:val="16"/>
                <w:lang w:val="en-GB"/>
              </w:rPr>
            </w:pPr>
            <w:r>
              <w:rPr>
                <w:sz w:val="20"/>
                <w:lang w:val="en-GB"/>
              </w:rPr>
              <w:t>There are 50,000 children performing highly hazardous work (6-11 years 31,090; 12-17 years 18,910)  (Children working in small-scale mining in Peru.  ILO, first edition, 2001)</w:t>
            </w:r>
          </w:p>
        </w:tc>
        <w:tc>
          <w:tcPr>
            <w:tcW w:w="2230" w:type="dxa"/>
            <w:tcBorders>
              <w:top w:val="nil"/>
              <w:left w:val="nil"/>
              <w:bottom w:val="single" w:sz="4" w:space="0" w:color="auto"/>
              <w:right w:val="single" w:sz="4" w:space="0" w:color="auto"/>
            </w:tcBorders>
            <w:vAlign w:val="center"/>
          </w:tcPr>
          <w:p w:rsidR="00000000" w:rsidRDefault="00000000">
            <w:pPr>
              <w:keepNext/>
              <w:keepLines/>
              <w:jc w:val="left"/>
              <w:rPr>
                <w:sz w:val="20"/>
                <w:szCs w:val="16"/>
                <w:lang w:val="pt-BR"/>
              </w:rPr>
            </w:pPr>
            <w:r>
              <w:rPr>
                <w:sz w:val="20"/>
                <w:lang w:val="pt-BR"/>
              </w:rPr>
              <w:t>S9.1.1.1  MIMDES       S9.1.2.1  MIMDES</w:t>
            </w:r>
          </w:p>
        </w:tc>
        <w:tc>
          <w:tcPr>
            <w:tcW w:w="3283" w:type="dxa"/>
            <w:vMerge w:val="restart"/>
            <w:tcBorders>
              <w:top w:val="nil"/>
              <w:left w:val="single" w:sz="4" w:space="0" w:color="auto"/>
              <w:bottom w:val="single" w:sz="4" w:space="0" w:color="auto"/>
              <w:right w:val="single" w:sz="4" w:space="0" w:color="auto"/>
            </w:tcBorders>
          </w:tcPr>
          <w:p w:rsidR="00000000" w:rsidRDefault="00000000">
            <w:pPr>
              <w:jc w:val="left"/>
              <w:rPr>
                <w:i/>
                <w:sz w:val="20"/>
                <w:lang w:val="en-GB"/>
              </w:rPr>
            </w:pPr>
          </w:p>
          <w:p w:rsidR="00000000" w:rsidRDefault="00000000">
            <w:pPr>
              <w:jc w:val="left"/>
              <w:rPr>
                <w:i/>
                <w:sz w:val="20"/>
                <w:lang w:val="en-GB"/>
              </w:rPr>
            </w:pPr>
          </w:p>
          <w:p w:rsidR="00000000" w:rsidRDefault="00000000">
            <w:pPr>
              <w:jc w:val="left"/>
              <w:rPr>
                <w:i/>
                <w:sz w:val="20"/>
                <w:lang w:val="en-GB"/>
              </w:rPr>
            </w:pPr>
          </w:p>
          <w:p w:rsidR="00000000" w:rsidRDefault="00000000">
            <w:pPr>
              <w:jc w:val="left"/>
              <w:rPr>
                <w:i/>
                <w:sz w:val="20"/>
                <w:lang w:val="en-GB"/>
              </w:rPr>
            </w:pPr>
          </w:p>
          <w:p w:rsidR="00000000" w:rsidRDefault="00000000">
            <w:pPr>
              <w:jc w:val="left"/>
              <w:rPr>
                <w:i/>
                <w:sz w:val="20"/>
                <w:lang w:val="en-GB"/>
              </w:rPr>
            </w:pPr>
          </w:p>
          <w:p w:rsidR="00000000" w:rsidRDefault="00000000">
            <w:pPr>
              <w:jc w:val="left"/>
              <w:rPr>
                <w:i/>
                <w:sz w:val="20"/>
                <w:lang w:val="en-GB"/>
              </w:rPr>
            </w:pPr>
          </w:p>
          <w:p w:rsidR="00000000" w:rsidRDefault="00000000">
            <w:pPr>
              <w:jc w:val="left"/>
              <w:rPr>
                <w:i/>
                <w:sz w:val="20"/>
                <w:lang w:val="en-GB"/>
              </w:rPr>
            </w:pPr>
          </w:p>
          <w:p w:rsidR="00000000" w:rsidRDefault="00000000">
            <w:pPr>
              <w:jc w:val="left"/>
              <w:rPr>
                <w:i/>
                <w:sz w:val="20"/>
                <w:lang w:val="en-GB"/>
              </w:rPr>
            </w:pPr>
          </w:p>
          <w:p w:rsidR="00000000" w:rsidRDefault="00000000">
            <w:pPr>
              <w:jc w:val="left"/>
              <w:rPr>
                <w:i/>
                <w:sz w:val="20"/>
                <w:lang w:val="en-GB"/>
              </w:rPr>
            </w:pPr>
          </w:p>
          <w:p w:rsidR="00000000" w:rsidRDefault="00000000">
            <w:pPr>
              <w:jc w:val="left"/>
              <w:rPr>
                <w:i/>
                <w:sz w:val="20"/>
                <w:lang w:val="en-GB"/>
              </w:rPr>
            </w:pPr>
          </w:p>
          <w:p w:rsidR="00000000" w:rsidRDefault="00000000">
            <w:pPr>
              <w:jc w:val="left"/>
              <w:rPr>
                <w:i/>
                <w:sz w:val="20"/>
                <w:lang w:val="en-GB"/>
              </w:rPr>
            </w:pPr>
          </w:p>
          <w:p w:rsidR="00000000" w:rsidRDefault="00000000">
            <w:pPr>
              <w:jc w:val="left"/>
              <w:rPr>
                <w:sz w:val="20"/>
                <w:lang w:val="en-GB"/>
              </w:rPr>
            </w:pPr>
            <w:r>
              <w:rPr>
                <w:i/>
                <w:sz w:val="20"/>
                <w:lang w:val="en-GB"/>
              </w:rPr>
              <w:t>Direct R9</w:t>
            </w:r>
            <w:r>
              <w:rPr>
                <w:sz w:val="20"/>
                <w:lang w:val="en-GB"/>
              </w:rPr>
              <w:t>:  Judiciary, Attorney-General, local authorities, MIMDES, PNP, MTPE, Ministry of Agriculture. MINEDU, MCLPC</w:t>
            </w:r>
          </w:p>
          <w:p w:rsidR="00000000" w:rsidRDefault="00000000">
            <w:pPr>
              <w:keepLines/>
              <w:jc w:val="left"/>
              <w:rPr>
                <w:sz w:val="20"/>
                <w:szCs w:val="16"/>
                <w:lang w:val="en-GB"/>
              </w:rPr>
            </w:pPr>
            <w:r>
              <w:rPr>
                <w:i/>
                <w:sz w:val="20"/>
                <w:lang w:val="en-GB"/>
              </w:rPr>
              <w:t>Support R9</w:t>
            </w:r>
            <w:r>
              <w:rPr>
                <w:sz w:val="20"/>
                <w:lang w:val="en-GB"/>
              </w:rPr>
              <w:t>:  ILO, CONFIEP, UNICEF, international cooperation, youth organizations, national and international NGOs, churches, private sector, civic and community organizations, families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tcBorders>
              <w:top w:val="nil"/>
              <w:left w:val="single" w:sz="4" w:space="0" w:color="auto"/>
              <w:bottom w:val="single" w:sz="4" w:space="0" w:color="auto"/>
              <w:right w:val="single" w:sz="4" w:space="0" w:color="auto"/>
            </w:tcBorders>
            <w:vAlign w:val="center"/>
          </w:tcPr>
          <w:p w:rsidR="00000000" w:rsidRDefault="00000000">
            <w:pPr>
              <w:keepNext/>
              <w:keepLines/>
              <w:jc w:val="left"/>
              <w:rPr>
                <w:sz w:val="20"/>
                <w:szCs w:val="16"/>
                <w:lang w:val="en-GB"/>
              </w:rPr>
            </w:pPr>
          </w:p>
        </w:tc>
        <w:tc>
          <w:tcPr>
            <w:tcW w:w="2215" w:type="dxa"/>
            <w:tcBorders>
              <w:top w:val="nil"/>
              <w:left w:val="nil"/>
              <w:bottom w:val="single" w:sz="4" w:space="0" w:color="auto"/>
              <w:right w:val="single" w:sz="4" w:space="0" w:color="auto"/>
            </w:tcBorders>
            <w:vAlign w:val="center"/>
          </w:tcPr>
          <w:p w:rsidR="00000000" w:rsidRDefault="00000000">
            <w:pPr>
              <w:keepNext/>
              <w:keepLines/>
              <w:jc w:val="left"/>
              <w:rPr>
                <w:sz w:val="20"/>
                <w:szCs w:val="16"/>
                <w:lang w:val="en-GB"/>
              </w:rPr>
            </w:pPr>
            <w:r>
              <w:rPr>
                <w:sz w:val="20"/>
                <w:lang w:val="en-GB"/>
              </w:rPr>
              <w:t>T9.2  To reduce child labour by 50 per cent</w:t>
            </w:r>
          </w:p>
        </w:tc>
        <w:tc>
          <w:tcPr>
            <w:tcW w:w="2236" w:type="dxa"/>
            <w:tcBorders>
              <w:top w:val="nil"/>
              <w:left w:val="nil"/>
              <w:bottom w:val="single" w:sz="4" w:space="0" w:color="auto"/>
              <w:right w:val="single" w:sz="4" w:space="0" w:color="auto"/>
            </w:tcBorders>
            <w:vAlign w:val="center"/>
          </w:tcPr>
          <w:p w:rsidR="00000000" w:rsidRDefault="00000000">
            <w:pPr>
              <w:keepNext/>
              <w:keepLines/>
              <w:jc w:val="left"/>
              <w:rPr>
                <w:sz w:val="20"/>
                <w:szCs w:val="16"/>
                <w:lang w:val="en-GB"/>
              </w:rPr>
            </w:pPr>
            <w:r>
              <w:rPr>
                <w:sz w:val="20"/>
                <w:lang w:val="en-GB"/>
              </w:rPr>
              <w:t>I9.2.1  Proportion of children aged six to 13 who work</w:t>
            </w:r>
          </w:p>
        </w:tc>
        <w:tc>
          <w:tcPr>
            <w:tcW w:w="2713" w:type="dxa"/>
            <w:tcBorders>
              <w:top w:val="nil"/>
              <w:left w:val="nil"/>
              <w:bottom w:val="single" w:sz="4" w:space="0" w:color="auto"/>
              <w:right w:val="single" w:sz="4" w:space="0" w:color="auto"/>
            </w:tcBorders>
            <w:vAlign w:val="center"/>
          </w:tcPr>
          <w:p w:rsidR="00000000" w:rsidRDefault="00000000">
            <w:pPr>
              <w:keepNext/>
              <w:keepLines/>
              <w:jc w:val="left"/>
              <w:rPr>
                <w:sz w:val="20"/>
                <w:szCs w:val="16"/>
                <w:lang w:val="pt-BR"/>
              </w:rPr>
            </w:pPr>
            <w:r>
              <w:rPr>
                <w:sz w:val="20"/>
                <w:lang w:val="en-GB"/>
              </w:rPr>
              <w:t xml:space="preserve">It is estimated that some two million children nation-wide are engaged in some form of work activity.  The statistics (ENNIV, 1997) indicate that 28 per cent of working children aged six to 17 live on the edge of the poverty line and that 71 per cent are from poor families (estimate based on the Survey of Living Standards 1997.  </w:t>
            </w:r>
            <w:r>
              <w:rPr>
                <w:sz w:val="20"/>
                <w:lang w:val="pt-BR"/>
              </w:rPr>
              <w:t>INEI, Lima, 1997)</w:t>
            </w:r>
          </w:p>
        </w:tc>
        <w:tc>
          <w:tcPr>
            <w:tcW w:w="2230" w:type="dxa"/>
            <w:tcBorders>
              <w:top w:val="nil"/>
              <w:left w:val="nil"/>
              <w:bottom w:val="single" w:sz="4" w:space="0" w:color="auto"/>
              <w:right w:val="single" w:sz="4" w:space="0" w:color="auto"/>
            </w:tcBorders>
            <w:vAlign w:val="center"/>
          </w:tcPr>
          <w:p w:rsidR="00000000" w:rsidRDefault="00000000">
            <w:pPr>
              <w:keepNext/>
              <w:keepLines/>
              <w:jc w:val="left"/>
              <w:rPr>
                <w:sz w:val="20"/>
                <w:szCs w:val="16"/>
                <w:lang w:val="pt-BR"/>
              </w:rPr>
            </w:pPr>
            <w:r>
              <w:rPr>
                <w:sz w:val="20"/>
                <w:lang w:val="pt-BR"/>
              </w:rPr>
              <w:t>S9.2.1.1  INEI surveys</w:t>
            </w:r>
          </w:p>
        </w:tc>
        <w:tc>
          <w:tcPr>
            <w:tcW w:w="3283" w:type="dxa"/>
            <w:vMerge/>
            <w:tcBorders>
              <w:top w:val="nil"/>
              <w:left w:val="single" w:sz="4" w:space="0" w:color="auto"/>
              <w:bottom w:val="single" w:sz="4" w:space="0" w:color="auto"/>
              <w:right w:val="single" w:sz="4" w:space="0" w:color="auto"/>
            </w:tcBorders>
            <w:vAlign w:val="center"/>
          </w:tcPr>
          <w:p w:rsidR="00000000" w:rsidRDefault="00000000">
            <w:pPr>
              <w:keepNext/>
              <w:keepLines/>
              <w:jc w:val="left"/>
              <w:rPr>
                <w:sz w:val="20"/>
                <w:szCs w:val="16"/>
                <w:lang w:val="pt-BR"/>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tcBorders>
              <w:top w:val="nil"/>
              <w:left w:val="single" w:sz="4" w:space="0" w:color="auto"/>
              <w:bottom w:val="single" w:sz="4" w:space="0" w:color="auto"/>
              <w:right w:val="single" w:sz="4" w:space="0" w:color="auto"/>
            </w:tcBorders>
            <w:vAlign w:val="center"/>
          </w:tcPr>
          <w:p w:rsidR="00000000" w:rsidRDefault="00000000">
            <w:pPr>
              <w:keepNext/>
              <w:jc w:val="left"/>
              <w:rPr>
                <w:sz w:val="20"/>
                <w:szCs w:val="16"/>
                <w:lang w:val="pt-BR"/>
              </w:rPr>
            </w:pPr>
          </w:p>
        </w:tc>
        <w:tc>
          <w:tcPr>
            <w:tcW w:w="2215" w:type="dxa"/>
            <w:tcBorders>
              <w:top w:val="nil"/>
              <w:left w:val="nil"/>
              <w:bottom w:val="single" w:sz="4" w:space="0" w:color="auto"/>
              <w:right w:val="single" w:sz="4" w:space="0" w:color="auto"/>
            </w:tcBorders>
            <w:vAlign w:val="center"/>
          </w:tcPr>
          <w:p w:rsidR="00000000" w:rsidRDefault="00000000">
            <w:pPr>
              <w:keepNext/>
              <w:jc w:val="left"/>
              <w:rPr>
                <w:sz w:val="20"/>
                <w:szCs w:val="16"/>
                <w:lang w:val="en-GB"/>
              </w:rPr>
            </w:pPr>
            <w:r>
              <w:rPr>
                <w:sz w:val="20"/>
                <w:lang w:val="en-GB"/>
              </w:rPr>
              <w:t>T9.3  To ensure that 75 per cent of the agencies of the justice system intervene promptly in cases of economic exploitation and report and punish, within their spheres of competence, persons who violate children’s rights</w:t>
            </w:r>
          </w:p>
        </w:tc>
        <w:tc>
          <w:tcPr>
            <w:tcW w:w="2236" w:type="dxa"/>
            <w:tcBorders>
              <w:top w:val="nil"/>
              <w:left w:val="nil"/>
              <w:bottom w:val="single" w:sz="4" w:space="0" w:color="auto"/>
              <w:right w:val="single" w:sz="4" w:space="0" w:color="auto"/>
            </w:tcBorders>
            <w:vAlign w:val="center"/>
          </w:tcPr>
          <w:p w:rsidR="00000000" w:rsidRDefault="00000000">
            <w:pPr>
              <w:keepNext/>
              <w:jc w:val="left"/>
              <w:rPr>
                <w:sz w:val="20"/>
                <w:szCs w:val="16"/>
                <w:lang w:val="en-GB"/>
              </w:rPr>
            </w:pPr>
            <w:r>
              <w:rPr>
                <w:sz w:val="20"/>
                <w:lang w:val="en-GB"/>
              </w:rPr>
              <w:t>I9.3.1  Proportion of agencies of the justice system intervening promptly in cases of economic exploitation and reporting and punishing persons who violate children’s rights</w:t>
            </w:r>
          </w:p>
        </w:tc>
        <w:tc>
          <w:tcPr>
            <w:tcW w:w="2713" w:type="dxa"/>
            <w:tcBorders>
              <w:top w:val="nil"/>
              <w:left w:val="nil"/>
              <w:bottom w:val="single" w:sz="4" w:space="0" w:color="auto"/>
              <w:right w:val="single" w:sz="4" w:space="0" w:color="auto"/>
            </w:tcBorders>
            <w:vAlign w:val="center"/>
          </w:tcPr>
          <w:p w:rsidR="00000000" w:rsidRDefault="00000000">
            <w:pPr>
              <w:keepNext/>
              <w:jc w:val="left"/>
              <w:rPr>
                <w:sz w:val="20"/>
                <w:szCs w:val="16"/>
                <w:lang w:val="en-GB"/>
              </w:rPr>
            </w:pPr>
            <w:r>
              <w:rPr>
                <w:sz w:val="20"/>
                <w:szCs w:val="16"/>
                <w:lang w:val="en-GB"/>
              </w:rPr>
              <w:t> </w:t>
            </w:r>
          </w:p>
        </w:tc>
        <w:tc>
          <w:tcPr>
            <w:tcW w:w="2230" w:type="dxa"/>
            <w:tcBorders>
              <w:top w:val="nil"/>
              <w:left w:val="nil"/>
              <w:bottom w:val="single" w:sz="4" w:space="0" w:color="auto"/>
              <w:right w:val="single" w:sz="4" w:space="0" w:color="auto"/>
            </w:tcBorders>
            <w:vAlign w:val="center"/>
          </w:tcPr>
          <w:p w:rsidR="00000000" w:rsidRDefault="00000000">
            <w:pPr>
              <w:keepNext/>
              <w:jc w:val="left"/>
              <w:rPr>
                <w:sz w:val="20"/>
                <w:szCs w:val="16"/>
                <w:lang w:val="en-GB"/>
              </w:rPr>
            </w:pPr>
            <w:r>
              <w:rPr>
                <w:sz w:val="20"/>
                <w:lang w:val="en-GB"/>
              </w:rPr>
              <w:t>S9.3.1.1  Attorney-General</w:t>
            </w:r>
          </w:p>
        </w:tc>
        <w:tc>
          <w:tcPr>
            <w:tcW w:w="3283" w:type="dxa"/>
            <w:vMerge/>
            <w:tcBorders>
              <w:top w:val="nil"/>
              <w:left w:val="single" w:sz="4" w:space="0" w:color="auto"/>
              <w:bottom w:val="single" w:sz="4" w:space="0" w:color="auto"/>
              <w:right w:val="single" w:sz="4" w:space="0" w:color="auto"/>
            </w:tcBorders>
            <w:vAlign w:val="center"/>
          </w:tcPr>
          <w:p w:rsidR="00000000" w:rsidRDefault="00000000">
            <w:pPr>
              <w:keepNext/>
              <w:jc w:val="left"/>
              <w:rPr>
                <w:sz w:val="20"/>
                <w:szCs w:val="16"/>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val="restart"/>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r>
              <w:rPr>
                <w:sz w:val="20"/>
                <w:lang w:val="en-GB"/>
              </w:rPr>
              <w:t>O13  Monitoring mechanisms to ensure suitable working conditions for adolescents over the minimum age who have jobs</w:t>
            </w: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T13.1  To ensure that 100 per cent of adolescent workers are registered and enrolled in special programmes for their comprehensive development</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I13.1  Proportion of workers aged 14 to 19 who are enrolled in special programmes for their comprehensive development</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szCs w:val="16"/>
                <w:lang w:val="en-GB"/>
              </w:rPr>
              <w:t> </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S13.1.1  MTPEF     S13.1.2  INEI surveys</w:t>
            </w:r>
          </w:p>
        </w:tc>
        <w:tc>
          <w:tcPr>
            <w:tcW w:w="3283" w:type="dxa"/>
            <w:vMerge w:val="restart"/>
            <w:tcBorders>
              <w:top w:val="nil"/>
              <w:left w:val="single" w:sz="4" w:space="0" w:color="auto"/>
              <w:bottom w:val="single" w:sz="4" w:space="0" w:color="auto"/>
              <w:right w:val="single" w:sz="4" w:space="0" w:color="auto"/>
            </w:tcBorders>
            <w:vAlign w:val="center"/>
          </w:tcPr>
          <w:p w:rsidR="00000000" w:rsidRDefault="00000000">
            <w:pPr>
              <w:jc w:val="left"/>
              <w:rPr>
                <w:i/>
                <w:sz w:val="20"/>
                <w:lang w:val="en-GB"/>
              </w:rPr>
            </w:pPr>
          </w:p>
          <w:p w:rsidR="00000000" w:rsidRDefault="00000000">
            <w:pPr>
              <w:jc w:val="left"/>
              <w:rPr>
                <w:i/>
                <w:sz w:val="20"/>
                <w:lang w:val="en-GB"/>
              </w:rPr>
            </w:pPr>
          </w:p>
          <w:p w:rsidR="00000000" w:rsidRDefault="00000000">
            <w:pPr>
              <w:jc w:val="left"/>
              <w:rPr>
                <w:i/>
                <w:sz w:val="20"/>
                <w:lang w:val="en-GB"/>
              </w:rPr>
            </w:pPr>
          </w:p>
          <w:p w:rsidR="00000000" w:rsidRDefault="00000000">
            <w:pPr>
              <w:jc w:val="left"/>
              <w:rPr>
                <w:i/>
                <w:sz w:val="20"/>
                <w:lang w:val="en-GB"/>
              </w:rPr>
            </w:pPr>
          </w:p>
          <w:p w:rsidR="00000000" w:rsidRDefault="00000000">
            <w:pPr>
              <w:jc w:val="left"/>
              <w:rPr>
                <w:i/>
                <w:sz w:val="20"/>
                <w:lang w:val="en-GB"/>
              </w:rPr>
            </w:pPr>
          </w:p>
          <w:p w:rsidR="00000000" w:rsidRDefault="00000000">
            <w:pPr>
              <w:jc w:val="left"/>
              <w:rPr>
                <w:i/>
                <w:sz w:val="20"/>
                <w:lang w:val="en-GB"/>
              </w:rPr>
            </w:pPr>
          </w:p>
          <w:p w:rsidR="00000000" w:rsidRDefault="00000000">
            <w:pPr>
              <w:jc w:val="left"/>
              <w:rPr>
                <w:i/>
                <w:sz w:val="20"/>
                <w:lang w:val="en-GB"/>
              </w:rPr>
            </w:pPr>
          </w:p>
          <w:p w:rsidR="00000000" w:rsidRDefault="00000000">
            <w:pPr>
              <w:jc w:val="left"/>
              <w:rPr>
                <w:i/>
                <w:sz w:val="20"/>
                <w:lang w:val="en-GB"/>
              </w:rPr>
            </w:pPr>
          </w:p>
          <w:p w:rsidR="00000000" w:rsidRDefault="00000000">
            <w:pPr>
              <w:jc w:val="left"/>
              <w:rPr>
                <w:i/>
                <w:sz w:val="20"/>
                <w:lang w:val="en-GB"/>
              </w:rPr>
            </w:pPr>
          </w:p>
          <w:p w:rsidR="00000000" w:rsidRDefault="00000000">
            <w:pPr>
              <w:jc w:val="left"/>
              <w:rPr>
                <w:i/>
                <w:sz w:val="20"/>
                <w:lang w:val="en-GB"/>
              </w:rPr>
            </w:pPr>
          </w:p>
          <w:p w:rsidR="00000000" w:rsidRDefault="00000000">
            <w:pPr>
              <w:jc w:val="left"/>
              <w:rPr>
                <w:i/>
                <w:sz w:val="20"/>
                <w:lang w:val="en-GB"/>
              </w:rPr>
            </w:pPr>
          </w:p>
          <w:p w:rsidR="00000000" w:rsidRDefault="00000000">
            <w:pPr>
              <w:jc w:val="left"/>
              <w:rPr>
                <w:i/>
                <w:sz w:val="20"/>
                <w:lang w:val="en-GB"/>
              </w:rPr>
            </w:pPr>
          </w:p>
          <w:p w:rsidR="00000000" w:rsidRDefault="00000000">
            <w:pPr>
              <w:jc w:val="left"/>
              <w:rPr>
                <w:i/>
                <w:sz w:val="20"/>
                <w:lang w:val="en-GB"/>
              </w:rPr>
            </w:pPr>
          </w:p>
          <w:p w:rsidR="00000000" w:rsidRDefault="00000000">
            <w:pPr>
              <w:jc w:val="left"/>
              <w:rPr>
                <w:i/>
                <w:sz w:val="20"/>
                <w:lang w:val="en-GB"/>
              </w:rPr>
            </w:pPr>
          </w:p>
          <w:p w:rsidR="00000000" w:rsidRDefault="00000000">
            <w:pPr>
              <w:jc w:val="left"/>
              <w:rPr>
                <w:i/>
                <w:sz w:val="20"/>
                <w:lang w:val="en-GB"/>
              </w:rPr>
            </w:pPr>
          </w:p>
          <w:p w:rsidR="00000000" w:rsidRDefault="00000000">
            <w:pPr>
              <w:jc w:val="left"/>
              <w:rPr>
                <w:i/>
                <w:sz w:val="20"/>
                <w:lang w:val="en-GB"/>
              </w:rPr>
            </w:pPr>
          </w:p>
          <w:p w:rsidR="00000000" w:rsidRDefault="00000000">
            <w:pPr>
              <w:jc w:val="left"/>
              <w:rPr>
                <w:i/>
                <w:sz w:val="20"/>
                <w:lang w:val="en-GB"/>
              </w:rPr>
            </w:pPr>
          </w:p>
          <w:p w:rsidR="00000000" w:rsidRDefault="00000000">
            <w:pPr>
              <w:jc w:val="left"/>
              <w:rPr>
                <w:sz w:val="20"/>
                <w:lang w:val="en-GB"/>
              </w:rPr>
            </w:pPr>
            <w:r>
              <w:rPr>
                <w:i/>
                <w:sz w:val="20"/>
                <w:lang w:val="en-GB"/>
              </w:rPr>
              <w:t>Direct R13</w:t>
            </w:r>
            <w:r>
              <w:rPr>
                <w:sz w:val="20"/>
                <w:lang w:val="en-GB"/>
              </w:rPr>
              <w:t>: Judiciary, Attorney-General, local authorities, MIMDES, PNP, MTPE, Ministry of Agriculture, MINEDU, MCLCP, CGTP</w:t>
            </w:r>
          </w:p>
          <w:p w:rsidR="00000000" w:rsidRDefault="00000000">
            <w:pPr>
              <w:jc w:val="left"/>
              <w:rPr>
                <w:sz w:val="20"/>
                <w:szCs w:val="16"/>
                <w:lang w:val="en-GB"/>
              </w:rPr>
            </w:pPr>
            <w:r>
              <w:rPr>
                <w:i/>
                <w:sz w:val="20"/>
                <w:lang w:val="en-GB"/>
              </w:rPr>
              <w:t>Support R13</w:t>
            </w:r>
            <w:r>
              <w:rPr>
                <w:sz w:val="20"/>
                <w:lang w:val="en-GB"/>
              </w:rPr>
              <w:t>:  ILO, CONFIEP, MINSA, youth organizations, national and international NGOs, churches, private sector, civic and community organizations, families,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T13.2  To ensure that 70 per cent of schools have institutional education projects to publicize the rights of adolescent workers and are encouraging the implementation of production projects suited to this age group</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I13.2  Proportion of schools which have institutional education projects to publicize the rights of adolescent workers and are encouraging the implementation of production projects suited to this age group</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szCs w:val="16"/>
                <w:lang w:val="en-GB"/>
              </w:rPr>
              <w:t> </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S13.2.1  MINEDU</w:t>
            </w:r>
          </w:p>
        </w:tc>
        <w:tc>
          <w:tcPr>
            <w:tcW w:w="3283"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T13.3  To establish mechanisms to encourage working adolescents to remain in the education system and to reduce their drop-out rate</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I13.3  Proportion of adolescents with at least one year of education who are not studying or working</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szCs w:val="16"/>
                <w:lang w:val="en-GB"/>
              </w:rPr>
              <w:t> </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S13.3.1  INEI surveys</w:t>
            </w:r>
          </w:p>
        </w:tc>
        <w:tc>
          <w:tcPr>
            <w:tcW w:w="3283"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T13.4  To adapt the school curriculum to the situation of working adolescents</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I13.4  Adolescent drop-out rates</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US"/>
              </w:rPr>
            </w:pPr>
            <w:r>
              <w:rPr>
                <w:sz w:val="20"/>
                <w:lang w:val="en-GB"/>
              </w:rPr>
              <w:t>According to the 2000 Census of Schools, the current rates are: primary - 5.5 per cent; secondary - 6.6 per cent</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S13.4.1  MINEDU report No. 026-ME/SPE-UEE-2002</w:t>
            </w:r>
          </w:p>
        </w:tc>
        <w:tc>
          <w:tcPr>
            <w:tcW w:w="3283"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T13.5  To ensure that schools improve the education standards of working adolescents</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I13.5  Rate of adolescent graduation from the education system</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szCs w:val="16"/>
                <w:lang w:val="en-GB"/>
              </w:rPr>
              <w:t> </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S13.5.1   MINEDU</w:t>
            </w:r>
          </w:p>
        </w:tc>
        <w:tc>
          <w:tcPr>
            <w:tcW w:w="3283"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T13.6  To reduce by at least 50 per cent the number of adolescents over the minimum age who are working</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I13.6  Number of workers under age 14</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szCs w:val="16"/>
                <w:lang w:val="en-GB"/>
              </w:rPr>
              <w:t> </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S13.6.1  INEI</w:t>
            </w:r>
          </w:p>
        </w:tc>
        <w:tc>
          <w:tcPr>
            <w:tcW w:w="3283"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T13.7  Elimination of the worst forms of adolescent lablour</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I13.7  Number of adolescents employed in the worst forms of adolescent labour</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szCs w:val="16"/>
                <w:lang w:val="en-GB"/>
              </w:rPr>
              <w:t> </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S13.7.1  MIMDES</w:t>
            </w:r>
          </w:p>
        </w:tc>
        <w:tc>
          <w:tcPr>
            <w:tcW w:w="3283"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400" w:type="dxa"/>
            <w:gridSpan w:val="7"/>
            <w:tcBorders>
              <w:top w:val="single" w:sz="4" w:space="0" w:color="auto"/>
              <w:left w:val="single" w:sz="4" w:space="0" w:color="auto"/>
              <w:bottom w:val="single" w:sz="4" w:space="0" w:color="auto"/>
              <w:right w:val="single" w:sz="4" w:space="0" w:color="000000"/>
            </w:tcBorders>
            <w:vAlign w:val="center"/>
          </w:tcPr>
          <w:p w:rsidR="00000000" w:rsidRDefault="00000000">
            <w:pPr>
              <w:keepNext/>
              <w:keepLines/>
              <w:spacing w:before="20" w:after="20"/>
              <w:jc w:val="left"/>
              <w:rPr>
                <w:b/>
                <w:sz w:val="20"/>
                <w:lang w:val="en-GB"/>
              </w:rPr>
            </w:pPr>
            <w:r>
              <w:rPr>
                <w:b/>
                <w:sz w:val="20"/>
                <w:lang w:val="en-GB"/>
              </w:rPr>
              <w:t>14.</w:t>
            </w:r>
            <w:r>
              <w:rPr>
                <w:b/>
                <w:sz w:val="20"/>
                <w:lang w:val="en-GB"/>
              </w:rPr>
              <w:tab/>
              <w:t>The right to comprehensive protection from drug use and exploitation connected with drugs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val="restart"/>
            <w:tcBorders>
              <w:top w:val="nil"/>
              <w:left w:val="single" w:sz="4" w:space="0" w:color="auto"/>
              <w:bottom w:val="single" w:sz="4" w:space="0" w:color="auto"/>
              <w:right w:val="single" w:sz="4" w:space="0" w:color="auto"/>
            </w:tcBorders>
            <w:vAlign w:val="center"/>
          </w:tcPr>
          <w:p w:rsidR="00000000" w:rsidRDefault="00000000">
            <w:pPr>
              <w:keepNext/>
              <w:keepLines/>
              <w:jc w:val="left"/>
              <w:rPr>
                <w:sz w:val="20"/>
                <w:szCs w:val="16"/>
                <w:lang w:val="en-GB"/>
              </w:rPr>
            </w:pPr>
            <w:r>
              <w:rPr>
                <w:sz w:val="20"/>
                <w:lang w:val="en-GB"/>
              </w:rPr>
              <w:t>O15  Reduced use of legal and illegal drugs by adolescents</w:t>
            </w:r>
          </w:p>
        </w:tc>
        <w:tc>
          <w:tcPr>
            <w:tcW w:w="2215" w:type="dxa"/>
            <w:tcBorders>
              <w:top w:val="nil"/>
              <w:left w:val="nil"/>
              <w:bottom w:val="single" w:sz="4" w:space="0" w:color="auto"/>
              <w:right w:val="single" w:sz="4" w:space="0" w:color="auto"/>
            </w:tcBorders>
            <w:vAlign w:val="center"/>
          </w:tcPr>
          <w:p w:rsidR="00000000" w:rsidRDefault="00000000">
            <w:pPr>
              <w:keepNext/>
              <w:keepLines/>
              <w:jc w:val="left"/>
              <w:rPr>
                <w:sz w:val="20"/>
                <w:szCs w:val="16"/>
                <w:lang w:val="en-GB"/>
              </w:rPr>
            </w:pPr>
            <w:r>
              <w:rPr>
                <w:sz w:val="20"/>
                <w:lang w:val="en-GB"/>
              </w:rPr>
              <w:t>T15.1  Reduction by 50 per cent of the use of legal drugs by children and adolescents</w:t>
            </w:r>
          </w:p>
        </w:tc>
        <w:tc>
          <w:tcPr>
            <w:tcW w:w="2236" w:type="dxa"/>
            <w:tcBorders>
              <w:top w:val="nil"/>
              <w:left w:val="nil"/>
              <w:bottom w:val="single" w:sz="4" w:space="0" w:color="auto"/>
              <w:right w:val="single" w:sz="4" w:space="0" w:color="auto"/>
            </w:tcBorders>
            <w:vAlign w:val="center"/>
          </w:tcPr>
          <w:p w:rsidR="00000000" w:rsidRDefault="00000000">
            <w:pPr>
              <w:keepNext/>
              <w:keepLines/>
              <w:jc w:val="left"/>
              <w:rPr>
                <w:sz w:val="20"/>
                <w:szCs w:val="16"/>
                <w:lang w:val="en-GB"/>
              </w:rPr>
            </w:pPr>
            <w:r>
              <w:rPr>
                <w:sz w:val="20"/>
                <w:lang w:val="en-GB"/>
              </w:rPr>
              <w:t>I15.1.1  Current rate of use of legal drugs by children and adolescents</w:t>
            </w:r>
          </w:p>
        </w:tc>
        <w:tc>
          <w:tcPr>
            <w:tcW w:w="2713" w:type="dxa"/>
            <w:tcBorders>
              <w:top w:val="nil"/>
              <w:left w:val="nil"/>
              <w:bottom w:val="single" w:sz="4" w:space="0" w:color="auto"/>
              <w:right w:val="single" w:sz="4" w:space="0" w:color="auto"/>
            </w:tcBorders>
            <w:vAlign w:val="center"/>
          </w:tcPr>
          <w:p w:rsidR="00000000" w:rsidRDefault="00000000">
            <w:pPr>
              <w:keepNext/>
              <w:keepLines/>
              <w:jc w:val="left"/>
              <w:rPr>
                <w:sz w:val="20"/>
                <w:szCs w:val="16"/>
                <w:lang w:val="en-GB"/>
              </w:rPr>
            </w:pPr>
            <w:r>
              <w:rPr>
                <w:sz w:val="20"/>
                <w:lang w:val="en-GB"/>
              </w:rPr>
              <w:t>Alcohol has been used by 48 per cent of adolescents aged 12 to 13, 60 per cent aged 14 to 16, and 77 per cent aged 17 to 19.  Tobacco has been used by 11 per cent of adolescents aged 12 to 13, 31 per cent aged 14 to 16, and 47 per cent aged 17 to 19.  Tranquillizers have been used by one per cent of adolescents aged 12 to 13, one per cent aged 14 to 16, and one per cent aged 17 to 19 (National Survey of Drug Use and Prevention.  CONTRADROGAS.  Second edition, November 2000.</w:t>
            </w:r>
          </w:p>
        </w:tc>
        <w:tc>
          <w:tcPr>
            <w:tcW w:w="2230" w:type="dxa"/>
            <w:tcBorders>
              <w:top w:val="nil"/>
              <w:left w:val="nil"/>
              <w:bottom w:val="single" w:sz="4" w:space="0" w:color="auto"/>
              <w:right w:val="single" w:sz="4" w:space="0" w:color="auto"/>
            </w:tcBorders>
            <w:vAlign w:val="center"/>
          </w:tcPr>
          <w:p w:rsidR="00000000" w:rsidRDefault="00000000">
            <w:pPr>
              <w:keepNext/>
              <w:keepLines/>
              <w:jc w:val="left"/>
              <w:rPr>
                <w:sz w:val="20"/>
                <w:szCs w:val="16"/>
                <w:lang w:val="en-GB"/>
              </w:rPr>
            </w:pPr>
            <w:r>
              <w:rPr>
                <w:sz w:val="20"/>
                <w:lang w:val="en-GB"/>
              </w:rPr>
              <w:t>S15.1.1  DEVIDA survey</w:t>
            </w:r>
          </w:p>
        </w:tc>
        <w:tc>
          <w:tcPr>
            <w:tcW w:w="3283" w:type="dxa"/>
            <w:vMerge w:val="restart"/>
            <w:tcBorders>
              <w:top w:val="nil"/>
              <w:left w:val="single" w:sz="4" w:space="0" w:color="auto"/>
              <w:bottom w:val="single" w:sz="4" w:space="0" w:color="auto"/>
              <w:right w:val="single" w:sz="4" w:space="0" w:color="auto"/>
            </w:tcBorders>
          </w:tcPr>
          <w:p w:rsidR="00000000" w:rsidRDefault="00000000">
            <w:pPr>
              <w:jc w:val="left"/>
              <w:rPr>
                <w:i/>
                <w:sz w:val="20"/>
                <w:lang w:val="en-GB"/>
              </w:rPr>
            </w:pPr>
          </w:p>
          <w:p w:rsidR="00000000" w:rsidRDefault="00000000">
            <w:pPr>
              <w:jc w:val="left"/>
              <w:rPr>
                <w:i/>
                <w:sz w:val="20"/>
                <w:lang w:val="en-GB"/>
              </w:rPr>
            </w:pPr>
          </w:p>
          <w:p w:rsidR="00000000" w:rsidRDefault="00000000">
            <w:pPr>
              <w:jc w:val="left"/>
              <w:rPr>
                <w:i/>
                <w:sz w:val="20"/>
                <w:lang w:val="en-GB"/>
              </w:rPr>
            </w:pPr>
          </w:p>
          <w:p w:rsidR="00000000" w:rsidRDefault="00000000">
            <w:pPr>
              <w:jc w:val="left"/>
              <w:rPr>
                <w:i/>
                <w:sz w:val="20"/>
                <w:lang w:val="en-GB"/>
              </w:rPr>
            </w:pPr>
          </w:p>
          <w:p w:rsidR="00000000" w:rsidRDefault="00000000">
            <w:pPr>
              <w:jc w:val="left"/>
              <w:rPr>
                <w:i/>
                <w:sz w:val="20"/>
                <w:lang w:val="en-GB"/>
              </w:rPr>
            </w:pPr>
          </w:p>
          <w:p w:rsidR="00000000" w:rsidRDefault="00000000">
            <w:pPr>
              <w:jc w:val="left"/>
              <w:rPr>
                <w:i/>
                <w:sz w:val="20"/>
                <w:lang w:val="en-GB"/>
              </w:rPr>
            </w:pPr>
          </w:p>
          <w:p w:rsidR="00000000" w:rsidRDefault="00000000">
            <w:pPr>
              <w:jc w:val="left"/>
              <w:rPr>
                <w:i/>
                <w:sz w:val="20"/>
                <w:lang w:val="en-GB"/>
              </w:rPr>
            </w:pPr>
          </w:p>
          <w:p w:rsidR="00000000" w:rsidRDefault="00000000">
            <w:pPr>
              <w:jc w:val="left"/>
              <w:rPr>
                <w:i/>
                <w:sz w:val="20"/>
                <w:lang w:val="en-GB"/>
              </w:rPr>
            </w:pPr>
          </w:p>
          <w:p w:rsidR="00000000" w:rsidRDefault="00000000">
            <w:pPr>
              <w:jc w:val="left"/>
              <w:rPr>
                <w:i/>
                <w:sz w:val="20"/>
                <w:lang w:val="en-GB"/>
              </w:rPr>
            </w:pPr>
          </w:p>
          <w:p w:rsidR="00000000" w:rsidRDefault="00000000">
            <w:pPr>
              <w:jc w:val="left"/>
              <w:rPr>
                <w:i/>
                <w:sz w:val="20"/>
                <w:lang w:val="en-GB"/>
              </w:rPr>
            </w:pPr>
          </w:p>
          <w:p w:rsidR="00000000" w:rsidRDefault="00000000">
            <w:pPr>
              <w:jc w:val="left"/>
              <w:rPr>
                <w:i/>
                <w:sz w:val="20"/>
                <w:lang w:val="en-GB"/>
              </w:rPr>
            </w:pPr>
          </w:p>
          <w:p w:rsidR="00000000" w:rsidRDefault="00000000">
            <w:pPr>
              <w:jc w:val="left"/>
              <w:rPr>
                <w:i/>
                <w:sz w:val="20"/>
                <w:lang w:val="en-GB"/>
              </w:rPr>
            </w:pPr>
          </w:p>
          <w:p w:rsidR="00000000" w:rsidRDefault="00000000">
            <w:pPr>
              <w:jc w:val="left"/>
              <w:rPr>
                <w:sz w:val="20"/>
                <w:lang w:val="en-GB"/>
              </w:rPr>
            </w:pPr>
            <w:r>
              <w:rPr>
                <w:i/>
                <w:sz w:val="20"/>
                <w:lang w:val="en-GB"/>
              </w:rPr>
              <w:t>Direct R15</w:t>
            </w:r>
            <w:r>
              <w:rPr>
                <w:sz w:val="20"/>
                <w:lang w:val="en-GB"/>
              </w:rPr>
              <w:t>:  DEVIDA, PNP, MINEDU, education associations, MINSA, MCLPC, Attorney-General, Judiciary</w:t>
            </w:r>
          </w:p>
          <w:p w:rsidR="00000000" w:rsidRDefault="00000000">
            <w:pPr>
              <w:keepNext/>
              <w:keepLines/>
              <w:jc w:val="left"/>
              <w:rPr>
                <w:sz w:val="20"/>
                <w:szCs w:val="16"/>
                <w:lang w:val="en-GB"/>
              </w:rPr>
            </w:pPr>
            <w:r>
              <w:rPr>
                <w:i/>
                <w:sz w:val="20"/>
                <w:lang w:val="en-GB"/>
              </w:rPr>
              <w:t>Support R15</w:t>
            </w:r>
            <w:r>
              <w:rPr>
                <w:sz w:val="20"/>
                <w:lang w:val="en-GB"/>
              </w:rPr>
              <w:t>:  Network of Teenage Leaders, national and international NGOs, churches, private sector, civic and community organizations, vocational schools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T15.2  To reduce by 50 per cent the use of illegal drugs by adolescents</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I15.2.1  Current rate of illegal drug use by adolescents</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According to the statistics, as of 2001 there were 987 juveniles (66 per cent of juveniles in detention) housed in prisons and only 508 (34 per cent) under open regimes (National Survey of Drug Use and Prevention.  CONTRADROGAS.  Second edition, November 2001)</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S15.2.1  DEVIDA survey</w:t>
            </w:r>
          </w:p>
        </w:tc>
        <w:tc>
          <w:tcPr>
            <w:tcW w:w="3283"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T15.3  To ensure that 70 per cent of adolescents in school participate in activities to improve bodily care and health and enhance self-esteem</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I15.3.1  Proportion of adolescents in school who participate in activities to improve bodily care and health and enhance self-esteem</w:t>
            </w:r>
            <w:r>
              <w:rPr>
                <w:sz w:val="20"/>
                <w:lang w:val="en-GB"/>
              </w:rPr>
              <w:br/>
              <w:t>I15.3.2  Existence of a regulation</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szCs w:val="16"/>
                <w:lang w:val="en-GB"/>
              </w:rPr>
              <w:t> </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US"/>
              </w:rPr>
            </w:pPr>
            <w:r>
              <w:rPr>
                <w:sz w:val="20"/>
                <w:lang w:val="en-GB"/>
              </w:rPr>
              <w:t>S15.3.1.1  MINEDU    S15.3.2.1  MINEDU</w:t>
            </w:r>
          </w:p>
        </w:tc>
        <w:tc>
          <w:tcPr>
            <w:tcW w:w="3283"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US"/>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US"/>
              </w:rPr>
            </w:pP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T15.4  To incorporate an approved and operational course of comprehensive preventive education in the current curriculum in initial, primary and secondary education</w:t>
            </w:r>
          </w:p>
        </w:tc>
        <w:tc>
          <w:tcPr>
            <w:tcW w:w="2236" w:type="dxa"/>
            <w:tcBorders>
              <w:top w:val="nil"/>
              <w:left w:val="nil"/>
              <w:bottom w:val="single" w:sz="4" w:space="0" w:color="auto"/>
              <w:right w:val="single" w:sz="4" w:space="0" w:color="auto"/>
            </w:tcBorders>
            <w:vAlign w:val="center"/>
          </w:tcPr>
          <w:p w:rsidR="00000000" w:rsidRDefault="00000000">
            <w:pPr>
              <w:jc w:val="left"/>
              <w:rPr>
                <w:b/>
                <w:bCs/>
                <w:sz w:val="20"/>
                <w:szCs w:val="16"/>
                <w:lang w:val="en-GB"/>
              </w:rPr>
            </w:pPr>
            <w:r>
              <w:rPr>
                <w:sz w:val="20"/>
                <w:lang w:val="en-GB"/>
              </w:rPr>
              <w:t>I15.4.1  Existence of an approved and operational course of comprehensive preventive education in the current curriculum in initial, primary and secondary education</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szCs w:val="16"/>
                <w:lang w:val="en-GB"/>
              </w:rPr>
              <w:t> </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S15.4.1.1  MINEDU</w:t>
            </w:r>
          </w:p>
        </w:tc>
        <w:tc>
          <w:tcPr>
            <w:tcW w:w="3283"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T15.5  An approved programme of diagnosis, counselling and advice for older children and adolescents</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I15.5.1  Existence of an approved programme of diagnosis, counselling and advice for older children and adolescents</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szCs w:val="16"/>
                <w:lang w:val="en-GB"/>
              </w:rPr>
              <w:t> </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S15.5.1.1  MINEDU</w:t>
            </w:r>
          </w:p>
        </w:tc>
        <w:tc>
          <w:tcPr>
            <w:tcW w:w="3283"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400" w:type="dxa"/>
            <w:gridSpan w:val="7"/>
            <w:tcBorders>
              <w:top w:val="single" w:sz="4" w:space="0" w:color="auto"/>
              <w:left w:val="single" w:sz="4" w:space="0" w:color="auto"/>
              <w:bottom w:val="single" w:sz="4" w:space="0" w:color="auto"/>
              <w:right w:val="single" w:sz="4" w:space="0" w:color="000000"/>
            </w:tcBorders>
            <w:vAlign w:val="center"/>
          </w:tcPr>
          <w:p w:rsidR="00000000" w:rsidRDefault="00000000">
            <w:pPr>
              <w:keepNext/>
              <w:spacing w:before="20" w:after="20" w:line="216" w:lineRule="auto"/>
              <w:jc w:val="left"/>
              <w:rPr>
                <w:b/>
                <w:sz w:val="20"/>
                <w:lang w:val="en-GB"/>
              </w:rPr>
            </w:pPr>
            <w:r>
              <w:rPr>
                <w:b/>
                <w:sz w:val="20"/>
                <w:lang w:val="en-GB"/>
              </w:rPr>
              <w:t>15.</w:t>
            </w:r>
            <w:r>
              <w:rPr>
                <w:b/>
                <w:sz w:val="20"/>
                <w:lang w:val="en-GB"/>
              </w:rPr>
              <w:tab/>
              <w:t>The right to comprehensive protection from maltreatment, abuse and all forms of exploitation</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23" w:type="dxa"/>
            <w:gridSpan w:val="2"/>
            <w:tcBorders>
              <w:top w:val="nil"/>
              <w:left w:val="single" w:sz="4" w:space="0" w:color="auto"/>
              <w:bottom w:val="single" w:sz="4" w:space="0" w:color="auto"/>
              <w:right w:val="single" w:sz="4" w:space="0" w:color="auto"/>
            </w:tcBorders>
            <w:vAlign w:val="center"/>
          </w:tcPr>
          <w:p w:rsidR="00000000" w:rsidRDefault="00000000">
            <w:pPr>
              <w:keepNext/>
              <w:spacing w:line="216" w:lineRule="auto"/>
              <w:jc w:val="left"/>
              <w:rPr>
                <w:sz w:val="20"/>
                <w:szCs w:val="16"/>
                <w:lang w:val="en-GB"/>
              </w:rPr>
            </w:pPr>
            <w:r>
              <w:rPr>
                <w:sz w:val="20"/>
                <w:lang w:val="en-GB"/>
              </w:rPr>
              <w:t>O22  Lower level of maltreatment and elimination of sexual abuse of children</w:t>
            </w:r>
          </w:p>
        </w:tc>
        <w:tc>
          <w:tcPr>
            <w:tcW w:w="2215" w:type="dxa"/>
            <w:tcBorders>
              <w:top w:val="nil"/>
              <w:left w:val="nil"/>
              <w:bottom w:val="single" w:sz="4" w:space="0" w:color="auto"/>
              <w:right w:val="single" w:sz="4" w:space="0" w:color="auto"/>
            </w:tcBorders>
            <w:vAlign w:val="center"/>
          </w:tcPr>
          <w:p w:rsidR="00000000" w:rsidRDefault="00000000">
            <w:pPr>
              <w:keepNext/>
              <w:spacing w:line="216" w:lineRule="auto"/>
              <w:jc w:val="left"/>
              <w:rPr>
                <w:sz w:val="20"/>
                <w:szCs w:val="16"/>
                <w:lang w:val="en-GB"/>
              </w:rPr>
            </w:pPr>
            <w:r>
              <w:rPr>
                <w:sz w:val="20"/>
                <w:lang w:val="en-GB"/>
              </w:rPr>
              <w:t>T22.1  To reduce cases of maltreatment of children by 50 per cent</w:t>
            </w:r>
          </w:p>
        </w:tc>
        <w:tc>
          <w:tcPr>
            <w:tcW w:w="2236" w:type="dxa"/>
            <w:tcBorders>
              <w:top w:val="nil"/>
              <w:left w:val="nil"/>
              <w:bottom w:val="single" w:sz="4" w:space="0" w:color="auto"/>
              <w:right w:val="single" w:sz="4" w:space="0" w:color="auto"/>
            </w:tcBorders>
            <w:vAlign w:val="center"/>
          </w:tcPr>
          <w:p w:rsidR="00000000" w:rsidRDefault="00000000">
            <w:pPr>
              <w:keepNext/>
              <w:spacing w:line="216" w:lineRule="auto"/>
              <w:jc w:val="left"/>
              <w:rPr>
                <w:sz w:val="20"/>
                <w:szCs w:val="16"/>
                <w:lang w:val="en-GB"/>
              </w:rPr>
            </w:pPr>
            <w:r>
              <w:rPr>
                <w:sz w:val="20"/>
                <w:lang w:val="en-GB"/>
              </w:rPr>
              <w:t>I22.1  Number of cases of children subjected to maltreatment</w:t>
            </w:r>
          </w:p>
        </w:tc>
        <w:tc>
          <w:tcPr>
            <w:tcW w:w="2713" w:type="dxa"/>
            <w:tcBorders>
              <w:top w:val="nil"/>
              <w:left w:val="nil"/>
              <w:bottom w:val="single" w:sz="4" w:space="0" w:color="auto"/>
              <w:right w:val="single" w:sz="4" w:space="0" w:color="auto"/>
            </w:tcBorders>
            <w:vAlign w:val="center"/>
          </w:tcPr>
          <w:p w:rsidR="00000000" w:rsidRDefault="00000000">
            <w:pPr>
              <w:jc w:val="left"/>
              <w:rPr>
                <w:spacing w:val="-2"/>
                <w:sz w:val="20"/>
                <w:lang w:val="pt-BR"/>
              </w:rPr>
            </w:pPr>
            <w:r>
              <w:rPr>
                <w:spacing w:val="-2"/>
                <w:sz w:val="20"/>
                <w:lang w:val="en-GB"/>
              </w:rPr>
              <w:t>(1)  A 1998 study of 19 hospitals reported 4,717 cases of  maltreatment of adolescents, 55 per cent of them girls.  The highest rate was found in the 15-19 age group, followed by girls in the 7-11 age group (Alva, Javier and Lita Vargas, “</w:t>
            </w:r>
            <w:r>
              <w:rPr>
                <w:i/>
                <w:spacing w:val="-2"/>
                <w:sz w:val="20"/>
                <w:lang w:val="en-GB"/>
              </w:rPr>
              <w:t>Piensa en ellas y ellos: Iniciativas para desarollar servicios de calidad en la atención de salud de las/los jóvenes</w:t>
            </w:r>
            <w:r>
              <w:rPr>
                <w:spacing w:val="-2"/>
                <w:sz w:val="20"/>
                <w:lang w:val="en-GB"/>
              </w:rPr>
              <w:t>”  (Think of them: Initiatives for the development of quality services for the care of young people).  CMP Flora Tristán, UNFPA, Lima 2001)</w:t>
            </w:r>
            <w:r>
              <w:rPr>
                <w:spacing w:val="-2"/>
                <w:sz w:val="20"/>
                <w:lang w:val="en-GB"/>
              </w:rPr>
              <w:br/>
              <w:t>(2)  Thirty-three per cent of girls and women aged 15 to 49 believe that when raising children it is sometimes necessary to use physical punishment.  And recent national surveys indicate that 49 per cent of children are hit by their parents and that this practice is regarded by children themselves as a natural means of discipline and education (</w:t>
            </w:r>
            <w:r>
              <w:rPr>
                <w:i/>
                <w:spacing w:val="-2"/>
                <w:sz w:val="20"/>
                <w:lang w:val="en-GB"/>
              </w:rPr>
              <w:t>La Exclusión Social en el Perú</w:t>
            </w:r>
            <w:r>
              <w:rPr>
                <w:spacing w:val="-2"/>
                <w:sz w:val="20"/>
                <w:lang w:val="en-GB"/>
              </w:rPr>
              <w:t xml:space="preserve">.  </w:t>
            </w:r>
            <w:r>
              <w:rPr>
                <w:spacing w:val="-2"/>
                <w:sz w:val="20"/>
                <w:lang w:val="pt-BR"/>
              </w:rPr>
              <w:t>UNICEF, Lima, June 2001)</w:t>
            </w:r>
          </w:p>
          <w:p w:rsidR="00000000" w:rsidRDefault="00000000">
            <w:pPr>
              <w:keepNext/>
              <w:spacing w:line="216" w:lineRule="auto"/>
              <w:jc w:val="left"/>
              <w:rPr>
                <w:sz w:val="20"/>
                <w:szCs w:val="16"/>
                <w:lang w:val="en-US"/>
              </w:rPr>
            </w:pPr>
            <w:r>
              <w:rPr>
                <w:spacing w:val="-2"/>
                <w:sz w:val="20"/>
                <w:lang w:val="en-GB"/>
              </w:rPr>
              <w:t>(3)  Through its emergency centres for women PROMUDEH dealt with 2,111 cases involving children under 18 in January and February this year, representing nine per cent of all cases (PROMUDEH)</w:t>
            </w:r>
          </w:p>
        </w:tc>
        <w:tc>
          <w:tcPr>
            <w:tcW w:w="2230" w:type="dxa"/>
            <w:tcBorders>
              <w:top w:val="nil"/>
              <w:left w:val="nil"/>
              <w:bottom w:val="single" w:sz="4" w:space="0" w:color="auto"/>
              <w:right w:val="single" w:sz="4" w:space="0" w:color="auto"/>
            </w:tcBorders>
            <w:vAlign w:val="center"/>
          </w:tcPr>
          <w:p w:rsidR="00000000" w:rsidRDefault="00000000">
            <w:pPr>
              <w:keepNext/>
              <w:spacing w:line="216" w:lineRule="auto"/>
              <w:jc w:val="left"/>
              <w:rPr>
                <w:sz w:val="20"/>
                <w:szCs w:val="16"/>
                <w:lang w:val="en-US"/>
              </w:rPr>
            </w:pPr>
            <w:r>
              <w:rPr>
                <w:sz w:val="20"/>
                <w:lang w:val="en-GB"/>
              </w:rPr>
              <w:t>S22.1.1  National Police</w:t>
            </w:r>
          </w:p>
        </w:tc>
        <w:tc>
          <w:tcPr>
            <w:tcW w:w="3283" w:type="dxa"/>
            <w:tcBorders>
              <w:top w:val="nil"/>
              <w:left w:val="nil"/>
              <w:bottom w:val="single" w:sz="4" w:space="0" w:color="auto"/>
              <w:right w:val="single" w:sz="4" w:space="0" w:color="auto"/>
            </w:tcBorders>
            <w:vAlign w:val="center"/>
          </w:tcPr>
          <w:p w:rsidR="00000000" w:rsidRDefault="00000000">
            <w:pPr>
              <w:jc w:val="left"/>
              <w:rPr>
                <w:sz w:val="20"/>
                <w:lang w:val="en-GB"/>
              </w:rPr>
            </w:pPr>
            <w:r>
              <w:rPr>
                <w:i/>
                <w:sz w:val="20"/>
                <w:lang w:val="en-GB"/>
              </w:rPr>
              <w:t>Direct R22</w:t>
            </w:r>
            <w:r>
              <w:rPr>
                <w:sz w:val="20"/>
                <w:lang w:val="en-GB"/>
              </w:rPr>
              <w:t>:  MIMDES, MINSA, MINEDU, children’s ombudsmen, Attorney-General, Judiciary, National Police</w:t>
            </w:r>
          </w:p>
          <w:p w:rsidR="00000000" w:rsidRDefault="00000000">
            <w:pPr>
              <w:keepNext/>
              <w:spacing w:line="216" w:lineRule="auto"/>
              <w:jc w:val="left"/>
              <w:rPr>
                <w:sz w:val="20"/>
                <w:szCs w:val="16"/>
                <w:lang w:val="en-GB"/>
              </w:rPr>
            </w:pPr>
            <w:r>
              <w:rPr>
                <w:i/>
                <w:sz w:val="20"/>
                <w:lang w:val="en-GB"/>
              </w:rPr>
              <w:t>Support R22</w:t>
            </w:r>
            <w:r>
              <w:rPr>
                <w:sz w:val="20"/>
                <w:lang w:val="en-GB"/>
              </w:rPr>
              <w:t>:  Curches, children’s organizations, NGOs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400" w:type="dxa"/>
            <w:gridSpan w:val="7"/>
            <w:tcBorders>
              <w:top w:val="single" w:sz="4" w:space="0" w:color="auto"/>
              <w:left w:val="single" w:sz="4" w:space="0" w:color="auto"/>
              <w:bottom w:val="single" w:sz="4" w:space="0" w:color="auto"/>
              <w:right w:val="single" w:sz="4" w:space="0" w:color="000000"/>
            </w:tcBorders>
            <w:vAlign w:val="center"/>
          </w:tcPr>
          <w:p w:rsidR="00000000" w:rsidRDefault="00000000">
            <w:pPr>
              <w:spacing w:before="60" w:after="60"/>
              <w:jc w:val="left"/>
              <w:rPr>
                <w:b/>
                <w:sz w:val="20"/>
                <w:lang w:val="en-GB"/>
              </w:rPr>
            </w:pPr>
            <w:r>
              <w:rPr>
                <w:b/>
                <w:sz w:val="20"/>
                <w:lang w:val="en-GB"/>
              </w:rPr>
              <w:t>16.</w:t>
            </w:r>
            <w:r>
              <w:rPr>
                <w:b/>
                <w:sz w:val="20"/>
                <w:lang w:val="en-GB"/>
              </w:rPr>
              <w:tab/>
              <w:t>The right of the child to comprehensive protection in situations of deprivation of liberty</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val="restart"/>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r>
              <w:rPr>
                <w:sz w:val="20"/>
                <w:lang w:val="en-GB"/>
              </w:rPr>
              <w:t>O14  Prevention and reduction of teenage violence</w:t>
            </w: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T14.1  To ensure that 60 per cent of teenagers in risk areas join programmes for the proper use of leisure time and acquisition of social and life skills</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I14.1  Proportion of persons aged 12 to 17 in risk areas participating in programmes for the proper use of leisure time and acquisition of social and life skills</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Four hundred gangs with some 12,950 members, including adolescents and adults, have been identified in Lima and Callao.  Eighty-eight per cent (11,396) are under 24 years old (National Police, Civic Participation Division (DIRPACI))</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pt-BR"/>
              </w:rPr>
            </w:pPr>
            <w:r>
              <w:rPr>
                <w:sz w:val="20"/>
                <w:lang w:val="pt-BR"/>
              </w:rPr>
              <w:t>S14.1.1  MIMDES</w:t>
            </w:r>
          </w:p>
        </w:tc>
        <w:tc>
          <w:tcPr>
            <w:tcW w:w="3283" w:type="dxa"/>
            <w:vMerge w:val="restart"/>
            <w:tcBorders>
              <w:top w:val="nil"/>
              <w:left w:val="single" w:sz="4" w:space="0" w:color="auto"/>
              <w:bottom w:val="single" w:sz="4" w:space="0" w:color="auto"/>
              <w:right w:val="single" w:sz="4" w:space="0" w:color="auto"/>
            </w:tcBorders>
          </w:tcPr>
          <w:p w:rsidR="00000000" w:rsidRDefault="00000000">
            <w:pPr>
              <w:jc w:val="left"/>
              <w:rPr>
                <w:i/>
                <w:sz w:val="20"/>
                <w:lang w:val="pt-BR"/>
              </w:rPr>
            </w:pPr>
          </w:p>
          <w:p w:rsidR="00000000" w:rsidRDefault="00000000">
            <w:pPr>
              <w:jc w:val="left"/>
              <w:rPr>
                <w:i/>
                <w:sz w:val="20"/>
                <w:lang w:val="pt-BR"/>
              </w:rPr>
            </w:pPr>
          </w:p>
          <w:p w:rsidR="00000000" w:rsidRDefault="00000000">
            <w:pPr>
              <w:jc w:val="left"/>
              <w:rPr>
                <w:i/>
                <w:sz w:val="20"/>
                <w:lang w:val="pt-BR"/>
              </w:rPr>
            </w:pPr>
          </w:p>
          <w:p w:rsidR="00000000" w:rsidRDefault="00000000">
            <w:pPr>
              <w:jc w:val="left"/>
              <w:rPr>
                <w:i/>
                <w:sz w:val="20"/>
                <w:lang w:val="pt-BR"/>
              </w:rPr>
            </w:pPr>
          </w:p>
          <w:p w:rsidR="00000000" w:rsidRDefault="00000000">
            <w:pPr>
              <w:jc w:val="left"/>
              <w:rPr>
                <w:i/>
                <w:sz w:val="20"/>
                <w:lang w:val="pt-BR"/>
              </w:rPr>
            </w:pPr>
          </w:p>
          <w:p w:rsidR="00000000" w:rsidRDefault="00000000">
            <w:pPr>
              <w:jc w:val="left"/>
              <w:rPr>
                <w:i/>
                <w:sz w:val="20"/>
                <w:lang w:val="pt-BR"/>
              </w:rPr>
            </w:pPr>
          </w:p>
          <w:p w:rsidR="00000000" w:rsidRDefault="00000000">
            <w:pPr>
              <w:jc w:val="left"/>
              <w:rPr>
                <w:i/>
                <w:sz w:val="20"/>
                <w:lang w:val="pt-BR"/>
              </w:rPr>
            </w:pPr>
          </w:p>
          <w:p w:rsidR="00000000" w:rsidRDefault="00000000">
            <w:pPr>
              <w:jc w:val="left"/>
              <w:rPr>
                <w:i/>
                <w:sz w:val="20"/>
                <w:lang w:val="pt-BR"/>
              </w:rPr>
            </w:pPr>
          </w:p>
          <w:p w:rsidR="00000000" w:rsidRDefault="00000000">
            <w:pPr>
              <w:jc w:val="left"/>
              <w:rPr>
                <w:i/>
                <w:sz w:val="20"/>
                <w:lang w:val="pt-BR"/>
              </w:rPr>
            </w:pPr>
          </w:p>
          <w:p w:rsidR="00000000" w:rsidRDefault="00000000">
            <w:pPr>
              <w:jc w:val="left"/>
              <w:rPr>
                <w:i/>
                <w:sz w:val="20"/>
                <w:lang w:val="pt-BR"/>
              </w:rPr>
            </w:pPr>
          </w:p>
          <w:p w:rsidR="00000000" w:rsidRDefault="00000000">
            <w:pPr>
              <w:jc w:val="left"/>
              <w:rPr>
                <w:sz w:val="20"/>
                <w:lang w:val="pt-BR"/>
              </w:rPr>
            </w:pPr>
            <w:r>
              <w:rPr>
                <w:i/>
                <w:sz w:val="20"/>
                <w:lang w:val="pt-BR"/>
              </w:rPr>
              <w:t>Direct R14</w:t>
            </w:r>
            <w:r>
              <w:rPr>
                <w:sz w:val="20"/>
                <w:lang w:val="pt-BR"/>
              </w:rPr>
              <w:t>:  PNP, Judiciary, MIMDES, MINEDU, MINSA, MINJUS, MCLPC</w:t>
            </w:r>
          </w:p>
          <w:p w:rsidR="00000000" w:rsidRDefault="00000000">
            <w:pPr>
              <w:jc w:val="left"/>
              <w:rPr>
                <w:sz w:val="20"/>
                <w:szCs w:val="16"/>
                <w:lang w:val="en-GB"/>
              </w:rPr>
            </w:pPr>
            <w:r>
              <w:rPr>
                <w:i/>
                <w:sz w:val="20"/>
                <w:lang w:val="en-GB"/>
              </w:rPr>
              <w:t>Support R14</w:t>
            </w:r>
            <w:r>
              <w:rPr>
                <w:sz w:val="20"/>
                <w:lang w:val="en-GB"/>
              </w:rPr>
              <w:t>:  Religious organizations, Networks of Teenage Leaders, national and international NGOs, churches, private sector, civic and community organizations, families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T14.2  To reduce the number of juvenile offenders by 50 per cent</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I14.2  Number of persons aged 12 to 17 recorded as offenders</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In 2000, of the 3,387 juvenile offenders held in juvenile centres only 1,722 had been convicted, while 1,665 were awaiting trial (</w:t>
            </w:r>
            <w:r>
              <w:rPr>
                <w:i/>
                <w:sz w:val="20"/>
                <w:lang w:val="en-GB"/>
              </w:rPr>
              <w:t>El Sistema Penal Juvenil en el Perú</w:t>
            </w:r>
            <w:r>
              <w:rPr>
                <w:i/>
                <w:sz w:val="20"/>
                <w:lang w:val="en-GB"/>
              </w:rPr>
              <w:softHyphen/>
            </w:r>
            <w:r>
              <w:rPr>
                <w:sz w:val="20"/>
                <w:lang w:val="en-GB"/>
              </w:rPr>
              <w:t xml:space="preserve"> (The Juvenile Justice System in Peru).  Office of the National Ombudsman, October 2000).  According to the statistics, as of December 2001, there were 987  juveniles (66 per cent of juveniles in detention) housed in prisons and only 508 (34 per cent) under an open regime (Peru: 1990-2000.  Report on the attainment of the targets of the World Summit for Children.  Division for the Welfare of Children and Adolecents.  Working paper.  Lima, 2001)</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S14.2.1  MINEDU</w:t>
            </w:r>
          </w:p>
        </w:tc>
        <w:tc>
          <w:tcPr>
            <w:tcW w:w="3283"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T14.3  To ensure that primary-level establishments are able to provide care services for children and members of their families in cases of domestic violence and maltreatment of children</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I14.3  Proportion of primary-level MINSA establishments providing care services for children and members of their families in cases of domestic violence and maltreatment of children</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szCs w:val="16"/>
                <w:lang w:val="en-GB"/>
              </w:rPr>
              <w:t> </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S14.3.1  MINSA</w:t>
            </w:r>
          </w:p>
        </w:tc>
        <w:tc>
          <w:tcPr>
            <w:tcW w:w="3283"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T14.4  To ensure that 70 per cent of adolescents in schools take part in educational activities based on the social/personal approach and the promotion of democratic values</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I14.4  Proportion of adolescents taking part in educational activities based on the personal/social approach</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szCs w:val="16"/>
                <w:lang w:val="en-GB"/>
              </w:rPr>
              <w:t> </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S14.4.1  MINEDU</w:t>
            </w:r>
          </w:p>
        </w:tc>
        <w:tc>
          <w:tcPr>
            <w:tcW w:w="3283" w:type="dxa"/>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400" w:type="dxa"/>
            <w:gridSpan w:val="7"/>
            <w:tcBorders>
              <w:top w:val="single" w:sz="4" w:space="0" w:color="auto"/>
              <w:left w:val="single" w:sz="4" w:space="0" w:color="auto"/>
              <w:bottom w:val="single" w:sz="4" w:space="0" w:color="auto"/>
              <w:right w:val="single" w:sz="4" w:space="0" w:color="000000"/>
            </w:tcBorders>
            <w:vAlign w:val="center"/>
          </w:tcPr>
          <w:p w:rsidR="00000000" w:rsidRDefault="00000000">
            <w:pPr>
              <w:spacing w:before="60" w:after="60"/>
              <w:jc w:val="left"/>
              <w:rPr>
                <w:b/>
                <w:sz w:val="20"/>
                <w:lang w:val="en-GB"/>
              </w:rPr>
            </w:pPr>
            <w:r>
              <w:rPr>
                <w:b/>
                <w:sz w:val="20"/>
                <w:lang w:val="en-GB"/>
              </w:rPr>
              <w:t>17.</w:t>
            </w:r>
            <w:r>
              <w:rPr>
                <w:b/>
                <w:sz w:val="20"/>
                <w:lang w:val="en-GB"/>
              </w:rPr>
              <w:tab/>
              <w:t>The right of refugee and displaced children to comprehensive protection</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6174" w:type="dxa"/>
            <w:gridSpan w:val="4"/>
            <w:tcBorders>
              <w:top w:val="nil"/>
              <w:left w:val="single" w:sz="4" w:space="0" w:color="auto"/>
              <w:bottom w:val="single" w:sz="4" w:space="0" w:color="auto"/>
              <w:right w:val="single" w:sz="4" w:space="0" w:color="auto"/>
            </w:tcBorders>
            <w:vAlign w:val="center"/>
          </w:tcPr>
          <w:p w:rsidR="00000000" w:rsidRDefault="00000000">
            <w:pPr>
              <w:jc w:val="left"/>
              <w:rPr>
                <w:sz w:val="20"/>
                <w:lang w:val="en-GB"/>
              </w:rPr>
            </w:pPr>
            <w:r>
              <w:rPr>
                <w:b/>
                <w:sz w:val="20"/>
                <w:lang w:val="en-GB"/>
              </w:rPr>
              <w:t>Programme of Support for the Resettlement and Development of Emergency Zones (PAR)</w:t>
            </w:r>
          </w:p>
          <w:p w:rsidR="00000000" w:rsidRDefault="00000000">
            <w:pPr>
              <w:jc w:val="left"/>
              <w:rPr>
                <w:sz w:val="20"/>
                <w:lang w:val="en-GB"/>
              </w:rPr>
            </w:pPr>
            <w:r>
              <w:rPr>
                <w:sz w:val="20"/>
                <w:lang w:val="en-GB"/>
              </w:rPr>
              <w:t>To regulate promotion, compensation and prevention activities relating to the social, political, cultural and economic rights of people affected by the political violence</w:t>
            </w:r>
          </w:p>
          <w:p w:rsidR="00000000" w:rsidRDefault="00000000">
            <w:pPr>
              <w:jc w:val="left"/>
              <w:rPr>
                <w:sz w:val="20"/>
                <w:lang w:val="en-GB"/>
              </w:rPr>
            </w:pPr>
            <w:r>
              <w:rPr>
                <w:sz w:val="20"/>
                <w:lang w:val="en-GB"/>
              </w:rPr>
              <w:t>To coordinate and carry out promotion, compensation and prevention activities relating to the social, political, cultural and economic rights of people affected by the political violence</w:t>
            </w:r>
          </w:p>
          <w:p w:rsidR="00000000" w:rsidRDefault="00000000">
            <w:pPr>
              <w:jc w:val="left"/>
              <w:rPr>
                <w:bCs/>
                <w:sz w:val="20"/>
                <w:szCs w:val="14"/>
                <w:lang w:val="en-GB"/>
              </w:rPr>
            </w:pPr>
            <w:r>
              <w:rPr>
                <w:sz w:val="20"/>
                <w:lang w:val="en-GB"/>
              </w:rPr>
              <w:t>To implement key temporary and permanent measures which make a decisive contribution to fostering sustainable peace in Peru and increase the methodological armoury of the projects designed to overcome the economic, social, ethnic and cultural inequalities</w:t>
            </w:r>
          </w:p>
        </w:tc>
        <w:tc>
          <w:tcPr>
            <w:tcW w:w="2713" w:type="dxa"/>
            <w:tcBorders>
              <w:top w:val="nil"/>
              <w:left w:val="nil"/>
              <w:bottom w:val="single" w:sz="4" w:space="0" w:color="auto"/>
              <w:right w:val="single" w:sz="4" w:space="0" w:color="auto"/>
            </w:tcBorders>
            <w:vAlign w:val="center"/>
          </w:tcPr>
          <w:p w:rsidR="00000000" w:rsidRDefault="00000000">
            <w:pPr>
              <w:jc w:val="left"/>
              <w:rPr>
                <w:bCs/>
                <w:sz w:val="20"/>
                <w:szCs w:val="14"/>
                <w:lang w:val="en-GB"/>
              </w:rPr>
            </w:pPr>
            <w:r>
              <w:rPr>
                <w:sz w:val="20"/>
                <w:lang w:val="en-GB"/>
              </w:rPr>
              <w:t>It is estimated that some 1,6 million people have been affected by the political violence, 30 per cent of them children.  According to the PAR, about 600,000 of the total moved away from their home communities as a result of the armed conflict, including children orphaned by the fighting.</w:t>
            </w:r>
          </w:p>
        </w:tc>
        <w:tc>
          <w:tcPr>
            <w:tcW w:w="2230" w:type="dxa"/>
            <w:tcBorders>
              <w:top w:val="nil"/>
              <w:left w:val="nil"/>
              <w:bottom w:val="single" w:sz="4" w:space="0" w:color="auto"/>
              <w:right w:val="single" w:sz="4" w:space="0" w:color="auto"/>
            </w:tcBorders>
            <w:vAlign w:val="center"/>
          </w:tcPr>
          <w:p w:rsidR="00000000" w:rsidRDefault="00000000">
            <w:pPr>
              <w:jc w:val="left"/>
              <w:rPr>
                <w:bCs/>
                <w:sz w:val="20"/>
                <w:szCs w:val="14"/>
                <w:lang w:val="en-GB"/>
              </w:rPr>
            </w:pPr>
            <w:r>
              <w:rPr>
                <w:bCs/>
                <w:sz w:val="20"/>
                <w:szCs w:val="14"/>
                <w:lang w:val="en-GB"/>
              </w:rPr>
              <w:t> </w:t>
            </w:r>
          </w:p>
        </w:tc>
        <w:tc>
          <w:tcPr>
            <w:tcW w:w="3283" w:type="dxa"/>
            <w:tcBorders>
              <w:top w:val="nil"/>
              <w:left w:val="nil"/>
              <w:bottom w:val="single" w:sz="4" w:space="0" w:color="auto"/>
              <w:right w:val="single" w:sz="4" w:space="0" w:color="auto"/>
            </w:tcBorders>
            <w:vAlign w:val="center"/>
          </w:tcPr>
          <w:p w:rsidR="00000000" w:rsidRDefault="00000000">
            <w:pPr>
              <w:jc w:val="left"/>
              <w:rPr>
                <w:bCs/>
                <w:sz w:val="20"/>
                <w:szCs w:val="14"/>
                <w:lang w:val="en-GB"/>
              </w:rPr>
            </w:pPr>
            <w:r>
              <w:rPr>
                <w:bCs/>
                <w:sz w:val="20"/>
                <w:szCs w:val="14"/>
                <w:lang w:val="en-GB"/>
              </w:rPr>
              <w:t> </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400" w:type="dxa"/>
            <w:gridSpan w:val="7"/>
            <w:tcBorders>
              <w:top w:val="single" w:sz="4" w:space="0" w:color="auto"/>
              <w:left w:val="single" w:sz="4" w:space="0" w:color="auto"/>
              <w:bottom w:val="single" w:sz="4" w:space="0" w:color="auto"/>
              <w:right w:val="single" w:sz="4" w:space="0" w:color="000000"/>
            </w:tcBorders>
            <w:vAlign w:val="center"/>
          </w:tcPr>
          <w:p w:rsidR="00000000" w:rsidRDefault="00000000">
            <w:pPr>
              <w:keepNext/>
              <w:spacing w:before="60" w:after="60"/>
              <w:jc w:val="left"/>
              <w:rPr>
                <w:b/>
                <w:sz w:val="20"/>
                <w:lang w:val="en-GB"/>
              </w:rPr>
            </w:pPr>
            <w:r>
              <w:rPr>
                <w:b/>
                <w:sz w:val="20"/>
                <w:lang w:val="en-GB"/>
              </w:rPr>
              <w:t>18.</w:t>
            </w:r>
            <w:r>
              <w:rPr>
                <w:b/>
                <w:sz w:val="20"/>
                <w:lang w:val="en-GB"/>
              </w:rPr>
              <w:tab/>
              <w:t>The right of children deprived of their parents to comprehensive protection</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6174" w:type="dxa"/>
            <w:gridSpan w:val="4"/>
            <w:tcBorders>
              <w:top w:val="nil"/>
              <w:left w:val="single" w:sz="4" w:space="0" w:color="auto"/>
              <w:bottom w:val="single" w:sz="4" w:space="0" w:color="auto"/>
              <w:right w:val="single" w:sz="4" w:space="0" w:color="auto"/>
            </w:tcBorders>
            <w:vAlign w:val="center"/>
          </w:tcPr>
          <w:p w:rsidR="00000000" w:rsidRDefault="00000000">
            <w:pPr>
              <w:keepNext/>
              <w:jc w:val="left"/>
              <w:rPr>
                <w:bCs/>
                <w:sz w:val="20"/>
                <w:szCs w:val="14"/>
                <w:lang w:val="pt-BR"/>
              </w:rPr>
            </w:pPr>
            <w:r>
              <w:rPr>
                <w:bCs/>
                <w:sz w:val="20"/>
                <w:szCs w:val="14"/>
                <w:lang w:val="pt-BR"/>
              </w:rPr>
              <w:t>Instituto Nacional de Bienestar Familiar</w:t>
            </w:r>
          </w:p>
          <w:p w:rsidR="00000000" w:rsidRDefault="00000000">
            <w:pPr>
              <w:keepNext/>
              <w:jc w:val="left"/>
              <w:rPr>
                <w:bCs/>
                <w:sz w:val="20"/>
                <w:szCs w:val="14"/>
                <w:lang w:val="pt-BR"/>
              </w:rPr>
            </w:pPr>
            <w:r>
              <w:rPr>
                <w:bCs/>
                <w:sz w:val="20"/>
                <w:szCs w:val="14"/>
                <w:lang w:val="pt-BR"/>
              </w:rPr>
              <w:t> </w:t>
            </w:r>
          </w:p>
        </w:tc>
        <w:tc>
          <w:tcPr>
            <w:tcW w:w="2713" w:type="dxa"/>
            <w:tcBorders>
              <w:top w:val="nil"/>
              <w:left w:val="nil"/>
              <w:bottom w:val="single" w:sz="4" w:space="0" w:color="auto"/>
              <w:right w:val="single" w:sz="4" w:space="0" w:color="auto"/>
            </w:tcBorders>
            <w:vAlign w:val="center"/>
          </w:tcPr>
          <w:p w:rsidR="00000000" w:rsidRDefault="00000000">
            <w:pPr>
              <w:keepNext/>
              <w:jc w:val="left"/>
              <w:rPr>
                <w:bCs/>
                <w:sz w:val="20"/>
                <w:szCs w:val="14"/>
                <w:lang w:val="en-GB"/>
              </w:rPr>
            </w:pPr>
            <w:r>
              <w:rPr>
                <w:sz w:val="20"/>
                <w:lang w:val="en-GB"/>
              </w:rPr>
              <w:t>The services are provided in INABIF’s 35 operational units (25 children’s homes, 10 children’s centres)</w:t>
            </w:r>
            <w:r>
              <w:rPr>
                <w:sz w:val="20"/>
                <w:lang w:val="en-GB"/>
              </w:rPr>
              <w:br/>
              <w:t>The exact number of children living in institutions is not known; it is estimated that there are 3,982 such children nation-wide, living in the establishments of INABIF and the Children’ Foundation of Peru</w:t>
            </w:r>
          </w:p>
        </w:tc>
        <w:tc>
          <w:tcPr>
            <w:tcW w:w="2230" w:type="dxa"/>
            <w:tcBorders>
              <w:top w:val="nil"/>
              <w:left w:val="nil"/>
              <w:bottom w:val="single" w:sz="4" w:space="0" w:color="auto"/>
              <w:right w:val="single" w:sz="4" w:space="0" w:color="auto"/>
            </w:tcBorders>
            <w:vAlign w:val="center"/>
          </w:tcPr>
          <w:p w:rsidR="00000000" w:rsidRDefault="00000000">
            <w:pPr>
              <w:keepNext/>
              <w:jc w:val="left"/>
              <w:rPr>
                <w:bCs/>
                <w:sz w:val="20"/>
                <w:szCs w:val="14"/>
                <w:lang w:val="en-GB"/>
              </w:rPr>
            </w:pPr>
            <w:r>
              <w:rPr>
                <w:bCs/>
                <w:sz w:val="20"/>
                <w:szCs w:val="14"/>
                <w:lang w:val="en-GB"/>
              </w:rPr>
              <w:t> </w:t>
            </w:r>
          </w:p>
        </w:tc>
        <w:tc>
          <w:tcPr>
            <w:tcW w:w="3283" w:type="dxa"/>
            <w:tcBorders>
              <w:top w:val="nil"/>
              <w:left w:val="nil"/>
              <w:bottom w:val="single" w:sz="4" w:space="0" w:color="auto"/>
              <w:right w:val="single" w:sz="4" w:space="0" w:color="auto"/>
            </w:tcBorders>
            <w:vAlign w:val="center"/>
          </w:tcPr>
          <w:p w:rsidR="00000000" w:rsidRDefault="00000000">
            <w:pPr>
              <w:keepNext/>
              <w:jc w:val="left"/>
              <w:rPr>
                <w:bCs/>
                <w:sz w:val="20"/>
                <w:szCs w:val="14"/>
                <w:lang w:val="en-GB"/>
              </w:rPr>
            </w:pPr>
            <w:r>
              <w:rPr>
                <w:bCs/>
                <w:sz w:val="20"/>
                <w:szCs w:val="14"/>
                <w:lang w:val="en-GB"/>
              </w:rPr>
              <w:t> </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400" w:type="dxa"/>
            <w:gridSpan w:val="7"/>
            <w:tcBorders>
              <w:top w:val="single" w:sz="4" w:space="0" w:color="auto"/>
              <w:left w:val="single" w:sz="4" w:space="0" w:color="auto"/>
              <w:bottom w:val="single" w:sz="4" w:space="0" w:color="auto"/>
              <w:right w:val="single" w:sz="4" w:space="0" w:color="000000"/>
            </w:tcBorders>
            <w:vAlign w:val="center"/>
          </w:tcPr>
          <w:p w:rsidR="00000000" w:rsidRDefault="00000000">
            <w:pPr>
              <w:keepNext/>
              <w:spacing w:before="60" w:after="60"/>
              <w:jc w:val="left"/>
              <w:rPr>
                <w:b/>
                <w:sz w:val="20"/>
                <w:lang w:val="en-GB"/>
              </w:rPr>
            </w:pPr>
            <w:r>
              <w:rPr>
                <w:b/>
                <w:sz w:val="20"/>
                <w:lang w:val="en-GB"/>
              </w:rPr>
              <w:t>19.</w:t>
            </w:r>
            <w:r>
              <w:rPr>
                <w:b/>
                <w:sz w:val="20"/>
                <w:lang w:val="en-GB"/>
              </w:rPr>
              <w:tab/>
              <w:t>The right of the child to live in a healthy environment</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23" w:type="dxa"/>
            <w:gridSpan w:val="2"/>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r>
              <w:rPr>
                <w:sz w:val="20"/>
                <w:lang w:val="en-GB"/>
              </w:rPr>
              <w:t>O5  Conditions guaranteeing exercise of the right to life by children</w:t>
            </w: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T5.2  To increase by 70 per cent the number of children living in households with a drinking-water supply and basic sanitation services</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I5.2  Proportion of children living in households with a drinking-water supply and basic sanitation services inside the house or building</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In 2000, 20 per cent of households nation-wide did not have sanitation services.  In that same year, 34 per cent of rural households were connected to a public water supply inside the house or building; the figure for urban households was 74 per cent (ENDES-2000)</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S5.2.1  INEI surveys</w:t>
            </w:r>
          </w:p>
        </w:tc>
        <w:tc>
          <w:tcPr>
            <w:tcW w:w="3283" w:type="dxa"/>
            <w:tcBorders>
              <w:top w:val="nil"/>
              <w:left w:val="nil"/>
              <w:bottom w:val="single" w:sz="4" w:space="0" w:color="auto"/>
              <w:right w:val="single" w:sz="4" w:space="0" w:color="auto"/>
            </w:tcBorders>
            <w:vAlign w:val="center"/>
          </w:tcPr>
          <w:p w:rsidR="00000000" w:rsidRDefault="00000000">
            <w:pPr>
              <w:jc w:val="left"/>
              <w:rPr>
                <w:sz w:val="20"/>
                <w:lang w:val="en-GB"/>
              </w:rPr>
            </w:pPr>
            <w:r>
              <w:rPr>
                <w:i/>
                <w:sz w:val="20"/>
                <w:lang w:val="en-GB"/>
              </w:rPr>
              <w:t>Direct R5</w:t>
            </w:r>
            <w:r>
              <w:rPr>
                <w:sz w:val="20"/>
                <w:lang w:val="en-GB"/>
              </w:rPr>
              <w:t>:  SEDAPAL, local authorities, PCM, CTARs, MCLPC</w:t>
            </w:r>
          </w:p>
          <w:p w:rsidR="00000000" w:rsidRDefault="00000000">
            <w:pPr>
              <w:jc w:val="left"/>
              <w:rPr>
                <w:sz w:val="20"/>
                <w:szCs w:val="16"/>
                <w:lang w:val="en-GB"/>
              </w:rPr>
            </w:pPr>
            <w:r>
              <w:rPr>
                <w:sz w:val="20"/>
                <w:lang w:val="en-GB"/>
              </w:rPr>
              <w:t>O20  Care of children in situations of emergency</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val="restart"/>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GB"/>
              </w:rPr>
            </w:pPr>
            <w:r>
              <w:rPr>
                <w:sz w:val="20"/>
                <w:lang w:val="en-GB"/>
              </w:rPr>
              <w:t>O20  Care of children in situations of emergency</w:t>
            </w: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T20.1  To establish a special disaster prevention and response system based on the best interests of the child</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I20.1  Existence of a special disaster prevention and response system based on the best interests of the child</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szCs w:val="16"/>
                <w:lang w:val="en-GB"/>
              </w:rPr>
              <w:t> </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US"/>
              </w:rPr>
            </w:pPr>
            <w:r>
              <w:rPr>
                <w:sz w:val="20"/>
                <w:lang w:val="en-GB"/>
              </w:rPr>
              <w:t>S20.1.1  Civil defence units</w:t>
            </w:r>
          </w:p>
        </w:tc>
        <w:tc>
          <w:tcPr>
            <w:tcW w:w="3283" w:type="dxa"/>
            <w:vMerge w:val="restart"/>
            <w:tcBorders>
              <w:top w:val="nil"/>
              <w:left w:val="single" w:sz="4" w:space="0" w:color="auto"/>
              <w:bottom w:val="single" w:sz="4" w:space="0" w:color="000000"/>
              <w:right w:val="single" w:sz="4" w:space="0" w:color="auto"/>
            </w:tcBorders>
          </w:tcPr>
          <w:p w:rsidR="00000000" w:rsidRDefault="00000000">
            <w:pPr>
              <w:jc w:val="left"/>
              <w:rPr>
                <w:sz w:val="20"/>
                <w:lang w:val="en-GB"/>
              </w:rPr>
            </w:pPr>
            <w:r>
              <w:rPr>
                <w:i/>
                <w:sz w:val="20"/>
                <w:lang w:val="en-GB"/>
              </w:rPr>
              <w:t>Direct R20</w:t>
            </w:r>
            <w:r>
              <w:rPr>
                <w:sz w:val="20"/>
                <w:lang w:val="en-GB"/>
              </w:rPr>
              <w:t>:  Ministry of Defence (civil defence units), local authorities, volunteer fire services, MINEDU, PNP, MINSA, MIMDES</w:t>
            </w:r>
          </w:p>
          <w:p w:rsidR="00000000" w:rsidRDefault="00000000">
            <w:pPr>
              <w:jc w:val="left"/>
              <w:rPr>
                <w:sz w:val="20"/>
                <w:lang w:val="en-GB"/>
              </w:rPr>
            </w:pPr>
            <w:r>
              <w:rPr>
                <w:i/>
                <w:sz w:val="20"/>
                <w:lang w:val="en-GB"/>
              </w:rPr>
              <w:t>Support R20</w:t>
            </w:r>
            <w:r>
              <w:rPr>
                <w:sz w:val="20"/>
                <w:lang w:val="en-GB"/>
              </w:rPr>
              <w:t xml:space="preserve">:  UNFPA, UNICEF, </w:t>
            </w:r>
          </w:p>
          <w:p w:rsidR="00000000" w:rsidRDefault="00000000">
            <w:pPr>
              <w:jc w:val="left"/>
              <w:rPr>
                <w:sz w:val="20"/>
                <w:lang w:val="en-GB"/>
              </w:rPr>
            </w:pPr>
          </w:p>
          <w:p w:rsidR="00000000" w:rsidRDefault="00000000">
            <w:pPr>
              <w:jc w:val="left"/>
              <w:rPr>
                <w:sz w:val="20"/>
                <w:lang w:val="en-GB"/>
              </w:rPr>
            </w:pPr>
          </w:p>
          <w:p w:rsidR="00000000" w:rsidRDefault="00000000">
            <w:pPr>
              <w:jc w:val="left"/>
              <w:rPr>
                <w:sz w:val="20"/>
                <w:lang w:val="en-GB"/>
              </w:rPr>
            </w:pPr>
          </w:p>
          <w:p w:rsidR="00000000" w:rsidRDefault="00000000">
            <w:pPr>
              <w:jc w:val="left"/>
              <w:rPr>
                <w:sz w:val="20"/>
                <w:lang w:val="en-GB"/>
              </w:rPr>
            </w:pPr>
          </w:p>
          <w:p w:rsidR="00000000" w:rsidRDefault="00000000">
            <w:pPr>
              <w:jc w:val="left"/>
              <w:rPr>
                <w:sz w:val="20"/>
                <w:lang w:val="en-GB"/>
              </w:rPr>
            </w:pPr>
          </w:p>
          <w:p w:rsidR="00000000" w:rsidRDefault="00000000">
            <w:pPr>
              <w:jc w:val="left"/>
              <w:rPr>
                <w:sz w:val="20"/>
                <w:lang w:val="en-GB"/>
              </w:rPr>
            </w:pPr>
          </w:p>
          <w:p w:rsidR="00000000" w:rsidRDefault="00000000">
            <w:pPr>
              <w:jc w:val="left"/>
              <w:rPr>
                <w:sz w:val="20"/>
                <w:lang w:val="en-GB"/>
              </w:rPr>
            </w:pPr>
          </w:p>
          <w:p w:rsidR="00000000" w:rsidRDefault="00000000">
            <w:pPr>
              <w:jc w:val="left"/>
              <w:rPr>
                <w:sz w:val="20"/>
                <w:szCs w:val="16"/>
                <w:lang w:val="en-US"/>
              </w:rPr>
            </w:pPr>
            <w:r>
              <w:rPr>
                <w:sz w:val="20"/>
                <w:lang w:val="en-GB"/>
              </w:rPr>
              <w:t>PAHO/WHO, national and international NGOs, churches, private sector, civic and community organizations, families, youth organizations, vocational schools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US"/>
              </w:rPr>
            </w:pP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T20.2  Establishment of a programme on organized response to emergencies at the local, regional and national levels to promote the right of the child to special protection</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I20.2   Existence of regulations on response to emergencies at the local, regional and national levels to promote the right of the child to special protection</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pt-BR"/>
              </w:rPr>
            </w:pPr>
            <w:r>
              <w:rPr>
                <w:sz w:val="20"/>
                <w:lang w:val="en-GB"/>
              </w:rPr>
              <w:t>The continual occurrence in Peru of exceptional natural phenomena and disasters has had serious social consequences, claimed many victims and caused considerable damage in recent years, and children and young people are especially vulnerable to such emergencies (</w:t>
            </w:r>
            <w:r>
              <w:rPr>
                <w:i/>
                <w:sz w:val="20"/>
                <w:lang w:val="en-GB"/>
              </w:rPr>
              <w:t>La Exclusión Social en el Perú</w:t>
            </w:r>
            <w:r>
              <w:rPr>
                <w:sz w:val="20"/>
                <w:lang w:val="en-GB"/>
              </w:rPr>
              <w:t xml:space="preserve">.  </w:t>
            </w:r>
            <w:r>
              <w:rPr>
                <w:sz w:val="20"/>
                <w:lang w:val="pt-BR"/>
              </w:rPr>
              <w:t>UNICEF. Lima, June 2001)</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US"/>
              </w:rPr>
            </w:pPr>
            <w:r>
              <w:rPr>
                <w:sz w:val="20"/>
                <w:lang w:val="en-GB"/>
              </w:rPr>
              <w:t>S20.2.1  Civil defence units</w:t>
            </w:r>
          </w:p>
        </w:tc>
        <w:tc>
          <w:tcPr>
            <w:tcW w:w="3283" w:type="dxa"/>
            <w:vMerge/>
            <w:tcBorders>
              <w:top w:val="nil"/>
              <w:left w:val="single" w:sz="4" w:space="0" w:color="auto"/>
              <w:bottom w:val="single" w:sz="4" w:space="0" w:color="000000"/>
              <w:right w:val="single" w:sz="4" w:space="0" w:color="auto"/>
            </w:tcBorders>
            <w:vAlign w:val="center"/>
          </w:tcPr>
          <w:p w:rsidR="00000000" w:rsidRDefault="00000000">
            <w:pPr>
              <w:jc w:val="left"/>
              <w:rPr>
                <w:sz w:val="20"/>
                <w:szCs w:val="16"/>
                <w:lang w:val="en-US"/>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tcBorders>
              <w:top w:val="nil"/>
              <w:left w:val="single" w:sz="4" w:space="0" w:color="auto"/>
              <w:bottom w:val="single" w:sz="4" w:space="0" w:color="auto"/>
              <w:right w:val="single" w:sz="4" w:space="0" w:color="auto"/>
            </w:tcBorders>
            <w:vAlign w:val="center"/>
          </w:tcPr>
          <w:p w:rsidR="00000000" w:rsidRDefault="00000000">
            <w:pPr>
              <w:jc w:val="left"/>
              <w:rPr>
                <w:sz w:val="20"/>
                <w:szCs w:val="16"/>
                <w:lang w:val="en-US"/>
              </w:rPr>
            </w:pPr>
          </w:p>
        </w:tc>
        <w:tc>
          <w:tcPr>
            <w:tcW w:w="2215"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T20.3  To ensure by 2006 that the whole education community has been involved in information and prevention activities relating to natural disasters and situations of emergency which place children’s safety and health at risk</w:t>
            </w:r>
          </w:p>
        </w:tc>
        <w:tc>
          <w:tcPr>
            <w:tcW w:w="2236"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I20.3  Proportion of members of the education community who have taken part in information and prevention activities</w:t>
            </w:r>
          </w:p>
        </w:tc>
        <w:tc>
          <w:tcPr>
            <w:tcW w:w="2713"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szCs w:val="16"/>
                <w:lang w:val="en-GB"/>
              </w:rPr>
              <w:t> </w:t>
            </w:r>
          </w:p>
        </w:tc>
        <w:tc>
          <w:tcPr>
            <w:tcW w:w="2230" w:type="dxa"/>
            <w:tcBorders>
              <w:top w:val="nil"/>
              <w:left w:val="nil"/>
              <w:bottom w:val="single" w:sz="4" w:space="0" w:color="auto"/>
              <w:right w:val="single" w:sz="4" w:space="0" w:color="auto"/>
            </w:tcBorders>
            <w:vAlign w:val="center"/>
          </w:tcPr>
          <w:p w:rsidR="00000000" w:rsidRDefault="00000000">
            <w:pPr>
              <w:jc w:val="left"/>
              <w:rPr>
                <w:sz w:val="20"/>
                <w:szCs w:val="16"/>
                <w:lang w:val="en-GB"/>
              </w:rPr>
            </w:pPr>
            <w:r>
              <w:rPr>
                <w:sz w:val="20"/>
                <w:lang w:val="en-GB"/>
              </w:rPr>
              <w:t>S20.3.1  MINEDU</w:t>
            </w:r>
          </w:p>
        </w:tc>
        <w:tc>
          <w:tcPr>
            <w:tcW w:w="3283" w:type="dxa"/>
            <w:vMerge/>
            <w:tcBorders>
              <w:top w:val="nil"/>
              <w:left w:val="single" w:sz="4" w:space="0" w:color="auto"/>
              <w:bottom w:val="single" w:sz="4" w:space="0" w:color="000000"/>
              <w:right w:val="single" w:sz="4" w:space="0" w:color="auto"/>
            </w:tcBorders>
            <w:vAlign w:val="center"/>
          </w:tcPr>
          <w:p w:rsidR="00000000" w:rsidRDefault="00000000">
            <w:pPr>
              <w:jc w:val="left"/>
              <w:rPr>
                <w:sz w:val="20"/>
                <w:szCs w:val="16"/>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400" w:type="dxa"/>
            <w:gridSpan w:val="7"/>
            <w:tcBorders>
              <w:top w:val="single" w:sz="4" w:space="0" w:color="auto"/>
              <w:left w:val="single" w:sz="4" w:space="0" w:color="auto"/>
              <w:bottom w:val="single" w:sz="4" w:space="0" w:color="auto"/>
              <w:right w:val="single" w:sz="4" w:space="0" w:color="000000"/>
            </w:tcBorders>
            <w:vAlign w:val="center"/>
          </w:tcPr>
          <w:p w:rsidR="00000000" w:rsidRDefault="00000000">
            <w:pPr>
              <w:keepNext/>
              <w:spacing w:before="60" w:after="60"/>
              <w:jc w:val="left"/>
              <w:rPr>
                <w:b/>
                <w:sz w:val="20"/>
                <w:lang w:val="en-GB"/>
              </w:rPr>
            </w:pPr>
            <w:r>
              <w:rPr>
                <w:b/>
                <w:sz w:val="20"/>
                <w:lang w:val="en-GB"/>
              </w:rPr>
              <w:t>20.</w:t>
            </w:r>
            <w:r>
              <w:rPr>
                <w:b/>
                <w:sz w:val="20"/>
                <w:lang w:val="en-GB"/>
              </w:rPr>
              <w:tab/>
              <w:t>The right of the child to access to justice</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val="restart"/>
            <w:tcBorders>
              <w:top w:val="nil"/>
              <w:left w:val="single" w:sz="4" w:space="0" w:color="auto"/>
              <w:bottom w:val="single" w:sz="4" w:space="0" w:color="auto"/>
              <w:right w:val="single" w:sz="4" w:space="0" w:color="auto"/>
            </w:tcBorders>
            <w:vAlign w:val="center"/>
          </w:tcPr>
          <w:p w:rsidR="00000000" w:rsidRDefault="00000000">
            <w:pPr>
              <w:keepNext/>
              <w:jc w:val="left"/>
              <w:rPr>
                <w:sz w:val="20"/>
                <w:szCs w:val="16"/>
                <w:lang w:val="en-GB"/>
              </w:rPr>
            </w:pPr>
            <w:r>
              <w:rPr>
                <w:sz w:val="20"/>
                <w:lang w:val="en-GB"/>
              </w:rPr>
              <w:t>O17  Consolidation of a special legal system and arrangements for the administration of juvenile justice</w:t>
            </w:r>
          </w:p>
        </w:tc>
        <w:tc>
          <w:tcPr>
            <w:tcW w:w="2215" w:type="dxa"/>
            <w:tcBorders>
              <w:top w:val="nil"/>
              <w:left w:val="nil"/>
              <w:bottom w:val="single" w:sz="4" w:space="0" w:color="auto"/>
              <w:right w:val="single" w:sz="4" w:space="0" w:color="auto"/>
            </w:tcBorders>
            <w:vAlign w:val="center"/>
          </w:tcPr>
          <w:p w:rsidR="00000000" w:rsidRDefault="00000000">
            <w:pPr>
              <w:keepNext/>
              <w:jc w:val="left"/>
              <w:rPr>
                <w:sz w:val="20"/>
                <w:szCs w:val="16"/>
                <w:lang w:val="en-GB"/>
              </w:rPr>
            </w:pPr>
            <w:r>
              <w:rPr>
                <w:sz w:val="20"/>
                <w:lang w:val="en-GB"/>
              </w:rPr>
              <w:t>T17.1  To secure by 2005 the systematic organization, harmonization and diffusion of the existing domestic legislation on children, in line with the international conventions and agreements in force</w:t>
            </w:r>
          </w:p>
        </w:tc>
        <w:tc>
          <w:tcPr>
            <w:tcW w:w="2236" w:type="dxa"/>
            <w:tcBorders>
              <w:top w:val="nil"/>
              <w:left w:val="nil"/>
              <w:bottom w:val="single" w:sz="4" w:space="0" w:color="auto"/>
              <w:right w:val="single" w:sz="4" w:space="0" w:color="auto"/>
            </w:tcBorders>
            <w:vAlign w:val="center"/>
          </w:tcPr>
          <w:p w:rsidR="00000000" w:rsidRDefault="00000000">
            <w:pPr>
              <w:keepNext/>
              <w:jc w:val="left"/>
              <w:rPr>
                <w:sz w:val="20"/>
                <w:szCs w:val="16"/>
                <w:lang w:val="en-GB"/>
              </w:rPr>
            </w:pPr>
            <w:r>
              <w:rPr>
                <w:sz w:val="20"/>
                <w:lang w:val="en-GB"/>
              </w:rPr>
              <w:t>I17.1  Existence and diffusion of systematically organized and harmonized legislation on children in line with the international conventions and agreements in force</w:t>
            </w:r>
          </w:p>
        </w:tc>
        <w:tc>
          <w:tcPr>
            <w:tcW w:w="2713" w:type="dxa"/>
            <w:tcBorders>
              <w:top w:val="nil"/>
              <w:left w:val="nil"/>
              <w:bottom w:val="single" w:sz="4" w:space="0" w:color="auto"/>
              <w:right w:val="single" w:sz="4" w:space="0" w:color="auto"/>
            </w:tcBorders>
            <w:vAlign w:val="center"/>
          </w:tcPr>
          <w:p w:rsidR="00000000" w:rsidRDefault="00000000">
            <w:pPr>
              <w:keepNext/>
              <w:jc w:val="left"/>
              <w:rPr>
                <w:sz w:val="20"/>
                <w:szCs w:val="16"/>
                <w:lang w:val="en-GB"/>
              </w:rPr>
            </w:pPr>
            <w:r>
              <w:rPr>
                <w:sz w:val="20"/>
                <w:szCs w:val="16"/>
                <w:lang w:val="en-GB"/>
              </w:rPr>
              <w:t> </w:t>
            </w:r>
          </w:p>
        </w:tc>
        <w:tc>
          <w:tcPr>
            <w:tcW w:w="2230" w:type="dxa"/>
            <w:tcBorders>
              <w:top w:val="nil"/>
              <w:left w:val="nil"/>
              <w:bottom w:val="single" w:sz="4" w:space="0" w:color="auto"/>
              <w:right w:val="single" w:sz="4" w:space="0" w:color="auto"/>
            </w:tcBorders>
            <w:vAlign w:val="center"/>
          </w:tcPr>
          <w:p w:rsidR="00000000" w:rsidRDefault="00000000">
            <w:pPr>
              <w:keepNext/>
              <w:jc w:val="left"/>
              <w:rPr>
                <w:sz w:val="20"/>
                <w:szCs w:val="16"/>
                <w:lang w:val="en-GB"/>
              </w:rPr>
            </w:pPr>
            <w:r>
              <w:rPr>
                <w:sz w:val="20"/>
                <w:lang w:val="en-GB"/>
              </w:rPr>
              <w:t>S17.1.1  MINJUS</w:t>
            </w:r>
          </w:p>
        </w:tc>
        <w:tc>
          <w:tcPr>
            <w:tcW w:w="3283" w:type="dxa"/>
            <w:vMerge w:val="restart"/>
            <w:tcBorders>
              <w:top w:val="nil"/>
              <w:left w:val="single" w:sz="4" w:space="0" w:color="auto"/>
              <w:bottom w:val="single" w:sz="4" w:space="0" w:color="auto"/>
              <w:right w:val="single" w:sz="4" w:space="0" w:color="auto"/>
            </w:tcBorders>
            <w:vAlign w:val="center"/>
          </w:tcPr>
          <w:p w:rsidR="00000000" w:rsidRDefault="00000000">
            <w:pPr>
              <w:keepNext/>
              <w:jc w:val="left"/>
              <w:rPr>
                <w:sz w:val="20"/>
                <w:lang w:val="en-GB"/>
              </w:rPr>
            </w:pPr>
            <w:r>
              <w:rPr>
                <w:i/>
                <w:sz w:val="20"/>
                <w:lang w:val="en-GB"/>
              </w:rPr>
              <w:t>Direct R17</w:t>
            </w:r>
            <w:r>
              <w:rPr>
                <w:sz w:val="20"/>
                <w:lang w:val="en-GB"/>
              </w:rPr>
              <w:t>:  Judiciary, Attorney-General, local authorities, MIMDES, PNP, MTPE, MINEDU, Congress of the Republic, MINJUS, National Ombudsman, MCLPC</w:t>
            </w:r>
          </w:p>
          <w:p w:rsidR="00000000" w:rsidRDefault="00000000">
            <w:pPr>
              <w:keepNext/>
              <w:jc w:val="left"/>
              <w:rPr>
                <w:sz w:val="20"/>
                <w:szCs w:val="16"/>
                <w:lang w:val="en-GB"/>
              </w:rPr>
            </w:pPr>
            <w:r>
              <w:rPr>
                <w:i/>
                <w:sz w:val="20"/>
                <w:lang w:val="en-GB"/>
              </w:rPr>
              <w:t>Support R17</w:t>
            </w:r>
            <w:r>
              <w:rPr>
                <w:sz w:val="20"/>
                <w:lang w:val="en-GB"/>
              </w:rPr>
              <w:t>:  ILO, CONFIEP, UNICEF, NGOs, children’s ombudsmen, legal-aid lawyers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tcBorders>
              <w:top w:val="nil"/>
              <w:left w:val="single" w:sz="4" w:space="0" w:color="auto"/>
              <w:bottom w:val="single" w:sz="4" w:space="0" w:color="auto"/>
              <w:right w:val="single" w:sz="4" w:space="0" w:color="auto"/>
            </w:tcBorders>
            <w:vAlign w:val="center"/>
          </w:tcPr>
          <w:p w:rsidR="00000000" w:rsidRDefault="00000000">
            <w:pPr>
              <w:keepNext/>
              <w:jc w:val="left"/>
              <w:rPr>
                <w:sz w:val="20"/>
                <w:szCs w:val="16"/>
                <w:lang w:val="en-GB"/>
              </w:rPr>
            </w:pPr>
          </w:p>
        </w:tc>
        <w:tc>
          <w:tcPr>
            <w:tcW w:w="2215" w:type="dxa"/>
            <w:tcBorders>
              <w:top w:val="nil"/>
              <w:left w:val="nil"/>
              <w:bottom w:val="single" w:sz="4" w:space="0" w:color="auto"/>
              <w:right w:val="single" w:sz="4" w:space="0" w:color="auto"/>
            </w:tcBorders>
            <w:vAlign w:val="center"/>
          </w:tcPr>
          <w:p w:rsidR="00000000" w:rsidRDefault="00000000">
            <w:pPr>
              <w:keepNext/>
              <w:jc w:val="left"/>
              <w:rPr>
                <w:sz w:val="20"/>
                <w:szCs w:val="16"/>
                <w:lang w:val="en-GB"/>
              </w:rPr>
            </w:pPr>
            <w:r>
              <w:rPr>
                <w:sz w:val="20"/>
                <w:lang w:val="en-GB"/>
              </w:rPr>
              <w:t>T17.2  To consolidate by 2010 a special system of justice for all children which takes account of their rights</w:t>
            </w:r>
          </w:p>
        </w:tc>
        <w:tc>
          <w:tcPr>
            <w:tcW w:w="2236" w:type="dxa"/>
            <w:tcBorders>
              <w:top w:val="nil"/>
              <w:left w:val="nil"/>
              <w:bottom w:val="single" w:sz="4" w:space="0" w:color="auto"/>
              <w:right w:val="single" w:sz="4" w:space="0" w:color="auto"/>
            </w:tcBorders>
            <w:vAlign w:val="center"/>
          </w:tcPr>
          <w:p w:rsidR="00000000" w:rsidRDefault="00000000">
            <w:pPr>
              <w:keepNext/>
              <w:jc w:val="left"/>
              <w:rPr>
                <w:sz w:val="20"/>
                <w:szCs w:val="16"/>
                <w:lang w:val="en-GB"/>
              </w:rPr>
            </w:pPr>
            <w:r>
              <w:rPr>
                <w:sz w:val="20"/>
                <w:lang w:val="en-GB"/>
              </w:rPr>
              <w:t>I17.2  Existence of a special system of juvenile justice for all children which takes account of their rights</w:t>
            </w:r>
          </w:p>
        </w:tc>
        <w:tc>
          <w:tcPr>
            <w:tcW w:w="2713" w:type="dxa"/>
            <w:tcBorders>
              <w:top w:val="nil"/>
              <w:left w:val="nil"/>
              <w:bottom w:val="single" w:sz="4" w:space="0" w:color="auto"/>
              <w:right w:val="single" w:sz="4" w:space="0" w:color="auto"/>
            </w:tcBorders>
            <w:vAlign w:val="center"/>
          </w:tcPr>
          <w:p w:rsidR="00000000" w:rsidRDefault="00000000">
            <w:pPr>
              <w:keepNext/>
              <w:jc w:val="left"/>
              <w:rPr>
                <w:sz w:val="20"/>
                <w:szCs w:val="16"/>
                <w:lang w:val="en-GB"/>
              </w:rPr>
            </w:pPr>
            <w:r>
              <w:rPr>
                <w:sz w:val="20"/>
                <w:szCs w:val="16"/>
                <w:lang w:val="en-GB"/>
              </w:rPr>
              <w:t> </w:t>
            </w:r>
          </w:p>
        </w:tc>
        <w:tc>
          <w:tcPr>
            <w:tcW w:w="2230" w:type="dxa"/>
            <w:tcBorders>
              <w:top w:val="nil"/>
              <w:left w:val="nil"/>
              <w:bottom w:val="single" w:sz="4" w:space="0" w:color="auto"/>
              <w:right w:val="single" w:sz="4" w:space="0" w:color="auto"/>
            </w:tcBorders>
            <w:vAlign w:val="center"/>
          </w:tcPr>
          <w:p w:rsidR="00000000" w:rsidRDefault="00000000">
            <w:pPr>
              <w:keepNext/>
              <w:jc w:val="left"/>
              <w:rPr>
                <w:sz w:val="20"/>
                <w:szCs w:val="16"/>
                <w:lang w:val="en-GB"/>
              </w:rPr>
            </w:pPr>
            <w:r>
              <w:rPr>
                <w:sz w:val="20"/>
                <w:lang w:val="en-GB"/>
              </w:rPr>
              <w:t>S17.2.1  Judiciary</w:t>
            </w:r>
          </w:p>
        </w:tc>
        <w:tc>
          <w:tcPr>
            <w:tcW w:w="3283" w:type="dxa"/>
            <w:vMerge/>
            <w:tcBorders>
              <w:top w:val="nil"/>
              <w:left w:val="single" w:sz="4" w:space="0" w:color="auto"/>
              <w:bottom w:val="single" w:sz="4" w:space="0" w:color="auto"/>
              <w:right w:val="single" w:sz="4" w:space="0" w:color="auto"/>
            </w:tcBorders>
            <w:vAlign w:val="center"/>
          </w:tcPr>
          <w:p w:rsidR="00000000" w:rsidRDefault="00000000">
            <w:pPr>
              <w:keepNext/>
              <w:jc w:val="left"/>
              <w:rPr>
                <w:sz w:val="20"/>
                <w:szCs w:val="16"/>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tcBorders>
              <w:top w:val="nil"/>
              <w:left w:val="single" w:sz="4" w:space="0" w:color="auto"/>
              <w:bottom w:val="single" w:sz="4" w:space="0" w:color="auto"/>
              <w:right w:val="single" w:sz="4" w:space="0" w:color="auto"/>
            </w:tcBorders>
            <w:vAlign w:val="center"/>
          </w:tcPr>
          <w:p w:rsidR="00000000" w:rsidRDefault="00000000">
            <w:pPr>
              <w:keepNext/>
              <w:jc w:val="left"/>
              <w:rPr>
                <w:sz w:val="20"/>
                <w:szCs w:val="16"/>
                <w:lang w:val="en-GB"/>
              </w:rPr>
            </w:pPr>
          </w:p>
        </w:tc>
        <w:tc>
          <w:tcPr>
            <w:tcW w:w="2215" w:type="dxa"/>
            <w:tcBorders>
              <w:top w:val="nil"/>
              <w:left w:val="nil"/>
              <w:bottom w:val="single" w:sz="4" w:space="0" w:color="auto"/>
              <w:right w:val="single" w:sz="4" w:space="0" w:color="auto"/>
            </w:tcBorders>
            <w:vAlign w:val="center"/>
          </w:tcPr>
          <w:p w:rsidR="00000000" w:rsidRDefault="00000000">
            <w:pPr>
              <w:keepNext/>
              <w:jc w:val="left"/>
              <w:rPr>
                <w:sz w:val="20"/>
                <w:szCs w:val="16"/>
                <w:lang w:val="en-GB"/>
              </w:rPr>
            </w:pPr>
            <w:r>
              <w:rPr>
                <w:sz w:val="20"/>
                <w:lang w:val="en-GB"/>
              </w:rPr>
              <w:t>T17.3  To ensure by 2010 that 80 per cent of State schools have institutional education projects for the diffusion of the rights of the child</w:t>
            </w:r>
          </w:p>
        </w:tc>
        <w:tc>
          <w:tcPr>
            <w:tcW w:w="2236" w:type="dxa"/>
            <w:tcBorders>
              <w:top w:val="nil"/>
              <w:left w:val="nil"/>
              <w:bottom w:val="single" w:sz="4" w:space="0" w:color="auto"/>
              <w:right w:val="single" w:sz="4" w:space="0" w:color="auto"/>
            </w:tcBorders>
            <w:vAlign w:val="center"/>
          </w:tcPr>
          <w:p w:rsidR="00000000" w:rsidRDefault="00000000">
            <w:pPr>
              <w:keepNext/>
              <w:jc w:val="left"/>
              <w:rPr>
                <w:sz w:val="20"/>
                <w:szCs w:val="16"/>
                <w:lang w:val="en-GB"/>
              </w:rPr>
            </w:pPr>
            <w:r>
              <w:rPr>
                <w:sz w:val="20"/>
                <w:lang w:val="en-GB"/>
              </w:rPr>
              <w:t>I17.3  Proportion of State schools with functioning institutional education projects for the diffusion of the rights of the child</w:t>
            </w:r>
          </w:p>
        </w:tc>
        <w:tc>
          <w:tcPr>
            <w:tcW w:w="2713" w:type="dxa"/>
            <w:tcBorders>
              <w:top w:val="nil"/>
              <w:left w:val="nil"/>
              <w:bottom w:val="single" w:sz="4" w:space="0" w:color="auto"/>
              <w:right w:val="single" w:sz="4" w:space="0" w:color="auto"/>
            </w:tcBorders>
            <w:vAlign w:val="center"/>
          </w:tcPr>
          <w:p w:rsidR="00000000" w:rsidRDefault="00000000">
            <w:pPr>
              <w:keepNext/>
              <w:jc w:val="left"/>
              <w:rPr>
                <w:sz w:val="20"/>
                <w:szCs w:val="16"/>
                <w:lang w:val="en-GB"/>
              </w:rPr>
            </w:pPr>
            <w:r>
              <w:rPr>
                <w:sz w:val="20"/>
                <w:szCs w:val="16"/>
                <w:lang w:val="en-GB"/>
              </w:rPr>
              <w:t> </w:t>
            </w:r>
          </w:p>
        </w:tc>
        <w:tc>
          <w:tcPr>
            <w:tcW w:w="2230" w:type="dxa"/>
            <w:tcBorders>
              <w:top w:val="nil"/>
              <w:left w:val="nil"/>
              <w:bottom w:val="single" w:sz="4" w:space="0" w:color="auto"/>
              <w:right w:val="single" w:sz="4" w:space="0" w:color="auto"/>
            </w:tcBorders>
            <w:vAlign w:val="center"/>
          </w:tcPr>
          <w:p w:rsidR="00000000" w:rsidRDefault="00000000">
            <w:pPr>
              <w:keepNext/>
              <w:jc w:val="left"/>
              <w:rPr>
                <w:sz w:val="20"/>
                <w:szCs w:val="16"/>
                <w:lang w:val="en-GB"/>
              </w:rPr>
            </w:pPr>
            <w:r>
              <w:rPr>
                <w:sz w:val="20"/>
                <w:lang w:val="en-GB"/>
              </w:rPr>
              <w:t>S17.3.1  MINEDU</w:t>
            </w:r>
          </w:p>
        </w:tc>
        <w:tc>
          <w:tcPr>
            <w:tcW w:w="3283" w:type="dxa"/>
            <w:vMerge/>
            <w:tcBorders>
              <w:top w:val="nil"/>
              <w:left w:val="single" w:sz="4" w:space="0" w:color="auto"/>
              <w:bottom w:val="single" w:sz="4" w:space="0" w:color="auto"/>
              <w:right w:val="single" w:sz="4" w:space="0" w:color="auto"/>
            </w:tcBorders>
            <w:vAlign w:val="center"/>
          </w:tcPr>
          <w:p w:rsidR="00000000" w:rsidRDefault="00000000">
            <w:pPr>
              <w:keepNext/>
              <w:jc w:val="left"/>
              <w:rPr>
                <w:sz w:val="20"/>
                <w:szCs w:val="16"/>
                <w:lang w:val="en-GB"/>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tcBorders>
              <w:top w:val="nil"/>
              <w:left w:val="single" w:sz="4" w:space="0" w:color="auto"/>
              <w:bottom w:val="single" w:sz="4" w:space="0" w:color="auto"/>
              <w:right w:val="single" w:sz="4" w:space="0" w:color="auto"/>
            </w:tcBorders>
            <w:vAlign w:val="center"/>
          </w:tcPr>
          <w:p w:rsidR="00000000" w:rsidRDefault="00000000">
            <w:pPr>
              <w:keepNext/>
              <w:jc w:val="left"/>
              <w:rPr>
                <w:sz w:val="20"/>
                <w:szCs w:val="16"/>
                <w:lang w:val="en-GB"/>
              </w:rPr>
            </w:pPr>
          </w:p>
        </w:tc>
        <w:tc>
          <w:tcPr>
            <w:tcW w:w="2215" w:type="dxa"/>
            <w:tcBorders>
              <w:top w:val="nil"/>
              <w:left w:val="nil"/>
              <w:bottom w:val="single" w:sz="4" w:space="0" w:color="auto"/>
              <w:right w:val="single" w:sz="4" w:space="0" w:color="auto"/>
            </w:tcBorders>
            <w:vAlign w:val="center"/>
          </w:tcPr>
          <w:p w:rsidR="00000000" w:rsidRDefault="00000000">
            <w:pPr>
              <w:keepNext/>
              <w:jc w:val="left"/>
              <w:rPr>
                <w:sz w:val="20"/>
                <w:szCs w:val="16"/>
                <w:lang w:val="en-GB"/>
              </w:rPr>
            </w:pPr>
            <w:r>
              <w:rPr>
                <w:sz w:val="20"/>
                <w:lang w:val="en-GB"/>
              </w:rPr>
              <w:t>T17.4  To ensure by 2010 that 70 per cent of State schools have organizations for the defence and promotion of the rights of the child</w:t>
            </w:r>
          </w:p>
        </w:tc>
        <w:tc>
          <w:tcPr>
            <w:tcW w:w="2236" w:type="dxa"/>
            <w:tcBorders>
              <w:top w:val="nil"/>
              <w:left w:val="nil"/>
              <w:bottom w:val="single" w:sz="4" w:space="0" w:color="auto"/>
              <w:right w:val="single" w:sz="4" w:space="0" w:color="auto"/>
            </w:tcBorders>
            <w:vAlign w:val="center"/>
          </w:tcPr>
          <w:p w:rsidR="00000000" w:rsidRDefault="00000000">
            <w:pPr>
              <w:keepNext/>
              <w:jc w:val="left"/>
              <w:rPr>
                <w:sz w:val="20"/>
                <w:szCs w:val="16"/>
                <w:lang w:val="en-GB"/>
              </w:rPr>
            </w:pPr>
            <w:r>
              <w:rPr>
                <w:sz w:val="20"/>
                <w:lang w:val="en-GB"/>
              </w:rPr>
              <w:t>I17.4  Proportion of State schools having a children’s ombudsman</w:t>
            </w:r>
          </w:p>
        </w:tc>
        <w:tc>
          <w:tcPr>
            <w:tcW w:w="2713" w:type="dxa"/>
            <w:tcBorders>
              <w:top w:val="nil"/>
              <w:left w:val="nil"/>
              <w:bottom w:val="single" w:sz="4" w:space="0" w:color="auto"/>
              <w:right w:val="single" w:sz="4" w:space="0" w:color="auto"/>
            </w:tcBorders>
            <w:vAlign w:val="center"/>
          </w:tcPr>
          <w:p w:rsidR="00000000" w:rsidRDefault="00000000">
            <w:pPr>
              <w:keepNext/>
              <w:jc w:val="left"/>
              <w:rPr>
                <w:sz w:val="20"/>
                <w:szCs w:val="16"/>
                <w:lang w:val="en-GB"/>
              </w:rPr>
            </w:pPr>
            <w:r>
              <w:rPr>
                <w:sz w:val="20"/>
                <w:lang w:val="en-GB"/>
              </w:rPr>
              <w:t>There are currently 397 children’s ombudsmen for the national total of 60,048 State schools; this means that one per cent of the schools have this service.  On 28 December 2001 MINEDU issued directive No. 032-2001 on promotion of the establishment of children’s ombudsmen throughout the country</w:t>
            </w:r>
          </w:p>
        </w:tc>
        <w:tc>
          <w:tcPr>
            <w:tcW w:w="2230" w:type="dxa"/>
            <w:tcBorders>
              <w:top w:val="nil"/>
              <w:left w:val="nil"/>
              <w:bottom w:val="single" w:sz="4" w:space="0" w:color="auto"/>
              <w:right w:val="single" w:sz="4" w:space="0" w:color="auto"/>
            </w:tcBorders>
            <w:vAlign w:val="center"/>
          </w:tcPr>
          <w:p w:rsidR="00000000" w:rsidRDefault="00000000">
            <w:pPr>
              <w:keepNext/>
              <w:jc w:val="left"/>
              <w:rPr>
                <w:sz w:val="20"/>
                <w:szCs w:val="16"/>
                <w:lang w:val="en-GB"/>
              </w:rPr>
            </w:pPr>
            <w:r>
              <w:rPr>
                <w:sz w:val="20"/>
                <w:lang w:val="en-GB"/>
              </w:rPr>
              <w:t>S17.4.1  MINEDU</w:t>
            </w:r>
          </w:p>
        </w:tc>
        <w:tc>
          <w:tcPr>
            <w:tcW w:w="3283" w:type="dxa"/>
            <w:vMerge/>
            <w:tcBorders>
              <w:top w:val="nil"/>
              <w:left w:val="single" w:sz="4" w:space="0" w:color="auto"/>
              <w:bottom w:val="single" w:sz="4" w:space="0" w:color="auto"/>
              <w:right w:val="single" w:sz="4" w:space="0" w:color="auto"/>
            </w:tcBorders>
            <w:vAlign w:val="center"/>
          </w:tcPr>
          <w:p w:rsidR="00000000" w:rsidRDefault="00000000">
            <w:pPr>
              <w:keepNext/>
              <w:jc w:val="left"/>
              <w:rPr>
                <w:sz w:val="20"/>
                <w:szCs w:val="16"/>
                <w:lang w:val="en-GB"/>
              </w:rPr>
            </w:pPr>
          </w:p>
        </w:tc>
      </w:tr>
    </w:tbl>
    <w:p w:rsidR="00000000" w:rsidRDefault="00000000">
      <w:pPr>
        <w:tabs>
          <w:tab w:val="clear" w:pos="720"/>
        </w:tabs>
        <w:jc w:val="left"/>
        <w:rPr>
          <w:b/>
          <w:sz w:val="20"/>
          <w:lang w:val="en-GB"/>
        </w:rPr>
      </w:pPr>
    </w:p>
    <w:p w:rsidR="00000000" w:rsidRDefault="00000000">
      <w:pPr>
        <w:tabs>
          <w:tab w:val="clear" w:pos="720"/>
        </w:tabs>
        <w:jc w:val="left"/>
        <w:rPr>
          <w:b/>
          <w:sz w:val="20"/>
          <w:lang w:val="en-GB"/>
        </w:rPr>
      </w:pPr>
    </w:p>
    <w:p w:rsidR="00000000" w:rsidRDefault="00000000">
      <w:pPr>
        <w:tabs>
          <w:tab w:val="clear" w:pos="720"/>
        </w:tabs>
        <w:jc w:val="left"/>
        <w:rPr>
          <w:b/>
          <w:sz w:val="20"/>
          <w:lang w:val="en-GB"/>
        </w:rPr>
        <w:sectPr w:rsidR="00000000">
          <w:headerReference w:type="even" r:id="rId26"/>
          <w:headerReference w:type="default" r:id="rId27"/>
          <w:pgSz w:w="16838" w:h="11906" w:orient="landscape" w:code="9"/>
          <w:pgMar w:top="1247" w:right="1588" w:bottom="1247" w:left="964" w:header="737" w:footer="737" w:gutter="0"/>
          <w:cols w:space="720"/>
        </w:sectPr>
      </w:pPr>
    </w:p>
    <w:p w:rsidR="00000000" w:rsidRDefault="00000000">
      <w:pPr>
        <w:tabs>
          <w:tab w:val="clear" w:pos="720"/>
        </w:tabs>
        <w:jc w:val="center"/>
        <w:rPr>
          <w:sz w:val="24"/>
          <w:lang w:val="en-GB"/>
        </w:rPr>
      </w:pPr>
      <w:r>
        <w:rPr>
          <w:b/>
          <w:sz w:val="24"/>
          <w:lang w:val="en-GB"/>
        </w:rPr>
        <w:t>V.  CONCLUSIONS</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222.</w:t>
      </w:r>
      <w:r>
        <w:rPr>
          <w:sz w:val="24"/>
          <w:lang w:val="en-GB"/>
        </w:rPr>
        <w:tab/>
        <w:t>The levels of poverty and extreme poverty in Peru have created a situation in which children constitute the age group most seriously affected by the country’s economic situation.  It has been indicated throughout this report that, where social programmes are concerned, the activities of the State have been focused chiefly on the fight against poverty and extreme poverty.  However, the poor planning of the proposed strategies has undermined the impact and sustainability of the programmes described in the report.  This has been aggravated by the defective coordination of the management activities of the State, local authorities and social actors.  In order to tackle this problem the Peruvian State is promoting the Forums against Poverty: this mechanism for dialogue among representatives of all the State agencies and organizations of civil society are charged with formulating concrete proposals for sustainable social development at the local level, giving priority to projects facilitating the active participation of poor and extremely poor population groups in the taking of decisions on the economic and social development of their localities.  It must therefore be stressed that through the Forums against Poverty the State and civil society are indeed creating broad opportunities for dialogue with a view to the country’s social and economic development.</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223.</w:t>
      </w:r>
      <w:r>
        <w:rPr>
          <w:sz w:val="24"/>
          <w:lang w:val="en-GB"/>
        </w:rPr>
        <w:tab/>
        <w:t>One of the main features of the 1990s was the authoritarian structure of State power, which created situations in which no priority was given to respect for human rights, but at the end of 2000 the transitional Government introduced an experiment in the exercise of democratic power, initiating a period of national dialogue whose principal fruit may be seen in the National Accord, an instrument embodying the agreement between the various social and political forces and making children one of its priority targets.</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224.</w:t>
      </w:r>
      <w:r>
        <w:rPr>
          <w:sz w:val="24"/>
          <w:lang w:val="en-GB"/>
        </w:rPr>
        <w:tab/>
        <w:t>It must be stressed that the public policies established for children have suffered frequent disruption owing to the absence of an integrated vision of the subject matter.  In that connection the National Plan of Action for Children and Adolescents 2002-2010 (PNAI) is an instrument which will help to consolidate public policies in this area and subject them to proper coordination and systematic organization for the benefit of children.    This socio-legal instrument has very important qualitative advantages over previous plans: (a) it is the outcome of a national dialogue, during which the State and civil society played active roles in the formulation of the PNAI (and children themselves played an active role in the debate); (b) the National Accord included among its objectives the promotion of the rights of the child; (c) the PNAI invests specific officials with responsibility for the attainment of its targets and objectives; and (d) the Ministry for Women and Social Development (MIMDES) has created the PNAI Office in its Department for Children and Adolescents.  This will facilitate the awareness-raising and monitoring work and the formulation of the operational plans of the PNAI.</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225.</w:t>
      </w:r>
      <w:r>
        <w:rPr>
          <w:sz w:val="24"/>
          <w:lang w:val="en-GB"/>
        </w:rPr>
        <w:tab/>
        <w:t>With regard to the right to health, the report points out that in the country’s rural areas (concerned chiefly with the marketing of agriculture and livestock products) the chronic malnutrition rate remains very high.  Unfortunately, most of Peru’s rural areas lack the means of communication and technical resources to make the marketing of their products an attractive proposition.  This is reflected in the high rate of chronic malnutrition in these areas.  The National Food Aid Programme (PRONAA) endeavours to focus its measures on helping poor and extremely poor areas by purchasing local products in order to take account of cross-cultural patterns of consumption, to inject energy into the local economies, and essentially to improve children’s nutrition.  However, this injection of energy remains at a very low level, and the high incidence of malnutrition is still having an impact on the comprehensive development of Peru’s children.  The Ministry of Health has relaunched its national comprehensive vaccination campaigns, and the level of vaccination coverage against major diseases such as polio constitutes an important achievement.</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226.</w:t>
      </w:r>
      <w:r>
        <w:rPr>
          <w:sz w:val="24"/>
          <w:lang w:val="en-GB"/>
        </w:rPr>
        <w:tab/>
        <w:t>As may be appreciated from the education statistics presented in the report, the comprehensive expansion of the coverage of the education system constitutes another uncompleted task.  The National Wawa Wawi Programme seeks to expand the coverage for young children with respect to early stimulation.  The programmes of non-school initial education (PRONOEI), which provide an integrated service for children aged three to five, enjoy strong grass-roots participation and constitute a very important project for the development of education for this age group.</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227.</w:t>
      </w:r>
      <w:r>
        <w:rPr>
          <w:sz w:val="24"/>
          <w:lang w:val="en-GB"/>
        </w:rPr>
        <w:tab/>
        <w:t>Where primary education is concerned, rural location is a relevant factor in both qualitative and quantitative terms; but it must be acknowledged that the drop-out and over-age rates are still high.  With regard to the quality of education, it should be stressed that the improvement of the selection of teachers nation-wide, which has received vigorous attention from the Ministry of Education, has helped to upgrade the academic standards of  human resources in primary and secondary education.  And proposals are being formulated which take account of factors of social risk; for example, the Rural Children’s Education (Promotion) Act (promulgated in November 2001) stipulates the principle of educational equity in this sector and sets out an education system to guarantee all children in rural schools equity of access and equity in the quality of their education service.</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228.</w:t>
      </w:r>
      <w:r>
        <w:rPr>
          <w:sz w:val="24"/>
          <w:lang w:val="en-GB"/>
        </w:rPr>
        <w:tab/>
        <w:t>The State has an institutional system for the promotion and protection of the rights of the child.  The National System for the Comprehensive Care of Children and Adolescents, whose lead agency is MIMDES, is coordinating the components of the National System, focusing its attention on the development of the abilities of the individual in a quest for human and social development.  As the basic instrument of public policies for children, the PNAI will help to coordinate the efforts of civil society and the State.  It is important to emphasize in this connection the vital importance of the children’s ombudsmen as a fundamental component of the National System.  In fact, local authorities and society as a whole have established a network for the defence of children which is without precedent at the national level.  In the 1990s this system of children’s ombudsmen was created by the efforts of the social actors and international cooperation agencies (Save the Children and UNICEF were the system’s chief promotors) and it is now acquiring increasing importance and managerial independence; it is also a key instrument of the decentralization of MIMDES in terms of management policy.</w:t>
      </w:r>
    </w:p>
    <w:p w:rsidR="00000000" w:rsidRDefault="00000000">
      <w:pPr>
        <w:tabs>
          <w:tab w:val="clear" w:pos="720"/>
        </w:tabs>
        <w:jc w:val="left"/>
        <w:rPr>
          <w:sz w:val="24"/>
          <w:lang w:val="en-GB"/>
        </w:rPr>
      </w:pPr>
    </w:p>
    <w:p w:rsidR="00000000" w:rsidRDefault="00000000">
      <w:pPr>
        <w:tabs>
          <w:tab w:val="clear" w:pos="720"/>
        </w:tabs>
        <w:jc w:val="left"/>
        <w:rPr>
          <w:sz w:val="24"/>
          <w:lang w:val="en-GB"/>
        </w:rPr>
      </w:pPr>
      <w:r>
        <w:rPr>
          <w:sz w:val="24"/>
          <w:lang w:val="en-GB"/>
        </w:rPr>
        <w:t>229.</w:t>
      </w:r>
      <w:r>
        <w:rPr>
          <w:sz w:val="24"/>
          <w:lang w:val="en-GB"/>
        </w:rPr>
        <w:tab/>
        <w:t>There are important matters requiring priority attention in the implementation of the PNAI, matters clearly indicated in the matrix.  Although the promotion of regulations for the protection of children has been and remains a major concern (the promulgation of the Children's and Adolescents’ Code is a graphic example of this concern), the Convention on the Rights of the Child and the PNAI have still not been implemented comprehensively and effectively.  The Peruvian State is determined to apply both these instruments.  For that is the only way to conceive of the authentic development of Peruvian society.</w:t>
      </w:r>
    </w:p>
    <w:p w:rsidR="00000000" w:rsidRDefault="00000000">
      <w:pPr>
        <w:tabs>
          <w:tab w:val="clear" w:pos="720"/>
        </w:tabs>
        <w:jc w:val="left"/>
        <w:rPr>
          <w:sz w:val="24"/>
          <w:lang w:val="en-GB"/>
        </w:rPr>
      </w:pPr>
    </w:p>
    <w:p w:rsidR="00000000" w:rsidRDefault="00000000">
      <w:pPr>
        <w:tabs>
          <w:tab w:val="clear" w:pos="720"/>
        </w:tabs>
        <w:jc w:val="center"/>
        <w:rPr>
          <w:i/>
          <w:sz w:val="24"/>
        </w:rPr>
      </w:pPr>
      <w:r>
        <w:rPr>
          <w:sz w:val="24"/>
        </w:rPr>
        <w:t>- - - - -</w:t>
      </w:r>
    </w:p>
    <w:p w:rsidR="00000000" w:rsidRDefault="00000000">
      <w:pPr>
        <w:tabs>
          <w:tab w:val="clear" w:pos="720"/>
        </w:tabs>
        <w:jc w:val="left"/>
        <w:rPr>
          <w:lang w:val="en-GB"/>
        </w:rPr>
      </w:pPr>
    </w:p>
    <w:sectPr w:rsidR="00000000">
      <w:headerReference w:type="even" r:id="rId28"/>
      <w:headerReference w:type="default" r:id="rId29"/>
      <w:pgSz w:w="11906" w:h="16838" w:code="9"/>
      <w:pgMar w:top="851" w:right="1247" w:bottom="1418" w:left="1247" w:header="737" w:footer="73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rPr>
        <w:lang w:val="fr-CH"/>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rPr>
        <w:lang w:val="fr-CH"/>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clear" w:pos="720"/>
        </w:tabs>
        <w:spacing w:after="120"/>
        <w:rPr>
          <w:u w:val="single"/>
          <w:lang w:val="pt-BR"/>
        </w:rPr>
      </w:pPr>
      <w:r>
        <w:rPr>
          <w:u w:val="single"/>
          <w:lang w:val="pt-BR"/>
        </w:rPr>
        <w:tab/>
      </w:r>
      <w:r>
        <w:rPr>
          <w:u w:val="single"/>
          <w:lang w:val="pt-BR"/>
        </w:rPr>
        <w:tab/>
      </w:r>
      <w:r>
        <w:rPr>
          <w:u w:val="single"/>
          <w:lang w:val="pt-BR"/>
        </w:rPr>
        <w:tab/>
      </w:r>
    </w:p>
  </w:footnote>
  <w:footnote w:type="continuationSeparator" w:id="0">
    <w:p w:rsidR="00000000" w:rsidRDefault="00000000">
      <w:pPr>
        <w:spacing w:after="120"/>
        <w:rPr>
          <w:u w:val="single"/>
          <w:lang w:val="pt-BR"/>
        </w:rPr>
      </w:pPr>
      <w:r>
        <w:rPr>
          <w:u w:val="single"/>
          <w:lang w:val="pt-BR"/>
        </w:rPr>
        <w:tab/>
      </w:r>
      <w:r>
        <w:rPr>
          <w:u w:val="single"/>
          <w:lang w:val="pt-BR"/>
        </w:rPr>
        <w:tab/>
      </w:r>
      <w:r>
        <w:rPr>
          <w:u w:val="single"/>
          <w:lang w:val="pt-BR"/>
        </w:rPr>
        <w:tab/>
      </w:r>
    </w:p>
  </w:footnote>
  <w:footnote w:id="1">
    <w:p w:rsidR="00000000" w:rsidRDefault="00000000">
      <w:pPr>
        <w:pStyle w:val="FootnoteText"/>
        <w:tabs>
          <w:tab w:val="clear" w:pos="720"/>
          <w:tab w:val="left" w:pos="340"/>
          <w:tab w:val="left" w:pos="737"/>
        </w:tabs>
        <w:spacing w:after="80"/>
        <w:jc w:val="left"/>
        <w:rPr>
          <w:lang w:val="en-GB"/>
        </w:rPr>
      </w:pPr>
      <w:r>
        <w:rPr>
          <w:lang w:val="en-GB"/>
        </w:rPr>
        <w:tab/>
      </w:r>
      <w:r>
        <w:rPr>
          <w:rStyle w:val="FootnoteReference"/>
          <w:b/>
          <w:bCs/>
          <w:sz w:val="24"/>
          <w:lang w:val="en-GB"/>
        </w:rPr>
        <w:t>*</w:t>
      </w:r>
      <w:r>
        <w:rPr>
          <w:lang w:val="en-GB"/>
        </w:rPr>
        <w:tab/>
        <w:t xml:space="preserve"> [Translator’s note] The distinction drawn in Peruvian law and in the Spanish original of this report between children (0-11 years) and adolescents (12-17 years) is maintained in the translation, as in this example, only in titles of bodies, legislation, etc. In routine references “children” means children within the meaning of the Convention</w:t>
      </w:r>
      <w:r>
        <w:rPr>
          <w:lang w:val="en-GB"/>
        </w:rPr>
        <w:br/>
        <w:t>(0-17 years).</w:t>
      </w:r>
    </w:p>
  </w:footnote>
  <w:footnote w:id="2">
    <w:p w:rsidR="00000000" w:rsidRDefault="00000000">
      <w:pPr>
        <w:pStyle w:val="FootnoteText"/>
        <w:tabs>
          <w:tab w:val="clear" w:pos="720"/>
          <w:tab w:val="left" w:pos="340"/>
          <w:tab w:val="left" w:pos="737"/>
        </w:tabs>
        <w:spacing w:after="80"/>
        <w:jc w:val="left"/>
        <w:rPr>
          <w:lang w:val="en-GB"/>
        </w:rPr>
      </w:pPr>
      <w:r>
        <w:rPr>
          <w:lang w:val="en-GB"/>
        </w:rPr>
        <w:tab/>
      </w:r>
      <w:r>
        <w:rPr>
          <w:rStyle w:val="FootnoteReference"/>
          <w:b/>
          <w:bCs/>
          <w:sz w:val="24"/>
        </w:rPr>
        <w:footnoteRef/>
      </w:r>
      <w:r>
        <w:rPr>
          <w:lang w:val="en-GB"/>
        </w:rPr>
        <w:tab/>
        <w:t xml:space="preserve">The age ranges are as follows: 0-5 years (from conception to age five years, 11 months and 29 days); </w:t>
      </w:r>
      <w:r>
        <w:rPr>
          <w:lang w:val="en-GB"/>
        </w:rPr>
        <w:br/>
        <w:t>6-11 years (from age six years to 11 years, 11 months and 29 days); 12-17 years (from age 12 years to 17 years, 11 months and 29 days); and 0-17 years (from birth to age 17 years, 11 months and 29 days). The State protects life from the moment of conception; chapter I, article 2.1, of the Constitution states: “Everyone has the right: (1) to life, an identity, moral, mental and physical integrity, unrestricted development and well-being. From conception a person is a subject of law with respect to all aspects of the protection provided by the law.”</w:t>
      </w:r>
    </w:p>
  </w:footnote>
  <w:footnote w:id="3">
    <w:p w:rsidR="00000000" w:rsidRDefault="00000000">
      <w:pPr>
        <w:pStyle w:val="FootnoteText"/>
        <w:tabs>
          <w:tab w:val="clear" w:pos="720"/>
          <w:tab w:val="left" w:pos="340"/>
          <w:tab w:val="left" w:pos="737"/>
        </w:tabs>
        <w:spacing w:after="60"/>
        <w:jc w:val="left"/>
        <w:rPr>
          <w:lang w:val="en-GB"/>
        </w:rPr>
      </w:pPr>
      <w:r>
        <w:rPr>
          <w:lang w:val="en-GB"/>
        </w:rPr>
        <w:tab/>
      </w:r>
      <w:r>
        <w:rPr>
          <w:rStyle w:val="FootnoteReference"/>
          <w:b/>
          <w:sz w:val="24"/>
        </w:rPr>
        <w:footnoteRef/>
      </w:r>
      <w:r>
        <w:rPr>
          <w:lang w:val="en-GB"/>
        </w:rPr>
        <w:tab/>
        <w:t xml:space="preserve">The </w:t>
      </w:r>
      <w:r>
        <w:rPr>
          <w:b/>
          <w:lang w:val="en-GB"/>
        </w:rPr>
        <w:t>National Forum against Poverty</w:t>
      </w:r>
      <w:r>
        <w:rPr>
          <w:lang w:val="en-GB"/>
        </w:rPr>
        <w:t xml:space="preserve"> has the following goals:</w:t>
      </w:r>
    </w:p>
    <w:p w:rsidR="00000000" w:rsidRDefault="00000000">
      <w:pPr>
        <w:pStyle w:val="FootnoteText"/>
        <w:numPr>
          <w:ilvl w:val="0"/>
          <w:numId w:val="115"/>
        </w:numPr>
        <w:tabs>
          <w:tab w:val="clear" w:pos="360"/>
          <w:tab w:val="clear" w:pos="720"/>
          <w:tab w:val="left" w:pos="340"/>
          <w:tab w:val="left" w:pos="737"/>
          <w:tab w:val="num" w:pos="1080"/>
        </w:tabs>
        <w:spacing w:after="60"/>
        <w:ind w:left="1080"/>
        <w:jc w:val="left"/>
        <w:rPr>
          <w:lang w:val="en-GB"/>
        </w:rPr>
      </w:pPr>
      <w:r>
        <w:rPr>
          <w:lang w:val="en-GB"/>
        </w:rPr>
        <w:t>To negotiate social policies for human development based on gender equity. To secure increased efficiency in the execution of the anti-poverty programmes;</w:t>
      </w:r>
    </w:p>
    <w:p w:rsidR="00000000" w:rsidRDefault="00000000">
      <w:pPr>
        <w:pStyle w:val="FootnoteText"/>
        <w:numPr>
          <w:ilvl w:val="0"/>
          <w:numId w:val="115"/>
        </w:numPr>
        <w:tabs>
          <w:tab w:val="clear" w:pos="360"/>
          <w:tab w:val="clear" w:pos="720"/>
          <w:tab w:val="left" w:pos="340"/>
          <w:tab w:val="left" w:pos="737"/>
          <w:tab w:val="num" w:pos="1080"/>
        </w:tabs>
        <w:spacing w:after="60"/>
        <w:ind w:left="1080"/>
        <w:jc w:val="left"/>
        <w:rPr>
          <w:lang w:val="en-GB"/>
        </w:rPr>
      </w:pPr>
      <w:r>
        <w:rPr>
          <w:lang w:val="en-GB"/>
        </w:rPr>
        <w:t>To institutionalize the people’s participation in the design and adoption of decisions and the monitoring of the State’s social policy;</w:t>
      </w:r>
    </w:p>
    <w:p w:rsidR="00000000" w:rsidRDefault="00000000">
      <w:pPr>
        <w:pStyle w:val="FootnoteText"/>
        <w:numPr>
          <w:ilvl w:val="0"/>
          <w:numId w:val="115"/>
        </w:numPr>
        <w:tabs>
          <w:tab w:val="clear" w:pos="360"/>
          <w:tab w:val="clear" w:pos="720"/>
          <w:tab w:val="left" w:pos="340"/>
          <w:tab w:val="left" w:pos="737"/>
          <w:tab w:val="num" w:pos="1080"/>
        </w:tabs>
        <w:spacing w:after="60"/>
        <w:ind w:left="1080"/>
        <w:jc w:val="left"/>
        <w:rPr>
          <w:lang w:val="en-GB"/>
        </w:rPr>
      </w:pPr>
      <w:r>
        <w:rPr>
          <w:lang w:val="en-GB"/>
        </w:rPr>
        <w:t>To ensure the transparency and integrity of the anti-poverty programmes.</w:t>
      </w:r>
    </w:p>
    <w:p w:rsidR="00000000" w:rsidRDefault="00000000">
      <w:pPr>
        <w:pStyle w:val="FootnoteText"/>
        <w:tabs>
          <w:tab w:val="clear" w:pos="720"/>
          <w:tab w:val="left" w:pos="340"/>
          <w:tab w:val="left" w:pos="737"/>
        </w:tabs>
        <w:spacing w:after="60"/>
        <w:jc w:val="left"/>
        <w:rPr>
          <w:lang w:val="en-GB"/>
        </w:rPr>
      </w:pPr>
      <w:r>
        <w:rPr>
          <w:lang w:val="en-GB"/>
        </w:rPr>
        <w:tab/>
        <w:t>And the following functions:</w:t>
      </w:r>
    </w:p>
    <w:p w:rsidR="00000000" w:rsidRDefault="00000000">
      <w:pPr>
        <w:pStyle w:val="FootnoteText"/>
        <w:numPr>
          <w:ilvl w:val="0"/>
          <w:numId w:val="116"/>
        </w:numPr>
        <w:tabs>
          <w:tab w:val="clear" w:pos="360"/>
          <w:tab w:val="clear" w:pos="720"/>
          <w:tab w:val="left" w:pos="340"/>
          <w:tab w:val="left" w:pos="737"/>
          <w:tab w:val="num" w:pos="1080"/>
        </w:tabs>
        <w:spacing w:after="60"/>
        <w:ind w:left="1080"/>
        <w:jc w:val="left"/>
        <w:rPr>
          <w:lang w:val="en-GB"/>
        </w:rPr>
      </w:pPr>
      <w:r>
        <w:rPr>
          <w:lang w:val="en-GB"/>
        </w:rPr>
        <w:t>To promote a national dialogue to secure the coherent harmonization of the efforts of the State, civil society and the private sector in the fight against poverty;</w:t>
      </w:r>
    </w:p>
    <w:p w:rsidR="00000000" w:rsidRDefault="00000000">
      <w:pPr>
        <w:pStyle w:val="FootnoteText"/>
        <w:numPr>
          <w:ilvl w:val="0"/>
          <w:numId w:val="116"/>
        </w:numPr>
        <w:tabs>
          <w:tab w:val="clear" w:pos="360"/>
          <w:tab w:val="clear" w:pos="720"/>
          <w:tab w:val="left" w:pos="340"/>
          <w:tab w:val="left" w:pos="737"/>
          <w:tab w:val="num" w:pos="1080"/>
        </w:tabs>
        <w:spacing w:after="60"/>
        <w:ind w:left="1080"/>
        <w:jc w:val="left"/>
        <w:rPr>
          <w:lang w:val="en-GB"/>
        </w:rPr>
      </w:pPr>
      <w:r>
        <w:rPr>
          <w:lang w:val="en-GB"/>
        </w:rPr>
        <w:t>To establish mechanisms for coordination among the State sectors and between them and civil society in order to secure transparency and efficiency and establish reliable and up-to-date systems of information on public social investment, within the framework of the established social objectives;</w:t>
      </w:r>
    </w:p>
    <w:p w:rsidR="00000000" w:rsidRDefault="00000000">
      <w:pPr>
        <w:pStyle w:val="FootnoteText"/>
        <w:numPr>
          <w:ilvl w:val="0"/>
          <w:numId w:val="116"/>
        </w:numPr>
        <w:tabs>
          <w:tab w:val="clear" w:pos="360"/>
          <w:tab w:val="clear" w:pos="720"/>
          <w:tab w:val="left" w:pos="340"/>
          <w:tab w:val="left" w:pos="737"/>
          <w:tab w:val="num" w:pos="1080"/>
        </w:tabs>
        <w:spacing w:after="60"/>
        <w:ind w:left="1080"/>
        <w:jc w:val="left"/>
        <w:rPr>
          <w:lang w:val="en-GB"/>
        </w:rPr>
      </w:pPr>
      <w:r>
        <w:rPr>
          <w:lang w:val="en-GB"/>
        </w:rPr>
        <w:t>To serve as a mechanism for coordination in order to avoid the duplication of social welfare programmes, secure the rational and timely use of committed resources, and determine geographical or thematic priorities for the allocation of resources;</w:t>
      </w:r>
    </w:p>
    <w:p w:rsidR="00000000" w:rsidRDefault="00000000">
      <w:pPr>
        <w:pStyle w:val="FootnoteText"/>
        <w:numPr>
          <w:ilvl w:val="0"/>
          <w:numId w:val="116"/>
        </w:numPr>
        <w:tabs>
          <w:tab w:val="clear" w:pos="360"/>
          <w:tab w:val="clear" w:pos="720"/>
          <w:tab w:val="left" w:pos="340"/>
          <w:tab w:val="left" w:pos="737"/>
          <w:tab w:val="num" w:pos="1080"/>
        </w:tabs>
        <w:spacing w:after="240"/>
        <w:ind w:left="1077" w:hanging="357"/>
        <w:jc w:val="left"/>
        <w:rPr>
          <w:lang w:val="en-GB"/>
        </w:rPr>
      </w:pPr>
      <w:r>
        <w:rPr>
          <w:lang w:val="en-GB"/>
        </w:rPr>
        <w:t>To act as a consultative body for the formulation of national, departmental and local plans relating to development and social-welfare policies and for the determination of budgetary priorities.</w:t>
      </w:r>
    </w:p>
  </w:footnote>
  <w:footnote w:id="4">
    <w:p w:rsidR="00000000" w:rsidRDefault="00000000">
      <w:pPr>
        <w:pStyle w:val="FootnoteText"/>
        <w:tabs>
          <w:tab w:val="clear" w:pos="720"/>
          <w:tab w:val="left" w:pos="340"/>
          <w:tab w:val="left" w:pos="737"/>
        </w:tabs>
        <w:spacing w:after="60"/>
        <w:jc w:val="left"/>
        <w:rPr>
          <w:lang w:val="en-GB"/>
        </w:rPr>
      </w:pPr>
      <w:r>
        <w:rPr>
          <w:lang w:val="en-GB"/>
        </w:rPr>
        <w:tab/>
      </w:r>
      <w:r>
        <w:rPr>
          <w:rStyle w:val="FootnoteReference"/>
          <w:b/>
          <w:sz w:val="24"/>
        </w:rPr>
        <w:footnoteRef/>
      </w:r>
      <w:r>
        <w:rPr>
          <w:lang w:val="en-GB"/>
        </w:rPr>
        <w:tab/>
        <w:t xml:space="preserve">The </w:t>
      </w:r>
      <w:r>
        <w:rPr>
          <w:b/>
          <w:lang w:val="en-GB"/>
        </w:rPr>
        <w:t>Truth Commission</w:t>
      </w:r>
      <w:r>
        <w:rPr>
          <w:lang w:val="en-GB"/>
        </w:rPr>
        <w:t xml:space="preserve"> is responsible for investigating the process, the facts and the liabilities in connection with the terrorist violence and infringements of human rights between May 1980 and November 2000, which may be attributed both to terrorist organizations and to agents of the State, and for proposing measures to consolidate peace and concord among Peruvians. It has the following objectives:</w:t>
      </w:r>
    </w:p>
    <w:p w:rsidR="00000000" w:rsidRDefault="00000000">
      <w:pPr>
        <w:pStyle w:val="FootnoteText"/>
        <w:tabs>
          <w:tab w:val="clear" w:pos="720"/>
          <w:tab w:val="left" w:pos="340"/>
          <w:tab w:val="left" w:pos="737"/>
        </w:tabs>
        <w:spacing w:after="60"/>
        <w:ind w:left="737" w:hanging="737"/>
        <w:jc w:val="left"/>
        <w:rPr>
          <w:lang w:val="en-GB"/>
        </w:rPr>
      </w:pPr>
      <w:r>
        <w:rPr>
          <w:lang w:val="en-GB"/>
        </w:rPr>
        <w:tab/>
        <w:t>(a)</w:t>
      </w:r>
      <w:r>
        <w:rPr>
          <w:lang w:val="en-GB"/>
        </w:rPr>
        <w:tab/>
        <w:t>To study the political, social and cultural conditions and the behaviour which, in society and in the institutions of the State, contributed to the tragic situation of violence in Peru;</w:t>
      </w:r>
    </w:p>
    <w:p w:rsidR="00000000" w:rsidRDefault="00000000">
      <w:pPr>
        <w:pStyle w:val="FootnoteText"/>
        <w:tabs>
          <w:tab w:val="clear" w:pos="720"/>
          <w:tab w:val="left" w:pos="340"/>
          <w:tab w:val="left" w:pos="737"/>
        </w:tabs>
        <w:spacing w:after="60"/>
        <w:ind w:left="737" w:hanging="737"/>
        <w:jc w:val="left"/>
        <w:rPr>
          <w:lang w:val="en-GB"/>
        </w:rPr>
      </w:pPr>
      <w:r>
        <w:rPr>
          <w:lang w:val="en-GB"/>
        </w:rPr>
        <w:tab/>
        <w:t>(b)</w:t>
      </w:r>
      <w:r>
        <w:rPr>
          <w:lang w:val="en-GB"/>
        </w:rPr>
        <w:tab/>
        <w:t>Where appropriate, to contribute to the investigation by the relevant judicial organs of the crimes and violations of human rights commmitted by the terrorist organizations and by some agents of the State, to endeavour to determine the whereabouts and situations of the victims, and to identify as far as possible the presumed perpetrators;</w:t>
      </w:r>
    </w:p>
    <w:p w:rsidR="00000000" w:rsidRDefault="00000000">
      <w:pPr>
        <w:pStyle w:val="FootnoteText"/>
        <w:tabs>
          <w:tab w:val="clear" w:pos="720"/>
          <w:tab w:val="left" w:pos="340"/>
          <w:tab w:val="left" w:pos="737"/>
        </w:tabs>
        <w:spacing w:after="60"/>
        <w:ind w:left="737" w:hanging="737"/>
        <w:jc w:val="left"/>
        <w:rPr>
          <w:lang w:val="en-GB"/>
        </w:rPr>
      </w:pPr>
      <w:r>
        <w:rPr>
          <w:lang w:val="en-GB"/>
        </w:rPr>
        <w:tab/>
        <w:t>(c)</w:t>
      </w:r>
      <w:r>
        <w:rPr>
          <w:lang w:val="en-GB"/>
        </w:rPr>
        <w:tab/>
        <w:t>To draft proposals for compensating and restoring the self-respect of the victims and members of their families;</w:t>
      </w:r>
    </w:p>
    <w:p w:rsidR="00000000" w:rsidRDefault="00000000">
      <w:pPr>
        <w:pStyle w:val="FootnoteText"/>
        <w:tabs>
          <w:tab w:val="clear" w:pos="720"/>
          <w:tab w:val="left" w:pos="340"/>
          <w:tab w:val="left" w:pos="737"/>
        </w:tabs>
        <w:spacing w:after="60"/>
        <w:ind w:left="737" w:hanging="737"/>
        <w:jc w:val="left"/>
        <w:rPr>
          <w:lang w:val="en-GB"/>
        </w:rPr>
      </w:pPr>
      <w:r>
        <w:rPr>
          <w:lang w:val="en-GB"/>
        </w:rPr>
        <w:tab/>
        <w:t>(d)</w:t>
      </w:r>
      <w:r>
        <w:rPr>
          <w:lang w:val="en-GB"/>
        </w:rPr>
        <w:tab/>
        <w:t>To recommend institutional, legal, educational and other reforms to prevent any recurrence of this phenomenon, with a view to the introduction and implementation of such reforms by means of legislative, political and administrative measures; and</w:t>
      </w:r>
    </w:p>
    <w:p w:rsidR="00000000" w:rsidRDefault="00000000">
      <w:pPr>
        <w:pStyle w:val="FootnoteText"/>
        <w:tabs>
          <w:tab w:val="clear" w:pos="720"/>
          <w:tab w:val="left" w:pos="340"/>
          <w:tab w:val="left" w:pos="737"/>
        </w:tabs>
        <w:ind w:left="737" w:hanging="737"/>
        <w:jc w:val="left"/>
        <w:rPr>
          <w:lang w:val="en-GB"/>
        </w:rPr>
      </w:pPr>
      <w:r>
        <w:rPr>
          <w:lang w:val="en-GB"/>
        </w:rPr>
        <w:tab/>
        <w:t>(e)</w:t>
      </w:r>
      <w:r>
        <w:rPr>
          <w:lang w:val="en-GB"/>
        </w:rPr>
        <w:tab/>
        <w:t>To establish mechanisms for monitoring the action taken on its recommendations.</w:t>
      </w:r>
    </w:p>
  </w:footnote>
  <w:footnote w:id="5">
    <w:p w:rsidR="00000000" w:rsidRDefault="00000000">
      <w:pPr>
        <w:pStyle w:val="FootnoteText"/>
        <w:tabs>
          <w:tab w:val="clear" w:pos="720"/>
          <w:tab w:val="left" w:pos="340"/>
          <w:tab w:val="left" w:pos="737"/>
        </w:tabs>
        <w:spacing w:after="80"/>
        <w:rPr>
          <w:lang w:val="en-GB"/>
        </w:rPr>
      </w:pPr>
      <w:r>
        <w:rPr>
          <w:lang w:val="en-GB"/>
        </w:rPr>
        <w:tab/>
      </w:r>
      <w:r>
        <w:rPr>
          <w:rStyle w:val="FootnoteReference"/>
          <w:b/>
          <w:sz w:val="24"/>
        </w:rPr>
        <w:footnoteRef/>
      </w:r>
      <w:r>
        <w:rPr>
          <w:lang w:val="en-GB"/>
        </w:rPr>
        <w:tab/>
        <w:t>Population estimates and projections 1950-2050. National Institute for Statistics and Information (INEI).</w:t>
      </w:r>
    </w:p>
  </w:footnote>
  <w:footnote w:id="6">
    <w:p w:rsidR="00000000" w:rsidRDefault="00000000">
      <w:pPr>
        <w:pStyle w:val="FootnoteText"/>
        <w:tabs>
          <w:tab w:val="clear" w:pos="720"/>
          <w:tab w:val="left" w:pos="340"/>
          <w:tab w:val="left" w:pos="737"/>
        </w:tabs>
        <w:spacing w:after="80"/>
        <w:jc w:val="left"/>
        <w:rPr>
          <w:lang w:val="pt-BR"/>
        </w:rPr>
      </w:pPr>
      <w:r>
        <w:rPr>
          <w:lang w:val="en-GB"/>
        </w:rPr>
        <w:tab/>
      </w:r>
      <w:r>
        <w:rPr>
          <w:rStyle w:val="FootnoteReference"/>
          <w:b/>
          <w:sz w:val="24"/>
        </w:rPr>
        <w:footnoteRef/>
      </w:r>
      <w:r>
        <w:rPr>
          <w:lang w:val="en-GB"/>
        </w:rPr>
        <w:tab/>
        <w:t xml:space="preserve">Technical Report No. 002, April 2002: “Main findings of the National Household Survey of Living Conditions and Poverty (ENAHO), Fourth Quarter 2001”. </w:t>
      </w:r>
      <w:r>
        <w:rPr>
          <w:lang w:val="pt-BR"/>
        </w:rPr>
        <w:t>INEI.</w:t>
      </w:r>
    </w:p>
  </w:footnote>
  <w:footnote w:id="7">
    <w:p w:rsidR="00000000" w:rsidRDefault="00000000">
      <w:pPr>
        <w:pStyle w:val="FootnoteText"/>
        <w:tabs>
          <w:tab w:val="clear" w:pos="720"/>
          <w:tab w:val="left" w:pos="340"/>
          <w:tab w:val="left" w:pos="737"/>
        </w:tabs>
        <w:spacing w:after="80"/>
        <w:rPr>
          <w:lang w:val="pt-BR"/>
        </w:rPr>
      </w:pPr>
      <w:r>
        <w:rPr>
          <w:lang w:val="pt-BR"/>
        </w:rPr>
        <w:tab/>
      </w:r>
      <w:r>
        <w:rPr>
          <w:rStyle w:val="FootnoteReference"/>
          <w:b/>
          <w:sz w:val="24"/>
        </w:rPr>
        <w:footnoteRef/>
      </w:r>
      <w:r>
        <w:rPr>
          <w:lang w:val="pt-BR"/>
        </w:rPr>
        <w:tab/>
      </w:r>
      <w:r>
        <w:rPr>
          <w:i/>
          <w:lang w:val="pt-BR"/>
        </w:rPr>
        <w:t>Idem.</w:t>
      </w:r>
    </w:p>
  </w:footnote>
  <w:footnote w:id="8">
    <w:p w:rsidR="00000000" w:rsidRDefault="00000000">
      <w:pPr>
        <w:pStyle w:val="FootnoteText"/>
        <w:tabs>
          <w:tab w:val="clear" w:pos="720"/>
          <w:tab w:val="left" w:pos="340"/>
          <w:tab w:val="left" w:pos="737"/>
        </w:tabs>
        <w:spacing w:after="80"/>
        <w:rPr>
          <w:lang w:val="pt-BR"/>
        </w:rPr>
      </w:pPr>
      <w:r>
        <w:rPr>
          <w:lang w:val="pt-BR"/>
        </w:rPr>
        <w:tab/>
      </w:r>
      <w:r>
        <w:rPr>
          <w:rStyle w:val="FootnoteReference"/>
          <w:b/>
          <w:sz w:val="24"/>
        </w:rPr>
        <w:footnoteRef/>
      </w:r>
      <w:r>
        <w:rPr>
          <w:lang w:val="pt-BR"/>
        </w:rPr>
        <w:tab/>
      </w:r>
      <w:r>
        <w:rPr>
          <w:i/>
          <w:lang w:val="pt-BR"/>
        </w:rPr>
        <w:t>Idem.</w:t>
      </w:r>
    </w:p>
  </w:footnote>
  <w:footnote w:id="9">
    <w:p w:rsidR="00000000" w:rsidRDefault="00000000">
      <w:pPr>
        <w:pStyle w:val="FootnoteText"/>
        <w:tabs>
          <w:tab w:val="clear" w:pos="720"/>
          <w:tab w:val="left" w:pos="340"/>
          <w:tab w:val="left" w:pos="737"/>
        </w:tabs>
        <w:spacing w:after="80"/>
        <w:rPr>
          <w:lang w:val="pt-BR"/>
        </w:rPr>
      </w:pPr>
      <w:r>
        <w:rPr>
          <w:lang w:val="pt-BR"/>
        </w:rPr>
        <w:tab/>
      </w:r>
      <w:r>
        <w:rPr>
          <w:rStyle w:val="FootnoteReference"/>
          <w:b/>
          <w:sz w:val="24"/>
        </w:rPr>
        <w:footnoteRef/>
      </w:r>
      <w:r>
        <w:rPr>
          <w:lang w:val="pt-BR"/>
        </w:rPr>
        <w:tab/>
      </w:r>
      <w:r>
        <w:rPr>
          <w:i/>
          <w:lang w:val="pt-BR"/>
        </w:rPr>
        <w:t>Idem.</w:t>
      </w:r>
    </w:p>
  </w:footnote>
  <w:footnote w:id="10">
    <w:p w:rsidR="00000000" w:rsidRDefault="00000000">
      <w:pPr>
        <w:pStyle w:val="FootnoteText"/>
        <w:tabs>
          <w:tab w:val="clear" w:pos="720"/>
          <w:tab w:val="left" w:pos="340"/>
          <w:tab w:val="left" w:pos="737"/>
        </w:tabs>
        <w:spacing w:after="80"/>
        <w:rPr>
          <w:lang w:val="en-GB"/>
        </w:rPr>
      </w:pPr>
      <w:r>
        <w:rPr>
          <w:lang w:val="en-GB"/>
        </w:rPr>
        <w:tab/>
      </w:r>
      <w:r>
        <w:rPr>
          <w:rStyle w:val="FootnoteReference"/>
          <w:b/>
          <w:sz w:val="24"/>
          <w:lang w:val="en-GB"/>
        </w:rPr>
        <w:t>9</w:t>
      </w:r>
      <w:r>
        <w:rPr>
          <w:b/>
          <w:sz w:val="24"/>
          <w:lang w:val="en-GB"/>
        </w:rPr>
        <w:tab/>
      </w:r>
      <w:r>
        <w:rPr>
          <w:lang w:val="en-GB"/>
        </w:rPr>
        <w:t>Living Standards Survey 2000. INEI.</w:t>
      </w:r>
    </w:p>
  </w:footnote>
  <w:footnote w:id="11">
    <w:p w:rsidR="00000000" w:rsidRDefault="00000000">
      <w:pPr>
        <w:pStyle w:val="FootnoteText"/>
        <w:tabs>
          <w:tab w:val="clear" w:pos="720"/>
          <w:tab w:val="left" w:pos="340"/>
          <w:tab w:val="left" w:pos="737"/>
        </w:tabs>
        <w:spacing w:after="80"/>
        <w:rPr>
          <w:lang w:val="pt-BR"/>
        </w:rPr>
      </w:pPr>
      <w:r>
        <w:rPr>
          <w:lang w:val="en-GB"/>
        </w:rPr>
        <w:tab/>
      </w:r>
      <w:r>
        <w:rPr>
          <w:rStyle w:val="FootnoteReference"/>
          <w:b/>
          <w:sz w:val="24"/>
          <w:lang w:val="en-GB"/>
        </w:rPr>
        <w:t>10</w:t>
      </w:r>
      <w:r>
        <w:rPr>
          <w:b/>
          <w:sz w:val="24"/>
          <w:lang w:val="en-GB"/>
        </w:rPr>
        <w:tab/>
      </w:r>
      <w:r>
        <w:rPr>
          <w:lang w:val="en-GB"/>
        </w:rPr>
        <w:t xml:space="preserve">Demographic and Family Health Survey 2000. INEI and others. </w:t>
      </w:r>
      <w:r>
        <w:rPr>
          <w:lang w:val="pt-BR"/>
        </w:rPr>
        <w:t>Lima, May 2001.</w:t>
      </w:r>
    </w:p>
  </w:footnote>
  <w:footnote w:id="12">
    <w:p w:rsidR="00000000" w:rsidRDefault="00000000">
      <w:pPr>
        <w:pStyle w:val="FootnoteText"/>
        <w:tabs>
          <w:tab w:val="clear" w:pos="720"/>
          <w:tab w:val="left" w:pos="340"/>
          <w:tab w:val="left" w:pos="737"/>
        </w:tabs>
        <w:spacing w:after="40"/>
        <w:rPr>
          <w:lang w:val="en-GB"/>
        </w:rPr>
      </w:pPr>
      <w:r>
        <w:rPr>
          <w:lang w:val="en-GB"/>
        </w:rPr>
        <w:tab/>
      </w:r>
      <w:r>
        <w:rPr>
          <w:rStyle w:val="FootnoteReference"/>
          <w:b/>
          <w:sz w:val="24"/>
          <w:lang w:val="en-GB"/>
        </w:rPr>
        <w:t>11</w:t>
      </w:r>
      <w:r>
        <w:rPr>
          <w:b/>
          <w:sz w:val="24"/>
          <w:lang w:val="en-GB"/>
        </w:rPr>
        <w:tab/>
      </w:r>
      <w:r>
        <w:rPr>
          <w:i/>
          <w:lang w:val="en-GB"/>
        </w:rPr>
        <w:t>Idem.</w:t>
      </w:r>
    </w:p>
  </w:footnote>
  <w:footnote w:id="13">
    <w:p w:rsidR="00000000" w:rsidRDefault="00000000">
      <w:pPr>
        <w:pStyle w:val="FootnoteText"/>
        <w:tabs>
          <w:tab w:val="clear" w:pos="720"/>
          <w:tab w:val="left" w:pos="340"/>
          <w:tab w:val="left" w:pos="737"/>
        </w:tabs>
        <w:spacing w:after="40"/>
        <w:rPr>
          <w:lang w:val="en-GB"/>
        </w:rPr>
      </w:pPr>
      <w:r>
        <w:rPr>
          <w:lang w:val="en-GB"/>
        </w:rPr>
        <w:tab/>
      </w:r>
      <w:r>
        <w:rPr>
          <w:rStyle w:val="FootnoteReference"/>
          <w:b/>
          <w:sz w:val="24"/>
          <w:lang w:val="en-GB"/>
        </w:rPr>
        <w:t>12</w:t>
      </w:r>
      <w:r>
        <w:rPr>
          <w:b/>
          <w:sz w:val="24"/>
          <w:lang w:val="en-GB"/>
        </w:rPr>
        <w:tab/>
      </w:r>
      <w:r>
        <w:rPr>
          <w:i/>
          <w:lang w:val="en-GB"/>
        </w:rPr>
        <w:t>Idem.</w:t>
      </w:r>
    </w:p>
  </w:footnote>
  <w:footnote w:id="14">
    <w:p w:rsidR="00000000" w:rsidRDefault="00000000">
      <w:pPr>
        <w:pStyle w:val="FootnoteText"/>
        <w:tabs>
          <w:tab w:val="clear" w:pos="720"/>
          <w:tab w:val="left" w:pos="340"/>
          <w:tab w:val="left" w:pos="737"/>
        </w:tabs>
        <w:spacing w:after="40"/>
        <w:jc w:val="left"/>
        <w:rPr>
          <w:lang w:val="en-GB"/>
        </w:rPr>
      </w:pPr>
      <w:r>
        <w:rPr>
          <w:lang w:val="en-GB"/>
        </w:rPr>
        <w:tab/>
      </w:r>
      <w:r>
        <w:rPr>
          <w:rStyle w:val="FootnoteReference"/>
          <w:b/>
          <w:sz w:val="24"/>
          <w:lang w:val="en-GB"/>
        </w:rPr>
        <w:t>13</w:t>
      </w:r>
      <w:r>
        <w:rPr>
          <w:b/>
          <w:sz w:val="24"/>
          <w:lang w:val="en-GB"/>
        </w:rPr>
        <w:tab/>
      </w:r>
      <w:r>
        <w:rPr>
          <w:lang w:val="en-GB"/>
        </w:rPr>
        <w:t>Taken from the speech delivered by the President of the Council of Ministers, Dr. Luís Solari de la Fuente, to the Congress of the Republic on 9 August 2002.</w:t>
      </w:r>
    </w:p>
  </w:footnote>
  <w:footnote w:id="15">
    <w:p w:rsidR="00000000" w:rsidRDefault="00000000">
      <w:pPr>
        <w:pStyle w:val="FootnoteText"/>
        <w:tabs>
          <w:tab w:val="clear" w:pos="720"/>
          <w:tab w:val="left" w:pos="340"/>
          <w:tab w:val="left" w:pos="737"/>
        </w:tabs>
        <w:spacing w:after="80"/>
        <w:rPr>
          <w:lang w:val="pt-BR"/>
        </w:rPr>
      </w:pPr>
      <w:r>
        <w:rPr>
          <w:lang w:val="pt-BR"/>
        </w:rPr>
        <w:tab/>
      </w:r>
      <w:r>
        <w:rPr>
          <w:rStyle w:val="FootnoteReference"/>
          <w:b/>
          <w:sz w:val="24"/>
          <w:lang w:val="pt-BR"/>
        </w:rPr>
        <w:t>14</w:t>
      </w:r>
      <w:r>
        <w:rPr>
          <w:b/>
          <w:sz w:val="24"/>
          <w:lang w:val="pt-BR"/>
        </w:rPr>
        <w:tab/>
      </w:r>
      <w:r>
        <w:rPr>
          <w:i/>
          <w:lang w:val="pt-BR"/>
        </w:rPr>
        <w:t>Idem.</w:t>
      </w:r>
    </w:p>
  </w:footnote>
  <w:footnote w:id="16">
    <w:p w:rsidR="00000000" w:rsidRDefault="00000000">
      <w:pPr>
        <w:pStyle w:val="FootnoteText"/>
        <w:tabs>
          <w:tab w:val="clear" w:pos="720"/>
          <w:tab w:val="left" w:pos="340"/>
          <w:tab w:val="left" w:pos="737"/>
        </w:tabs>
        <w:spacing w:after="80"/>
        <w:rPr>
          <w:lang w:val="pt-BR"/>
        </w:rPr>
      </w:pPr>
      <w:r>
        <w:rPr>
          <w:lang w:val="pt-BR"/>
        </w:rPr>
        <w:tab/>
      </w:r>
      <w:r>
        <w:rPr>
          <w:rStyle w:val="FootnoteReference"/>
          <w:b/>
          <w:sz w:val="24"/>
          <w:lang w:val="pt-BR"/>
        </w:rPr>
        <w:t>15</w:t>
      </w:r>
      <w:r>
        <w:rPr>
          <w:b/>
          <w:sz w:val="24"/>
          <w:lang w:val="pt-BR"/>
        </w:rPr>
        <w:tab/>
      </w:r>
      <w:r>
        <w:rPr>
          <w:i/>
          <w:lang w:val="pt-BR"/>
        </w:rPr>
        <w:t>Idem.</w:t>
      </w:r>
    </w:p>
  </w:footnote>
  <w:footnote w:id="17">
    <w:p w:rsidR="00000000" w:rsidRDefault="00000000">
      <w:pPr>
        <w:pStyle w:val="FootnoteText"/>
        <w:tabs>
          <w:tab w:val="clear" w:pos="720"/>
          <w:tab w:val="left" w:pos="340"/>
          <w:tab w:val="left" w:pos="737"/>
        </w:tabs>
        <w:spacing w:after="80"/>
        <w:rPr>
          <w:lang w:val="pt-BR"/>
        </w:rPr>
      </w:pPr>
      <w:r>
        <w:rPr>
          <w:lang w:val="pt-BR"/>
        </w:rPr>
        <w:tab/>
      </w:r>
      <w:r>
        <w:rPr>
          <w:rStyle w:val="FootnoteReference"/>
          <w:b/>
          <w:sz w:val="24"/>
          <w:lang w:val="pt-BR"/>
        </w:rPr>
        <w:t>16</w:t>
      </w:r>
      <w:r>
        <w:rPr>
          <w:b/>
          <w:sz w:val="24"/>
          <w:lang w:val="pt-BR"/>
        </w:rPr>
        <w:tab/>
      </w:r>
      <w:r>
        <w:rPr>
          <w:i/>
          <w:lang w:val="pt-BR"/>
        </w:rPr>
        <w:t>Idem.</w:t>
      </w:r>
    </w:p>
  </w:footnote>
  <w:footnote w:id="18">
    <w:p w:rsidR="00000000" w:rsidRDefault="00000000">
      <w:pPr>
        <w:pStyle w:val="FootnoteText"/>
        <w:tabs>
          <w:tab w:val="clear" w:pos="720"/>
          <w:tab w:val="left" w:pos="340"/>
          <w:tab w:val="left" w:pos="737"/>
        </w:tabs>
        <w:spacing w:after="60"/>
        <w:rPr>
          <w:lang w:val="pt-BR"/>
        </w:rPr>
      </w:pPr>
      <w:r>
        <w:rPr>
          <w:lang w:val="pt-BR"/>
        </w:rPr>
        <w:tab/>
      </w:r>
      <w:r>
        <w:rPr>
          <w:rStyle w:val="FootnoteReference"/>
          <w:b/>
          <w:sz w:val="24"/>
          <w:lang w:val="pt-BR"/>
        </w:rPr>
        <w:t>17</w:t>
      </w:r>
      <w:r>
        <w:rPr>
          <w:b/>
          <w:sz w:val="24"/>
          <w:lang w:val="pt-BR"/>
        </w:rPr>
        <w:tab/>
      </w:r>
      <w:r>
        <w:rPr>
          <w:lang w:val="pt-BR"/>
        </w:rPr>
        <w:t>PNAI 2002-2010. Peru, June 2002.</w:t>
      </w:r>
    </w:p>
  </w:footnote>
  <w:footnote w:id="19">
    <w:p w:rsidR="00000000" w:rsidRDefault="00000000">
      <w:pPr>
        <w:pStyle w:val="FootnoteText"/>
        <w:tabs>
          <w:tab w:val="clear" w:pos="720"/>
          <w:tab w:val="left" w:pos="340"/>
          <w:tab w:val="left" w:pos="737"/>
        </w:tabs>
        <w:spacing w:after="60"/>
        <w:rPr>
          <w:lang w:val="en-GB"/>
        </w:rPr>
      </w:pPr>
      <w:r>
        <w:rPr>
          <w:lang w:val="en-GB"/>
        </w:rPr>
        <w:tab/>
      </w:r>
      <w:r>
        <w:rPr>
          <w:rStyle w:val="FootnoteReference"/>
          <w:b/>
          <w:sz w:val="24"/>
          <w:lang w:val="en-GB"/>
        </w:rPr>
        <w:t>18</w:t>
      </w:r>
      <w:r>
        <w:rPr>
          <w:b/>
          <w:sz w:val="24"/>
          <w:lang w:val="en-GB"/>
        </w:rPr>
        <w:tab/>
      </w:r>
      <w:r>
        <w:rPr>
          <w:lang w:val="en-GB"/>
        </w:rPr>
        <w:t>Technical report No. 002, April 2002: “Main findings of the National Household Survey of Living Conditions and Poverty (ENAHO) - Fourth Quarter 2001”. INEI.</w:t>
      </w:r>
    </w:p>
  </w:footnote>
  <w:footnote w:id="20">
    <w:p w:rsidR="00000000" w:rsidRDefault="00000000">
      <w:pPr>
        <w:pStyle w:val="FootnoteText"/>
        <w:tabs>
          <w:tab w:val="left" w:pos="340"/>
        </w:tabs>
        <w:spacing w:after="60"/>
        <w:rPr>
          <w:lang w:val="pt-BR"/>
        </w:rPr>
      </w:pPr>
      <w:r>
        <w:rPr>
          <w:lang w:val="en-GB"/>
        </w:rPr>
        <w:tab/>
      </w:r>
      <w:r>
        <w:rPr>
          <w:rStyle w:val="FootnoteReference"/>
          <w:b/>
          <w:sz w:val="24"/>
          <w:lang w:val="en-GB"/>
        </w:rPr>
        <w:t>19</w:t>
      </w:r>
      <w:r>
        <w:rPr>
          <w:b/>
          <w:sz w:val="24"/>
          <w:lang w:val="en-GB"/>
        </w:rPr>
        <w:tab/>
      </w:r>
      <w:r>
        <w:rPr>
          <w:lang w:val="en-GB"/>
        </w:rPr>
        <w:t xml:space="preserve">Demographic and Family Health Survey 2000. INEI and others. </w:t>
      </w:r>
      <w:r>
        <w:rPr>
          <w:lang w:val="pt-BR"/>
        </w:rPr>
        <w:t>Lima, May 2001.</w:t>
      </w:r>
    </w:p>
  </w:footnote>
  <w:footnote w:id="21">
    <w:p w:rsidR="00000000" w:rsidRDefault="00000000">
      <w:pPr>
        <w:pStyle w:val="FootnoteText"/>
        <w:tabs>
          <w:tab w:val="left" w:pos="340"/>
        </w:tabs>
        <w:spacing w:after="60"/>
        <w:rPr>
          <w:lang w:val="pt-BR"/>
        </w:rPr>
      </w:pPr>
      <w:r>
        <w:rPr>
          <w:lang w:val="pt-BR"/>
        </w:rPr>
        <w:tab/>
      </w:r>
      <w:r>
        <w:rPr>
          <w:rStyle w:val="FootnoteReference"/>
          <w:b/>
          <w:sz w:val="24"/>
          <w:lang w:val="pt-BR"/>
        </w:rPr>
        <w:t>20</w:t>
      </w:r>
      <w:r>
        <w:rPr>
          <w:b/>
          <w:sz w:val="24"/>
          <w:lang w:val="pt-BR"/>
        </w:rPr>
        <w:tab/>
      </w:r>
      <w:r>
        <w:rPr>
          <w:i/>
          <w:lang w:val="pt-BR"/>
        </w:rPr>
        <w:t>Idem.</w:t>
      </w:r>
    </w:p>
  </w:footnote>
  <w:footnote w:id="22">
    <w:p w:rsidR="00000000" w:rsidRDefault="00000000">
      <w:pPr>
        <w:pStyle w:val="FootnoteText"/>
        <w:tabs>
          <w:tab w:val="left" w:pos="340"/>
        </w:tabs>
        <w:spacing w:after="60"/>
        <w:rPr>
          <w:lang w:val="pt-BR"/>
        </w:rPr>
      </w:pPr>
      <w:r>
        <w:rPr>
          <w:lang w:val="pt-BR"/>
        </w:rPr>
        <w:tab/>
      </w:r>
      <w:r>
        <w:rPr>
          <w:rStyle w:val="FootnoteReference"/>
          <w:b/>
          <w:sz w:val="24"/>
          <w:lang w:val="pt-BR"/>
        </w:rPr>
        <w:t>21</w:t>
      </w:r>
      <w:r>
        <w:rPr>
          <w:b/>
          <w:sz w:val="24"/>
          <w:lang w:val="pt-BR"/>
        </w:rPr>
        <w:tab/>
      </w:r>
      <w:r>
        <w:rPr>
          <w:i/>
          <w:lang w:val="pt-BR"/>
        </w:rPr>
        <w:t>Idem.</w:t>
      </w:r>
    </w:p>
  </w:footnote>
  <w:footnote w:id="23">
    <w:p w:rsidR="00000000" w:rsidRDefault="00000000">
      <w:pPr>
        <w:pStyle w:val="FootnoteText"/>
        <w:tabs>
          <w:tab w:val="left" w:pos="340"/>
        </w:tabs>
        <w:rPr>
          <w:lang w:val="pt-BR"/>
        </w:rPr>
      </w:pPr>
      <w:r>
        <w:rPr>
          <w:lang w:val="pt-BR"/>
        </w:rPr>
        <w:tab/>
      </w:r>
      <w:r>
        <w:rPr>
          <w:rStyle w:val="FootnoteReference"/>
          <w:b/>
          <w:sz w:val="24"/>
          <w:lang w:val="pt-BR"/>
        </w:rPr>
        <w:t>22</w:t>
      </w:r>
      <w:r>
        <w:rPr>
          <w:b/>
          <w:sz w:val="24"/>
          <w:lang w:val="pt-BR"/>
        </w:rPr>
        <w:tab/>
      </w:r>
      <w:r>
        <w:rPr>
          <w:i/>
          <w:lang w:val="pt-BR"/>
        </w:rPr>
        <w:t>Idem</w:t>
      </w:r>
      <w:r>
        <w:rPr>
          <w:lang w:val="pt-BR"/>
        </w:rPr>
        <w:t>.</w:t>
      </w:r>
    </w:p>
  </w:footnote>
  <w:footnote w:id="24">
    <w:p w:rsidR="00000000" w:rsidRDefault="00000000">
      <w:pPr>
        <w:pStyle w:val="FootnoteText"/>
        <w:tabs>
          <w:tab w:val="clear" w:pos="720"/>
          <w:tab w:val="left" w:pos="340"/>
          <w:tab w:val="left" w:pos="737"/>
        </w:tabs>
        <w:spacing w:after="80"/>
        <w:rPr>
          <w:lang w:val="pt-BR"/>
        </w:rPr>
      </w:pPr>
      <w:r>
        <w:rPr>
          <w:lang w:val="pt-BR"/>
        </w:rPr>
        <w:tab/>
      </w:r>
      <w:r>
        <w:rPr>
          <w:rStyle w:val="FootnoteReference"/>
          <w:b/>
          <w:sz w:val="24"/>
          <w:lang w:val="pt-BR"/>
        </w:rPr>
        <w:t>23</w:t>
      </w:r>
      <w:r>
        <w:rPr>
          <w:b/>
          <w:sz w:val="24"/>
          <w:lang w:val="pt-BR"/>
        </w:rPr>
        <w:tab/>
      </w:r>
      <w:r>
        <w:rPr>
          <w:i/>
          <w:lang w:val="pt-BR"/>
        </w:rPr>
        <w:t>Idem.</w:t>
      </w:r>
    </w:p>
  </w:footnote>
  <w:footnote w:id="25">
    <w:p w:rsidR="00000000" w:rsidRDefault="00000000">
      <w:pPr>
        <w:pStyle w:val="FootnoteText"/>
        <w:tabs>
          <w:tab w:val="clear" w:pos="720"/>
          <w:tab w:val="left" w:pos="340"/>
          <w:tab w:val="left" w:pos="737"/>
        </w:tabs>
        <w:spacing w:after="80"/>
        <w:rPr>
          <w:lang w:val="pt-BR"/>
        </w:rPr>
      </w:pPr>
      <w:r>
        <w:rPr>
          <w:lang w:val="pt-BR"/>
        </w:rPr>
        <w:tab/>
      </w:r>
      <w:r>
        <w:rPr>
          <w:rStyle w:val="FootnoteReference"/>
          <w:b/>
          <w:sz w:val="24"/>
          <w:lang w:val="pt-BR"/>
        </w:rPr>
        <w:t>24</w:t>
      </w:r>
      <w:r>
        <w:rPr>
          <w:b/>
          <w:sz w:val="24"/>
          <w:lang w:val="pt-BR"/>
        </w:rPr>
        <w:tab/>
      </w:r>
      <w:r>
        <w:rPr>
          <w:i/>
          <w:lang w:val="pt-BR"/>
        </w:rPr>
        <w:t>Idem.</w:t>
      </w:r>
    </w:p>
  </w:footnote>
  <w:footnote w:id="26">
    <w:p w:rsidR="00000000" w:rsidRDefault="00000000">
      <w:pPr>
        <w:pStyle w:val="FootnoteText"/>
        <w:tabs>
          <w:tab w:val="clear" w:pos="720"/>
          <w:tab w:val="left" w:pos="340"/>
          <w:tab w:val="left" w:pos="737"/>
        </w:tabs>
        <w:spacing w:after="80"/>
        <w:rPr>
          <w:lang w:val="pt-BR"/>
        </w:rPr>
      </w:pPr>
      <w:r>
        <w:rPr>
          <w:lang w:val="pt-BR"/>
        </w:rPr>
        <w:tab/>
      </w:r>
      <w:r>
        <w:rPr>
          <w:rStyle w:val="FootnoteReference"/>
          <w:b/>
          <w:sz w:val="24"/>
          <w:lang w:val="pt-BR"/>
        </w:rPr>
        <w:t>25</w:t>
      </w:r>
      <w:r>
        <w:rPr>
          <w:b/>
          <w:sz w:val="24"/>
          <w:lang w:val="pt-BR"/>
        </w:rPr>
        <w:tab/>
      </w:r>
      <w:r>
        <w:rPr>
          <w:i/>
          <w:lang w:val="pt-BR"/>
        </w:rPr>
        <w:t>Idem.</w:t>
      </w:r>
    </w:p>
  </w:footnote>
  <w:footnote w:id="27">
    <w:p w:rsidR="00000000" w:rsidRDefault="00000000">
      <w:pPr>
        <w:pStyle w:val="FootnoteText"/>
        <w:tabs>
          <w:tab w:val="clear" w:pos="720"/>
          <w:tab w:val="left" w:pos="340"/>
          <w:tab w:val="left" w:pos="737"/>
        </w:tabs>
        <w:spacing w:after="80"/>
        <w:rPr>
          <w:lang w:val="pt-BR"/>
        </w:rPr>
      </w:pPr>
      <w:r>
        <w:rPr>
          <w:lang w:val="pt-BR"/>
        </w:rPr>
        <w:tab/>
      </w:r>
      <w:r>
        <w:rPr>
          <w:rStyle w:val="FootnoteReference"/>
          <w:b/>
          <w:sz w:val="24"/>
          <w:lang w:val="pt-BR"/>
        </w:rPr>
        <w:t>26</w:t>
      </w:r>
      <w:r>
        <w:rPr>
          <w:b/>
          <w:sz w:val="24"/>
          <w:lang w:val="pt-BR"/>
        </w:rPr>
        <w:tab/>
      </w:r>
      <w:r>
        <w:rPr>
          <w:i/>
          <w:lang w:val="pt-BR"/>
        </w:rPr>
        <w:t>Idem.</w:t>
      </w:r>
    </w:p>
  </w:footnote>
  <w:footnote w:id="28">
    <w:p w:rsidR="00000000" w:rsidRDefault="00000000">
      <w:pPr>
        <w:pStyle w:val="FootnoteText"/>
        <w:tabs>
          <w:tab w:val="clear" w:pos="720"/>
          <w:tab w:val="left" w:pos="340"/>
          <w:tab w:val="left" w:pos="737"/>
        </w:tabs>
        <w:spacing w:after="80"/>
        <w:rPr>
          <w:lang w:val="pt-BR"/>
        </w:rPr>
      </w:pPr>
      <w:r>
        <w:rPr>
          <w:lang w:val="pt-BR"/>
        </w:rPr>
        <w:tab/>
      </w:r>
      <w:r>
        <w:rPr>
          <w:rStyle w:val="FootnoteReference"/>
          <w:b/>
          <w:sz w:val="24"/>
          <w:lang w:val="pt-BR"/>
        </w:rPr>
        <w:t>27</w:t>
      </w:r>
      <w:r>
        <w:rPr>
          <w:b/>
          <w:sz w:val="24"/>
          <w:lang w:val="pt-BR"/>
        </w:rPr>
        <w:tab/>
      </w:r>
      <w:r>
        <w:rPr>
          <w:i/>
          <w:lang w:val="pt-BR"/>
        </w:rPr>
        <w:t>Idem.</w:t>
      </w:r>
    </w:p>
  </w:footnote>
  <w:footnote w:id="29">
    <w:p w:rsidR="00000000" w:rsidRDefault="00000000">
      <w:pPr>
        <w:pStyle w:val="FootnoteText"/>
        <w:tabs>
          <w:tab w:val="clear" w:pos="720"/>
          <w:tab w:val="left" w:pos="340"/>
          <w:tab w:val="left" w:pos="737"/>
        </w:tabs>
        <w:spacing w:after="80"/>
        <w:rPr>
          <w:lang w:val="pt-BR"/>
        </w:rPr>
      </w:pPr>
      <w:r>
        <w:rPr>
          <w:lang w:val="pt-BR"/>
        </w:rPr>
        <w:tab/>
      </w:r>
      <w:r>
        <w:rPr>
          <w:rStyle w:val="FootnoteReference"/>
          <w:b/>
          <w:sz w:val="24"/>
          <w:lang w:val="pt-BR"/>
        </w:rPr>
        <w:t>28</w:t>
      </w:r>
      <w:r>
        <w:rPr>
          <w:b/>
          <w:sz w:val="24"/>
          <w:lang w:val="pt-BR"/>
        </w:rPr>
        <w:tab/>
      </w:r>
      <w:r>
        <w:rPr>
          <w:i/>
          <w:lang w:val="pt-BR"/>
        </w:rPr>
        <w:t>Idem.</w:t>
      </w:r>
    </w:p>
  </w:footnote>
  <w:footnote w:id="30">
    <w:p w:rsidR="00000000" w:rsidRDefault="00000000">
      <w:pPr>
        <w:pStyle w:val="FootnoteText"/>
        <w:tabs>
          <w:tab w:val="clear" w:pos="720"/>
          <w:tab w:val="left" w:pos="340"/>
          <w:tab w:val="left" w:pos="737"/>
        </w:tabs>
        <w:spacing w:after="40"/>
        <w:rPr>
          <w:lang w:val="pt-BR"/>
        </w:rPr>
      </w:pPr>
      <w:r>
        <w:rPr>
          <w:lang w:val="pt-BR"/>
        </w:rPr>
        <w:tab/>
      </w:r>
      <w:r>
        <w:rPr>
          <w:rStyle w:val="FootnoteReference"/>
          <w:b/>
          <w:sz w:val="24"/>
          <w:lang w:val="pt-BR"/>
        </w:rPr>
        <w:t>29</w:t>
      </w:r>
      <w:r>
        <w:rPr>
          <w:b/>
          <w:sz w:val="24"/>
          <w:lang w:val="pt-BR"/>
        </w:rPr>
        <w:tab/>
      </w:r>
      <w:r>
        <w:rPr>
          <w:i/>
          <w:lang w:val="pt-BR"/>
        </w:rPr>
        <w:t>Idem.</w:t>
      </w:r>
    </w:p>
  </w:footnote>
  <w:footnote w:id="31">
    <w:p w:rsidR="00000000" w:rsidRDefault="00000000">
      <w:pPr>
        <w:pStyle w:val="FootnoteText"/>
        <w:tabs>
          <w:tab w:val="clear" w:pos="720"/>
          <w:tab w:val="left" w:pos="340"/>
          <w:tab w:val="left" w:pos="737"/>
        </w:tabs>
        <w:spacing w:after="40"/>
        <w:rPr>
          <w:lang w:val="pt-BR"/>
        </w:rPr>
      </w:pPr>
      <w:r>
        <w:rPr>
          <w:lang w:val="pt-BR"/>
        </w:rPr>
        <w:tab/>
      </w:r>
      <w:r>
        <w:rPr>
          <w:rStyle w:val="FootnoteReference"/>
          <w:b/>
          <w:sz w:val="24"/>
          <w:lang w:val="pt-BR"/>
        </w:rPr>
        <w:t>30</w:t>
      </w:r>
      <w:r>
        <w:rPr>
          <w:b/>
          <w:sz w:val="24"/>
          <w:lang w:val="pt-BR"/>
        </w:rPr>
        <w:tab/>
      </w:r>
      <w:r>
        <w:rPr>
          <w:i/>
          <w:lang w:val="pt-BR"/>
        </w:rPr>
        <w:t>Idem.</w:t>
      </w:r>
    </w:p>
  </w:footnote>
  <w:footnote w:id="32">
    <w:p w:rsidR="00000000" w:rsidRDefault="00000000">
      <w:pPr>
        <w:pStyle w:val="FootnoteText"/>
        <w:tabs>
          <w:tab w:val="clear" w:pos="720"/>
          <w:tab w:val="left" w:pos="340"/>
          <w:tab w:val="left" w:pos="737"/>
        </w:tabs>
        <w:rPr>
          <w:lang w:val="pt-BR"/>
        </w:rPr>
      </w:pPr>
      <w:r>
        <w:rPr>
          <w:lang w:val="pt-BR"/>
        </w:rPr>
        <w:tab/>
      </w:r>
      <w:r>
        <w:rPr>
          <w:rStyle w:val="FootnoteReference"/>
          <w:b/>
          <w:sz w:val="24"/>
          <w:lang w:val="pt-BR"/>
        </w:rPr>
        <w:t>31</w:t>
      </w:r>
      <w:r>
        <w:rPr>
          <w:b/>
          <w:sz w:val="24"/>
          <w:lang w:val="pt-BR"/>
        </w:rPr>
        <w:tab/>
      </w:r>
      <w:r>
        <w:rPr>
          <w:lang w:val="pt-BR"/>
        </w:rPr>
        <w:t>PNAI 2002-2010. Peru, June 2002.</w:t>
      </w:r>
    </w:p>
  </w:footnote>
  <w:footnote w:id="33">
    <w:p w:rsidR="00000000" w:rsidRDefault="00000000">
      <w:pPr>
        <w:pStyle w:val="FootnoteText"/>
        <w:tabs>
          <w:tab w:val="clear" w:pos="720"/>
          <w:tab w:val="left" w:pos="340"/>
          <w:tab w:val="left" w:pos="737"/>
        </w:tabs>
        <w:spacing w:after="80"/>
        <w:rPr>
          <w:b/>
          <w:bCs/>
          <w:sz w:val="16"/>
          <w:lang w:val="pt-BR"/>
        </w:rPr>
      </w:pPr>
      <w:r>
        <w:rPr>
          <w:lang w:val="pt-BR"/>
        </w:rPr>
        <w:tab/>
      </w:r>
      <w:r>
        <w:rPr>
          <w:b/>
          <w:bCs/>
          <w:sz w:val="24"/>
          <w:vertAlign w:val="superscript"/>
          <w:lang w:val="en-GB"/>
        </w:rPr>
        <w:t>32</w:t>
      </w:r>
      <w:r>
        <w:rPr>
          <w:b/>
          <w:bCs/>
          <w:lang w:val="en-GB"/>
        </w:rPr>
        <w:tab/>
      </w:r>
      <w:r>
        <w:rPr>
          <w:lang w:val="en-GB"/>
        </w:rPr>
        <w:t xml:space="preserve">Demographic and Family Health Survey 2000. INEI and others. </w:t>
      </w:r>
      <w:r>
        <w:rPr>
          <w:lang w:val="pt-BR"/>
        </w:rPr>
        <w:t>Lima, May 2001.</w:t>
      </w:r>
    </w:p>
    <w:p w:rsidR="00000000" w:rsidRDefault="00000000">
      <w:pPr>
        <w:pStyle w:val="FootnoteText"/>
        <w:tabs>
          <w:tab w:val="clear" w:pos="720"/>
          <w:tab w:val="left" w:pos="340"/>
          <w:tab w:val="left" w:pos="737"/>
        </w:tabs>
        <w:spacing w:after="80"/>
        <w:rPr>
          <w:lang w:val="pt-BR"/>
        </w:rPr>
      </w:pPr>
      <w:r>
        <w:rPr>
          <w:lang w:val="pt-BR"/>
        </w:rPr>
        <w:tab/>
      </w:r>
      <w:r>
        <w:rPr>
          <w:rStyle w:val="FootnoteReference"/>
          <w:b/>
          <w:sz w:val="24"/>
          <w:lang w:val="pt-BR"/>
        </w:rPr>
        <w:t>33</w:t>
      </w:r>
      <w:r>
        <w:rPr>
          <w:b/>
          <w:sz w:val="24"/>
          <w:lang w:val="pt-BR"/>
        </w:rPr>
        <w:tab/>
      </w:r>
      <w:r>
        <w:rPr>
          <w:i/>
          <w:lang w:val="pt-BR"/>
        </w:rPr>
        <w:t>Idem.</w:t>
      </w:r>
    </w:p>
  </w:footnote>
  <w:footnote w:id="34">
    <w:p w:rsidR="00000000" w:rsidRDefault="00000000">
      <w:pPr>
        <w:pStyle w:val="FootnoteText"/>
        <w:tabs>
          <w:tab w:val="clear" w:pos="720"/>
          <w:tab w:val="left" w:pos="340"/>
          <w:tab w:val="left" w:pos="737"/>
        </w:tabs>
        <w:spacing w:after="80"/>
        <w:rPr>
          <w:i/>
          <w:lang w:val="pt-BR"/>
        </w:rPr>
      </w:pPr>
      <w:r>
        <w:rPr>
          <w:lang w:val="pt-BR"/>
        </w:rPr>
        <w:tab/>
      </w:r>
      <w:r>
        <w:rPr>
          <w:rStyle w:val="FootnoteReference"/>
          <w:b/>
          <w:sz w:val="24"/>
          <w:lang w:val="pt-BR"/>
        </w:rPr>
        <w:t>34</w:t>
      </w:r>
      <w:r>
        <w:rPr>
          <w:b/>
          <w:sz w:val="24"/>
          <w:lang w:val="pt-BR"/>
        </w:rPr>
        <w:tab/>
      </w:r>
      <w:r>
        <w:rPr>
          <w:i/>
          <w:lang w:val="pt-BR"/>
        </w:rPr>
        <w:t>Idem.</w:t>
      </w:r>
    </w:p>
  </w:footnote>
  <w:footnote w:id="35">
    <w:p w:rsidR="00000000" w:rsidRDefault="00000000">
      <w:pPr>
        <w:pStyle w:val="FootnoteText"/>
        <w:tabs>
          <w:tab w:val="clear" w:pos="720"/>
          <w:tab w:val="left" w:pos="340"/>
          <w:tab w:val="left" w:pos="737"/>
        </w:tabs>
        <w:spacing w:after="80"/>
        <w:rPr>
          <w:lang w:val="pt-BR"/>
        </w:rPr>
      </w:pPr>
      <w:r>
        <w:rPr>
          <w:lang w:val="pt-BR"/>
        </w:rPr>
        <w:tab/>
      </w:r>
      <w:r>
        <w:rPr>
          <w:rStyle w:val="FootnoteReference"/>
          <w:b/>
          <w:sz w:val="24"/>
          <w:lang w:val="pt-BR"/>
        </w:rPr>
        <w:t>35</w:t>
      </w:r>
      <w:r>
        <w:rPr>
          <w:b/>
          <w:sz w:val="24"/>
          <w:lang w:val="pt-BR"/>
        </w:rPr>
        <w:tab/>
      </w:r>
      <w:r>
        <w:rPr>
          <w:i/>
          <w:lang w:val="pt-BR"/>
        </w:rPr>
        <w:t>Idem.</w:t>
      </w:r>
    </w:p>
  </w:footnote>
  <w:footnote w:id="36">
    <w:p w:rsidR="00000000" w:rsidRDefault="00000000">
      <w:pPr>
        <w:pStyle w:val="FootnoteText"/>
        <w:tabs>
          <w:tab w:val="clear" w:pos="720"/>
          <w:tab w:val="left" w:pos="340"/>
          <w:tab w:val="left" w:pos="737"/>
        </w:tabs>
        <w:spacing w:after="80"/>
        <w:jc w:val="left"/>
        <w:rPr>
          <w:lang w:val="en-GB"/>
        </w:rPr>
      </w:pPr>
      <w:r>
        <w:rPr>
          <w:lang w:val="en-GB"/>
        </w:rPr>
        <w:tab/>
      </w:r>
      <w:r>
        <w:rPr>
          <w:rStyle w:val="FootnoteReference"/>
          <w:b/>
          <w:sz w:val="24"/>
          <w:lang w:val="en-GB"/>
        </w:rPr>
        <w:t>36</w:t>
      </w:r>
      <w:r>
        <w:rPr>
          <w:b/>
          <w:sz w:val="24"/>
          <w:lang w:val="en-GB"/>
        </w:rPr>
        <w:tab/>
      </w:r>
      <w:r>
        <w:rPr>
          <w:lang w:val="en-GB"/>
        </w:rPr>
        <w:t>Report on measures for children programmed by PRONAA for 2002. Planning and Budget Office. Lima, October 2002.</w:t>
      </w:r>
    </w:p>
  </w:footnote>
  <w:footnote w:id="37">
    <w:p w:rsidR="00000000" w:rsidRDefault="00000000">
      <w:pPr>
        <w:pStyle w:val="FootnoteText"/>
        <w:tabs>
          <w:tab w:val="clear" w:pos="720"/>
          <w:tab w:val="left" w:pos="340"/>
          <w:tab w:val="left" w:pos="737"/>
        </w:tabs>
        <w:spacing w:after="80"/>
        <w:jc w:val="left"/>
        <w:rPr>
          <w:lang w:val="en-GB"/>
        </w:rPr>
      </w:pPr>
      <w:r>
        <w:rPr>
          <w:lang w:val="en-GB"/>
        </w:rPr>
        <w:tab/>
      </w:r>
      <w:r>
        <w:rPr>
          <w:rStyle w:val="FootnoteReference"/>
          <w:b/>
          <w:sz w:val="24"/>
          <w:lang w:val="en-GB"/>
        </w:rPr>
        <w:t>37</w:t>
      </w:r>
      <w:r>
        <w:rPr>
          <w:b/>
          <w:sz w:val="24"/>
          <w:lang w:val="en-GB"/>
        </w:rPr>
        <w:tab/>
      </w:r>
      <w:r>
        <w:rPr>
          <w:lang w:val="en-GB"/>
        </w:rPr>
        <w:t>The non-school initial education programmes are designed to provide a comprehensive service for children aged three to five years and have strong grass-roots participation.</w:t>
      </w:r>
    </w:p>
  </w:footnote>
  <w:footnote w:id="38">
    <w:p w:rsidR="00000000" w:rsidRDefault="00000000">
      <w:pPr>
        <w:pStyle w:val="FootnoteText"/>
        <w:tabs>
          <w:tab w:val="clear" w:pos="720"/>
          <w:tab w:val="left" w:pos="340"/>
          <w:tab w:val="left" w:pos="737"/>
        </w:tabs>
        <w:spacing w:after="80"/>
        <w:rPr>
          <w:lang w:val="en-GB"/>
        </w:rPr>
      </w:pPr>
      <w:r>
        <w:rPr>
          <w:lang w:val="en-GB"/>
        </w:rPr>
        <w:tab/>
      </w:r>
      <w:r>
        <w:rPr>
          <w:rStyle w:val="FootnoteReference"/>
          <w:b/>
          <w:sz w:val="24"/>
          <w:lang w:val="en-GB"/>
        </w:rPr>
        <w:t>38</w:t>
      </w:r>
      <w:r>
        <w:rPr>
          <w:b/>
          <w:sz w:val="24"/>
          <w:lang w:val="en-GB"/>
        </w:rPr>
        <w:tab/>
      </w:r>
      <w:r>
        <w:rPr>
          <w:lang w:val="en-GB"/>
        </w:rPr>
        <w:t>PNAI 2002-2010. Lima, June 2002.</w:t>
      </w:r>
    </w:p>
  </w:footnote>
  <w:footnote w:id="39">
    <w:p w:rsidR="00000000" w:rsidRDefault="00000000">
      <w:pPr>
        <w:pStyle w:val="FootnoteText"/>
        <w:tabs>
          <w:tab w:val="clear" w:pos="720"/>
          <w:tab w:val="left" w:pos="340"/>
          <w:tab w:val="left" w:pos="737"/>
        </w:tabs>
        <w:spacing w:after="80"/>
        <w:rPr>
          <w:lang w:val="en-GB"/>
        </w:rPr>
      </w:pPr>
      <w:r>
        <w:rPr>
          <w:lang w:val="en-GB"/>
        </w:rPr>
        <w:tab/>
      </w:r>
      <w:r>
        <w:rPr>
          <w:rStyle w:val="FootnoteReference"/>
          <w:b/>
          <w:sz w:val="24"/>
          <w:lang w:val="en-GB"/>
        </w:rPr>
        <w:t>39</w:t>
      </w:r>
      <w:r>
        <w:rPr>
          <w:b/>
          <w:sz w:val="24"/>
          <w:lang w:val="en-GB"/>
        </w:rPr>
        <w:tab/>
      </w:r>
      <w:r>
        <w:rPr>
          <w:i/>
          <w:lang w:val="en-GB"/>
        </w:rPr>
        <w:t>El Peruano</w:t>
      </w:r>
      <w:r>
        <w:rPr>
          <w:lang w:val="en-GB"/>
        </w:rPr>
        <w:t>, 24 October 2000, p. 16.</w:t>
      </w:r>
    </w:p>
  </w:footnote>
  <w:footnote w:id="40">
    <w:p w:rsidR="00000000" w:rsidRDefault="00000000">
      <w:pPr>
        <w:pStyle w:val="FootnoteText"/>
        <w:tabs>
          <w:tab w:val="clear" w:pos="720"/>
          <w:tab w:val="left" w:pos="340"/>
          <w:tab w:val="left" w:pos="737"/>
        </w:tabs>
        <w:rPr>
          <w:lang w:val="en-GB"/>
        </w:rPr>
      </w:pPr>
      <w:r>
        <w:rPr>
          <w:lang w:val="en-GB"/>
        </w:rPr>
        <w:tab/>
      </w:r>
      <w:r>
        <w:rPr>
          <w:rStyle w:val="FootnoteReference"/>
          <w:b/>
          <w:sz w:val="24"/>
          <w:lang w:val="en-GB"/>
        </w:rPr>
        <w:t>40</w:t>
      </w:r>
      <w:r>
        <w:rPr>
          <w:b/>
          <w:sz w:val="24"/>
          <w:lang w:val="en-GB"/>
        </w:rPr>
        <w:tab/>
      </w:r>
      <w:r>
        <w:rPr>
          <w:lang w:val="en-GB"/>
        </w:rPr>
        <w:t>Report 442-2001-MMC-DMSC-DRC of the Municipality of Lima.</w:t>
      </w:r>
    </w:p>
  </w:footnote>
  <w:footnote w:id="41">
    <w:p w:rsidR="00000000" w:rsidRDefault="00000000">
      <w:pPr>
        <w:pStyle w:val="FootnoteText"/>
        <w:tabs>
          <w:tab w:val="clear" w:pos="720"/>
          <w:tab w:val="left" w:pos="340"/>
          <w:tab w:val="left" w:pos="737"/>
        </w:tabs>
        <w:spacing w:after="80"/>
        <w:jc w:val="left"/>
        <w:rPr>
          <w:lang w:val="pt-BR"/>
        </w:rPr>
      </w:pPr>
      <w:r>
        <w:rPr>
          <w:lang w:val="en-GB"/>
        </w:rPr>
        <w:tab/>
      </w:r>
      <w:r>
        <w:rPr>
          <w:rStyle w:val="FootnoteReference"/>
          <w:b/>
          <w:sz w:val="24"/>
          <w:lang w:val="en-GB"/>
        </w:rPr>
        <w:t>41</w:t>
      </w:r>
      <w:r>
        <w:rPr>
          <w:b/>
          <w:sz w:val="24"/>
          <w:lang w:val="en-GB"/>
        </w:rPr>
        <w:tab/>
      </w:r>
      <w:r>
        <w:rPr>
          <w:lang w:val="en-GB"/>
        </w:rPr>
        <w:t xml:space="preserve">Webb, Richard and Graciela Fernández. </w:t>
      </w:r>
      <w:r>
        <w:rPr>
          <w:i/>
          <w:lang w:val="pt-BR"/>
        </w:rPr>
        <w:t>Anuario Estadístico Perú en Números 2001</w:t>
      </w:r>
      <w:r>
        <w:rPr>
          <w:lang w:val="pt-BR"/>
        </w:rPr>
        <w:t xml:space="preserve"> (</w:t>
      </w:r>
      <w:r>
        <w:rPr>
          <w:i/>
          <w:lang w:val="pt-BR"/>
        </w:rPr>
        <w:t>Peru in Numbers</w:t>
      </w:r>
      <w:r>
        <w:rPr>
          <w:lang w:val="pt-BR"/>
        </w:rPr>
        <w:t xml:space="preserve"> statistical yearbook). CUANTO. Lima, 2001.</w:t>
      </w:r>
    </w:p>
  </w:footnote>
  <w:footnote w:id="42">
    <w:p w:rsidR="00000000" w:rsidRDefault="00000000">
      <w:pPr>
        <w:pStyle w:val="FootnoteText"/>
        <w:tabs>
          <w:tab w:val="clear" w:pos="720"/>
          <w:tab w:val="left" w:pos="340"/>
          <w:tab w:val="left" w:pos="737"/>
        </w:tabs>
        <w:spacing w:after="80"/>
        <w:jc w:val="left"/>
        <w:rPr>
          <w:lang w:val="en-GB"/>
        </w:rPr>
      </w:pPr>
      <w:r>
        <w:rPr>
          <w:lang w:val="en-GB"/>
        </w:rPr>
        <w:tab/>
      </w:r>
      <w:r>
        <w:rPr>
          <w:rStyle w:val="FootnoteReference"/>
          <w:b/>
          <w:sz w:val="24"/>
          <w:lang w:val="en-GB"/>
        </w:rPr>
        <w:t>42</w:t>
      </w:r>
      <w:r>
        <w:rPr>
          <w:b/>
          <w:sz w:val="24"/>
          <w:lang w:val="en-GB"/>
        </w:rPr>
        <w:tab/>
      </w:r>
      <w:r>
        <w:rPr>
          <w:lang w:val="en-GB"/>
        </w:rPr>
        <w:t>INEI web page.</w:t>
      </w:r>
    </w:p>
  </w:footnote>
  <w:footnote w:id="43">
    <w:p w:rsidR="00000000" w:rsidRDefault="00000000">
      <w:pPr>
        <w:pStyle w:val="FootnoteText"/>
        <w:tabs>
          <w:tab w:val="clear" w:pos="720"/>
          <w:tab w:val="left" w:pos="340"/>
          <w:tab w:val="left" w:pos="737"/>
        </w:tabs>
        <w:spacing w:after="80"/>
        <w:jc w:val="left"/>
      </w:pPr>
      <w:r>
        <w:rPr>
          <w:lang w:val="en-GB"/>
        </w:rPr>
        <w:tab/>
      </w:r>
      <w:r>
        <w:rPr>
          <w:rStyle w:val="FootnoteReference"/>
          <w:b/>
          <w:sz w:val="24"/>
          <w:lang w:val="en-GB"/>
        </w:rPr>
        <w:t>43</w:t>
      </w:r>
      <w:r>
        <w:rPr>
          <w:b/>
          <w:sz w:val="24"/>
          <w:lang w:val="en-GB"/>
        </w:rPr>
        <w:tab/>
      </w:r>
      <w:r>
        <w:rPr>
          <w:lang w:val="en-GB"/>
        </w:rPr>
        <w:t xml:space="preserve">Outline of Education Policy 2001-2006. Ministry of Education. </w:t>
      </w:r>
      <w:r>
        <w:rPr>
          <w:i/>
          <w:lang w:val="pt-BR"/>
        </w:rPr>
        <w:t>Suplemento Educación para la Democracia</w:t>
      </w:r>
      <w:r>
        <w:rPr>
          <w:lang w:val="pt-BR"/>
        </w:rPr>
        <w:t xml:space="preserve">. </w:t>
      </w:r>
      <w:r>
        <w:t>Lima, June 2001.</w:t>
      </w:r>
    </w:p>
  </w:footnote>
  <w:footnote w:id="44">
    <w:p w:rsidR="00000000" w:rsidRDefault="00000000">
      <w:pPr>
        <w:pStyle w:val="FootnoteText"/>
        <w:tabs>
          <w:tab w:val="clear" w:pos="720"/>
          <w:tab w:val="left" w:pos="340"/>
          <w:tab w:val="left" w:pos="737"/>
        </w:tabs>
        <w:jc w:val="left"/>
        <w:rPr>
          <w:lang w:val="pt-BR"/>
        </w:rPr>
      </w:pPr>
      <w:r>
        <w:tab/>
      </w:r>
      <w:r>
        <w:rPr>
          <w:rStyle w:val="FootnoteReference"/>
          <w:b/>
          <w:sz w:val="24"/>
        </w:rPr>
        <w:t>44</w:t>
      </w:r>
      <w:r>
        <w:rPr>
          <w:b/>
          <w:sz w:val="24"/>
        </w:rPr>
        <w:tab/>
      </w:r>
      <w:r>
        <w:rPr>
          <w:i/>
        </w:rPr>
        <w:t xml:space="preserve">La Exclusión Social en el Perú </w:t>
      </w:r>
      <w:r>
        <w:t xml:space="preserve">(Social Exclusion in Peru). </w:t>
      </w:r>
      <w:r>
        <w:rPr>
          <w:lang w:val="pt-BR"/>
        </w:rPr>
        <w:t>UNICEF. Lima, June 2001.</w:t>
      </w:r>
    </w:p>
  </w:footnote>
  <w:footnote w:id="45">
    <w:p w:rsidR="00000000" w:rsidRDefault="00000000">
      <w:pPr>
        <w:pStyle w:val="FootnoteText"/>
        <w:tabs>
          <w:tab w:val="clear" w:pos="720"/>
          <w:tab w:val="left" w:pos="340"/>
          <w:tab w:val="left" w:pos="737"/>
        </w:tabs>
        <w:spacing w:after="80"/>
        <w:jc w:val="left"/>
        <w:rPr>
          <w:lang w:val="en-GB"/>
        </w:rPr>
      </w:pPr>
      <w:r>
        <w:rPr>
          <w:lang w:val="en-GB"/>
        </w:rPr>
        <w:tab/>
      </w:r>
      <w:r>
        <w:rPr>
          <w:rStyle w:val="FootnoteReference"/>
          <w:b/>
          <w:sz w:val="24"/>
          <w:lang w:val="en-GB"/>
        </w:rPr>
        <w:t>45</w:t>
      </w:r>
      <w:r>
        <w:rPr>
          <w:b/>
          <w:sz w:val="24"/>
          <w:lang w:val="en-GB"/>
        </w:rPr>
        <w:tab/>
      </w:r>
      <w:r>
        <w:rPr>
          <w:lang w:val="en-GB"/>
        </w:rPr>
        <w:t xml:space="preserve">Outline of Education Policy 2001-2006. Ministry of Education. </w:t>
      </w:r>
      <w:r>
        <w:rPr>
          <w:i/>
          <w:lang w:val="pt-BR"/>
        </w:rPr>
        <w:t>Suplemento Educación para la Democracia.</w:t>
      </w:r>
      <w:r>
        <w:rPr>
          <w:lang w:val="pt-BR"/>
        </w:rPr>
        <w:t xml:space="preserve"> </w:t>
      </w:r>
      <w:r>
        <w:rPr>
          <w:lang w:val="en-GB"/>
        </w:rPr>
        <w:t>Lima, January 2002.</w:t>
      </w:r>
    </w:p>
  </w:footnote>
  <w:footnote w:id="46">
    <w:p w:rsidR="00000000" w:rsidRDefault="00000000">
      <w:pPr>
        <w:pStyle w:val="FootnoteText"/>
        <w:tabs>
          <w:tab w:val="clear" w:pos="720"/>
          <w:tab w:val="left" w:pos="340"/>
          <w:tab w:val="left" w:pos="737"/>
        </w:tabs>
        <w:spacing w:after="80"/>
        <w:jc w:val="left"/>
        <w:rPr>
          <w:lang w:val="en-GB"/>
        </w:rPr>
      </w:pPr>
      <w:r>
        <w:rPr>
          <w:lang w:val="en-GB"/>
        </w:rPr>
        <w:tab/>
      </w:r>
      <w:r>
        <w:rPr>
          <w:rStyle w:val="FootnoteReference"/>
          <w:b/>
          <w:sz w:val="24"/>
          <w:lang w:val="en-GB"/>
        </w:rPr>
        <w:t>46</w:t>
      </w:r>
      <w:r>
        <w:rPr>
          <w:b/>
          <w:sz w:val="24"/>
          <w:lang w:val="en-GB"/>
        </w:rPr>
        <w:tab/>
      </w:r>
      <w:r>
        <w:rPr>
          <w:i/>
          <w:lang w:val="en-GB"/>
        </w:rPr>
        <w:t>Agenda abierta para la educación de las niñas rurales</w:t>
      </w:r>
      <w:r>
        <w:rPr>
          <w:lang w:val="en-GB"/>
        </w:rPr>
        <w:t xml:space="preserve"> (Open agenda for the education of rural girls). National Network for Girls’ Education, 1999.</w:t>
      </w:r>
    </w:p>
  </w:footnote>
  <w:footnote w:id="47">
    <w:p w:rsidR="00000000" w:rsidRDefault="00000000">
      <w:pPr>
        <w:pStyle w:val="FootnoteText"/>
        <w:tabs>
          <w:tab w:val="clear" w:pos="720"/>
          <w:tab w:val="left" w:pos="340"/>
          <w:tab w:val="left" w:pos="737"/>
        </w:tabs>
        <w:spacing w:after="80"/>
        <w:rPr>
          <w:lang w:val="en-GB"/>
        </w:rPr>
      </w:pPr>
      <w:r>
        <w:rPr>
          <w:lang w:val="en-GB"/>
        </w:rPr>
        <w:tab/>
      </w:r>
      <w:r>
        <w:rPr>
          <w:rStyle w:val="FootnoteReference"/>
          <w:b/>
          <w:sz w:val="24"/>
          <w:lang w:val="en-GB"/>
        </w:rPr>
        <w:t>47</w:t>
      </w:r>
      <w:r>
        <w:rPr>
          <w:b/>
          <w:sz w:val="24"/>
          <w:lang w:val="en-GB"/>
        </w:rPr>
        <w:tab/>
      </w:r>
      <w:r>
        <w:rPr>
          <w:lang w:val="en-GB"/>
        </w:rPr>
        <w:t>Executive summary prepared by Teresa Tovar in collaboration with Ana María Robles, based on the text of the bill on promotion of the education of rural girls. National Network for Girls’ Education.</w:t>
      </w:r>
    </w:p>
  </w:footnote>
  <w:footnote w:id="48">
    <w:p w:rsidR="00000000" w:rsidRDefault="00000000">
      <w:pPr>
        <w:pStyle w:val="FootnoteText"/>
        <w:tabs>
          <w:tab w:val="clear" w:pos="720"/>
          <w:tab w:val="left" w:pos="340"/>
          <w:tab w:val="left" w:pos="737"/>
        </w:tabs>
        <w:rPr>
          <w:lang w:val="pt-BR"/>
        </w:rPr>
      </w:pPr>
      <w:r>
        <w:rPr>
          <w:lang w:val="en-GB"/>
        </w:rPr>
        <w:tab/>
      </w:r>
      <w:r>
        <w:rPr>
          <w:rStyle w:val="FootnoteReference"/>
          <w:b/>
          <w:sz w:val="24"/>
          <w:lang w:val="en-GB"/>
        </w:rPr>
        <w:t>48</w:t>
      </w:r>
      <w:r>
        <w:rPr>
          <w:b/>
          <w:sz w:val="24"/>
          <w:lang w:val="en-GB"/>
        </w:rPr>
        <w:tab/>
      </w:r>
      <w:r>
        <w:rPr>
          <w:lang w:val="en-GB"/>
        </w:rPr>
        <w:t xml:space="preserve">Demographic and Family Health Survey 2000. INEA and others. </w:t>
      </w:r>
      <w:r>
        <w:rPr>
          <w:lang w:val="pt-BR"/>
        </w:rPr>
        <w:t>Lima, June 2002.</w:t>
      </w:r>
    </w:p>
  </w:footnote>
  <w:footnote w:id="49">
    <w:p w:rsidR="00000000" w:rsidRDefault="00000000">
      <w:pPr>
        <w:pStyle w:val="FootnoteText"/>
        <w:tabs>
          <w:tab w:val="clear" w:pos="720"/>
          <w:tab w:val="left" w:pos="340"/>
          <w:tab w:val="left" w:pos="737"/>
        </w:tabs>
        <w:spacing w:after="80"/>
        <w:rPr>
          <w:lang w:val="en-GB"/>
        </w:rPr>
      </w:pPr>
      <w:r>
        <w:rPr>
          <w:lang w:val="pt-BR"/>
        </w:rPr>
        <w:tab/>
      </w:r>
      <w:r>
        <w:rPr>
          <w:rStyle w:val="FootnoteReference"/>
          <w:b/>
          <w:sz w:val="24"/>
          <w:lang w:val="pt-BR"/>
        </w:rPr>
        <w:t>49</w:t>
      </w:r>
      <w:r>
        <w:rPr>
          <w:b/>
          <w:sz w:val="24"/>
          <w:lang w:val="pt-BR"/>
        </w:rPr>
        <w:tab/>
      </w:r>
      <w:r>
        <w:rPr>
          <w:lang w:val="pt-BR"/>
        </w:rPr>
        <w:t xml:space="preserve">PNAI 2002-2010. </w:t>
      </w:r>
      <w:r>
        <w:rPr>
          <w:lang w:val="en-GB"/>
        </w:rPr>
        <w:t>Lima, June 2002.</w:t>
      </w:r>
    </w:p>
  </w:footnote>
  <w:footnote w:id="50">
    <w:p w:rsidR="00000000" w:rsidRDefault="00000000">
      <w:pPr>
        <w:pStyle w:val="FootnoteText"/>
        <w:tabs>
          <w:tab w:val="clear" w:pos="720"/>
          <w:tab w:val="left" w:pos="340"/>
          <w:tab w:val="left" w:pos="737"/>
        </w:tabs>
        <w:rPr>
          <w:lang w:val="en-GB"/>
        </w:rPr>
      </w:pPr>
      <w:r>
        <w:rPr>
          <w:lang w:val="en-GB"/>
        </w:rPr>
        <w:tab/>
      </w:r>
      <w:r>
        <w:rPr>
          <w:rStyle w:val="FootnoteReference"/>
          <w:b/>
          <w:sz w:val="24"/>
          <w:lang w:val="en-GB"/>
        </w:rPr>
        <w:t>50</w:t>
      </w:r>
      <w:r>
        <w:rPr>
          <w:b/>
          <w:sz w:val="24"/>
          <w:lang w:val="en-GB"/>
        </w:rPr>
        <w:tab/>
      </w:r>
      <w:r>
        <w:rPr>
          <w:lang w:val="en-GB"/>
        </w:rPr>
        <w:t xml:space="preserve">Published in </w:t>
      </w:r>
      <w:r>
        <w:rPr>
          <w:i/>
          <w:lang w:val="en-GB"/>
        </w:rPr>
        <w:t>El Peruano</w:t>
      </w:r>
      <w:r>
        <w:rPr>
          <w:lang w:val="en-GB"/>
        </w:rPr>
        <w:t xml:space="preserve"> on Friday, 23 November 2001.</w:t>
      </w:r>
    </w:p>
  </w:footnote>
  <w:footnote w:id="51">
    <w:p w:rsidR="00000000" w:rsidRDefault="00000000">
      <w:pPr>
        <w:pStyle w:val="FootnoteText"/>
        <w:tabs>
          <w:tab w:val="clear" w:pos="720"/>
          <w:tab w:val="left" w:pos="340"/>
          <w:tab w:val="left" w:pos="737"/>
        </w:tabs>
        <w:spacing w:after="80"/>
        <w:rPr>
          <w:lang w:val="en-GB"/>
        </w:rPr>
      </w:pPr>
      <w:r>
        <w:rPr>
          <w:lang w:val="en-GB"/>
        </w:rPr>
        <w:tab/>
      </w:r>
      <w:r>
        <w:rPr>
          <w:rStyle w:val="FootnoteReference"/>
          <w:b/>
          <w:sz w:val="24"/>
          <w:lang w:val="en-GB"/>
        </w:rPr>
        <w:t>51</w:t>
      </w:r>
      <w:r>
        <w:rPr>
          <w:b/>
          <w:sz w:val="24"/>
          <w:lang w:val="en-GB"/>
        </w:rPr>
        <w:tab/>
      </w:r>
      <w:r>
        <w:rPr>
          <w:i/>
          <w:lang w:val="en-GB"/>
        </w:rPr>
        <w:t>Idem.</w:t>
      </w:r>
    </w:p>
  </w:footnote>
  <w:footnote w:id="52">
    <w:p w:rsidR="00000000" w:rsidRDefault="00000000">
      <w:pPr>
        <w:pStyle w:val="FootnoteText"/>
        <w:tabs>
          <w:tab w:val="clear" w:pos="720"/>
          <w:tab w:val="left" w:pos="340"/>
          <w:tab w:val="left" w:pos="737"/>
        </w:tabs>
        <w:spacing w:after="80"/>
        <w:rPr>
          <w:lang w:val="en-GB"/>
        </w:rPr>
      </w:pPr>
      <w:r>
        <w:rPr>
          <w:lang w:val="en-GB"/>
        </w:rPr>
        <w:tab/>
      </w:r>
      <w:r>
        <w:rPr>
          <w:rStyle w:val="FootnoteReference"/>
          <w:b/>
          <w:sz w:val="24"/>
          <w:lang w:val="en-GB"/>
        </w:rPr>
        <w:t>52</w:t>
      </w:r>
      <w:r>
        <w:rPr>
          <w:b/>
          <w:sz w:val="24"/>
          <w:lang w:val="en-GB"/>
        </w:rPr>
        <w:tab/>
      </w:r>
      <w:r>
        <w:rPr>
          <w:lang w:val="en-GB"/>
        </w:rPr>
        <w:t>INEI web page.</w:t>
      </w:r>
    </w:p>
  </w:footnote>
  <w:footnote w:id="53">
    <w:p w:rsidR="00000000" w:rsidRDefault="00000000">
      <w:pPr>
        <w:pStyle w:val="FootnoteText"/>
        <w:tabs>
          <w:tab w:val="clear" w:pos="720"/>
          <w:tab w:val="left" w:pos="340"/>
          <w:tab w:val="left" w:pos="737"/>
        </w:tabs>
        <w:rPr>
          <w:lang w:val="nl-NL"/>
        </w:rPr>
      </w:pPr>
      <w:r>
        <w:rPr>
          <w:lang w:val="en-GB"/>
        </w:rPr>
        <w:tab/>
      </w:r>
      <w:r>
        <w:rPr>
          <w:rStyle w:val="FootnoteReference"/>
          <w:b/>
          <w:sz w:val="24"/>
          <w:lang w:val="en-GB"/>
        </w:rPr>
        <w:t>53</w:t>
      </w:r>
      <w:r>
        <w:rPr>
          <w:b/>
          <w:sz w:val="24"/>
          <w:lang w:val="en-GB"/>
        </w:rPr>
        <w:tab/>
      </w:r>
      <w:r>
        <w:rPr>
          <w:lang w:val="en-GB"/>
        </w:rPr>
        <w:t xml:space="preserve">Webb, Richard and Graciela Fernández. </w:t>
      </w:r>
      <w:r>
        <w:rPr>
          <w:i/>
          <w:lang w:val="nl-NL"/>
        </w:rPr>
        <w:t>Op. cit.</w:t>
      </w:r>
    </w:p>
  </w:footnote>
  <w:footnote w:id="54">
    <w:p w:rsidR="00000000" w:rsidRDefault="00000000">
      <w:pPr>
        <w:pStyle w:val="FootnoteText"/>
        <w:tabs>
          <w:tab w:val="clear" w:pos="720"/>
          <w:tab w:val="left" w:pos="340"/>
          <w:tab w:val="left" w:pos="737"/>
        </w:tabs>
        <w:spacing w:after="80"/>
        <w:rPr>
          <w:lang w:val="en-GB"/>
        </w:rPr>
      </w:pPr>
      <w:r>
        <w:rPr>
          <w:lang w:val="en-GB"/>
        </w:rPr>
        <w:tab/>
      </w:r>
      <w:r>
        <w:rPr>
          <w:rStyle w:val="FootnoteReference"/>
          <w:b/>
          <w:sz w:val="24"/>
          <w:lang w:val="en-GB"/>
        </w:rPr>
        <w:t>54</w:t>
      </w:r>
      <w:r>
        <w:rPr>
          <w:b/>
          <w:sz w:val="24"/>
          <w:lang w:val="en-GB"/>
        </w:rPr>
        <w:tab/>
      </w:r>
      <w:r>
        <w:rPr>
          <w:lang w:val="en-GB"/>
        </w:rPr>
        <w:t>PNAI 2002-2010. Lima, June 2002.</w:t>
      </w:r>
    </w:p>
  </w:footnote>
  <w:footnote w:id="55">
    <w:p w:rsidR="00000000" w:rsidRDefault="00000000">
      <w:pPr>
        <w:pStyle w:val="FootnoteText"/>
        <w:tabs>
          <w:tab w:val="clear" w:pos="720"/>
          <w:tab w:val="left" w:pos="340"/>
          <w:tab w:val="left" w:pos="737"/>
        </w:tabs>
        <w:spacing w:after="80"/>
        <w:jc w:val="left"/>
        <w:rPr>
          <w:lang w:val="en-GB"/>
        </w:rPr>
      </w:pPr>
      <w:r>
        <w:rPr>
          <w:lang w:val="en-GB"/>
        </w:rPr>
        <w:tab/>
      </w:r>
      <w:r>
        <w:rPr>
          <w:rStyle w:val="FootnoteReference"/>
          <w:b/>
          <w:sz w:val="24"/>
          <w:lang w:val="en-GB"/>
        </w:rPr>
        <w:t>55</w:t>
      </w:r>
      <w:r>
        <w:rPr>
          <w:b/>
          <w:sz w:val="24"/>
          <w:lang w:val="en-GB"/>
        </w:rPr>
        <w:tab/>
      </w:r>
      <w:r>
        <w:rPr>
          <w:i/>
          <w:lang w:val="en-GB"/>
        </w:rPr>
        <w:t>Para Conocer e Informar</w:t>
      </w:r>
      <w:r>
        <w:rPr>
          <w:lang w:val="en-GB"/>
        </w:rPr>
        <w:t xml:space="preserve"> (To know and to report). Handbook on HIV and AIDS for journalists. </w:t>
      </w:r>
      <w:r>
        <w:rPr>
          <w:lang w:val="nl-NL"/>
        </w:rPr>
        <w:t xml:space="preserve">AIDS Netwok Peru. </w:t>
      </w:r>
      <w:r>
        <w:rPr>
          <w:lang w:val="en-GB"/>
        </w:rPr>
        <w:t>Second edition, 2001.</w:t>
      </w:r>
    </w:p>
  </w:footnote>
  <w:footnote w:id="56">
    <w:p w:rsidR="00000000" w:rsidRDefault="00000000">
      <w:pPr>
        <w:pStyle w:val="FootnoteText"/>
        <w:tabs>
          <w:tab w:val="clear" w:pos="720"/>
          <w:tab w:val="left" w:pos="340"/>
          <w:tab w:val="left" w:pos="737"/>
        </w:tabs>
        <w:spacing w:after="80"/>
        <w:jc w:val="left"/>
        <w:rPr>
          <w:lang w:val="en-GB"/>
        </w:rPr>
      </w:pPr>
      <w:r>
        <w:rPr>
          <w:lang w:val="en-GB"/>
        </w:rPr>
        <w:tab/>
      </w:r>
      <w:r>
        <w:rPr>
          <w:rStyle w:val="FootnoteReference"/>
          <w:b/>
          <w:sz w:val="24"/>
          <w:lang w:val="en-GB"/>
        </w:rPr>
        <w:t>56</w:t>
      </w:r>
      <w:r>
        <w:rPr>
          <w:b/>
          <w:sz w:val="24"/>
          <w:lang w:val="en-GB"/>
        </w:rPr>
        <w:tab/>
      </w:r>
      <w:r>
        <w:rPr>
          <w:lang w:val="en-GB"/>
        </w:rPr>
        <w:t>Information taken from the preliminary report on the consultation on “Systematic organization of statistics on adolescent pregnancy, adolescent gang culture, and drug use by adolescents”.</w:t>
      </w:r>
    </w:p>
  </w:footnote>
  <w:footnote w:id="57">
    <w:p w:rsidR="00000000" w:rsidRDefault="00000000">
      <w:pPr>
        <w:pStyle w:val="FootnoteText"/>
        <w:tabs>
          <w:tab w:val="clear" w:pos="720"/>
          <w:tab w:val="left" w:pos="340"/>
          <w:tab w:val="left" w:pos="737"/>
        </w:tabs>
        <w:jc w:val="left"/>
      </w:pPr>
      <w:r>
        <w:rPr>
          <w:lang w:val="en-GB"/>
        </w:rPr>
        <w:tab/>
      </w:r>
      <w:r>
        <w:rPr>
          <w:rStyle w:val="FootnoteReference"/>
          <w:b/>
          <w:sz w:val="24"/>
          <w:lang w:val="en-GB"/>
        </w:rPr>
        <w:t>57</w:t>
      </w:r>
      <w:r>
        <w:rPr>
          <w:b/>
          <w:sz w:val="24"/>
          <w:lang w:val="en-GB"/>
        </w:rPr>
        <w:tab/>
      </w:r>
      <w:r>
        <w:rPr>
          <w:lang w:val="en-GB"/>
        </w:rPr>
        <w:t xml:space="preserve">National Survey of Drug Prevention and Use. Commission to Combat Drug Use (CONTRADROGAS), Prevention and Rehabilitation Unit. </w:t>
      </w:r>
      <w:r>
        <w:t>Second edition, November 2000.</w:t>
      </w:r>
    </w:p>
  </w:footnote>
  <w:footnote w:id="58">
    <w:p w:rsidR="00000000" w:rsidRDefault="00000000">
      <w:pPr>
        <w:pStyle w:val="FootnoteText"/>
        <w:tabs>
          <w:tab w:val="clear" w:pos="720"/>
          <w:tab w:val="left" w:pos="340"/>
          <w:tab w:val="left" w:pos="737"/>
        </w:tabs>
        <w:spacing w:after="80"/>
      </w:pPr>
      <w:r>
        <w:tab/>
      </w:r>
      <w:r>
        <w:rPr>
          <w:rStyle w:val="FootnoteReference"/>
          <w:b/>
          <w:sz w:val="24"/>
        </w:rPr>
        <w:t>58</w:t>
      </w:r>
      <w:r>
        <w:rPr>
          <w:b/>
          <w:sz w:val="24"/>
        </w:rPr>
        <w:tab/>
      </w:r>
      <w:r>
        <w:rPr>
          <w:i/>
        </w:rPr>
        <w:t>Idem.</w:t>
      </w:r>
    </w:p>
  </w:footnote>
  <w:footnote w:id="59">
    <w:p w:rsidR="00000000" w:rsidRDefault="00000000">
      <w:pPr>
        <w:pStyle w:val="FootnoteText"/>
        <w:tabs>
          <w:tab w:val="clear" w:pos="720"/>
          <w:tab w:val="left" w:pos="340"/>
          <w:tab w:val="left" w:pos="737"/>
        </w:tabs>
        <w:spacing w:after="80"/>
      </w:pPr>
      <w:r>
        <w:tab/>
      </w:r>
      <w:r>
        <w:rPr>
          <w:rStyle w:val="FootnoteReference"/>
          <w:b/>
          <w:sz w:val="24"/>
        </w:rPr>
        <w:t>59</w:t>
      </w:r>
      <w:r>
        <w:rPr>
          <w:b/>
          <w:sz w:val="24"/>
        </w:rPr>
        <w:tab/>
      </w:r>
      <w:r>
        <w:t>PNAI 2002-2010. Lima, June 2002.</w:t>
      </w:r>
    </w:p>
  </w:footnote>
  <w:footnote w:id="60">
    <w:p w:rsidR="00000000" w:rsidRDefault="00000000">
      <w:pPr>
        <w:pStyle w:val="FootnoteText"/>
        <w:tabs>
          <w:tab w:val="clear" w:pos="720"/>
          <w:tab w:val="left" w:pos="340"/>
          <w:tab w:val="left" w:pos="737"/>
        </w:tabs>
        <w:rPr>
          <w:i/>
          <w:lang w:val="en-GB"/>
        </w:rPr>
      </w:pPr>
      <w:r>
        <w:rPr>
          <w:lang w:val="en-GB"/>
        </w:rPr>
        <w:tab/>
      </w:r>
      <w:r>
        <w:rPr>
          <w:rStyle w:val="FootnoteReference"/>
          <w:b/>
          <w:sz w:val="24"/>
          <w:lang w:val="en-GB"/>
        </w:rPr>
        <w:t>60</w:t>
      </w:r>
      <w:r>
        <w:rPr>
          <w:b/>
          <w:sz w:val="24"/>
          <w:lang w:val="en-GB"/>
        </w:rPr>
        <w:tab/>
      </w:r>
      <w:r>
        <w:rPr>
          <w:i/>
          <w:lang w:val="en-GB"/>
        </w:rPr>
        <w:t>Idem.</w:t>
      </w:r>
    </w:p>
  </w:footnote>
  <w:footnote w:id="61">
    <w:p w:rsidR="00000000" w:rsidRDefault="00000000">
      <w:pPr>
        <w:pStyle w:val="FootnoteText"/>
        <w:tabs>
          <w:tab w:val="clear" w:pos="720"/>
          <w:tab w:val="left" w:pos="340"/>
          <w:tab w:val="left" w:pos="737"/>
        </w:tabs>
        <w:spacing w:after="80"/>
        <w:rPr>
          <w:lang w:val="en-GB"/>
        </w:rPr>
      </w:pPr>
      <w:r>
        <w:rPr>
          <w:lang w:val="en-GB"/>
        </w:rPr>
        <w:tab/>
      </w:r>
      <w:r>
        <w:rPr>
          <w:rStyle w:val="FootnoteReference"/>
          <w:b/>
          <w:sz w:val="24"/>
          <w:lang w:val="en-GB"/>
        </w:rPr>
        <w:t>61</w:t>
      </w:r>
      <w:r>
        <w:rPr>
          <w:b/>
          <w:sz w:val="24"/>
          <w:lang w:val="en-GB"/>
        </w:rPr>
        <w:tab/>
      </w:r>
      <w:r>
        <w:rPr>
          <w:lang w:val="en-GB"/>
        </w:rPr>
        <w:t>The PAR was established under MIMDES to attend to the people affected by the violence.</w:t>
      </w:r>
    </w:p>
  </w:footnote>
  <w:footnote w:id="62">
    <w:p w:rsidR="00000000" w:rsidRDefault="00000000">
      <w:pPr>
        <w:pStyle w:val="FootnoteText"/>
        <w:tabs>
          <w:tab w:val="clear" w:pos="720"/>
          <w:tab w:val="left" w:pos="340"/>
          <w:tab w:val="left" w:pos="737"/>
        </w:tabs>
        <w:spacing w:after="80"/>
        <w:rPr>
          <w:lang w:val="en-GB"/>
        </w:rPr>
      </w:pPr>
      <w:r>
        <w:rPr>
          <w:lang w:val="en-GB"/>
        </w:rPr>
        <w:tab/>
      </w:r>
      <w:r>
        <w:rPr>
          <w:rStyle w:val="FootnoteReference"/>
          <w:b/>
          <w:sz w:val="24"/>
          <w:lang w:val="en-GB"/>
        </w:rPr>
        <w:t>62</w:t>
      </w:r>
      <w:r>
        <w:rPr>
          <w:b/>
          <w:sz w:val="24"/>
          <w:lang w:val="en-GB"/>
        </w:rPr>
        <w:tab/>
      </w:r>
      <w:r>
        <w:rPr>
          <w:lang w:val="en-GB"/>
        </w:rPr>
        <w:t>Information taken from Report No. 147-2002-PROMUDEH-PAR dated 19 March 2002.</w:t>
      </w:r>
    </w:p>
  </w:footnote>
  <w:footnote w:id="63">
    <w:p w:rsidR="00000000" w:rsidRDefault="00000000">
      <w:pPr>
        <w:pStyle w:val="FootnoteText"/>
        <w:tabs>
          <w:tab w:val="clear" w:pos="720"/>
          <w:tab w:val="left" w:pos="340"/>
          <w:tab w:val="left" w:pos="737"/>
        </w:tabs>
        <w:spacing w:after="80"/>
        <w:rPr>
          <w:lang w:val="en-GB"/>
        </w:rPr>
      </w:pPr>
      <w:r>
        <w:rPr>
          <w:lang w:val="en-GB"/>
        </w:rPr>
        <w:tab/>
      </w:r>
      <w:r>
        <w:rPr>
          <w:rStyle w:val="FootnoteReference"/>
          <w:b/>
          <w:sz w:val="24"/>
          <w:lang w:val="en-GB"/>
        </w:rPr>
        <w:t>63</w:t>
      </w:r>
      <w:r>
        <w:rPr>
          <w:b/>
          <w:sz w:val="24"/>
          <w:lang w:val="en-GB"/>
        </w:rPr>
        <w:tab/>
      </w:r>
      <w:r>
        <w:rPr>
          <w:i/>
          <w:lang w:val="en-GB"/>
        </w:rPr>
        <w:t>Idem.</w:t>
      </w:r>
    </w:p>
  </w:footnote>
  <w:footnote w:id="64">
    <w:p w:rsidR="00000000" w:rsidRDefault="00000000">
      <w:pPr>
        <w:pStyle w:val="FootnoteText"/>
        <w:tabs>
          <w:tab w:val="clear" w:pos="720"/>
          <w:tab w:val="left" w:pos="340"/>
          <w:tab w:val="left" w:pos="737"/>
        </w:tabs>
        <w:spacing w:after="80"/>
        <w:rPr>
          <w:i/>
          <w:lang w:val="en-GB"/>
        </w:rPr>
      </w:pPr>
      <w:r>
        <w:rPr>
          <w:lang w:val="en-GB"/>
        </w:rPr>
        <w:tab/>
      </w:r>
      <w:r>
        <w:rPr>
          <w:rStyle w:val="FootnoteReference"/>
          <w:b/>
          <w:sz w:val="24"/>
          <w:lang w:val="en-GB"/>
        </w:rPr>
        <w:t>64</w:t>
      </w:r>
      <w:r>
        <w:rPr>
          <w:b/>
          <w:sz w:val="24"/>
          <w:lang w:val="en-GB"/>
        </w:rPr>
        <w:tab/>
      </w:r>
      <w:r>
        <w:rPr>
          <w:lang w:val="en-GB"/>
        </w:rPr>
        <w:t xml:space="preserve">UNICEF. </w:t>
      </w:r>
      <w:r>
        <w:rPr>
          <w:i/>
          <w:lang w:val="en-GB"/>
        </w:rPr>
        <w:t>Op. cit.</w:t>
      </w:r>
    </w:p>
  </w:footnote>
  <w:footnote w:id="65">
    <w:p w:rsidR="00000000" w:rsidRDefault="00000000">
      <w:pPr>
        <w:pStyle w:val="FootnoteText"/>
        <w:tabs>
          <w:tab w:val="clear" w:pos="720"/>
          <w:tab w:val="left" w:pos="340"/>
          <w:tab w:val="left" w:pos="737"/>
        </w:tabs>
        <w:spacing w:after="80"/>
        <w:rPr>
          <w:lang w:val="en-GB"/>
        </w:rPr>
      </w:pPr>
      <w:r>
        <w:rPr>
          <w:lang w:val="en-GB"/>
        </w:rPr>
        <w:tab/>
      </w:r>
      <w:r>
        <w:rPr>
          <w:rStyle w:val="FootnoteReference"/>
          <w:b/>
          <w:sz w:val="24"/>
          <w:lang w:val="en-GB"/>
        </w:rPr>
        <w:t>65</w:t>
      </w:r>
      <w:r>
        <w:rPr>
          <w:b/>
          <w:sz w:val="24"/>
          <w:lang w:val="en-GB"/>
        </w:rPr>
        <w:tab/>
      </w:r>
      <w:r>
        <w:rPr>
          <w:lang w:val="en-GB"/>
        </w:rPr>
        <w:t>Report on sectoral targets attained in the first 150 days. Office of the President of the Council of Ministers. Lima, December 2001.</w:t>
      </w:r>
    </w:p>
  </w:footnote>
  <w:footnote w:id="66">
    <w:p w:rsidR="00000000" w:rsidRDefault="00000000">
      <w:pPr>
        <w:pStyle w:val="FootnoteText"/>
        <w:tabs>
          <w:tab w:val="clear" w:pos="720"/>
          <w:tab w:val="left" w:pos="340"/>
          <w:tab w:val="left" w:pos="737"/>
        </w:tabs>
        <w:spacing w:after="80"/>
        <w:rPr>
          <w:lang w:val="en-GB"/>
        </w:rPr>
      </w:pPr>
      <w:r>
        <w:rPr>
          <w:lang w:val="en-GB"/>
        </w:rPr>
        <w:tab/>
      </w:r>
      <w:r>
        <w:rPr>
          <w:rStyle w:val="FootnoteReference"/>
          <w:b/>
          <w:sz w:val="24"/>
          <w:lang w:val="en-GB"/>
        </w:rPr>
        <w:t>66</w:t>
      </w:r>
      <w:r>
        <w:rPr>
          <w:b/>
          <w:sz w:val="24"/>
          <w:lang w:val="en-GB"/>
        </w:rPr>
        <w:tab/>
      </w:r>
      <w:r>
        <w:rPr>
          <w:i/>
          <w:lang w:val="en-GB"/>
        </w:rPr>
        <w:t>Idem.</w:t>
      </w:r>
    </w:p>
  </w:footnote>
  <w:footnote w:id="67">
    <w:p w:rsidR="00000000" w:rsidRDefault="00000000">
      <w:pPr>
        <w:pStyle w:val="FootnoteText"/>
        <w:tabs>
          <w:tab w:val="clear" w:pos="720"/>
          <w:tab w:val="left" w:pos="340"/>
          <w:tab w:val="left" w:pos="737"/>
        </w:tabs>
        <w:spacing w:after="80"/>
        <w:rPr>
          <w:lang w:val="en-GB"/>
        </w:rPr>
      </w:pPr>
      <w:r>
        <w:rPr>
          <w:lang w:val="en-GB"/>
        </w:rPr>
        <w:tab/>
      </w:r>
      <w:r>
        <w:rPr>
          <w:rStyle w:val="FootnoteReference"/>
          <w:b/>
          <w:sz w:val="24"/>
          <w:lang w:val="en-GB"/>
        </w:rPr>
        <w:t>67</w:t>
      </w:r>
      <w:r>
        <w:rPr>
          <w:b/>
          <w:sz w:val="24"/>
          <w:lang w:val="en-GB"/>
        </w:rPr>
        <w:tab/>
      </w:r>
      <w:r>
        <w:rPr>
          <w:lang w:val="en-GB"/>
        </w:rPr>
        <w:t>Calculated on the basis of the paper “</w:t>
      </w:r>
      <w:r>
        <w:rPr>
          <w:i/>
          <w:lang w:val="en-GB"/>
        </w:rPr>
        <w:t>Perú: Perfil Socio-Demográfico de la Polación Discapacitada</w:t>
      </w:r>
      <w:r>
        <w:rPr>
          <w:lang w:val="en-GB"/>
        </w:rPr>
        <w:t>” (Peru: Socio-Demographic Profile of the Disabled Population). INEI, February 1996.</w:t>
      </w:r>
    </w:p>
  </w:footnote>
  <w:footnote w:id="68">
    <w:p w:rsidR="00000000" w:rsidRDefault="00000000">
      <w:pPr>
        <w:pStyle w:val="FootnoteText"/>
        <w:tabs>
          <w:tab w:val="clear" w:pos="720"/>
          <w:tab w:val="left" w:pos="340"/>
          <w:tab w:val="left" w:pos="737"/>
        </w:tabs>
        <w:spacing w:after="80"/>
        <w:rPr>
          <w:lang w:val="nl-NL"/>
        </w:rPr>
      </w:pPr>
      <w:r>
        <w:rPr>
          <w:lang w:val="en-GB"/>
        </w:rPr>
        <w:tab/>
      </w:r>
      <w:r>
        <w:rPr>
          <w:rStyle w:val="FootnoteReference"/>
          <w:b/>
          <w:sz w:val="24"/>
          <w:lang w:val="en-GB"/>
        </w:rPr>
        <w:t>68</w:t>
      </w:r>
      <w:r>
        <w:rPr>
          <w:b/>
          <w:sz w:val="24"/>
          <w:lang w:val="en-GB"/>
        </w:rPr>
        <w:tab/>
      </w:r>
      <w:r>
        <w:rPr>
          <w:lang w:val="en-GB"/>
        </w:rPr>
        <w:t xml:space="preserve">Webb, Richard and Graciela Fernández. </w:t>
      </w:r>
      <w:r>
        <w:rPr>
          <w:i/>
          <w:lang w:val="nl-NL"/>
        </w:rPr>
        <w:t>Op. cit.</w:t>
      </w:r>
    </w:p>
  </w:footnote>
  <w:footnote w:id="69">
    <w:p w:rsidR="00000000" w:rsidRDefault="00000000">
      <w:pPr>
        <w:pStyle w:val="FootnoteText"/>
        <w:tabs>
          <w:tab w:val="clear" w:pos="720"/>
          <w:tab w:val="left" w:pos="340"/>
          <w:tab w:val="left" w:pos="737"/>
        </w:tabs>
        <w:spacing w:after="80"/>
        <w:rPr>
          <w:lang w:val="pt-BR"/>
        </w:rPr>
      </w:pPr>
      <w:r>
        <w:rPr>
          <w:lang w:val="nl-NL"/>
        </w:rPr>
        <w:tab/>
      </w:r>
      <w:r>
        <w:rPr>
          <w:rStyle w:val="FootnoteReference"/>
          <w:b/>
          <w:sz w:val="24"/>
          <w:lang w:val="nl-NL"/>
        </w:rPr>
        <w:t>69</w:t>
      </w:r>
      <w:r>
        <w:rPr>
          <w:b/>
          <w:sz w:val="24"/>
          <w:lang w:val="nl-NL"/>
        </w:rPr>
        <w:tab/>
      </w:r>
      <w:r>
        <w:rPr>
          <w:lang w:val="nl-NL"/>
        </w:rPr>
        <w:t xml:space="preserve">PNAI 2002-2010. </w:t>
      </w:r>
      <w:r>
        <w:rPr>
          <w:lang w:val="pt-BR"/>
        </w:rPr>
        <w:t>Lima, June 2002.</w:t>
      </w:r>
    </w:p>
  </w:footnote>
  <w:footnote w:id="70">
    <w:p w:rsidR="00000000" w:rsidRDefault="00000000">
      <w:pPr>
        <w:pStyle w:val="FootnoteText"/>
        <w:tabs>
          <w:tab w:val="clear" w:pos="720"/>
          <w:tab w:val="left" w:pos="340"/>
          <w:tab w:val="left" w:pos="737"/>
        </w:tabs>
        <w:spacing w:after="80"/>
        <w:rPr>
          <w:lang w:val="en-GB"/>
        </w:rPr>
      </w:pPr>
      <w:r>
        <w:rPr>
          <w:lang w:val="en-GB"/>
        </w:rPr>
        <w:tab/>
      </w:r>
      <w:r>
        <w:rPr>
          <w:rStyle w:val="FootnoteReference"/>
          <w:b/>
          <w:sz w:val="24"/>
          <w:lang w:val="en-GB"/>
        </w:rPr>
        <w:t>70</w:t>
      </w:r>
      <w:r>
        <w:rPr>
          <w:b/>
          <w:sz w:val="24"/>
          <w:lang w:val="en-GB"/>
        </w:rPr>
        <w:tab/>
      </w:r>
      <w:r>
        <w:rPr>
          <w:i/>
          <w:lang w:val="en-GB"/>
        </w:rPr>
        <w:t>Idem.</w:t>
      </w:r>
    </w:p>
  </w:footnote>
  <w:footnote w:id="71">
    <w:p w:rsidR="00000000" w:rsidRDefault="00000000">
      <w:pPr>
        <w:pStyle w:val="FootnoteText"/>
        <w:tabs>
          <w:tab w:val="clear" w:pos="720"/>
          <w:tab w:val="left" w:pos="340"/>
          <w:tab w:val="left" w:pos="737"/>
        </w:tabs>
        <w:spacing w:after="80"/>
        <w:rPr>
          <w:lang w:val="en-GB"/>
        </w:rPr>
      </w:pPr>
      <w:r>
        <w:rPr>
          <w:lang w:val="en-GB"/>
        </w:rPr>
        <w:tab/>
      </w:r>
      <w:r>
        <w:rPr>
          <w:rStyle w:val="FootnoteReference"/>
          <w:b/>
          <w:sz w:val="24"/>
          <w:lang w:val="en-GB"/>
        </w:rPr>
        <w:t>71</w:t>
      </w:r>
      <w:r>
        <w:rPr>
          <w:b/>
          <w:sz w:val="24"/>
          <w:lang w:val="en-GB"/>
        </w:rPr>
        <w:tab/>
      </w:r>
      <w:r>
        <w:rPr>
          <w:lang w:val="en-GB"/>
        </w:rPr>
        <w:t>Adoptions Office, Division for the Welfare of Children and Adolescents - MIMDES.</w:t>
      </w:r>
    </w:p>
  </w:footnote>
  <w:footnote w:id="72">
    <w:p w:rsidR="00000000" w:rsidRDefault="00000000">
      <w:pPr>
        <w:pStyle w:val="FootnoteText"/>
        <w:tabs>
          <w:tab w:val="clear" w:pos="720"/>
          <w:tab w:val="left" w:pos="340"/>
          <w:tab w:val="left" w:pos="737"/>
        </w:tabs>
        <w:rPr>
          <w:lang w:val="en-GB"/>
        </w:rPr>
      </w:pPr>
      <w:r>
        <w:rPr>
          <w:lang w:val="en-GB"/>
        </w:rPr>
        <w:tab/>
      </w:r>
      <w:r>
        <w:rPr>
          <w:rStyle w:val="FootnoteReference"/>
          <w:b/>
          <w:sz w:val="24"/>
          <w:lang w:val="en-GB"/>
        </w:rPr>
        <w:t>72</w:t>
      </w:r>
      <w:r>
        <w:rPr>
          <w:b/>
          <w:sz w:val="24"/>
          <w:lang w:val="en-GB"/>
        </w:rPr>
        <w:tab/>
      </w:r>
      <w:r>
        <w:rPr>
          <w:lang w:val="en-GB"/>
        </w:rPr>
        <w:t>National Household Survey of Living Conditions and Poverty, 2001 - Fourth Quarter. INEI.</w:t>
      </w:r>
    </w:p>
  </w:footnote>
  <w:footnote w:id="73">
    <w:p w:rsidR="00000000" w:rsidRDefault="00000000">
      <w:pPr>
        <w:pStyle w:val="FootnoteText"/>
        <w:tabs>
          <w:tab w:val="clear" w:pos="720"/>
          <w:tab w:val="left" w:pos="340"/>
          <w:tab w:val="left" w:pos="737"/>
        </w:tabs>
        <w:spacing w:after="80"/>
        <w:rPr>
          <w:lang w:val="en-GB"/>
        </w:rPr>
      </w:pPr>
      <w:r>
        <w:rPr>
          <w:lang w:val="en-GB"/>
        </w:rPr>
        <w:tab/>
      </w:r>
      <w:r>
        <w:rPr>
          <w:rStyle w:val="FootnoteReference"/>
          <w:b/>
          <w:sz w:val="24"/>
          <w:lang w:val="en-GB"/>
        </w:rPr>
        <w:t>73</w:t>
      </w:r>
      <w:r>
        <w:rPr>
          <w:b/>
          <w:sz w:val="24"/>
          <w:lang w:val="en-GB"/>
        </w:rPr>
        <w:tab/>
      </w:r>
      <w:r>
        <w:rPr>
          <w:lang w:val="en-GB"/>
        </w:rPr>
        <w:t xml:space="preserve">ILO. International Programme on the Elimination of Child Labour. </w:t>
      </w:r>
      <w:r>
        <w:rPr>
          <w:i/>
          <w:lang w:val="pt-BR"/>
        </w:rPr>
        <w:t>El Trabajo Infantil en el Perú: Qué está pasando?</w:t>
      </w:r>
      <w:r>
        <w:rPr>
          <w:lang w:val="pt-BR"/>
        </w:rPr>
        <w:t xml:space="preserve"> </w:t>
      </w:r>
      <w:r>
        <w:rPr>
          <w:lang w:val="en-GB"/>
        </w:rPr>
        <w:t xml:space="preserve">(Child Labour in Peru: What’s happening?). </w:t>
      </w:r>
    </w:p>
  </w:footnote>
  <w:footnote w:id="74">
    <w:p w:rsidR="00000000" w:rsidRDefault="00000000">
      <w:pPr>
        <w:pStyle w:val="FootnoteText"/>
        <w:tabs>
          <w:tab w:val="clear" w:pos="720"/>
          <w:tab w:val="left" w:pos="340"/>
          <w:tab w:val="left" w:pos="737"/>
        </w:tabs>
        <w:spacing w:after="80"/>
        <w:rPr>
          <w:lang w:val="pt-BR"/>
        </w:rPr>
      </w:pPr>
      <w:r>
        <w:rPr>
          <w:lang w:val="pt-BR"/>
        </w:rPr>
        <w:tab/>
      </w:r>
      <w:r>
        <w:rPr>
          <w:rStyle w:val="FootnoteReference"/>
          <w:b/>
          <w:sz w:val="24"/>
          <w:lang w:val="pt-BR"/>
        </w:rPr>
        <w:t>74</w:t>
      </w:r>
      <w:r>
        <w:rPr>
          <w:b/>
          <w:sz w:val="24"/>
          <w:lang w:val="pt-BR"/>
        </w:rPr>
        <w:tab/>
      </w:r>
      <w:r>
        <w:rPr>
          <w:i/>
          <w:lang w:val="pt-BR"/>
        </w:rPr>
        <w:t>Idem.</w:t>
      </w:r>
    </w:p>
  </w:footnote>
  <w:footnote w:id="75">
    <w:p w:rsidR="00000000" w:rsidRDefault="00000000">
      <w:pPr>
        <w:pStyle w:val="FootnoteText"/>
        <w:tabs>
          <w:tab w:val="clear" w:pos="720"/>
          <w:tab w:val="left" w:pos="340"/>
          <w:tab w:val="left" w:pos="737"/>
        </w:tabs>
        <w:spacing w:after="80"/>
        <w:rPr>
          <w:lang w:val="pt-BR"/>
        </w:rPr>
      </w:pPr>
      <w:r>
        <w:rPr>
          <w:lang w:val="pt-BR"/>
        </w:rPr>
        <w:tab/>
      </w:r>
      <w:r>
        <w:rPr>
          <w:rStyle w:val="FootnoteReference"/>
          <w:b/>
          <w:sz w:val="24"/>
          <w:lang w:val="pt-BR"/>
        </w:rPr>
        <w:t>75</w:t>
      </w:r>
      <w:r>
        <w:rPr>
          <w:b/>
          <w:sz w:val="24"/>
          <w:lang w:val="pt-BR"/>
        </w:rPr>
        <w:tab/>
      </w:r>
      <w:r>
        <w:rPr>
          <w:lang w:val="pt-BR"/>
        </w:rPr>
        <w:t>PNAI 2002-2010. Lima, June 2002.</w:t>
      </w:r>
    </w:p>
  </w:footnote>
  <w:footnote w:id="76">
    <w:p w:rsidR="00000000" w:rsidRDefault="00000000">
      <w:pPr>
        <w:pStyle w:val="FootnoteText"/>
        <w:tabs>
          <w:tab w:val="clear" w:pos="720"/>
          <w:tab w:val="left" w:pos="340"/>
          <w:tab w:val="left" w:pos="737"/>
        </w:tabs>
        <w:rPr>
          <w:i/>
          <w:lang w:val="en-GB"/>
        </w:rPr>
      </w:pPr>
      <w:r>
        <w:rPr>
          <w:lang w:val="en-GB"/>
        </w:rPr>
        <w:tab/>
      </w:r>
      <w:r>
        <w:rPr>
          <w:rStyle w:val="FootnoteReference"/>
          <w:b/>
          <w:sz w:val="24"/>
          <w:lang w:val="en-GB"/>
        </w:rPr>
        <w:t>76</w:t>
      </w:r>
      <w:r>
        <w:rPr>
          <w:b/>
          <w:sz w:val="24"/>
          <w:lang w:val="en-GB"/>
        </w:rPr>
        <w:tab/>
      </w:r>
      <w:r>
        <w:rPr>
          <w:lang w:val="en-GB"/>
        </w:rPr>
        <w:t xml:space="preserve">ILO. International Programme on the Elimination of Child Labour. </w:t>
      </w:r>
      <w:r>
        <w:rPr>
          <w:i/>
          <w:lang w:val="en-GB"/>
        </w:rPr>
        <w:t>Op. cit.</w:t>
      </w:r>
    </w:p>
  </w:footnote>
  <w:footnote w:id="77">
    <w:p w:rsidR="00000000" w:rsidRDefault="00000000">
      <w:pPr>
        <w:pStyle w:val="FootnoteText"/>
        <w:tabs>
          <w:tab w:val="clear" w:pos="720"/>
          <w:tab w:val="left" w:pos="340"/>
          <w:tab w:val="left" w:pos="737"/>
        </w:tabs>
        <w:spacing w:after="80"/>
        <w:rPr>
          <w:lang w:val="en-GB"/>
        </w:rPr>
      </w:pPr>
      <w:r>
        <w:rPr>
          <w:lang w:val="en-GB"/>
        </w:rPr>
        <w:tab/>
      </w:r>
      <w:r>
        <w:rPr>
          <w:rStyle w:val="FootnoteReference"/>
          <w:b/>
          <w:sz w:val="24"/>
          <w:lang w:val="en-GB"/>
        </w:rPr>
        <w:t>77</w:t>
      </w:r>
      <w:r>
        <w:rPr>
          <w:b/>
          <w:sz w:val="24"/>
          <w:lang w:val="en-GB"/>
        </w:rPr>
        <w:tab/>
      </w:r>
      <w:r>
        <w:rPr>
          <w:lang w:val="en-GB"/>
        </w:rPr>
        <w:t>Adoptions Office - Division for the Welfare of Children and Adolescents - MIMDES.</w:t>
      </w:r>
    </w:p>
  </w:footnote>
  <w:footnote w:id="78">
    <w:p w:rsidR="00000000" w:rsidRDefault="00000000">
      <w:pPr>
        <w:pStyle w:val="FootnoteText"/>
        <w:tabs>
          <w:tab w:val="clear" w:pos="720"/>
          <w:tab w:val="left" w:pos="340"/>
          <w:tab w:val="left" w:pos="737"/>
        </w:tabs>
        <w:spacing w:after="80"/>
        <w:rPr>
          <w:lang w:val="en-GB"/>
        </w:rPr>
      </w:pPr>
      <w:r>
        <w:rPr>
          <w:lang w:val="en-GB"/>
        </w:rPr>
        <w:tab/>
      </w:r>
      <w:r>
        <w:rPr>
          <w:rStyle w:val="FootnoteReference"/>
          <w:b/>
          <w:sz w:val="24"/>
          <w:lang w:val="en-GB"/>
        </w:rPr>
        <w:t>78</w:t>
      </w:r>
      <w:r>
        <w:rPr>
          <w:b/>
          <w:sz w:val="24"/>
          <w:lang w:val="en-GB"/>
        </w:rPr>
        <w:tab/>
      </w:r>
      <w:r>
        <w:rPr>
          <w:lang w:val="en-GB"/>
        </w:rPr>
        <w:t>Demographic and Family Health Survey 2002. INEI and others. Lima, May 2001.</w:t>
      </w:r>
    </w:p>
  </w:footnote>
  <w:footnote w:id="79">
    <w:p w:rsidR="00000000" w:rsidRDefault="00000000">
      <w:pPr>
        <w:pStyle w:val="FootnoteText"/>
        <w:tabs>
          <w:tab w:val="clear" w:pos="720"/>
          <w:tab w:val="left" w:pos="340"/>
          <w:tab w:val="left" w:pos="737"/>
        </w:tabs>
        <w:rPr>
          <w:lang w:val="en-GB"/>
        </w:rPr>
      </w:pPr>
      <w:r>
        <w:rPr>
          <w:lang w:val="en-GB"/>
        </w:rPr>
        <w:tab/>
      </w:r>
      <w:r>
        <w:rPr>
          <w:rStyle w:val="FootnoteReference"/>
          <w:b/>
          <w:sz w:val="24"/>
          <w:lang w:val="en-GB"/>
        </w:rPr>
        <w:t>79</w:t>
      </w:r>
      <w:r>
        <w:rPr>
          <w:b/>
          <w:sz w:val="24"/>
          <w:lang w:val="en-GB"/>
        </w:rPr>
        <w:tab/>
      </w:r>
      <w:r>
        <w:rPr>
          <w:lang w:val="en-GB"/>
        </w:rPr>
        <w:t>Adoptions Office - Division for the Welfare of Children and Adolescents - MIMDES.</w:t>
      </w:r>
    </w:p>
  </w:footnote>
  <w:footnote w:id="80">
    <w:p w:rsidR="00000000" w:rsidRDefault="00000000">
      <w:pPr>
        <w:pStyle w:val="FootnoteText"/>
        <w:tabs>
          <w:tab w:val="clear" w:pos="720"/>
          <w:tab w:val="left" w:pos="340"/>
          <w:tab w:val="left" w:pos="737"/>
        </w:tabs>
        <w:spacing w:after="80"/>
        <w:rPr>
          <w:lang w:val="en-GB"/>
        </w:rPr>
      </w:pPr>
      <w:r>
        <w:rPr>
          <w:lang w:val="en-GB"/>
        </w:rPr>
        <w:tab/>
      </w:r>
      <w:r>
        <w:rPr>
          <w:rStyle w:val="FootnoteReference"/>
          <w:b/>
          <w:sz w:val="24"/>
          <w:lang w:val="en-GB"/>
        </w:rPr>
        <w:t>80</w:t>
      </w:r>
      <w:r>
        <w:rPr>
          <w:b/>
          <w:sz w:val="24"/>
          <w:lang w:val="en-GB"/>
        </w:rPr>
        <w:tab/>
      </w:r>
      <w:r>
        <w:rPr>
          <w:lang w:val="en-GB"/>
        </w:rPr>
        <w:t>SPB basic data sheets, 1999. INABIF.</w:t>
      </w:r>
    </w:p>
  </w:footnote>
  <w:footnote w:id="81">
    <w:p w:rsidR="00000000" w:rsidRDefault="00000000">
      <w:pPr>
        <w:pStyle w:val="FootnoteText"/>
        <w:tabs>
          <w:tab w:val="clear" w:pos="720"/>
          <w:tab w:val="left" w:pos="340"/>
          <w:tab w:val="left" w:pos="737"/>
        </w:tabs>
        <w:spacing w:after="80"/>
        <w:rPr>
          <w:lang w:val="en-GB"/>
        </w:rPr>
      </w:pPr>
      <w:r>
        <w:rPr>
          <w:lang w:val="en-GB"/>
        </w:rPr>
        <w:tab/>
      </w:r>
      <w:r>
        <w:rPr>
          <w:rStyle w:val="FootnoteReference"/>
          <w:b/>
          <w:sz w:val="24"/>
          <w:lang w:val="en-GB"/>
        </w:rPr>
        <w:t>81</w:t>
      </w:r>
      <w:r>
        <w:rPr>
          <w:b/>
          <w:sz w:val="24"/>
          <w:lang w:val="en-GB"/>
        </w:rPr>
        <w:tab/>
      </w:r>
      <w:r>
        <w:rPr>
          <w:lang w:val="en-GB"/>
        </w:rPr>
        <w:t>“Children at high risk - I: qualitative study”. Save the Children, Sweden (responsible for the Aldo Peñaflor/Imasen research carried out between 8 and 15 August 2000).</w:t>
      </w:r>
    </w:p>
  </w:footnote>
  <w:footnote w:id="82">
    <w:p w:rsidR="00000000" w:rsidRDefault="00000000">
      <w:pPr>
        <w:pStyle w:val="FootnoteText"/>
        <w:tabs>
          <w:tab w:val="clear" w:pos="720"/>
          <w:tab w:val="left" w:pos="340"/>
          <w:tab w:val="left" w:pos="737"/>
        </w:tabs>
        <w:spacing w:after="80"/>
        <w:rPr>
          <w:lang w:val="en-GB"/>
        </w:rPr>
      </w:pPr>
      <w:r>
        <w:rPr>
          <w:lang w:val="en-GB"/>
        </w:rPr>
        <w:tab/>
      </w:r>
      <w:r>
        <w:rPr>
          <w:rStyle w:val="FootnoteReference"/>
          <w:b/>
          <w:sz w:val="24"/>
          <w:lang w:val="en-GB"/>
        </w:rPr>
        <w:t>82</w:t>
      </w:r>
      <w:r>
        <w:rPr>
          <w:b/>
          <w:sz w:val="24"/>
          <w:lang w:val="en-GB"/>
        </w:rPr>
        <w:tab/>
      </w:r>
      <w:r>
        <w:rPr>
          <w:lang w:val="en-GB"/>
        </w:rPr>
        <w:t>Peru 1990-2000. Report on the attainment of the targets of the World Summit for Children. Division for the Welfare of Children and Adolescents. Working paper. Lima, 2001.</w:t>
      </w:r>
    </w:p>
  </w:footnote>
  <w:footnote w:id="83">
    <w:p w:rsidR="00000000" w:rsidRDefault="00000000">
      <w:pPr>
        <w:pStyle w:val="FootnoteText"/>
        <w:tabs>
          <w:tab w:val="clear" w:pos="720"/>
          <w:tab w:val="left" w:pos="340"/>
          <w:tab w:val="left" w:pos="737"/>
        </w:tabs>
        <w:spacing w:after="60"/>
        <w:rPr>
          <w:lang w:val="pt-BR"/>
        </w:rPr>
      </w:pPr>
      <w:r>
        <w:rPr>
          <w:lang w:val="pt-BR"/>
        </w:rPr>
        <w:tab/>
      </w:r>
      <w:r>
        <w:rPr>
          <w:rStyle w:val="FootnoteReference"/>
          <w:b/>
          <w:sz w:val="24"/>
          <w:lang w:val="pt-BR"/>
        </w:rPr>
        <w:t>83</w:t>
      </w:r>
      <w:r>
        <w:rPr>
          <w:b/>
          <w:sz w:val="24"/>
          <w:lang w:val="pt-BR"/>
        </w:rPr>
        <w:tab/>
      </w:r>
      <w:r>
        <w:rPr>
          <w:lang w:val="pt-BR"/>
        </w:rPr>
        <w:t>PNAI 2002-2010. Lima, June 2002.</w:t>
      </w:r>
    </w:p>
  </w:footnote>
  <w:footnote w:id="84">
    <w:p w:rsidR="00000000" w:rsidRDefault="00000000">
      <w:pPr>
        <w:pStyle w:val="FootnoteText"/>
        <w:tabs>
          <w:tab w:val="clear" w:pos="720"/>
          <w:tab w:val="left" w:pos="340"/>
          <w:tab w:val="left" w:pos="737"/>
        </w:tabs>
        <w:spacing w:after="60"/>
        <w:rPr>
          <w:lang w:val="en-GB"/>
        </w:rPr>
      </w:pPr>
      <w:r>
        <w:rPr>
          <w:lang w:val="en-GB"/>
        </w:rPr>
        <w:tab/>
      </w:r>
      <w:r>
        <w:rPr>
          <w:rStyle w:val="FootnoteReference"/>
          <w:b/>
          <w:sz w:val="24"/>
          <w:lang w:val="en-GB"/>
        </w:rPr>
        <w:t>84</w:t>
      </w:r>
      <w:r>
        <w:rPr>
          <w:b/>
          <w:sz w:val="24"/>
          <w:lang w:val="en-GB"/>
        </w:rPr>
        <w:tab/>
      </w:r>
      <w:r>
        <w:rPr>
          <w:i/>
          <w:lang w:val="en-GB"/>
        </w:rPr>
        <w:t>Idem.</w:t>
      </w:r>
    </w:p>
  </w:footnote>
  <w:footnote w:id="85">
    <w:p w:rsidR="00000000" w:rsidRDefault="00000000">
      <w:pPr>
        <w:pStyle w:val="FootnoteText"/>
        <w:tabs>
          <w:tab w:val="clear" w:pos="720"/>
          <w:tab w:val="left" w:pos="340"/>
          <w:tab w:val="left" w:pos="737"/>
        </w:tabs>
        <w:rPr>
          <w:lang w:val="en-GB"/>
        </w:rPr>
      </w:pPr>
      <w:r>
        <w:rPr>
          <w:lang w:val="en-GB"/>
        </w:rPr>
        <w:tab/>
      </w:r>
      <w:r>
        <w:rPr>
          <w:rStyle w:val="FootnoteReference"/>
          <w:b/>
          <w:sz w:val="24"/>
          <w:lang w:val="en-GB"/>
        </w:rPr>
        <w:t>85</w:t>
      </w:r>
      <w:r>
        <w:rPr>
          <w:b/>
          <w:sz w:val="24"/>
          <w:lang w:val="en-GB"/>
        </w:rPr>
        <w:tab/>
      </w:r>
      <w:r>
        <w:rPr>
          <w:i/>
          <w:lang w:val="en-GB"/>
        </w:rPr>
        <w:t>Idem.</w:t>
      </w:r>
    </w:p>
  </w:footnote>
  <w:footnote w:id="86">
    <w:p w:rsidR="00000000" w:rsidRDefault="00000000">
      <w:pPr>
        <w:pStyle w:val="FootnoteText"/>
        <w:tabs>
          <w:tab w:val="clear" w:pos="720"/>
          <w:tab w:val="left" w:pos="340"/>
          <w:tab w:val="left" w:pos="737"/>
        </w:tabs>
        <w:spacing w:after="80"/>
        <w:rPr>
          <w:lang w:val="en-GB"/>
        </w:rPr>
      </w:pPr>
      <w:r>
        <w:rPr>
          <w:lang w:val="en-GB"/>
        </w:rPr>
        <w:tab/>
      </w:r>
      <w:r>
        <w:rPr>
          <w:rStyle w:val="FootnoteReference"/>
          <w:b/>
          <w:sz w:val="24"/>
          <w:lang w:val="en-GB"/>
        </w:rPr>
        <w:t>86</w:t>
      </w:r>
      <w:r>
        <w:rPr>
          <w:b/>
          <w:sz w:val="24"/>
          <w:lang w:val="en-GB"/>
        </w:rPr>
        <w:tab/>
      </w:r>
      <w:r>
        <w:rPr>
          <w:lang w:val="en-GB"/>
        </w:rPr>
        <w:t>The phased approach was used in designing this matrix.</w:t>
      </w:r>
    </w:p>
  </w:footnote>
  <w:footnote w:id="87">
    <w:p w:rsidR="00000000" w:rsidRDefault="00000000">
      <w:pPr>
        <w:pStyle w:val="FootnoteText"/>
        <w:tabs>
          <w:tab w:val="clear" w:pos="720"/>
          <w:tab w:val="left" w:pos="340"/>
          <w:tab w:val="left" w:pos="737"/>
        </w:tabs>
        <w:spacing w:after="80"/>
        <w:rPr>
          <w:lang w:val="en-GB"/>
        </w:rPr>
      </w:pPr>
      <w:r>
        <w:rPr>
          <w:lang w:val="en-GB"/>
        </w:rPr>
        <w:tab/>
      </w:r>
      <w:r>
        <w:rPr>
          <w:rStyle w:val="FootnoteReference"/>
          <w:b/>
          <w:sz w:val="24"/>
          <w:lang w:val="en-GB"/>
        </w:rPr>
        <w:t>87</w:t>
      </w:r>
      <w:r>
        <w:rPr>
          <w:b/>
          <w:sz w:val="24"/>
          <w:lang w:val="en-GB"/>
        </w:rPr>
        <w:tab/>
      </w:r>
      <w:r>
        <w:rPr>
          <w:lang w:val="en-GB"/>
        </w:rPr>
        <w:t>The matrix was presented in Lima in September 2002 by representatives of the Inter-American Children’s Institutte.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4"/>
        <w:lang w:val="en-GB"/>
      </w:rPr>
    </w:pPr>
    <w:r>
      <w:rPr>
        <w:sz w:val="24"/>
        <w:lang w:val="en-GB"/>
      </w:rPr>
      <w:t>CRC/C/125/Add.6</w:t>
    </w:r>
  </w:p>
  <w:p w:rsidR="00000000" w:rsidRDefault="00000000">
    <w:pPr>
      <w:pStyle w:val="Header"/>
      <w:rPr>
        <w:rStyle w:val="PageNumber"/>
        <w:sz w:val="24"/>
      </w:rPr>
    </w:pPr>
    <w:r>
      <w:rPr>
        <w:sz w:val="24"/>
        <w:lang w:val="fr-CH"/>
      </w:rPr>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sz w:val="24"/>
      </w:rPr>
      <w:t>2</w:t>
    </w:r>
    <w:r>
      <w:rPr>
        <w:rStyle w:val="PageNumber"/>
        <w:sz w:val="24"/>
      </w:rPr>
      <w:fldChar w:fldCharType="end"/>
    </w:r>
  </w:p>
  <w:p w:rsidR="00000000" w:rsidRDefault="00000000">
    <w:pPr>
      <w:pStyle w:val="Header"/>
      <w:rPr>
        <w:rStyle w:val="PageNumber"/>
        <w:sz w:val="24"/>
      </w:rPr>
    </w:pPr>
  </w:p>
  <w:p w:rsidR="00000000" w:rsidRDefault="00000000">
    <w:pPr>
      <w:pStyle w:val="Header"/>
      <w:rPr>
        <w:sz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720"/>
        <w:tab w:val="clear" w:pos="4513"/>
        <w:tab w:val="clear" w:pos="9027"/>
      </w:tabs>
      <w:ind w:left="7484"/>
      <w:rPr>
        <w:sz w:val="24"/>
        <w:lang w:val="en-GB"/>
      </w:rPr>
    </w:pPr>
    <w:r>
      <w:rPr>
        <w:sz w:val="24"/>
        <w:lang w:val="en-GB"/>
      </w:rPr>
      <w:t>CRC/C/125/Add.6</w:t>
    </w:r>
  </w:p>
  <w:p w:rsidR="00000000" w:rsidRDefault="00000000">
    <w:pPr>
      <w:pStyle w:val="Header"/>
      <w:tabs>
        <w:tab w:val="clear" w:pos="720"/>
        <w:tab w:val="clear" w:pos="4513"/>
        <w:tab w:val="clear" w:pos="9027"/>
      </w:tabs>
      <w:ind w:left="7484"/>
      <w:rPr>
        <w:rStyle w:val="PageNumber"/>
        <w:sz w:val="24"/>
      </w:rPr>
    </w:pPr>
    <w:r>
      <w:rPr>
        <w:sz w:val="24"/>
        <w:lang w:val="fr-CH"/>
      </w:rPr>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sz w:val="24"/>
      </w:rPr>
      <w:t>17</w:t>
    </w:r>
    <w:r>
      <w:rPr>
        <w:rStyle w:val="PageNumber"/>
        <w:sz w:val="24"/>
      </w:rPr>
      <w:fldChar w:fldCharType="end"/>
    </w:r>
  </w:p>
  <w:p w:rsidR="00000000" w:rsidRDefault="00000000">
    <w:pPr>
      <w:pStyle w:val="Header"/>
      <w:tabs>
        <w:tab w:val="clear" w:pos="720"/>
        <w:tab w:val="clear" w:pos="4513"/>
        <w:tab w:val="clear" w:pos="9027"/>
      </w:tabs>
      <w:rPr>
        <w:sz w:val="24"/>
        <w:lang w:val="fr-CH"/>
      </w:rPr>
    </w:pPr>
  </w:p>
  <w:p w:rsidR="00000000" w:rsidRDefault="00000000">
    <w:pPr>
      <w:pStyle w:val="Header"/>
      <w:tabs>
        <w:tab w:val="clear" w:pos="720"/>
        <w:tab w:val="clear" w:pos="4513"/>
        <w:tab w:val="clear" w:pos="9027"/>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lang w:eastAsia="fr-FR"/>
      </w:rPr>
      <w:pict>
        <v:shapetype id="_x0000_t202" coordsize="21600,21600" o:spt="202" path="m,l,21600r21600,l21600,xe">
          <v:stroke joinstyle="miter"/>
          <v:path gradientshapeok="t" o:connecttype="rect"/>
        </v:shapetype>
        <v:shape id="_x0000_s2049" type="#_x0000_t202" style="position:absolute;margin-left:765.45pt;margin-top:62.35pt;width:39.7pt;height:470.55pt;z-index:1;mso-position-horizontal-relative:page;mso-position-vertical-relative:page" filled="f" stroked="f">
          <v:textbox style="layout-flow:vertical" inset="0,0,0,0">
            <w:txbxContent>
              <w:p w:rsidR="00000000" w:rsidRDefault="00000000">
                <w:pPr>
                  <w:pStyle w:val="Header"/>
                  <w:rPr>
                    <w:sz w:val="24"/>
                    <w:lang w:val="en-GB"/>
                  </w:rPr>
                </w:pPr>
                <w:r>
                  <w:rPr>
                    <w:sz w:val="24"/>
                    <w:lang w:val="en-GB"/>
                  </w:rPr>
                  <w:t>CRC/C/125/Add.6</w:t>
                </w:r>
              </w:p>
              <w:p w:rsidR="00000000" w:rsidRDefault="00000000">
                <w:pPr>
                  <w:pStyle w:val="Header"/>
                  <w:rPr>
                    <w:rStyle w:val="PageNumber"/>
                    <w:sz w:val="24"/>
                  </w:rPr>
                </w:pPr>
                <w:r>
                  <w:rPr>
                    <w:sz w:val="24"/>
                    <w:lang w:val="fr-CH"/>
                  </w:rPr>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noProof/>
                    <w:sz w:val="24"/>
                  </w:rPr>
                  <w:t>20</w:t>
                </w:r>
                <w:r>
                  <w:rPr>
                    <w:rStyle w:val="PageNumber"/>
                    <w:sz w:val="24"/>
                  </w:rPr>
                  <w:fldChar w:fldCharType="end"/>
                </w:r>
              </w:p>
            </w:txbxContent>
          </v:textbox>
          <w10:wrap anchorx="page" anchory="page"/>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lang w:eastAsia="fr-FR"/>
      </w:rPr>
      <w:pict>
        <v:shapetype id="_x0000_t202" coordsize="21600,21600" o:spt="202" path="m,l,21600r21600,l21600,xe">
          <v:stroke joinstyle="miter"/>
          <v:path gradientshapeok="t" o:connecttype="rect"/>
        </v:shapetype>
        <v:shape id="_x0000_s2055" type="#_x0000_t202" style="position:absolute;margin-left:765.45pt;margin-top:62.35pt;width:42.5pt;height:470.55pt;z-index:6;mso-position-horizontal-relative:page;mso-position-vertical-relative:page" filled="f" stroked="f">
          <v:textbox style="layout-flow:vertical" inset="0,0,0,0">
            <w:txbxContent>
              <w:p w:rsidR="00000000" w:rsidRDefault="00000000">
                <w:pPr>
                  <w:pStyle w:val="Header"/>
                  <w:tabs>
                    <w:tab w:val="clear" w:pos="720"/>
                    <w:tab w:val="clear" w:pos="4513"/>
                    <w:tab w:val="clear" w:pos="9027"/>
                    <w:tab w:val="left" w:pos="7428"/>
                  </w:tabs>
                  <w:rPr>
                    <w:sz w:val="24"/>
                    <w:lang w:val="en-GB"/>
                  </w:rPr>
                </w:pPr>
                <w:r>
                  <w:rPr>
                    <w:sz w:val="24"/>
                    <w:lang w:val="en-GB"/>
                  </w:rPr>
                  <w:tab/>
                  <w:t>CRC/C/125/Add.6</w:t>
                </w:r>
              </w:p>
              <w:p w:rsidR="00000000" w:rsidRDefault="00000000">
                <w:pPr>
                  <w:pStyle w:val="Header"/>
                  <w:tabs>
                    <w:tab w:val="clear" w:pos="720"/>
                    <w:tab w:val="clear" w:pos="4513"/>
                    <w:tab w:val="clear" w:pos="9027"/>
                    <w:tab w:val="left" w:pos="7428"/>
                  </w:tabs>
                  <w:rPr>
                    <w:rStyle w:val="PageNumber"/>
                    <w:sz w:val="24"/>
                  </w:rPr>
                </w:pPr>
                <w:r>
                  <w:rPr>
                    <w:sz w:val="24"/>
                    <w:lang w:val="fr-CH"/>
                  </w:rPr>
                  <w:tab/>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sz w:val="24"/>
                  </w:rPr>
                  <w:t>19</w:t>
                </w:r>
                <w:r>
                  <w:rPr>
                    <w:rStyle w:val="PageNumber"/>
                    <w:sz w:val="24"/>
                  </w:rPr>
                  <w:fldChar w:fldCharType="end"/>
                </w:r>
              </w:p>
            </w:txbxContent>
          </v:textbox>
          <w10:wrap anchorx="page"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sz w:val="24"/>
        <w:lang w:val="en-GB"/>
      </w:rPr>
      <w:t>CRC/C/125/Add.6</w:t>
    </w:r>
  </w:p>
  <w:p w:rsidR="00000000" w:rsidRDefault="00000000">
    <w:pPr>
      <w:pStyle w:val="Header"/>
      <w:rPr>
        <w:rStyle w:val="PageNumber"/>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58</w:t>
    </w:r>
    <w:r>
      <w:rPr>
        <w:rStyle w:val="PageNumber"/>
      </w:rPr>
      <w:fldChar w:fldCharType="end"/>
    </w:r>
  </w:p>
  <w:p w:rsidR="00000000" w:rsidRDefault="00000000">
    <w:pPr>
      <w:pStyle w:val="Header"/>
      <w:rPr>
        <w:rStyle w:val="PageNumber"/>
      </w:rPr>
    </w:pPr>
  </w:p>
  <w:p w:rsidR="00000000" w:rsidRDefault="0000000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720"/>
        <w:tab w:val="clear" w:pos="4513"/>
        <w:tab w:val="clear" w:pos="9027"/>
      </w:tabs>
      <w:ind w:left="7484"/>
      <w:rPr>
        <w:sz w:val="24"/>
        <w:lang w:val="en-GB"/>
      </w:rPr>
    </w:pPr>
    <w:r>
      <w:rPr>
        <w:sz w:val="24"/>
        <w:lang w:val="en-GB"/>
      </w:rPr>
      <w:t>CRC/C/125/Add.6</w:t>
    </w:r>
  </w:p>
  <w:p w:rsidR="00000000" w:rsidRDefault="00000000">
    <w:pPr>
      <w:pStyle w:val="Header"/>
      <w:tabs>
        <w:tab w:val="clear" w:pos="720"/>
        <w:tab w:val="clear" w:pos="4513"/>
        <w:tab w:val="clear" w:pos="9027"/>
      </w:tabs>
      <w:ind w:left="7484"/>
      <w:rPr>
        <w:rStyle w:val="PageNumber"/>
        <w:sz w:val="24"/>
      </w:rPr>
    </w:pPr>
    <w:r>
      <w:rPr>
        <w:sz w:val="24"/>
        <w:lang w:val="fr-CH"/>
      </w:rPr>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sz w:val="24"/>
      </w:rPr>
      <w:t>59</w:t>
    </w:r>
    <w:r>
      <w:rPr>
        <w:rStyle w:val="PageNumber"/>
        <w:sz w:val="24"/>
      </w:rPr>
      <w:fldChar w:fldCharType="end"/>
    </w:r>
  </w:p>
  <w:p w:rsidR="00000000" w:rsidRDefault="00000000">
    <w:pPr>
      <w:pStyle w:val="Header"/>
      <w:tabs>
        <w:tab w:val="clear" w:pos="720"/>
        <w:tab w:val="clear" w:pos="4513"/>
        <w:tab w:val="clear" w:pos="9027"/>
      </w:tabs>
      <w:rPr>
        <w:sz w:val="24"/>
        <w:lang w:val="fr-CH"/>
      </w:rPr>
    </w:pPr>
  </w:p>
  <w:p w:rsidR="00000000" w:rsidRDefault="00000000">
    <w:pPr>
      <w:pStyle w:val="Header"/>
    </w:pPr>
    <w:r>
      <w:rPr>
        <w:noProof/>
        <w:sz w:val="20"/>
        <w:lang w:eastAsia="fr-FR"/>
      </w:rPr>
      <w:pict>
        <v:shapetype id="_x0000_t202" coordsize="21600,21600" o:spt="202" path="m,l,21600r21600,l21600,xe">
          <v:stroke joinstyle="miter"/>
          <v:path gradientshapeok="t" o:connecttype="rect"/>
        </v:shapetype>
        <v:shape id="_x0000_s2056" type="#_x0000_t202" style="position:absolute;margin-left:765.45pt;margin-top:62.35pt;width:42.5pt;height:470.55pt;z-index:7;mso-position-horizontal-relative:page;mso-position-vertical-relative:page" filled="f" stroked="f">
          <v:textbox style="layout-flow:vertical" inset="0,0,0,0">
            <w:txbxContent>
              <w:p w:rsidR="00000000" w:rsidRDefault="00000000">
                <w:pPr>
                  <w:pStyle w:val="Header"/>
                  <w:tabs>
                    <w:tab w:val="clear" w:pos="720"/>
                    <w:tab w:val="clear" w:pos="4513"/>
                    <w:tab w:val="clear" w:pos="9027"/>
                    <w:tab w:val="left" w:pos="7428"/>
                  </w:tabs>
                  <w:rPr>
                    <w:sz w:val="24"/>
                    <w:lang w:val="en-GB"/>
                  </w:rPr>
                </w:pPr>
                <w:r>
                  <w:rPr>
                    <w:sz w:val="24"/>
                    <w:lang w:val="en-GB"/>
                  </w:rPr>
                  <w:tab/>
                  <w:t>CRC/C/125/Add.6</w:t>
                </w:r>
              </w:p>
              <w:p w:rsidR="00000000" w:rsidRDefault="00000000">
                <w:pPr>
                  <w:pStyle w:val="Header"/>
                  <w:tabs>
                    <w:tab w:val="clear" w:pos="720"/>
                    <w:tab w:val="clear" w:pos="4513"/>
                    <w:tab w:val="clear" w:pos="9027"/>
                    <w:tab w:val="left" w:pos="7428"/>
                  </w:tabs>
                  <w:rPr>
                    <w:rStyle w:val="PageNumber"/>
                    <w:sz w:val="24"/>
                  </w:rPr>
                </w:pPr>
                <w:r>
                  <w:rPr>
                    <w:sz w:val="24"/>
                    <w:lang w:val="fr-CH"/>
                  </w:rPr>
                  <w:tab/>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sz w:val="24"/>
                  </w:rPr>
                  <w:t>59</w:t>
                </w:r>
                <w:r>
                  <w:rPr>
                    <w:rStyle w:val="PageNumber"/>
                    <w:sz w:val="24"/>
                  </w:rPr>
                  <w:fldChar w:fldCharType="end"/>
                </w:r>
              </w:p>
            </w:txbxContent>
          </v:textbox>
          <w10:wrap anchorx="page" anchory="page"/>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lang w:eastAsia="fr-FR"/>
      </w:rPr>
      <w:pict>
        <v:shapetype id="_x0000_t202" coordsize="21600,21600" o:spt="202" path="m,l,21600r21600,l21600,xe">
          <v:stroke joinstyle="miter"/>
          <v:path gradientshapeok="t" o:connecttype="rect"/>
        </v:shapetype>
        <v:shape id="_x0000_s2051" type="#_x0000_t202" style="position:absolute;margin-left:765.45pt;margin-top:62.35pt;width:42.5pt;height:470.55pt;z-index:2;mso-position-horizontal-relative:page;mso-position-vertical-relative:page" filled="f" stroked="f">
          <v:textbox style="layout-flow:vertical" inset="0,0,0,0">
            <w:txbxContent>
              <w:p w:rsidR="00000000" w:rsidRDefault="00000000">
                <w:pPr>
                  <w:pStyle w:val="Header"/>
                  <w:rPr>
                    <w:sz w:val="24"/>
                    <w:lang w:val="en-GB"/>
                  </w:rPr>
                </w:pPr>
                <w:r>
                  <w:rPr>
                    <w:sz w:val="24"/>
                    <w:lang w:val="en-GB"/>
                  </w:rPr>
                  <w:t>CRC/C/125/Add.6</w:t>
                </w:r>
              </w:p>
              <w:p w:rsidR="00000000" w:rsidRDefault="00000000">
                <w:pPr>
                  <w:pStyle w:val="Header"/>
                  <w:rPr>
                    <w:rStyle w:val="PageNumber"/>
                    <w:sz w:val="24"/>
                  </w:rPr>
                </w:pPr>
                <w:r>
                  <w:rPr>
                    <w:sz w:val="24"/>
                    <w:lang w:val="fr-CH"/>
                  </w:rPr>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sz w:val="24"/>
                  </w:rPr>
                  <w:t>94</w:t>
                </w:r>
                <w:r>
                  <w:rPr>
                    <w:rStyle w:val="PageNumber"/>
                    <w:sz w:val="24"/>
                  </w:rPr>
                  <w:fldChar w:fldCharType="end"/>
                </w:r>
              </w:p>
            </w:txbxContent>
          </v:textbox>
          <w10:wrap anchorx="page" anchory="page"/>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lang w:eastAsia="fr-FR"/>
      </w:rPr>
      <w:pict>
        <v:shapetype id="_x0000_t202" coordsize="21600,21600" o:spt="202" path="m,l,21600r21600,l21600,xe">
          <v:stroke joinstyle="miter"/>
          <v:path gradientshapeok="t" o:connecttype="rect"/>
        </v:shapetype>
        <v:shape id="_x0000_s2052" type="#_x0000_t202" style="position:absolute;margin-left:765.45pt;margin-top:62.35pt;width:42.5pt;height:470.55pt;z-index:3;mso-position-horizontal-relative:page;mso-position-vertical-relative:page" filled="f" stroked="f">
          <v:textbox style="layout-flow:vertical" inset="0,0,0,0">
            <w:txbxContent>
              <w:p w:rsidR="00000000" w:rsidRDefault="00000000">
                <w:pPr>
                  <w:pStyle w:val="Header"/>
                  <w:tabs>
                    <w:tab w:val="clear" w:pos="720"/>
                    <w:tab w:val="clear" w:pos="4513"/>
                    <w:tab w:val="clear" w:pos="9027"/>
                  </w:tabs>
                  <w:ind w:left="7484"/>
                  <w:rPr>
                    <w:sz w:val="24"/>
                    <w:lang w:val="en-GB"/>
                  </w:rPr>
                </w:pPr>
                <w:r>
                  <w:rPr>
                    <w:sz w:val="24"/>
                    <w:lang w:val="en-GB"/>
                  </w:rPr>
                  <w:t>CRC/C/125/Add.6</w:t>
                </w:r>
              </w:p>
              <w:p w:rsidR="00000000" w:rsidRDefault="00000000">
                <w:pPr>
                  <w:pStyle w:val="Header"/>
                  <w:tabs>
                    <w:tab w:val="clear" w:pos="720"/>
                    <w:tab w:val="clear" w:pos="4513"/>
                    <w:tab w:val="clear" w:pos="9027"/>
                  </w:tabs>
                  <w:ind w:left="7484"/>
                  <w:rPr>
                    <w:rStyle w:val="PageNumber"/>
                    <w:sz w:val="24"/>
                  </w:rPr>
                </w:pPr>
                <w:r>
                  <w:rPr>
                    <w:sz w:val="24"/>
                    <w:lang w:val="fr-CH"/>
                  </w:rPr>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sz w:val="24"/>
                  </w:rPr>
                  <w:t>93</w:t>
                </w:r>
                <w:r>
                  <w:rPr>
                    <w:rStyle w:val="PageNumber"/>
                    <w:sz w:val="24"/>
                  </w:rPr>
                  <w:fldChar w:fldCharType="end"/>
                </w:r>
              </w:p>
              <w:p w:rsidR="00000000" w:rsidRDefault="00000000">
                <w:pPr>
                  <w:rPr>
                    <w:rStyle w:val="PageNumber"/>
                    <w:sz w:val="24"/>
                  </w:rPr>
                </w:pPr>
              </w:p>
            </w:txbxContent>
          </v:textbox>
          <w10:wrap anchorx="page" anchory="page"/>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sz w:val="24"/>
        <w:lang w:val="en-GB"/>
      </w:rPr>
      <w:t>CRC/C/125/Add.6</w:t>
    </w:r>
  </w:p>
  <w:p w:rsidR="00000000" w:rsidRDefault="00000000">
    <w:pPr>
      <w:pStyle w:val="Header"/>
      <w:rPr>
        <w:rStyle w:val="PageNumber"/>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96</w:t>
    </w:r>
    <w:r>
      <w:rPr>
        <w:rStyle w:val="PageNumber"/>
      </w:rPr>
      <w:fldChar w:fldCharType="end"/>
    </w:r>
  </w:p>
  <w:p w:rsidR="00000000" w:rsidRDefault="00000000">
    <w:pPr>
      <w:pStyle w:val="Header"/>
    </w:pPr>
  </w:p>
  <w:p w:rsidR="00000000" w:rsidRDefault="00000000">
    <w:pPr>
      <w:pStyle w:val="Header"/>
    </w:pPr>
    <w:r>
      <w:rPr>
        <w:noProof/>
        <w:sz w:val="20"/>
        <w:lang w:eastAsia="fr-FR"/>
      </w:rPr>
      <w:pict>
        <v:shapetype id="_x0000_t202" coordsize="21600,21600" o:spt="202" path="m,l,21600r21600,l21600,xe">
          <v:stroke joinstyle="miter"/>
          <v:path gradientshapeok="t" o:connecttype="rect"/>
        </v:shapetype>
        <v:shape id="_x0000_s2053" type="#_x0000_t202" style="position:absolute;margin-left:765.45pt;margin-top:62.35pt;width:42.5pt;height:470.55pt;z-index:4;mso-position-horizontal-relative:page;mso-position-vertical-relative:page" filled="f" stroked="f">
          <v:textbox style="layout-flow:vertical" inset="0,0,0,0">
            <w:txbxContent>
              <w:p w:rsidR="00000000" w:rsidRDefault="00000000">
                <w:pPr>
                  <w:pStyle w:val="Header"/>
                  <w:rPr>
                    <w:sz w:val="24"/>
                    <w:lang w:val="en-GB"/>
                  </w:rPr>
                </w:pPr>
                <w:r>
                  <w:rPr>
                    <w:sz w:val="24"/>
                    <w:lang w:val="en-GB"/>
                  </w:rPr>
                  <w:t>CRC/C/125/Add.6</w:t>
                </w:r>
              </w:p>
              <w:p w:rsidR="00000000" w:rsidRDefault="00000000">
                <w:pPr>
                  <w:pStyle w:val="Header"/>
                  <w:rPr>
                    <w:rStyle w:val="PageNumber"/>
                    <w:sz w:val="24"/>
                  </w:rPr>
                </w:pPr>
                <w:r>
                  <w:rPr>
                    <w:sz w:val="24"/>
                    <w:lang w:val="fr-CH"/>
                  </w:rPr>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sz w:val="24"/>
                  </w:rPr>
                  <w:t>96</w:t>
                </w:r>
                <w:r>
                  <w:rPr>
                    <w:rStyle w:val="PageNumber"/>
                    <w:sz w:val="24"/>
                  </w:rPr>
                  <w:fldChar w:fldCharType="end"/>
                </w:r>
              </w:p>
            </w:txbxContent>
          </v:textbox>
          <w10:wrap anchorx="page" anchory="page"/>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720"/>
        <w:tab w:val="clear" w:pos="4513"/>
        <w:tab w:val="clear" w:pos="9027"/>
      </w:tabs>
      <w:ind w:left="7484"/>
      <w:rPr>
        <w:sz w:val="24"/>
        <w:lang w:val="en-GB"/>
      </w:rPr>
    </w:pPr>
    <w:r>
      <w:rPr>
        <w:sz w:val="24"/>
        <w:lang w:val="en-GB"/>
      </w:rPr>
      <w:t>CRC/C/125/Add.6</w:t>
    </w:r>
  </w:p>
  <w:p w:rsidR="00000000" w:rsidRDefault="00000000">
    <w:pPr>
      <w:pStyle w:val="Header"/>
      <w:tabs>
        <w:tab w:val="clear" w:pos="720"/>
        <w:tab w:val="clear" w:pos="4513"/>
        <w:tab w:val="clear" w:pos="9027"/>
      </w:tabs>
      <w:ind w:left="7484"/>
      <w:rPr>
        <w:rStyle w:val="PageNumber"/>
        <w:sz w:val="24"/>
      </w:rPr>
    </w:pPr>
    <w:r>
      <w:rPr>
        <w:sz w:val="24"/>
        <w:lang w:val="fr-CH"/>
      </w:rPr>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sz w:val="24"/>
      </w:rPr>
      <w:t>95</w:t>
    </w:r>
    <w:r>
      <w:rPr>
        <w:rStyle w:val="PageNumber"/>
        <w:sz w:val="24"/>
      </w:rPr>
      <w:fldChar w:fldCharType="end"/>
    </w:r>
  </w:p>
  <w:p w:rsidR="00000000" w:rsidRDefault="00000000">
    <w:pPr>
      <w:pStyle w:val="Header"/>
      <w:tabs>
        <w:tab w:val="clear" w:pos="720"/>
        <w:tab w:val="clear" w:pos="4513"/>
        <w:tab w:val="clear" w:pos="9027"/>
      </w:tabs>
    </w:pPr>
  </w:p>
  <w:p w:rsidR="00000000" w:rsidRDefault="00000000">
    <w:pPr>
      <w:pStyle w:val="Header"/>
    </w:pPr>
    <w:r>
      <w:rPr>
        <w:noProof/>
        <w:sz w:val="20"/>
        <w:lang w:eastAsia="fr-FR"/>
      </w:rPr>
      <w:pict>
        <v:shapetype id="_x0000_t202" coordsize="21600,21600" o:spt="202" path="m,l,21600r21600,l21600,xe">
          <v:stroke joinstyle="miter"/>
          <v:path gradientshapeok="t" o:connecttype="rect"/>
        </v:shapetype>
        <v:shape id="_x0000_s2054" type="#_x0000_t202" style="position:absolute;margin-left:765.45pt;margin-top:62.35pt;width:42.5pt;height:470.55pt;z-index:5;mso-position-horizontal-relative:page;mso-position-vertical-relative:page" filled="f" stroked="f">
          <v:textbox style="layout-flow:vertical" inset="0,0,0,0">
            <w:txbxContent>
              <w:p w:rsidR="00000000" w:rsidRDefault="00000000">
                <w:pPr>
                  <w:pStyle w:val="Header"/>
                  <w:tabs>
                    <w:tab w:val="clear" w:pos="720"/>
                    <w:tab w:val="clear" w:pos="4513"/>
                    <w:tab w:val="clear" w:pos="9027"/>
                    <w:tab w:val="left" w:pos="7484"/>
                  </w:tabs>
                  <w:rPr>
                    <w:sz w:val="24"/>
                    <w:lang w:val="en-GB"/>
                  </w:rPr>
                </w:pPr>
                <w:r>
                  <w:rPr>
                    <w:sz w:val="24"/>
                    <w:lang w:val="en-GB"/>
                  </w:rPr>
                  <w:tab/>
                </w:r>
                <w:r>
                  <w:rPr>
                    <w:i/>
                    <w:vanish/>
                    <w:sz w:val="20"/>
                    <w:lang w:val="en-GB"/>
                  </w:rPr>
                  <w:tab/>
                </w:r>
                <w:r>
                  <w:rPr>
                    <w:sz w:val="24"/>
                    <w:lang w:val="en-GB"/>
                  </w:rPr>
                  <w:t>RC/C/125/Add.6</w:t>
                </w:r>
              </w:p>
              <w:p w:rsidR="00000000" w:rsidRDefault="00000000">
                <w:pPr>
                  <w:pStyle w:val="Header"/>
                  <w:tabs>
                    <w:tab w:val="clear" w:pos="720"/>
                    <w:tab w:val="clear" w:pos="4513"/>
                    <w:tab w:val="clear" w:pos="9027"/>
                    <w:tab w:val="left" w:pos="7484"/>
                  </w:tabs>
                  <w:rPr>
                    <w:rStyle w:val="PageNumber"/>
                    <w:sz w:val="24"/>
                  </w:rPr>
                </w:pPr>
                <w:r>
                  <w:rPr>
                    <w:sz w:val="24"/>
                    <w:lang w:val="fr-CH"/>
                  </w:rPr>
                  <w:tab/>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sz w:val="24"/>
                  </w:rPr>
                  <w:t>95</w:t>
                </w:r>
                <w:r>
                  <w:rPr>
                    <w:rStyle w:val="PageNumber"/>
                    <w:sz w:val="24"/>
                  </w:rPr>
                  <w:fldChar w:fldCharType="end"/>
                </w: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766C74E6"/>
    <w:lvl w:ilvl="0">
      <w:start w:val="1"/>
      <w:numFmt w:val="decimal"/>
      <w:pStyle w:val="ListNumber2"/>
      <w:lvlText w:val="%1."/>
      <w:lvlJc w:val="left"/>
      <w:pPr>
        <w:tabs>
          <w:tab w:val="num" w:pos="643"/>
        </w:tabs>
        <w:ind w:left="643" w:hanging="360"/>
      </w:pPr>
    </w:lvl>
  </w:abstractNum>
  <w:abstractNum w:abstractNumId="1">
    <w:nsid w:val="FFFFFF81"/>
    <w:multiLevelType w:val="singleLevel"/>
    <w:tmpl w:val="723240F6"/>
    <w:lvl w:ilvl="0">
      <w:start w:val="1"/>
      <w:numFmt w:val="bullet"/>
      <w:pStyle w:val="ListBullet4"/>
      <w:lvlText w:val=""/>
      <w:lvlJc w:val="left"/>
      <w:pPr>
        <w:tabs>
          <w:tab w:val="num" w:pos="1209"/>
        </w:tabs>
        <w:ind w:left="1209" w:hanging="360"/>
      </w:pPr>
      <w:rPr>
        <w:rFonts w:ascii="Symbol" w:hAnsi="Symbol" w:hint="default"/>
      </w:rPr>
    </w:lvl>
  </w:abstractNum>
  <w:abstractNum w:abstractNumId="2">
    <w:nsid w:val="FFFFFF83"/>
    <w:multiLevelType w:val="singleLevel"/>
    <w:tmpl w:val="3EC220C4"/>
    <w:lvl w:ilvl="0">
      <w:start w:val="1"/>
      <w:numFmt w:val="bullet"/>
      <w:pStyle w:val="ListBullet2"/>
      <w:lvlText w:val=""/>
      <w:lvlJc w:val="left"/>
      <w:pPr>
        <w:tabs>
          <w:tab w:val="num" w:pos="643"/>
        </w:tabs>
        <w:ind w:left="643" w:hanging="360"/>
      </w:pPr>
      <w:rPr>
        <w:rFonts w:ascii="Symbol" w:hAnsi="Symbol" w:hint="default"/>
      </w:rPr>
    </w:lvl>
  </w:abstractNum>
  <w:abstractNum w:abstractNumId="3">
    <w:nsid w:val="FFFFFFFE"/>
    <w:multiLevelType w:val="singleLevel"/>
    <w:tmpl w:val="41920068"/>
    <w:lvl w:ilvl="0">
      <w:numFmt w:val="decimal"/>
      <w:lvlText w:val="*"/>
      <w:lvlJc w:val="left"/>
    </w:lvl>
  </w:abstractNum>
  <w:abstractNum w:abstractNumId="4">
    <w:nsid w:val="00000002"/>
    <w:multiLevelType w:val="multilevel"/>
    <w:tmpl w:val="00000000"/>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014730BE"/>
    <w:multiLevelType w:val="hybridMultilevel"/>
    <w:tmpl w:val="5712E47C"/>
    <w:lvl w:ilvl="0" w:tplc="0F5EC980">
      <w:start w:val="1"/>
      <w:numFmt w:val="bullet"/>
      <w:lvlText w:val=""/>
      <w:lvlJc w:val="left"/>
      <w:pPr>
        <w:tabs>
          <w:tab w:val="num" w:pos="1854"/>
        </w:tabs>
        <w:ind w:left="1854" w:hanging="567"/>
      </w:pPr>
      <w:rPr>
        <w:rFonts w:ascii="Symbol" w:hAnsi="Symbol" w:hint="default"/>
      </w:rPr>
    </w:lvl>
    <w:lvl w:ilvl="1" w:tplc="040C0003">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6">
    <w:nsid w:val="020C3CFA"/>
    <w:multiLevelType w:val="multilevel"/>
    <w:tmpl w:val="EB90AAEA"/>
    <w:lvl w:ilvl="0">
      <w:start w:val="3"/>
      <w:numFmt w:val="decimal"/>
      <w:lvlText w:val="%1"/>
      <w:lvlJc w:val="left"/>
      <w:pPr>
        <w:tabs>
          <w:tab w:val="num" w:pos="885"/>
        </w:tabs>
        <w:ind w:left="885" w:hanging="885"/>
      </w:pPr>
      <w:rPr>
        <w:rFonts w:hint="default"/>
      </w:rPr>
    </w:lvl>
    <w:lvl w:ilvl="1">
      <w:start w:val="5"/>
      <w:numFmt w:val="decimal"/>
      <w:lvlText w:val="%1.%2"/>
      <w:lvlJc w:val="left"/>
      <w:pPr>
        <w:tabs>
          <w:tab w:val="num" w:pos="1155"/>
        </w:tabs>
        <w:ind w:left="1155" w:hanging="885"/>
      </w:pPr>
      <w:rPr>
        <w:rFonts w:hint="default"/>
      </w:rPr>
    </w:lvl>
    <w:lvl w:ilvl="2">
      <w:start w:val="1"/>
      <w:numFmt w:val="decimal"/>
      <w:lvlText w:val="%1.%2.%3"/>
      <w:lvlJc w:val="left"/>
      <w:pPr>
        <w:tabs>
          <w:tab w:val="num" w:pos="1425"/>
        </w:tabs>
        <w:ind w:left="1425" w:hanging="885"/>
      </w:pPr>
      <w:rPr>
        <w:rFonts w:hint="default"/>
      </w:rPr>
    </w:lvl>
    <w:lvl w:ilvl="3">
      <w:start w:val="1"/>
      <w:numFmt w:val="decimal"/>
      <w:lvlText w:val="%1.%2.%3.%4"/>
      <w:lvlJc w:val="left"/>
      <w:pPr>
        <w:tabs>
          <w:tab w:val="num" w:pos="1890"/>
        </w:tabs>
        <w:ind w:left="1890" w:hanging="1080"/>
      </w:pPr>
      <w:rPr>
        <w:rFonts w:hint="default"/>
      </w:rPr>
    </w:lvl>
    <w:lvl w:ilvl="4">
      <w:start w:val="1"/>
      <w:numFmt w:val="decimal"/>
      <w:lvlText w:val="%1.%2.%3.%4.%5"/>
      <w:lvlJc w:val="left"/>
      <w:pPr>
        <w:tabs>
          <w:tab w:val="num" w:pos="2520"/>
        </w:tabs>
        <w:ind w:left="2520" w:hanging="1440"/>
      </w:pPr>
      <w:rPr>
        <w:rFonts w:hint="default"/>
      </w:rPr>
    </w:lvl>
    <w:lvl w:ilvl="5">
      <w:start w:val="1"/>
      <w:numFmt w:val="decimal"/>
      <w:lvlText w:val="%1.%2.%3.%4.%5.%6"/>
      <w:lvlJc w:val="left"/>
      <w:pPr>
        <w:tabs>
          <w:tab w:val="num" w:pos="2790"/>
        </w:tabs>
        <w:ind w:left="2790" w:hanging="1440"/>
      </w:pPr>
      <w:rPr>
        <w:rFonts w:hint="default"/>
      </w:rPr>
    </w:lvl>
    <w:lvl w:ilvl="6">
      <w:start w:val="1"/>
      <w:numFmt w:val="decimal"/>
      <w:lvlText w:val="%1.%2.%3.%4.%5.%6.%7"/>
      <w:lvlJc w:val="left"/>
      <w:pPr>
        <w:tabs>
          <w:tab w:val="num" w:pos="3420"/>
        </w:tabs>
        <w:ind w:left="3420" w:hanging="1800"/>
      </w:pPr>
      <w:rPr>
        <w:rFonts w:hint="default"/>
      </w:rPr>
    </w:lvl>
    <w:lvl w:ilvl="7">
      <w:start w:val="1"/>
      <w:numFmt w:val="decimal"/>
      <w:lvlText w:val="%1.%2.%3.%4.%5.%6.%7.%8"/>
      <w:lvlJc w:val="left"/>
      <w:pPr>
        <w:tabs>
          <w:tab w:val="num" w:pos="4050"/>
        </w:tabs>
        <w:ind w:left="4050" w:hanging="2160"/>
      </w:pPr>
      <w:rPr>
        <w:rFonts w:hint="default"/>
      </w:rPr>
    </w:lvl>
    <w:lvl w:ilvl="8">
      <w:start w:val="1"/>
      <w:numFmt w:val="decimal"/>
      <w:lvlText w:val="%1.%2.%3.%4.%5.%6.%7.%8.%9"/>
      <w:lvlJc w:val="left"/>
      <w:pPr>
        <w:tabs>
          <w:tab w:val="num" w:pos="4320"/>
        </w:tabs>
        <w:ind w:left="4320" w:hanging="2160"/>
      </w:pPr>
      <w:rPr>
        <w:rFonts w:hint="default"/>
      </w:rPr>
    </w:lvl>
  </w:abstractNum>
  <w:abstractNum w:abstractNumId="7">
    <w:nsid w:val="022C102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nsid w:val="032307F4"/>
    <w:multiLevelType w:val="hybridMultilevel"/>
    <w:tmpl w:val="9C223C04"/>
    <w:lvl w:ilvl="0" w:tplc="D882920C">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9">
    <w:nsid w:val="0542641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nsid w:val="054C59AF"/>
    <w:multiLevelType w:val="hybridMultilevel"/>
    <w:tmpl w:val="9C223C04"/>
    <w:lvl w:ilvl="0" w:tplc="6D04BCE4">
      <w:start w:val="32"/>
      <w:numFmt w:val="bullet"/>
      <w:lvlText w:val=""/>
      <w:lvlJc w:val="left"/>
      <w:pPr>
        <w:tabs>
          <w:tab w:val="num" w:pos="1134"/>
        </w:tabs>
        <w:ind w:left="1134" w:hanging="567"/>
      </w:pPr>
      <w:rPr>
        <w:rFonts w:ascii="Wingdings" w:eastAsia="Times New Roman" w:hAnsi="Wingdings" w:cs="Times New Roman"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1">
    <w:nsid w:val="05640864"/>
    <w:multiLevelType w:val="hybridMultilevel"/>
    <w:tmpl w:val="3AAAF08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058853AD"/>
    <w:multiLevelType w:val="hybridMultilevel"/>
    <w:tmpl w:val="98C2D706"/>
    <w:lvl w:ilvl="0" w:tplc="25A8166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5E84762"/>
    <w:multiLevelType w:val="hybridMultilevel"/>
    <w:tmpl w:val="9C223C04"/>
    <w:lvl w:ilvl="0" w:tplc="660E8CB8">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4">
    <w:nsid w:val="07626706"/>
    <w:multiLevelType w:val="singleLevel"/>
    <w:tmpl w:val="95BE0558"/>
    <w:lvl w:ilvl="0">
      <w:start w:val="1"/>
      <w:numFmt w:val="bullet"/>
      <w:lvlText w:val=""/>
      <w:lvlJc w:val="left"/>
      <w:pPr>
        <w:tabs>
          <w:tab w:val="num" w:pos="720"/>
        </w:tabs>
        <w:ind w:left="720" w:hanging="720"/>
      </w:pPr>
      <w:rPr>
        <w:rFonts w:ascii="Symbol" w:hAnsi="Symbol" w:hint="default"/>
      </w:rPr>
    </w:lvl>
  </w:abstractNum>
  <w:abstractNum w:abstractNumId="15">
    <w:nsid w:val="089E51E7"/>
    <w:multiLevelType w:val="hybridMultilevel"/>
    <w:tmpl w:val="A5900234"/>
    <w:lvl w:ilvl="0" w:tplc="A9AEF6F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08A83520"/>
    <w:multiLevelType w:val="hybridMultilevel"/>
    <w:tmpl w:val="9896583E"/>
    <w:lvl w:ilvl="0" w:tplc="0809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08ED1AF3"/>
    <w:multiLevelType w:val="hybridMultilevel"/>
    <w:tmpl w:val="9C223C04"/>
    <w:lvl w:ilvl="0" w:tplc="1610E078">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8">
    <w:nsid w:val="0AD36FD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nsid w:val="0B6C6D8A"/>
    <w:multiLevelType w:val="multilevel"/>
    <w:tmpl w:val="3A30C63E"/>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260"/>
        </w:tabs>
        <w:ind w:left="1260" w:hanging="72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600"/>
        </w:tabs>
        <w:ind w:left="3600" w:hanging="144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940"/>
        </w:tabs>
        <w:ind w:left="5940" w:hanging="2160"/>
      </w:pPr>
      <w:rPr>
        <w:rFonts w:hint="default"/>
      </w:rPr>
    </w:lvl>
    <w:lvl w:ilvl="8">
      <w:start w:val="1"/>
      <w:numFmt w:val="decimal"/>
      <w:lvlText w:val="%1.%2.%3.%4.%5.%6.%7.%8.%9"/>
      <w:lvlJc w:val="left"/>
      <w:pPr>
        <w:tabs>
          <w:tab w:val="num" w:pos="6480"/>
        </w:tabs>
        <w:ind w:left="6480" w:hanging="2160"/>
      </w:pPr>
      <w:rPr>
        <w:rFonts w:hint="default"/>
      </w:rPr>
    </w:lvl>
  </w:abstractNum>
  <w:abstractNum w:abstractNumId="20">
    <w:nsid w:val="0B852D7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
    <w:nsid w:val="0C584A26"/>
    <w:multiLevelType w:val="hybridMultilevel"/>
    <w:tmpl w:val="A3AC8CD0"/>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2">
    <w:nsid w:val="0CA30992"/>
    <w:multiLevelType w:val="hybridMultilevel"/>
    <w:tmpl w:val="A990AC7E"/>
    <w:lvl w:ilvl="0" w:tplc="E80EDD2A">
      <w:start w:val="1"/>
      <w:numFmt w:val="bullet"/>
      <w:lvlRestart w:val="0"/>
      <w:lvlText w:val=""/>
      <w:lvlJc w:val="left"/>
      <w:pPr>
        <w:tabs>
          <w:tab w:val="num" w:pos="737"/>
        </w:tabs>
        <w:ind w:left="737" w:hanging="45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0D436A8D"/>
    <w:multiLevelType w:val="hybridMultilevel"/>
    <w:tmpl w:val="F1EA39B0"/>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4">
    <w:nsid w:val="0E4C2881"/>
    <w:multiLevelType w:val="hybridMultilevel"/>
    <w:tmpl w:val="44307470"/>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5">
    <w:nsid w:val="0E8F3EE8"/>
    <w:multiLevelType w:val="hybridMultilevel"/>
    <w:tmpl w:val="CF9AD458"/>
    <w:lvl w:ilvl="0" w:tplc="AF3C3CAC">
      <w:start w:val="1"/>
      <w:numFmt w:val="bullet"/>
      <w:lvlText w:val=""/>
      <w:lvlJc w:val="left"/>
      <w:pPr>
        <w:tabs>
          <w:tab w:val="num" w:pos="786"/>
        </w:tabs>
        <w:ind w:left="786" w:hanging="360"/>
      </w:pPr>
      <w:rPr>
        <w:rFonts w:ascii="Symbol" w:hAnsi="Symbol" w:cs="Times New Roman" w:hint="default"/>
        <w:sz w:val="16"/>
      </w:rPr>
    </w:lvl>
    <w:lvl w:ilvl="1" w:tplc="0C0A0003" w:tentative="1">
      <w:start w:val="1"/>
      <w:numFmt w:val="bullet"/>
      <w:lvlText w:val="o"/>
      <w:lvlJc w:val="left"/>
      <w:pPr>
        <w:tabs>
          <w:tab w:val="num" w:pos="1794"/>
        </w:tabs>
        <w:ind w:left="1794" w:hanging="360"/>
      </w:pPr>
      <w:rPr>
        <w:rFonts w:ascii="Courier New" w:hAnsi="Courier New" w:hint="default"/>
      </w:rPr>
    </w:lvl>
    <w:lvl w:ilvl="2" w:tplc="0C0A0005" w:tentative="1">
      <w:start w:val="1"/>
      <w:numFmt w:val="bullet"/>
      <w:lvlText w:val=""/>
      <w:lvlJc w:val="left"/>
      <w:pPr>
        <w:tabs>
          <w:tab w:val="num" w:pos="2514"/>
        </w:tabs>
        <w:ind w:left="2514" w:hanging="360"/>
      </w:pPr>
      <w:rPr>
        <w:rFonts w:ascii="Wingdings" w:hAnsi="Wingdings" w:hint="default"/>
      </w:rPr>
    </w:lvl>
    <w:lvl w:ilvl="3" w:tplc="0C0A0001" w:tentative="1">
      <w:start w:val="1"/>
      <w:numFmt w:val="bullet"/>
      <w:lvlText w:val=""/>
      <w:lvlJc w:val="left"/>
      <w:pPr>
        <w:tabs>
          <w:tab w:val="num" w:pos="3234"/>
        </w:tabs>
        <w:ind w:left="3234" w:hanging="360"/>
      </w:pPr>
      <w:rPr>
        <w:rFonts w:ascii="Symbol" w:hAnsi="Symbol" w:hint="default"/>
      </w:rPr>
    </w:lvl>
    <w:lvl w:ilvl="4" w:tplc="0C0A0003" w:tentative="1">
      <w:start w:val="1"/>
      <w:numFmt w:val="bullet"/>
      <w:lvlText w:val="o"/>
      <w:lvlJc w:val="left"/>
      <w:pPr>
        <w:tabs>
          <w:tab w:val="num" w:pos="3954"/>
        </w:tabs>
        <w:ind w:left="3954" w:hanging="360"/>
      </w:pPr>
      <w:rPr>
        <w:rFonts w:ascii="Courier New" w:hAnsi="Courier New" w:hint="default"/>
      </w:rPr>
    </w:lvl>
    <w:lvl w:ilvl="5" w:tplc="0C0A0005" w:tentative="1">
      <w:start w:val="1"/>
      <w:numFmt w:val="bullet"/>
      <w:lvlText w:val=""/>
      <w:lvlJc w:val="left"/>
      <w:pPr>
        <w:tabs>
          <w:tab w:val="num" w:pos="4674"/>
        </w:tabs>
        <w:ind w:left="4674" w:hanging="360"/>
      </w:pPr>
      <w:rPr>
        <w:rFonts w:ascii="Wingdings" w:hAnsi="Wingdings" w:hint="default"/>
      </w:rPr>
    </w:lvl>
    <w:lvl w:ilvl="6" w:tplc="0C0A0001" w:tentative="1">
      <w:start w:val="1"/>
      <w:numFmt w:val="bullet"/>
      <w:lvlText w:val=""/>
      <w:lvlJc w:val="left"/>
      <w:pPr>
        <w:tabs>
          <w:tab w:val="num" w:pos="5394"/>
        </w:tabs>
        <w:ind w:left="5394" w:hanging="360"/>
      </w:pPr>
      <w:rPr>
        <w:rFonts w:ascii="Symbol" w:hAnsi="Symbol" w:hint="default"/>
      </w:rPr>
    </w:lvl>
    <w:lvl w:ilvl="7" w:tplc="0C0A0003" w:tentative="1">
      <w:start w:val="1"/>
      <w:numFmt w:val="bullet"/>
      <w:lvlText w:val="o"/>
      <w:lvlJc w:val="left"/>
      <w:pPr>
        <w:tabs>
          <w:tab w:val="num" w:pos="6114"/>
        </w:tabs>
        <w:ind w:left="6114" w:hanging="360"/>
      </w:pPr>
      <w:rPr>
        <w:rFonts w:ascii="Courier New" w:hAnsi="Courier New" w:hint="default"/>
      </w:rPr>
    </w:lvl>
    <w:lvl w:ilvl="8" w:tplc="0C0A0005" w:tentative="1">
      <w:start w:val="1"/>
      <w:numFmt w:val="bullet"/>
      <w:lvlText w:val=""/>
      <w:lvlJc w:val="left"/>
      <w:pPr>
        <w:tabs>
          <w:tab w:val="num" w:pos="6834"/>
        </w:tabs>
        <w:ind w:left="6834" w:hanging="360"/>
      </w:pPr>
      <w:rPr>
        <w:rFonts w:ascii="Wingdings" w:hAnsi="Wingdings" w:hint="default"/>
      </w:rPr>
    </w:lvl>
  </w:abstractNum>
  <w:abstractNum w:abstractNumId="26">
    <w:nsid w:val="10A11333"/>
    <w:multiLevelType w:val="hybridMultilevel"/>
    <w:tmpl w:val="9C223C04"/>
    <w:lvl w:ilvl="0" w:tplc="D882920C">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7">
    <w:nsid w:val="12AC7649"/>
    <w:multiLevelType w:val="singleLevel"/>
    <w:tmpl w:val="0809000F"/>
    <w:lvl w:ilvl="0">
      <w:start w:val="1"/>
      <w:numFmt w:val="decimal"/>
      <w:lvlText w:val="%1."/>
      <w:lvlJc w:val="left"/>
      <w:pPr>
        <w:tabs>
          <w:tab w:val="num" w:pos="360"/>
        </w:tabs>
        <w:ind w:left="360" w:hanging="360"/>
      </w:pPr>
    </w:lvl>
  </w:abstractNum>
  <w:abstractNum w:abstractNumId="28">
    <w:nsid w:val="138D46CE"/>
    <w:multiLevelType w:val="hybridMultilevel"/>
    <w:tmpl w:val="33D01578"/>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9">
    <w:nsid w:val="13A54848"/>
    <w:multiLevelType w:val="hybridMultilevel"/>
    <w:tmpl w:val="80A60628"/>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30">
    <w:nsid w:val="13C17ED9"/>
    <w:multiLevelType w:val="hybridMultilevel"/>
    <w:tmpl w:val="9C223C04"/>
    <w:lvl w:ilvl="0" w:tplc="D882920C">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31">
    <w:nsid w:val="1575560F"/>
    <w:multiLevelType w:val="hybridMultilevel"/>
    <w:tmpl w:val="698C9F12"/>
    <w:lvl w:ilvl="0" w:tplc="AF9C8A22">
      <w:start w:val="1"/>
      <w:numFmt w:val="bullet"/>
      <w:lvlText w:val=""/>
      <w:lvlJc w:val="left"/>
      <w:pPr>
        <w:tabs>
          <w:tab w:val="num" w:pos="1134"/>
        </w:tabs>
        <w:ind w:left="1134" w:hanging="567"/>
      </w:pPr>
      <w:rPr>
        <w:rFonts w:ascii="Symbol" w:hAnsi="Symbol" w:hint="default"/>
      </w:rPr>
    </w:lvl>
    <w:lvl w:ilvl="1" w:tplc="11C4C828">
      <w:start w:val="1"/>
      <w:numFmt w:val="bullet"/>
      <w:lvlText w:val=""/>
      <w:lvlJc w:val="left"/>
      <w:pPr>
        <w:tabs>
          <w:tab w:val="num" w:pos="1134"/>
        </w:tabs>
        <w:ind w:left="1134"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18954CCD"/>
    <w:multiLevelType w:val="hybridMultilevel"/>
    <w:tmpl w:val="9C223C04"/>
    <w:lvl w:ilvl="0" w:tplc="D882920C">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33">
    <w:nsid w:val="1AD63C5D"/>
    <w:multiLevelType w:val="singleLevel"/>
    <w:tmpl w:val="DEA28F20"/>
    <w:lvl w:ilvl="0">
      <w:start w:val="1"/>
      <w:numFmt w:val="decimal"/>
      <w:pStyle w:val="ListNumber"/>
      <w:lvlText w:val="%1."/>
      <w:lvlJc w:val="left"/>
      <w:pPr>
        <w:tabs>
          <w:tab w:val="num" w:pos="360"/>
        </w:tabs>
        <w:ind w:left="0" w:firstLine="0"/>
      </w:pPr>
      <w:rPr>
        <w:rFonts w:hint="default"/>
      </w:rPr>
    </w:lvl>
  </w:abstractNum>
  <w:abstractNum w:abstractNumId="34">
    <w:nsid w:val="1AE92176"/>
    <w:multiLevelType w:val="hybridMultilevel"/>
    <w:tmpl w:val="A3F6BF50"/>
    <w:lvl w:ilvl="0" w:tplc="D882920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1BC45222"/>
    <w:multiLevelType w:val="hybridMultilevel"/>
    <w:tmpl w:val="9C223C04"/>
    <w:lvl w:ilvl="0" w:tplc="A386FA34">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36">
    <w:nsid w:val="1CFA6B8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7">
    <w:nsid w:val="1D2127AB"/>
    <w:multiLevelType w:val="hybridMultilevel"/>
    <w:tmpl w:val="9C223C04"/>
    <w:lvl w:ilvl="0" w:tplc="726055FE">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38">
    <w:nsid w:val="1D2E200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9">
    <w:nsid w:val="1DEC2B30"/>
    <w:multiLevelType w:val="singleLevel"/>
    <w:tmpl w:val="95BE0558"/>
    <w:lvl w:ilvl="0">
      <w:start w:val="1"/>
      <w:numFmt w:val="bullet"/>
      <w:lvlText w:val=""/>
      <w:lvlJc w:val="left"/>
      <w:pPr>
        <w:tabs>
          <w:tab w:val="num" w:pos="720"/>
        </w:tabs>
        <w:ind w:left="720" w:hanging="720"/>
      </w:pPr>
      <w:rPr>
        <w:rFonts w:ascii="Symbol" w:hAnsi="Symbol" w:hint="default"/>
      </w:rPr>
    </w:lvl>
  </w:abstractNum>
  <w:abstractNum w:abstractNumId="40">
    <w:nsid w:val="1E2A72B8"/>
    <w:multiLevelType w:val="hybridMultilevel"/>
    <w:tmpl w:val="8926F13A"/>
    <w:lvl w:ilvl="0" w:tplc="A386FA3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1EA60D7E"/>
    <w:multiLevelType w:val="hybridMultilevel"/>
    <w:tmpl w:val="9C223C04"/>
    <w:lvl w:ilvl="0" w:tplc="2794B272">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42">
    <w:nsid w:val="1EE570AE"/>
    <w:multiLevelType w:val="hybridMultilevel"/>
    <w:tmpl w:val="342A92B0"/>
    <w:lvl w:ilvl="0" w:tplc="A386FA34">
      <w:start w:val="1"/>
      <w:numFmt w:val="bullet"/>
      <w:lvlText w:val=""/>
      <w:lvlJc w:val="left"/>
      <w:pPr>
        <w:tabs>
          <w:tab w:val="num" w:pos="1854"/>
        </w:tabs>
        <w:ind w:left="1854" w:hanging="567"/>
      </w:pPr>
      <w:rPr>
        <w:rFonts w:ascii="Symbol" w:hAnsi="Symbol" w:hint="default"/>
      </w:rPr>
    </w:lvl>
    <w:lvl w:ilvl="1" w:tplc="040C0003">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43">
    <w:nsid w:val="20267B6E"/>
    <w:multiLevelType w:val="hybridMultilevel"/>
    <w:tmpl w:val="9C223C04"/>
    <w:lvl w:ilvl="0" w:tplc="88EAED4C">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44">
    <w:nsid w:val="209A591B"/>
    <w:multiLevelType w:val="singleLevel"/>
    <w:tmpl w:val="95BE0558"/>
    <w:lvl w:ilvl="0">
      <w:start w:val="1"/>
      <w:numFmt w:val="bullet"/>
      <w:lvlText w:val=""/>
      <w:lvlJc w:val="left"/>
      <w:pPr>
        <w:tabs>
          <w:tab w:val="num" w:pos="720"/>
        </w:tabs>
        <w:ind w:left="720" w:hanging="720"/>
      </w:pPr>
      <w:rPr>
        <w:rFonts w:ascii="Symbol" w:hAnsi="Symbol" w:hint="default"/>
      </w:rPr>
    </w:lvl>
  </w:abstractNum>
  <w:abstractNum w:abstractNumId="45">
    <w:nsid w:val="20BD31CC"/>
    <w:multiLevelType w:val="singleLevel"/>
    <w:tmpl w:val="95BE0558"/>
    <w:lvl w:ilvl="0">
      <w:start w:val="1"/>
      <w:numFmt w:val="bullet"/>
      <w:lvlText w:val=""/>
      <w:lvlJc w:val="left"/>
      <w:pPr>
        <w:tabs>
          <w:tab w:val="num" w:pos="720"/>
        </w:tabs>
        <w:ind w:left="720" w:hanging="720"/>
      </w:pPr>
      <w:rPr>
        <w:rFonts w:ascii="Symbol" w:hAnsi="Symbol" w:hint="default"/>
      </w:rPr>
    </w:lvl>
  </w:abstractNum>
  <w:abstractNum w:abstractNumId="46">
    <w:nsid w:val="210A3B60"/>
    <w:multiLevelType w:val="hybridMultilevel"/>
    <w:tmpl w:val="87A2DE50"/>
    <w:lvl w:ilvl="0" w:tplc="FFFFFFFF">
      <w:start w:val="1"/>
      <w:numFmt w:val="decimal"/>
      <w:lvlText w:val="%1."/>
      <w:lvlJc w:val="left"/>
      <w:pPr>
        <w:tabs>
          <w:tab w:val="num" w:pos="720"/>
        </w:tabs>
        <w:ind w:left="720" w:hanging="360"/>
      </w:pPr>
      <w:rPr>
        <w:rFonts w:hint="default"/>
      </w:r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21AB6824"/>
    <w:multiLevelType w:val="hybridMultilevel"/>
    <w:tmpl w:val="9896583E"/>
    <w:lvl w:ilvl="0" w:tplc="C50AA26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
    <w:nsid w:val="22832FA0"/>
    <w:multiLevelType w:val="multilevel"/>
    <w:tmpl w:val="C416203C"/>
    <w:lvl w:ilvl="0">
      <w:start w:val="1"/>
      <w:numFmt w:val="upperRoman"/>
      <w:lvlText w:val="%1."/>
      <w:lvlJc w:val="left"/>
      <w:pPr>
        <w:tabs>
          <w:tab w:val="num" w:pos="720"/>
        </w:tabs>
        <w:ind w:left="720" w:hanging="720"/>
      </w:pPr>
    </w:lvl>
    <w:lvl w:ilvl="1">
      <w:start w:val="1"/>
      <w:numFmt w:val="upperLetter"/>
      <w:lvlText w:val="%2."/>
      <w:lvlJc w:val="left"/>
      <w:pPr>
        <w:tabs>
          <w:tab w:val="num" w:pos="720"/>
        </w:tabs>
        <w:ind w:left="720" w:hanging="720"/>
      </w:pPr>
    </w:lvl>
    <w:lvl w:ilvl="2">
      <w:start w:val="1"/>
      <w:numFmt w:val="decimal"/>
      <w:lvlText w:val="%3."/>
      <w:lvlJc w:val="left"/>
      <w:pPr>
        <w:tabs>
          <w:tab w:val="num" w:pos="720"/>
        </w:tabs>
        <w:ind w:left="720" w:hanging="720"/>
      </w:pPr>
    </w:lvl>
    <w:lvl w:ilvl="3">
      <w:start w:val="1"/>
      <w:numFmt w:val="lowerLetter"/>
      <w:lvlText w:val="%4)"/>
      <w:lvlJc w:val="left"/>
      <w:pPr>
        <w:tabs>
          <w:tab w:val="num" w:pos="720"/>
        </w:tabs>
        <w:ind w:left="720" w:hanging="720"/>
      </w:pPr>
    </w:lvl>
    <w:lvl w:ilvl="4">
      <w:start w:val="1"/>
      <w:numFmt w:val="lowerRoman"/>
      <w:lvlText w:val="%5)"/>
      <w:lvlJc w:val="left"/>
      <w:pPr>
        <w:tabs>
          <w:tab w:val="num" w:pos="720"/>
        </w:tabs>
        <w:ind w:left="720" w:hanging="720"/>
      </w:pPr>
    </w:lvl>
    <w:lvl w:ilvl="5">
      <w:start w:val="1"/>
      <w:numFmt w:val="decimal"/>
      <w:lvlRestart w:val="0"/>
      <w:lvlText w:val="%6."/>
      <w:lvlJc w:val="left"/>
      <w:pPr>
        <w:tabs>
          <w:tab w:val="num" w:pos="360"/>
        </w:tabs>
        <w:ind w:left="0" w:firstLine="0"/>
      </w:pPr>
    </w:lvl>
    <w:lvl w:ilvl="6">
      <w:start w:val="1"/>
      <w:numFmt w:val="lowerLetter"/>
      <w:lvlText w:val="%7)"/>
      <w:lvlJc w:val="left"/>
      <w:pPr>
        <w:tabs>
          <w:tab w:val="num" w:pos="1440"/>
        </w:tabs>
        <w:ind w:left="1440" w:hanging="720"/>
      </w:pPr>
    </w:lvl>
    <w:lvl w:ilvl="7">
      <w:start w:val="1"/>
      <w:numFmt w:val="lowerRoman"/>
      <w:lvlText w:val="%8)"/>
      <w:lvlJc w:val="left"/>
      <w:pPr>
        <w:tabs>
          <w:tab w:val="num" w:pos="2160"/>
        </w:tabs>
        <w:ind w:left="2160" w:hanging="720"/>
      </w:pPr>
    </w:lvl>
    <w:lvl w:ilvl="8">
      <w:start w:val="1"/>
      <w:numFmt w:val="none"/>
      <w:lvlText w:val="-"/>
      <w:lvlJc w:val="left"/>
      <w:pPr>
        <w:tabs>
          <w:tab w:val="num" w:pos="2160"/>
        </w:tabs>
        <w:ind w:left="2160" w:hanging="720"/>
      </w:pPr>
    </w:lvl>
  </w:abstractNum>
  <w:abstractNum w:abstractNumId="49">
    <w:nsid w:val="24A7665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0">
    <w:nsid w:val="24EC2B73"/>
    <w:multiLevelType w:val="hybridMultilevel"/>
    <w:tmpl w:val="0ACC8630"/>
    <w:lvl w:ilvl="0" w:tplc="660E8CB8">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
    <w:nsid w:val="251B318F"/>
    <w:multiLevelType w:val="hybridMultilevel"/>
    <w:tmpl w:val="9C223C04"/>
    <w:lvl w:ilvl="0" w:tplc="D882920C">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52">
    <w:nsid w:val="25FE3E0D"/>
    <w:multiLevelType w:val="singleLevel"/>
    <w:tmpl w:val="CE7039F0"/>
    <w:lvl w:ilvl="0">
      <w:start w:val="1"/>
      <w:numFmt w:val="bullet"/>
      <w:pStyle w:val="ListBullet"/>
      <w:lvlText w:val=""/>
      <w:lvlJc w:val="left"/>
      <w:pPr>
        <w:tabs>
          <w:tab w:val="num" w:pos="720"/>
        </w:tabs>
        <w:ind w:left="720" w:hanging="720"/>
      </w:pPr>
      <w:rPr>
        <w:rFonts w:ascii="Symbol" w:hAnsi="Symbol" w:hint="default"/>
      </w:rPr>
    </w:lvl>
  </w:abstractNum>
  <w:abstractNum w:abstractNumId="53">
    <w:nsid w:val="26320A29"/>
    <w:multiLevelType w:val="singleLevel"/>
    <w:tmpl w:val="0809000F"/>
    <w:lvl w:ilvl="0">
      <w:start w:val="1"/>
      <w:numFmt w:val="decimal"/>
      <w:lvlText w:val="%1."/>
      <w:lvlJc w:val="left"/>
      <w:pPr>
        <w:tabs>
          <w:tab w:val="num" w:pos="360"/>
        </w:tabs>
        <w:ind w:left="360" w:hanging="360"/>
      </w:pPr>
    </w:lvl>
  </w:abstractNum>
  <w:abstractNum w:abstractNumId="54">
    <w:nsid w:val="265078A7"/>
    <w:multiLevelType w:val="hybridMultilevel"/>
    <w:tmpl w:val="039E1AC6"/>
    <w:lvl w:ilvl="0" w:tplc="64220ADE">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5">
    <w:nsid w:val="273D1225"/>
    <w:multiLevelType w:val="hybridMultilevel"/>
    <w:tmpl w:val="9C223C04"/>
    <w:lvl w:ilvl="0" w:tplc="D882920C">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56">
    <w:nsid w:val="299E508D"/>
    <w:multiLevelType w:val="hybridMultilevel"/>
    <w:tmpl w:val="9C223C04"/>
    <w:lvl w:ilvl="0" w:tplc="660E8CB8">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57">
    <w:nsid w:val="2A232C03"/>
    <w:multiLevelType w:val="hybridMultilevel"/>
    <w:tmpl w:val="9C223C04"/>
    <w:lvl w:ilvl="0" w:tplc="2794B272">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58">
    <w:nsid w:val="2A867F24"/>
    <w:multiLevelType w:val="hybridMultilevel"/>
    <w:tmpl w:val="9C223C04"/>
    <w:lvl w:ilvl="0" w:tplc="D882920C">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59">
    <w:nsid w:val="2AF3599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0">
    <w:nsid w:val="2B900131"/>
    <w:multiLevelType w:val="hybridMultilevel"/>
    <w:tmpl w:val="9C223C04"/>
    <w:lvl w:ilvl="0" w:tplc="660E8CB8">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61">
    <w:nsid w:val="2C8B1771"/>
    <w:multiLevelType w:val="hybridMultilevel"/>
    <w:tmpl w:val="D878EF50"/>
    <w:lvl w:ilvl="0" w:tplc="7AC457B0">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2">
    <w:nsid w:val="2DFB2168"/>
    <w:multiLevelType w:val="hybridMultilevel"/>
    <w:tmpl w:val="9C223C04"/>
    <w:lvl w:ilvl="0" w:tplc="D882920C">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63">
    <w:nsid w:val="2F2C6C0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4">
    <w:nsid w:val="2F8F4124"/>
    <w:multiLevelType w:val="hybridMultilevel"/>
    <w:tmpl w:val="19542304"/>
    <w:lvl w:ilvl="0" w:tplc="AA725840">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65">
    <w:nsid w:val="30961B44"/>
    <w:multiLevelType w:val="hybridMultilevel"/>
    <w:tmpl w:val="660EAABA"/>
    <w:lvl w:ilvl="0" w:tplc="BACA80EC">
      <w:start w:val="1"/>
      <w:numFmt w:val="bullet"/>
      <w:lvlText w:val=""/>
      <w:lvlJc w:val="left"/>
      <w:pPr>
        <w:tabs>
          <w:tab w:val="num" w:pos="964"/>
        </w:tabs>
        <w:ind w:left="964" w:hanging="396"/>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6">
    <w:nsid w:val="3174732B"/>
    <w:multiLevelType w:val="hybridMultilevel"/>
    <w:tmpl w:val="046C18DE"/>
    <w:lvl w:ilvl="0" w:tplc="C62AE1F8">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7">
    <w:nsid w:val="321042D8"/>
    <w:multiLevelType w:val="hybridMultilevel"/>
    <w:tmpl w:val="51C68E70"/>
    <w:lvl w:ilvl="0" w:tplc="0F92D86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8">
    <w:nsid w:val="32C900D8"/>
    <w:multiLevelType w:val="multilevel"/>
    <w:tmpl w:val="1B669344"/>
    <w:lvl w:ilvl="0">
      <w:start w:val="1"/>
      <w:numFmt w:val="upperRoman"/>
      <w:pStyle w:val="Heading1"/>
      <w:lvlText w:val="%1."/>
      <w:lvlJc w:val="left"/>
      <w:pPr>
        <w:tabs>
          <w:tab w:val="num" w:pos="720"/>
        </w:tabs>
        <w:ind w:left="720" w:hanging="720"/>
      </w:pPr>
      <w:rPr>
        <w:rFonts w:hint="default"/>
      </w:rPr>
    </w:lvl>
    <w:lvl w:ilvl="1">
      <w:start w:val="1"/>
      <w:numFmt w:val="upperLetter"/>
      <w:pStyle w:val="Heading2"/>
      <w:lvlText w:val="%2."/>
      <w:lvlJc w:val="left"/>
      <w:pPr>
        <w:tabs>
          <w:tab w:val="num" w:pos="720"/>
        </w:tabs>
        <w:ind w:left="720" w:hanging="720"/>
      </w:pPr>
      <w:rPr>
        <w:rFonts w:hint="default"/>
      </w:rPr>
    </w:lvl>
    <w:lvl w:ilvl="2">
      <w:start w:val="1"/>
      <w:numFmt w:val="decimal"/>
      <w:pStyle w:val="Heading3"/>
      <w:lvlText w:val="%3."/>
      <w:lvlJc w:val="left"/>
      <w:pPr>
        <w:tabs>
          <w:tab w:val="num" w:pos="720"/>
        </w:tabs>
        <w:ind w:left="720" w:hanging="720"/>
      </w:pPr>
      <w:rPr>
        <w:rFonts w:hint="default"/>
      </w:rPr>
    </w:lvl>
    <w:lvl w:ilvl="3">
      <w:start w:val="1"/>
      <w:numFmt w:val="lowerLetter"/>
      <w:pStyle w:val="Heading4"/>
      <w:lvlText w:val="%4)"/>
      <w:lvlJc w:val="left"/>
      <w:pPr>
        <w:tabs>
          <w:tab w:val="num" w:pos="720"/>
        </w:tabs>
        <w:ind w:left="720" w:hanging="720"/>
      </w:pPr>
      <w:rPr>
        <w:rFonts w:hint="default"/>
      </w:rPr>
    </w:lvl>
    <w:lvl w:ilvl="4">
      <w:start w:val="1"/>
      <w:numFmt w:val="lowerRoman"/>
      <w:pStyle w:val="Heading5"/>
      <w:lvlText w:val="%5)"/>
      <w:lvlJc w:val="left"/>
      <w:pPr>
        <w:tabs>
          <w:tab w:val="num" w:pos="720"/>
        </w:tabs>
        <w:ind w:left="720" w:hanging="720"/>
      </w:pPr>
      <w:rPr>
        <w:rFonts w:hint="default"/>
      </w:rPr>
    </w:lvl>
    <w:lvl w:ilvl="5">
      <w:start w:val="1"/>
      <w:numFmt w:val="decimal"/>
      <w:lvlRestart w:val="0"/>
      <w:pStyle w:val="BodyText"/>
      <w:lvlText w:val="%6."/>
      <w:lvlJc w:val="left"/>
      <w:pPr>
        <w:tabs>
          <w:tab w:val="num" w:pos="360"/>
        </w:tabs>
        <w:ind w:left="0" w:firstLine="0"/>
      </w:pPr>
      <w:rPr>
        <w:rFonts w:hint="default"/>
      </w:rPr>
    </w:lvl>
    <w:lvl w:ilvl="6">
      <w:start w:val="1"/>
      <w:numFmt w:val="lowerLetter"/>
      <w:lvlText w:val="%7)"/>
      <w:lvlJc w:val="left"/>
      <w:pPr>
        <w:tabs>
          <w:tab w:val="num" w:pos="1134"/>
        </w:tabs>
        <w:ind w:left="1134" w:hanging="567"/>
      </w:pPr>
      <w:rPr>
        <w:rFonts w:hint="default"/>
      </w:rPr>
    </w:lvl>
    <w:lvl w:ilvl="7">
      <w:start w:val="1"/>
      <w:numFmt w:val="lowerRoman"/>
      <w:pStyle w:val="BodyText3"/>
      <w:lvlText w:val="%8)"/>
      <w:lvlJc w:val="left"/>
      <w:pPr>
        <w:tabs>
          <w:tab w:val="num" w:pos="2160"/>
        </w:tabs>
        <w:ind w:left="2160" w:hanging="720"/>
      </w:pPr>
      <w:rPr>
        <w:rFonts w:hint="default"/>
      </w:rPr>
    </w:lvl>
    <w:lvl w:ilvl="8">
      <w:start w:val="1"/>
      <w:numFmt w:val="none"/>
      <w:pStyle w:val="Corpsdetexte4"/>
      <w:lvlText w:val="-"/>
      <w:lvlJc w:val="left"/>
      <w:pPr>
        <w:tabs>
          <w:tab w:val="num" w:pos="2160"/>
        </w:tabs>
        <w:ind w:left="2160" w:hanging="720"/>
      </w:pPr>
      <w:rPr>
        <w:rFonts w:hint="default"/>
      </w:rPr>
    </w:lvl>
  </w:abstractNum>
  <w:abstractNum w:abstractNumId="69">
    <w:nsid w:val="33E51C7F"/>
    <w:multiLevelType w:val="hybridMultilevel"/>
    <w:tmpl w:val="9C223C04"/>
    <w:lvl w:ilvl="0" w:tplc="D882920C">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70">
    <w:nsid w:val="34ED18DD"/>
    <w:multiLevelType w:val="hybridMultilevel"/>
    <w:tmpl w:val="9C223C04"/>
    <w:lvl w:ilvl="0" w:tplc="726055FE">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71">
    <w:nsid w:val="35105A6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2">
    <w:nsid w:val="351A5D8E"/>
    <w:multiLevelType w:val="hybridMultilevel"/>
    <w:tmpl w:val="9E5A5748"/>
    <w:lvl w:ilvl="0" w:tplc="660E8CB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3">
    <w:nsid w:val="364B279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4">
    <w:nsid w:val="378B0E67"/>
    <w:multiLevelType w:val="hybridMultilevel"/>
    <w:tmpl w:val="9C223C04"/>
    <w:lvl w:ilvl="0" w:tplc="660E8CB8">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75">
    <w:nsid w:val="37C53CA0"/>
    <w:multiLevelType w:val="hybridMultilevel"/>
    <w:tmpl w:val="18D8869E"/>
    <w:lvl w:ilvl="0" w:tplc="667AD8B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6">
    <w:nsid w:val="37E9160B"/>
    <w:multiLevelType w:val="hybridMultilevel"/>
    <w:tmpl w:val="9C223C04"/>
    <w:lvl w:ilvl="0" w:tplc="D882920C">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77">
    <w:nsid w:val="38AD796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8">
    <w:nsid w:val="391C2C4E"/>
    <w:multiLevelType w:val="hybridMultilevel"/>
    <w:tmpl w:val="9C223C04"/>
    <w:lvl w:ilvl="0" w:tplc="660E8CB8">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79">
    <w:nsid w:val="3A0C23FF"/>
    <w:multiLevelType w:val="hybridMultilevel"/>
    <w:tmpl w:val="532AC1D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0">
    <w:nsid w:val="3A1D2FB1"/>
    <w:multiLevelType w:val="singleLevel"/>
    <w:tmpl w:val="95BE0558"/>
    <w:lvl w:ilvl="0">
      <w:start w:val="1"/>
      <w:numFmt w:val="bullet"/>
      <w:lvlText w:val=""/>
      <w:lvlJc w:val="left"/>
      <w:pPr>
        <w:tabs>
          <w:tab w:val="num" w:pos="720"/>
        </w:tabs>
        <w:ind w:left="720" w:hanging="720"/>
      </w:pPr>
      <w:rPr>
        <w:rFonts w:ascii="Symbol" w:hAnsi="Symbol" w:hint="default"/>
      </w:rPr>
    </w:lvl>
  </w:abstractNum>
  <w:abstractNum w:abstractNumId="81">
    <w:nsid w:val="3A88437D"/>
    <w:multiLevelType w:val="hybridMultilevel"/>
    <w:tmpl w:val="9C223C04"/>
    <w:lvl w:ilvl="0" w:tplc="2794B272">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82">
    <w:nsid w:val="3BA44243"/>
    <w:multiLevelType w:val="hybridMultilevel"/>
    <w:tmpl w:val="9C223C04"/>
    <w:lvl w:ilvl="0" w:tplc="2794B272">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83">
    <w:nsid w:val="3BD62E30"/>
    <w:multiLevelType w:val="hybridMultilevel"/>
    <w:tmpl w:val="9C223C04"/>
    <w:lvl w:ilvl="0" w:tplc="D882920C">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84">
    <w:nsid w:val="3BF0144C"/>
    <w:multiLevelType w:val="hybridMultilevel"/>
    <w:tmpl w:val="9C223C04"/>
    <w:lvl w:ilvl="0" w:tplc="D882920C">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85">
    <w:nsid w:val="3C0A0087"/>
    <w:multiLevelType w:val="multilevel"/>
    <w:tmpl w:val="C0A649C2"/>
    <w:lvl w:ilvl="0">
      <w:start w:val="1"/>
      <w:numFmt w:val="upp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6">
    <w:nsid w:val="3C3D23F2"/>
    <w:multiLevelType w:val="hybridMultilevel"/>
    <w:tmpl w:val="F0AED83E"/>
    <w:lvl w:ilvl="0" w:tplc="4EE0423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7">
    <w:nsid w:val="3E964796"/>
    <w:multiLevelType w:val="hybridMultilevel"/>
    <w:tmpl w:val="C5BEA4C6"/>
    <w:lvl w:ilvl="0" w:tplc="6DFA79CA">
      <w:start w:val="3874"/>
      <w:numFmt w:val="bullet"/>
      <w:lvlText w:val=""/>
      <w:lvlJc w:val="left"/>
      <w:pPr>
        <w:tabs>
          <w:tab w:val="num" w:pos="720"/>
        </w:tabs>
        <w:ind w:left="720" w:hanging="360"/>
      </w:pPr>
      <w:rPr>
        <w:rFonts w:ascii="Wingdings" w:eastAsia="Times New Roman" w:hAnsi="Wingdings"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8">
    <w:nsid w:val="3EBB43A4"/>
    <w:multiLevelType w:val="hybridMultilevel"/>
    <w:tmpl w:val="9C223C04"/>
    <w:lvl w:ilvl="0" w:tplc="D882920C">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89">
    <w:nsid w:val="3EC420E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0">
    <w:nsid w:val="3F3E7C54"/>
    <w:multiLevelType w:val="hybridMultilevel"/>
    <w:tmpl w:val="DC0A08FC"/>
    <w:lvl w:ilvl="0" w:tplc="D9F2CA4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1">
    <w:nsid w:val="3FB958B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2">
    <w:nsid w:val="42FC0478"/>
    <w:multiLevelType w:val="hybridMultilevel"/>
    <w:tmpl w:val="5C6E5FF6"/>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93">
    <w:nsid w:val="43B53034"/>
    <w:multiLevelType w:val="hybridMultilevel"/>
    <w:tmpl w:val="1322464C"/>
    <w:lvl w:ilvl="0" w:tplc="F2F8B02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4">
    <w:nsid w:val="447906B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5">
    <w:nsid w:val="45F57C5F"/>
    <w:multiLevelType w:val="hybridMultilevel"/>
    <w:tmpl w:val="2C1A6760"/>
    <w:lvl w:ilvl="0" w:tplc="14D48AB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6">
    <w:nsid w:val="45FA4FB9"/>
    <w:multiLevelType w:val="multilevel"/>
    <w:tmpl w:val="5D7A9A86"/>
    <w:lvl w:ilvl="0">
      <w:start w:val="3"/>
      <w:numFmt w:val="decimal"/>
      <w:lvlText w:val="%1"/>
      <w:lvlJc w:val="left"/>
      <w:pPr>
        <w:tabs>
          <w:tab w:val="num" w:pos="870"/>
        </w:tabs>
        <w:ind w:left="870" w:hanging="870"/>
      </w:pPr>
      <w:rPr>
        <w:rFonts w:hint="default"/>
        <w:b w:val="0"/>
      </w:rPr>
    </w:lvl>
    <w:lvl w:ilvl="1">
      <w:start w:val="5"/>
      <w:numFmt w:val="decimal"/>
      <w:lvlText w:val="%1.%2"/>
      <w:lvlJc w:val="left"/>
      <w:pPr>
        <w:tabs>
          <w:tab w:val="num" w:pos="1140"/>
        </w:tabs>
        <w:ind w:left="1140" w:hanging="870"/>
      </w:pPr>
      <w:rPr>
        <w:rFonts w:hint="default"/>
        <w:b w:val="0"/>
      </w:rPr>
    </w:lvl>
    <w:lvl w:ilvl="2">
      <w:start w:val="2"/>
      <w:numFmt w:val="decimal"/>
      <w:lvlText w:val="%1.%2.%3"/>
      <w:lvlJc w:val="left"/>
      <w:pPr>
        <w:tabs>
          <w:tab w:val="num" w:pos="1620"/>
        </w:tabs>
        <w:ind w:left="1620" w:hanging="1080"/>
      </w:pPr>
      <w:rPr>
        <w:rFonts w:hint="default"/>
        <w:b w:val="0"/>
      </w:rPr>
    </w:lvl>
    <w:lvl w:ilvl="3">
      <w:start w:val="1"/>
      <w:numFmt w:val="decimal"/>
      <w:lvlText w:val="%1.%2.%3.%4"/>
      <w:lvlJc w:val="left"/>
      <w:pPr>
        <w:tabs>
          <w:tab w:val="num" w:pos="1890"/>
        </w:tabs>
        <w:ind w:left="1890" w:hanging="1080"/>
      </w:pPr>
      <w:rPr>
        <w:rFonts w:hint="default"/>
        <w:b w:val="0"/>
      </w:rPr>
    </w:lvl>
    <w:lvl w:ilvl="4">
      <w:start w:val="1"/>
      <w:numFmt w:val="decimal"/>
      <w:lvlText w:val="%1.%2.%3.%4.%5"/>
      <w:lvlJc w:val="left"/>
      <w:pPr>
        <w:tabs>
          <w:tab w:val="num" w:pos="2520"/>
        </w:tabs>
        <w:ind w:left="2520" w:hanging="1440"/>
      </w:pPr>
      <w:rPr>
        <w:rFonts w:hint="default"/>
        <w:b w:val="0"/>
      </w:rPr>
    </w:lvl>
    <w:lvl w:ilvl="5">
      <w:start w:val="1"/>
      <w:numFmt w:val="decimal"/>
      <w:lvlText w:val="%1.%2.%3.%4.%5.%6"/>
      <w:lvlJc w:val="left"/>
      <w:pPr>
        <w:tabs>
          <w:tab w:val="num" w:pos="3150"/>
        </w:tabs>
        <w:ind w:left="3150" w:hanging="1800"/>
      </w:pPr>
      <w:rPr>
        <w:rFonts w:hint="default"/>
        <w:b w:val="0"/>
      </w:rPr>
    </w:lvl>
    <w:lvl w:ilvl="6">
      <w:start w:val="1"/>
      <w:numFmt w:val="decimal"/>
      <w:lvlText w:val="%1.%2.%3.%4.%5.%6.%7"/>
      <w:lvlJc w:val="left"/>
      <w:pPr>
        <w:tabs>
          <w:tab w:val="num" w:pos="3780"/>
        </w:tabs>
        <w:ind w:left="3780" w:hanging="2160"/>
      </w:pPr>
      <w:rPr>
        <w:rFonts w:hint="default"/>
        <w:b w:val="0"/>
      </w:rPr>
    </w:lvl>
    <w:lvl w:ilvl="7">
      <w:start w:val="1"/>
      <w:numFmt w:val="decimal"/>
      <w:lvlText w:val="%1.%2.%3.%4.%5.%6.%7.%8"/>
      <w:lvlJc w:val="left"/>
      <w:pPr>
        <w:tabs>
          <w:tab w:val="num" w:pos="4050"/>
        </w:tabs>
        <w:ind w:left="4050" w:hanging="2160"/>
      </w:pPr>
      <w:rPr>
        <w:rFonts w:hint="default"/>
        <w:b w:val="0"/>
      </w:rPr>
    </w:lvl>
    <w:lvl w:ilvl="8">
      <w:start w:val="1"/>
      <w:numFmt w:val="decimal"/>
      <w:lvlText w:val="%1.%2.%3.%4.%5.%6.%7.%8.%9"/>
      <w:lvlJc w:val="left"/>
      <w:pPr>
        <w:tabs>
          <w:tab w:val="num" w:pos="4680"/>
        </w:tabs>
        <w:ind w:left="4680" w:hanging="2520"/>
      </w:pPr>
      <w:rPr>
        <w:rFonts w:hint="default"/>
        <w:b w:val="0"/>
      </w:rPr>
    </w:lvl>
  </w:abstractNum>
  <w:abstractNum w:abstractNumId="97">
    <w:nsid w:val="476A71F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8">
    <w:nsid w:val="48A6544E"/>
    <w:multiLevelType w:val="hybridMultilevel"/>
    <w:tmpl w:val="F1C23936"/>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99">
    <w:nsid w:val="48AA53E4"/>
    <w:multiLevelType w:val="hybridMultilevel"/>
    <w:tmpl w:val="0E820264"/>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00">
    <w:nsid w:val="4915685A"/>
    <w:multiLevelType w:val="hybridMultilevel"/>
    <w:tmpl w:val="0846A846"/>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500"/>
        </w:tabs>
        <w:ind w:left="1500" w:hanging="360"/>
      </w:pPr>
      <w:rPr>
        <w:rFonts w:ascii="Courier New" w:hAnsi="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101">
    <w:nsid w:val="49656168"/>
    <w:multiLevelType w:val="singleLevel"/>
    <w:tmpl w:val="A70E7492"/>
    <w:lvl w:ilvl="0">
      <w:start w:val="1"/>
      <w:numFmt w:val="bullet"/>
      <w:lvlText w:val=""/>
      <w:lvlJc w:val="left"/>
      <w:pPr>
        <w:tabs>
          <w:tab w:val="num" w:pos="567"/>
        </w:tabs>
        <w:ind w:left="567" w:hanging="567"/>
      </w:pPr>
      <w:rPr>
        <w:rFonts w:ascii="Wingdings" w:hAnsi="Wingdings" w:hint="default"/>
        <w:caps w:val="0"/>
        <w:strike w:val="0"/>
        <w:dstrike w:val="0"/>
        <w:outline w:val="0"/>
        <w:shadow w:val="0"/>
        <w:emboss w:val="0"/>
        <w:imprint w:val="0"/>
        <w:vanish w:val="0"/>
        <w:sz w:val="24"/>
        <w:vertAlign w:val="baseline"/>
      </w:rPr>
    </w:lvl>
  </w:abstractNum>
  <w:abstractNum w:abstractNumId="102">
    <w:nsid w:val="4A7B2540"/>
    <w:multiLevelType w:val="hybridMultilevel"/>
    <w:tmpl w:val="660EAABA"/>
    <w:lvl w:ilvl="0" w:tplc="E17C0816">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3">
    <w:nsid w:val="4B3D21C0"/>
    <w:multiLevelType w:val="singleLevel"/>
    <w:tmpl w:val="A70E7492"/>
    <w:lvl w:ilvl="0">
      <w:start w:val="1"/>
      <w:numFmt w:val="bullet"/>
      <w:lvlText w:val=""/>
      <w:lvlJc w:val="left"/>
      <w:pPr>
        <w:tabs>
          <w:tab w:val="num" w:pos="567"/>
        </w:tabs>
        <w:ind w:left="567" w:hanging="567"/>
      </w:pPr>
      <w:rPr>
        <w:rFonts w:ascii="Wingdings" w:hAnsi="Wingdings" w:hint="default"/>
        <w:caps w:val="0"/>
        <w:strike w:val="0"/>
        <w:dstrike w:val="0"/>
        <w:outline w:val="0"/>
        <w:shadow w:val="0"/>
        <w:emboss w:val="0"/>
        <w:imprint w:val="0"/>
        <w:vanish w:val="0"/>
        <w:sz w:val="24"/>
        <w:vertAlign w:val="baseline"/>
      </w:rPr>
    </w:lvl>
  </w:abstractNum>
  <w:abstractNum w:abstractNumId="104">
    <w:nsid w:val="4CDB220B"/>
    <w:multiLevelType w:val="singleLevel"/>
    <w:tmpl w:val="58A0456A"/>
    <w:lvl w:ilvl="0">
      <w:start w:val="1"/>
      <w:numFmt w:val="decimal"/>
      <w:lvlText w:val="%1. "/>
      <w:legacy w:legacy="1" w:legacySpace="0" w:legacyIndent="283"/>
      <w:lvlJc w:val="left"/>
      <w:pPr>
        <w:ind w:left="283" w:hanging="283"/>
      </w:pPr>
      <w:rPr>
        <w:rFonts w:ascii="Times New Roman" w:hAnsi="Times New Roman" w:hint="default"/>
        <w:b w:val="0"/>
        <w:i w:val="0"/>
        <w:sz w:val="24"/>
      </w:rPr>
    </w:lvl>
  </w:abstractNum>
  <w:abstractNum w:abstractNumId="105">
    <w:nsid w:val="4CF76096"/>
    <w:multiLevelType w:val="singleLevel"/>
    <w:tmpl w:val="A70E7492"/>
    <w:lvl w:ilvl="0">
      <w:start w:val="1"/>
      <w:numFmt w:val="bullet"/>
      <w:lvlText w:val=""/>
      <w:lvlJc w:val="left"/>
      <w:pPr>
        <w:tabs>
          <w:tab w:val="num" w:pos="567"/>
        </w:tabs>
        <w:ind w:left="567" w:hanging="567"/>
      </w:pPr>
      <w:rPr>
        <w:rFonts w:ascii="Wingdings" w:hAnsi="Wingdings" w:hint="default"/>
        <w:caps w:val="0"/>
        <w:strike w:val="0"/>
        <w:dstrike w:val="0"/>
        <w:outline w:val="0"/>
        <w:shadow w:val="0"/>
        <w:emboss w:val="0"/>
        <w:imprint w:val="0"/>
        <w:vanish w:val="0"/>
        <w:sz w:val="24"/>
        <w:vertAlign w:val="baseline"/>
      </w:rPr>
    </w:lvl>
  </w:abstractNum>
  <w:abstractNum w:abstractNumId="106">
    <w:nsid w:val="4D630302"/>
    <w:multiLevelType w:val="hybridMultilevel"/>
    <w:tmpl w:val="39640BC6"/>
    <w:lvl w:ilvl="0" w:tplc="6FE2945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7">
    <w:nsid w:val="4E141691"/>
    <w:multiLevelType w:val="hybridMultilevel"/>
    <w:tmpl w:val="9C223C04"/>
    <w:lvl w:ilvl="0" w:tplc="8084D6C2">
      <w:start w:val="32"/>
      <w:numFmt w:val="bullet"/>
      <w:lvlText w:val=""/>
      <w:lvlJc w:val="left"/>
      <w:pPr>
        <w:tabs>
          <w:tab w:val="num" w:pos="1080"/>
        </w:tabs>
        <w:ind w:left="1080" w:hanging="360"/>
      </w:pPr>
      <w:rPr>
        <w:rFonts w:ascii="Wingdings" w:eastAsia="Times New Roman" w:hAnsi="Wingdings" w:cs="Times New Roman"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08">
    <w:nsid w:val="4F552B0F"/>
    <w:multiLevelType w:val="hybridMultilevel"/>
    <w:tmpl w:val="98C2D706"/>
    <w:lvl w:ilvl="0" w:tplc="9D6CE56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9">
    <w:nsid w:val="4F901325"/>
    <w:multiLevelType w:val="hybridMultilevel"/>
    <w:tmpl w:val="9C223C04"/>
    <w:lvl w:ilvl="0" w:tplc="D882920C">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10">
    <w:nsid w:val="50934CA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1">
    <w:nsid w:val="50A1657E"/>
    <w:multiLevelType w:val="hybridMultilevel"/>
    <w:tmpl w:val="9C223C04"/>
    <w:lvl w:ilvl="0" w:tplc="D882920C">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12">
    <w:nsid w:val="5251263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3">
    <w:nsid w:val="52764D9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4">
    <w:nsid w:val="52827C4F"/>
    <w:multiLevelType w:val="multilevel"/>
    <w:tmpl w:val="51964878"/>
    <w:lvl w:ilvl="0">
      <w:start w:val="3"/>
      <w:numFmt w:val="decimal"/>
      <w:lvlText w:val="%1"/>
      <w:lvlJc w:val="left"/>
      <w:pPr>
        <w:tabs>
          <w:tab w:val="num" w:pos="780"/>
        </w:tabs>
        <w:ind w:left="780" w:hanging="780"/>
      </w:pPr>
      <w:rPr>
        <w:rFonts w:hint="default"/>
      </w:rPr>
    </w:lvl>
    <w:lvl w:ilvl="1">
      <w:start w:val="5"/>
      <w:numFmt w:val="decimal"/>
      <w:lvlText w:val="%1.%2"/>
      <w:lvlJc w:val="left"/>
      <w:pPr>
        <w:tabs>
          <w:tab w:val="num" w:pos="1140"/>
        </w:tabs>
        <w:ind w:left="1140" w:hanging="780"/>
      </w:pPr>
      <w:rPr>
        <w:rFonts w:hint="default"/>
      </w:rPr>
    </w:lvl>
    <w:lvl w:ilvl="2">
      <w:start w:val="1"/>
      <w:numFmt w:val="decimal"/>
      <w:lvlText w:val="%1.%2.%3"/>
      <w:lvlJc w:val="left"/>
      <w:pPr>
        <w:tabs>
          <w:tab w:val="num" w:pos="1800"/>
        </w:tabs>
        <w:ind w:left="1800" w:hanging="1080"/>
      </w:pPr>
      <w:rPr>
        <w:rFonts w:hint="default"/>
      </w:rPr>
    </w:lvl>
    <w:lvl w:ilvl="3">
      <w:start w:val="1"/>
      <w:numFmt w:val="decimal"/>
      <w:lvlText w:val="%1.%2.%3.%4"/>
      <w:lvlJc w:val="left"/>
      <w:pPr>
        <w:tabs>
          <w:tab w:val="num" w:pos="2520"/>
        </w:tabs>
        <w:ind w:left="2520" w:hanging="1440"/>
      </w:pPr>
      <w:rPr>
        <w:rFonts w:hint="default"/>
      </w:rPr>
    </w:lvl>
    <w:lvl w:ilvl="4">
      <w:start w:val="1"/>
      <w:numFmt w:val="decimal"/>
      <w:lvlText w:val="%1.%2.%3.%4.%5"/>
      <w:lvlJc w:val="left"/>
      <w:pPr>
        <w:tabs>
          <w:tab w:val="num" w:pos="3240"/>
        </w:tabs>
        <w:ind w:left="3240" w:hanging="1800"/>
      </w:pPr>
      <w:rPr>
        <w:rFonts w:hint="default"/>
      </w:rPr>
    </w:lvl>
    <w:lvl w:ilvl="5">
      <w:start w:val="1"/>
      <w:numFmt w:val="decimal"/>
      <w:lvlText w:val="%1.%2.%3.%4.%5.%6"/>
      <w:lvlJc w:val="left"/>
      <w:pPr>
        <w:tabs>
          <w:tab w:val="num" w:pos="3960"/>
        </w:tabs>
        <w:ind w:left="3960" w:hanging="2160"/>
      </w:pPr>
      <w:rPr>
        <w:rFonts w:hint="default"/>
      </w:rPr>
    </w:lvl>
    <w:lvl w:ilvl="6">
      <w:start w:val="1"/>
      <w:numFmt w:val="decimal"/>
      <w:lvlText w:val="%1.%2.%3.%4.%5.%6.%7"/>
      <w:lvlJc w:val="left"/>
      <w:pPr>
        <w:tabs>
          <w:tab w:val="num" w:pos="4680"/>
        </w:tabs>
        <w:ind w:left="4680" w:hanging="2520"/>
      </w:pPr>
      <w:rPr>
        <w:rFonts w:hint="default"/>
      </w:rPr>
    </w:lvl>
    <w:lvl w:ilvl="7">
      <w:start w:val="1"/>
      <w:numFmt w:val="decimal"/>
      <w:lvlText w:val="%1.%2.%3.%4.%5.%6.%7.%8"/>
      <w:lvlJc w:val="left"/>
      <w:pPr>
        <w:tabs>
          <w:tab w:val="num" w:pos="5400"/>
        </w:tabs>
        <w:ind w:left="5400" w:hanging="2880"/>
      </w:pPr>
      <w:rPr>
        <w:rFonts w:hint="default"/>
      </w:rPr>
    </w:lvl>
    <w:lvl w:ilvl="8">
      <w:start w:val="1"/>
      <w:numFmt w:val="decimal"/>
      <w:lvlText w:val="%1.%2.%3.%4.%5.%6.%7.%8.%9"/>
      <w:lvlJc w:val="left"/>
      <w:pPr>
        <w:tabs>
          <w:tab w:val="num" w:pos="6120"/>
        </w:tabs>
        <w:ind w:left="6120" w:hanging="3240"/>
      </w:pPr>
      <w:rPr>
        <w:rFonts w:hint="default"/>
      </w:rPr>
    </w:lvl>
  </w:abstractNum>
  <w:abstractNum w:abstractNumId="115">
    <w:nsid w:val="53151A36"/>
    <w:multiLevelType w:val="hybridMultilevel"/>
    <w:tmpl w:val="59F6A308"/>
    <w:lvl w:ilvl="0" w:tplc="B3BE208A">
      <w:start w:val="1"/>
      <w:numFmt w:val="bullet"/>
      <w:lvlText w:val=""/>
      <w:lvlJc w:val="left"/>
      <w:pPr>
        <w:tabs>
          <w:tab w:val="num" w:pos="680"/>
        </w:tabs>
        <w:ind w:left="680" w:hanging="396"/>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6">
    <w:nsid w:val="53634A1F"/>
    <w:multiLevelType w:val="singleLevel"/>
    <w:tmpl w:val="A8B0D91A"/>
    <w:lvl w:ilvl="0">
      <w:start w:val="1"/>
      <w:numFmt w:val="lowerLetter"/>
      <w:lvlText w:val="%1. "/>
      <w:legacy w:legacy="1" w:legacySpace="0" w:legacyIndent="283"/>
      <w:lvlJc w:val="left"/>
      <w:pPr>
        <w:ind w:left="283" w:hanging="283"/>
      </w:pPr>
      <w:rPr>
        <w:b w:val="0"/>
        <w:i w:val="0"/>
        <w:sz w:val="24"/>
      </w:rPr>
    </w:lvl>
  </w:abstractNum>
  <w:abstractNum w:abstractNumId="117">
    <w:nsid w:val="538D143B"/>
    <w:multiLevelType w:val="hybridMultilevel"/>
    <w:tmpl w:val="828EF91C"/>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18">
    <w:nsid w:val="54684F1B"/>
    <w:multiLevelType w:val="hybridMultilevel"/>
    <w:tmpl w:val="342A92B0"/>
    <w:lvl w:ilvl="0" w:tplc="0F5EC980">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119">
    <w:nsid w:val="555C5F8D"/>
    <w:multiLevelType w:val="hybridMultilevel"/>
    <w:tmpl w:val="EC60B8EC"/>
    <w:lvl w:ilvl="0" w:tplc="8A30E90A">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0">
    <w:nsid w:val="565D67E4"/>
    <w:multiLevelType w:val="singleLevel"/>
    <w:tmpl w:val="95BE0558"/>
    <w:lvl w:ilvl="0">
      <w:start w:val="1"/>
      <w:numFmt w:val="bullet"/>
      <w:lvlText w:val=""/>
      <w:lvlJc w:val="left"/>
      <w:pPr>
        <w:tabs>
          <w:tab w:val="num" w:pos="720"/>
        </w:tabs>
        <w:ind w:left="720" w:hanging="720"/>
      </w:pPr>
      <w:rPr>
        <w:rFonts w:ascii="Symbol" w:hAnsi="Symbol" w:hint="default"/>
      </w:rPr>
    </w:lvl>
  </w:abstractNum>
  <w:abstractNum w:abstractNumId="121">
    <w:nsid w:val="56AF3F7D"/>
    <w:multiLevelType w:val="hybridMultilevel"/>
    <w:tmpl w:val="AA668FAC"/>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122">
    <w:nsid w:val="56F42438"/>
    <w:multiLevelType w:val="hybridMultilevel"/>
    <w:tmpl w:val="7F52FBC0"/>
    <w:lvl w:ilvl="0" w:tplc="D76CD54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3">
    <w:nsid w:val="570C20C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4">
    <w:nsid w:val="57E07CE2"/>
    <w:multiLevelType w:val="hybridMultilevel"/>
    <w:tmpl w:val="1D6071DC"/>
    <w:lvl w:ilvl="0" w:tplc="5A2A98A6">
      <w:start w:val="1"/>
      <w:numFmt w:val="bullet"/>
      <w:lvlText w:val=""/>
      <w:lvlJc w:val="left"/>
      <w:pPr>
        <w:tabs>
          <w:tab w:val="num" w:pos="1134"/>
        </w:tabs>
        <w:ind w:left="1134" w:hanging="567"/>
      </w:pPr>
      <w:rPr>
        <w:rFonts w:ascii="Symbol" w:hAnsi="Symbol" w:hint="default"/>
      </w:rPr>
    </w:lvl>
    <w:lvl w:ilvl="1" w:tplc="69DEC6A2">
      <w:numFmt w:val="bullet"/>
      <w:lvlText w:val="-"/>
      <w:lvlJc w:val="left"/>
      <w:pPr>
        <w:tabs>
          <w:tab w:val="num" w:pos="1440"/>
        </w:tabs>
        <w:ind w:left="1440" w:hanging="36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5">
    <w:nsid w:val="58341119"/>
    <w:multiLevelType w:val="hybridMultilevel"/>
    <w:tmpl w:val="9C223C04"/>
    <w:lvl w:ilvl="0" w:tplc="660E8CB8">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26">
    <w:nsid w:val="5896316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7">
    <w:nsid w:val="59067A6D"/>
    <w:multiLevelType w:val="hybridMultilevel"/>
    <w:tmpl w:val="10FE51A6"/>
    <w:lvl w:ilvl="0" w:tplc="EC9E32A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8">
    <w:nsid w:val="593D4D43"/>
    <w:multiLevelType w:val="hybridMultilevel"/>
    <w:tmpl w:val="9C223C04"/>
    <w:lvl w:ilvl="0" w:tplc="D882920C">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29">
    <w:nsid w:val="59AA05A7"/>
    <w:multiLevelType w:val="hybridMultilevel"/>
    <w:tmpl w:val="9C223C04"/>
    <w:lvl w:ilvl="0" w:tplc="D882920C">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30">
    <w:nsid w:val="59D516CF"/>
    <w:multiLevelType w:val="singleLevel"/>
    <w:tmpl w:val="95BE0558"/>
    <w:lvl w:ilvl="0">
      <w:start w:val="1"/>
      <w:numFmt w:val="bullet"/>
      <w:lvlText w:val=""/>
      <w:lvlJc w:val="left"/>
      <w:pPr>
        <w:tabs>
          <w:tab w:val="num" w:pos="720"/>
        </w:tabs>
        <w:ind w:left="720" w:hanging="720"/>
      </w:pPr>
      <w:rPr>
        <w:rFonts w:ascii="Symbol" w:hAnsi="Symbol" w:hint="default"/>
      </w:rPr>
    </w:lvl>
  </w:abstractNum>
  <w:abstractNum w:abstractNumId="131">
    <w:nsid w:val="5A151D35"/>
    <w:multiLevelType w:val="hybridMultilevel"/>
    <w:tmpl w:val="9C223C04"/>
    <w:lvl w:ilvl="0" w:tplc="D882920C">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32">
    <w:nsid w:val="5A7E6F83"/>
    <w:multiLevelType w:val="hybridMultilevel"/>
    <w:tmpl w:val="7FE8539A"/>
    <w:lvl w:ilvl="0" w:tplc="11D6949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3">
    <w:nsid w:val="5B2322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4">
    <w:nsid w:val="5B905DD8"/>
    <w:multiLevelType w:val="hybridMultilevel"/>
    <w:tmpl w:val="9C223C04"/>
    <w:lvl w:ilvl="0" w:tplc="D882920C">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35">
    <w:nsid w:val="5D357CDB"/>
    <w:multiLevelType w:val="hybridMultilevel"/>
    <w:tmpl w:val="58D4591C"/>
    <w:lvl w:ilvl="0" w:tplc="158AD73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6">
    <w:nsid w:val="5E687C7D"/>
    <w:multiLevelType w:val="hybridMultilevel"/>
    <w:tmpl w:val="394C76FE"/>
    <w:lvl w:ilvl="0" w:tplc="0C0A0013">
      <w:start w:val="1"/>
      <w:numFmt w:val="upperRoman"/>
      <w:lvlText w:val="%1."/>
      <w:lvlJc w:val="right"/>
      <w:pPr>
        <w:tabs>
          <w:tab w:val="num" w:pos="720"/>
        </w:tabs>
        <w:ind w:left="720" w:hanging="18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7">
    <w:nsid w:val="5E7C7427"/>
    <w:multiLevelType w:val="hybridMultilevel"/>
    <w:tmpl w:val="9C223C04"/>
    <w:lvl w:ilvl="0" w:tplc="0B0660AA">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38">
    <w:nsid w:val="5F2C5793"/>
    <w:multiLevelType w:val="singleLevel"/>
    <w:tmpl w:val="95BE0558"/>
    <w:lvl w:ilvl="0">
      <w:start w:val="1"/>
      <w:numFmt w:val="bullet"/>
      <w:lvlText w:val=""/>
      <w:lvlJc w:val="left"/>
      <w:pPr>
        <w:tabs>
          <w:tab w:val="num" w:pos="720"/>
        </w:tabs>
        <w:ind w:left="720" w:hanging="720"/>
      </w:pPr>
      <w:rPr>
        <w:rFonts w:ascii="Symbol" w:hAnsi="Symbol" w:hint="default"/>
      </w:rPr>
    </w:lvl>
  </w:abstractNum>
  <w:abstractNum w:abstractNumId="139">
    <w:nsid w:val="60E62A63"/>
    <w:multiLevelType w:val="hybridMultilevel"/>
    <w:tmpl w:val="A990AC7E"/>
    <w:lvl w:ilvl="0" w:tplc="124440DC">
      <w:start w:val="1"/>
      <w:numFmt w:val="bullet"/>
      <w:lvlRestart w:val="0"/>
      <w:lvlText w:val=""/>
      <w:lvlJc w:val="left"/>
      <w:pPr>
        <w:tabs>
          <w:tab w:val="num" w:pos="737"/>
        </w:tabs>
        <w:ind w:left="737" w:hanging="45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0">
    <w:nsid w:val="6150727D"/>
    <w:multiLevelType w:val="hybridMultilevel"/>
    <w:tmpl w:val="070EFF70"/>
    <w:lvl w:ilvl="0" w:tplc="FD00AA38">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1">
    <w:nsid w:val="625F1ED2"/>
    <w:multiLevelType w:val="hybridMultilevel"/>
    <w:tmpl w:val="9C223C04"/>
    <w:lvl w:ilvl="0" w:tplc="D882920C">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42">
    <w:nsid w:val="639C277C"/>
    <w:multiLevelType w:val="hybridMultilevel"/>
    <w:tmpl w:val="EAB4BAA4"/>
    <w:lvl w:ilvl="0" w:tplc="7F4855B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3">
    <w:nsid w:val="63D401AA"/>
    <w:multiLevelType w:val="singleLevel"/>
    <w:tmpl w:val="0809000F"/>
    <w:lvl w:ilvl="0">
      <w:start w:val="1"/>
      <w:numFmt w:val="decimal"/>
      <w:lvlText w:val="%1."/>
      <w:lvlJc w:val="left"/>
      <w:pPr>
        <w:tabs>
          <w:tab w:val="num" w:pos="360"/>
        </w:tabs>
        <w:ind w:left="360" w:hanging="360"/>
      </w:pPr>
    </w:lvl>
  </w:abstractNum>
  <w:abstractNum w:abstractNumId="144">
    <w:nsid w:val="648D3C00"/>
    <w:multiLevelType w:val="hybridMultilevel"/>
    <w:tmpl w:val="9C223C04"/>
    <w:lvl w:ilvl="0" w:tplc="D882920C">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45">
    <w:nsid w:val="653608F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6">
    <w:nsid w:val="66307D7D"/>
    <w:multiLevelType w:val="hybridMultilevel"/>
    <w:tmpl w:val="9C223C04"/>
    <w:lvl w:ilvl="0" w:tplc="EDCC6CB4">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47">
    <w:nsid w:val="67E76151"/>
    <w:multiLevelType w:val="singleLevel"/>
    <w:tmpl w:val="95BE0558"/>
    <w:lvl w:ilvl="0">
      <w:start w:val="1"/>
      <w:numFmt w:val="bullet"/>
      <w:lvlText w:val=""/>
      <w:lvlJc w:val="left"/>
      <w:pPr>
        <w:tabs>
          <w:tab w:val="num" w:pos="720"/>
        </w:tabs>
        <w:ind w:left="720" w:hanging="720"/>
      </w:pPr>
      <w:rPr>
        <w:rFonts w:ascii="Symbol" w:hAnsi="Symbol" w:hint="default"/>
      </w:rPr>
    </w:lvl>
  </w:abstractNum>
  <w:abstractNum w:abstractNumId="148">
    <w:nsid w:val="6806046D"/>
    <w:multiLevelType w:val="hybridMultilevel"/>
    <w:tmpl w:val="EFE494B6"/>
    <w:lvl w:ilvl="0" w:tplc="8F24FB72">
      <w:start w:val="1"/>
      <w:numFmt w:val="bullet"/>
      <w:lvlText w:val=""/>
      <w:lvlJc w:val="left"/>
      <w:pPr>
        <w:tabs>
          <w:tab w:val="num" w:pos="927"/>
        </w:tabs>
        <w:ind w:left="851" w:hanging="28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9">
    <w:nsid w:val="694256BF"/>
    <w:multiLevelType w:val="hybridMultilevel"/>
    <w:tmpl w:val="F5CC3ABC"/>
    <w:lvl w:ilvl="0" w:tplc="0C0A0017">
      <w:start w:val="1"/>
      <w:numFmt w:val="lowerLetter"/>
      <w:lvlText w:val="%1)"/>
      <w:lvlJc w:val="left"/>
      <w:pPr>
        <w:tabs>
          <w:tab w:val="num" w:pos="720"/>
        </w:tabs>
        <w:ind w:left="720" w:hanging="360"/>
      </w:pPr>
      <w:rPr>
        <w:rFonts w:hint="default"/>
      </w:rPr>
    </w:lvl>
    <w:lvl w:ilvl="1" w:tplc="BC34CE44">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0">
    <w:nsid w:val="69A2472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1">
    <w:nsid w:val="6A2E32D2"/>
    <w:multiLevelType w:val="hybridMultilevel"/>
    <w:tmpl w:val="5712E47C"/>
    <w:lvl w:ilvl="0" w:tplc="19DA4142">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152">
    <w:nsid w:val="6A574C4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3">
    <w:nsid w:val="6BA01EE2"/>
    <w:multiLevelType w:val="multilevel"/>
    <w:tmpl w:val="0E205F62"/>
    <w:lvl w:ilvl="0">
      <w:start w:val="2"/>
      <w:numFmt w:val="upperRoman"/>
      <w:lvlText w:val="%1."/>
      <w:lvlJc w:val="right"/>
      <w:pPr>
        <w:tabs>
          <w:tab w:val="num" w:pos="1320"/>
        </w:tabs>
        <w:ind w:left="1320" w:hanging="1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4">
    <w:nsid w:val="6BB247E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5">
    <w:nsid w:val="6C5C64D7"/>
    <w:multiLevelType w:val="hybridMultilevel"/>
    <w:tmpl w:val="B0E0195A"/>
    <w:lvl w:ilvl="0" w:tplc="BB74C1D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6">
    <w:nsid w:val="6D581522"/>
    <w:multiLevelType w:val="hybridMultilevel"/>
    <w:tmpl w:val="B77EF9F0"/>
    <w:lvl w:ilvl="0" w:tplc="D882920C">
      <w:start w:val="1"/>
      <w:numFmt w:val="bullet"/>
      <w:lvlText w:val=""/>
      <w:lvlJc w:val="left"/>
      <w:pPr>
        <w:tabs>
          <w:tab w:val="num" w:pos="828"/>
        </w:tabs>
        <w:ind w:left="828" w:hanging="567"/>
      </w:pPr>
      <w:rPr>
        <w:rFonts w:ascii="Symbol" w:hAnsi="Symbol" w:hint="default"/>
      </w:rPr>
    </w:lvl>
    <w:lvl w:ilvl="1" w:tplc="040C0003">
      <w:start w:val="1"/>
      <w:numFmt w:val="bullet"/>
      <w:lvlText w:val="o"/>
      <w:lvlJc w:val="left"/>
      <w:pPr>
        <w:tabs>
          <w:tab w:val="num" w:pos="1134"/>
        </w:tabs>
        <w:ind w:left="1134" w:hanging="360"/>
      </w:pPr>
      <w:rPr>
        <w:rFonts w:ascii="Courier New" w:hAnsi="Courier New" w:hint="default"/>
      </w:rPr>
    </w:lvl>
    <w:lvl w:ilvl="2" w:tplc="040C0005" w:tentative="1">
      <w:start w:val="1"/>
      <w:numFmt w:val="bullet"/>
      <w:lvlText w:val=""/>
      <w:lvlJc w:val="left"/>
      <w:pPr>
        <w:tabs>
          <w:tab w:val="num" w:pos="1854"/>
        </w:tabs>
        <w:ind w:left="1854" w:hanging="360"/>
      </w:pPr>
      <w:rPr>
        <w:rFonts w:ascii="Wingdings" w:hAnsi="Wingdings" w:hint="default"/>
      </w:rPr>
    </w:lvl>
    <w:lvl w:ilvl="3" w:tplc="040C0001" w:tentative="1">
      <w:start w:val="1"/>
      <w:numFmt w:val="bullet"/>
      <w:lvlText w:val=""/>
      <w:lvlJc w:val="left"/>
      <w:pPr>
        <w:tabs>
          <w:tab w:val="num" w:pos="2574"/>
        </w:tabs>
        <w:ind w:left="2574" w:hanging="360"/>
      </w:pPr>
      <w:rPr>
        <w:rFonts w:ascii="Symbol" w:hAnsi="Symbol" w:hint="default"/>
      </w:rPr>
    </w:lvl>
    <w:lvl w:ilvl="4" w:tplc="040C0003" w:tentative="1">
      <w:start w:val="1"/>
      <w:numFmt w:val="bullet"/>
      <w:lvlText w:val="o"/>
      <w:lvlJc w:val="left"/>
      <w:pPr>
        <w:tabs>
          <w:tab w:val="num" w:pos="3294"/>
        </w:tabs>
        <w:ind w:left="3294" w:hanging="360"/>
      </w:pPr>
      <w:rPr>
        <w:rFonts w:ascii="Courier New" w:hAnsi="Courier New" w:hint="default"/>
      </w:rPr>
    </w:lvl>
    <w:lvl w:ilvl="5" w:tplc="040C0005" w:tentative="1">
      <w:start w:val="1"/>
      <w:numFmt w:val="bullet"/>
      <w:lvlText w:val=""/>
      <w:lvlJc w:val="left"/>
      <w:pPr>
        <w:tabs>
          <w:tab w:val="num" w:pos="4014"/>
        </w:tabs>
        <w:ind w:left="4014" w:hanging="360"/>
      </w:pPr>
      <w:rPr>
        <w:rFonts w:ascii="Wingdings" w:hAnsi="Wingdings" w:hint="default"/>
      </w:rPr>
    </w:lvl>
    <w:lvl w:ilvl="6" w:tplc="040C0001" w:tentative="1">
      <w:start w:val="1"/>
      <w:numFmt w:val="bullet"/>
      <w:lvlText w:val=""/>
      <w:lvlJc w:val="left"/>
      <w:pPr>
        <w:tabs>
          <w:tab w:val="num" w:pos="4734"/>
        </w:tabs>
        <w:ind w:left="4734" w:hanging="360"/>
      </w:pPr>
      <w:rPr>
        <w:rFonts w:ascii="Symbol" w:hAnsi="Symbol" w:hint="default"/>
      </w:rPr>
    </w:lvl>
    <w:lvl w:ilvl="7" w:tplc="040C0003" w:tentative="1">
      <w:start w:val="1"/>
      <w:numFmt w:val="bullet"/>
      <w:lvlText w:val="o"/>
      <w:lvlJc w:val="left"/>
      <w:pPr>
        <w:tabs>
          <w:tab w:val="num" w:pos="5454"/>
        </w:tabs>
        <w:ind w:left="5454" w:hanging="360"/>
      </w:pPr>
      <w:rPr>
        <w:rFonts w:ascii="Courier New" w:hAnsi="Courier New" w:hint="default"/>
      </w:rPr>
    </w:lvl>
    <w:lvl w:ilvl="8" w:tplc="040C0005" w:tentative="1">
      <w:start w:val="1"/>
      <w:numFmt w:val="bullet"/>
      <w:lvlText w:val=""/>
      <w:lvlJc w:val="left"/>
      <w:pPr>
        <w:tabs>
          <w:tab w:val="num" w:pos="6174"/>
        </w:tabs>
        <w:ind w:left="6174" w:hanging="360"/>
      </w:pPr>
      <w:rPr>
        <w:rFonts w:ascii="Wingdings" w:hAnsi="Wingdings" w:hint="default"/>
      </w:rPr>
    </w:lvl>
  </w:abstractNum>
  <w:abstractNum w:abstractNumId="157">
    <w:nsid w:val="6E4D41A9"/>
    <w:multiLevelType w:val="hybridMultilevel"/>
    <w:tmpl w:val="9C223C04"/>
    <w:lvl w:ilvl="0" w:tplc="660E8CB8">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58">
    <w:nsid w:val="704430FF"/>
    <w:multiLevelType w:val="hybridMultilevel"/>
    <w:tmpl w:val="9C223C04"/>
    <w:lvl w:ilvl="0" w:tplc="D882920C">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59">
    <w:nsid w:val="70791657"/>
    <w:multiLevelType w:val="hybridMultilevel"/>
    <w:tmpl w:val="57E213FA"/>
    <w:lvl w:ilvl="0" w:tplc="660E8CB8">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0">
    <w:nsid w:val="70E12D1F"/>
    <w:multiLevelType w:val="hybridMultilevel"/>
    <w:tmpl w:val="9C223C04"/>
    <w:lvl w:ilvl="0" w:tplc="B3D0CCBC">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61">
    <w:nsid w:val="70F068FB"/>
    <w:multiLevelType w:val="hybridMultilevel"/>
    <w:tmpl w:val="698C9F12"/>
    <w:lvl w:ilvl="0" w:tplc="AF9C8A22">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2">
    <w:nsid w:val="725B5808"/>
    <w:multiLevelType w:val="hybridMultilevel"/>
    <w:tmpl w:val="DD582D4E"/>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63">
    <w:nsid w:val="737C2931"/>
    <w:multiLevelType w:val="hybridMultilevel"/>
    <w:tmpl w:val="F0AED83E"/>
    <w:lvl w:ilvl="0" w:tplc="0809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4">
    <w:nsid w:val="74151D3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5">
    <w:nsid w:val="75EB00FA"/>
    <w:multiLevelType w:val="hybridMultilevel"/>
    <w:tmpl w:val="2DDA703A"/>
    <w:lvl w:ilvl="0" w:tplc="660E8CB8">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6">
    <w:nsid w:val="77FE2EA3"/>
    <w:multiLevelType w:val="hybridMultilevel"/>
    <w:tmpl w:val="9C223C04"/>
    <w:lvl w:ilvl="0" w:tplc="D882920C">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67">
    <w:nsid w:val="78AB03B4"/>
    <w:multiLevelType w:val="hybridMultilevel"/>
    <w:tmpl w:val="9C223C04"/>
    <w:lvl w:ilvl="0" w:tplc="5CCC6980">
      <w:start w:val="32"/>
      <w:numFmt w:val="bullet"/>
      <w:lvlText w:val=""/>
      <w:lvlJc w:val="left"/>
      <w:pPr>
        <w:tabs>
          <w:tab w:val="num" w:pos="1134"/>
        </w:tabs>
        <w:ind w:left="1134" w:hanging="567"/>
      </w:pPr>
      <w:rPr>
        <w:rFonts w:ascii="Wingdings" w:eastAsia="Times New Roman" w:hAnsi="Wingdings" w:cs="Times New Roman"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68">
    <w:nsid w:val="7A09002F"/>
    <w:multiLevelType w:val="hybridMultilevel"/>
    <w:tmpl w:val="9C223C04"/>
    <w:lvl w:ilvl="0" w:tplc="660E8CB8">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69">
    <w:nsid w:val="7C8A0CD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0">
    <w:nsid w:val="7DDD51AF"/>
    <w:multiLevelType w:val="hybridMultilevel"/>
    <w:tmpl w:val="C57CC27A"/>
    <w:lvl w:ilvl="0" w:tplc="A386FA3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1">
    <w:nsid w:val="7E7E6BD9"/>
    <w:multiLevelType w:val="hybridMultilevel"/>
    <w:tmpl w:val="3ED03402"/>
    <w:lvl w:ilvl="0" w:tplc="CFFEDA2C">
      <w:start w:val="1"/>
      <w:numFmt w:val="bullet"/>
      <w:lvlText w:val=""/>
      <w:lvlJc w:val="left"/>
      <w:pPr>
        <w:tabs>
          <w:tab w:val="num" w:pos="574"/>
        </w:tabs>
        <w:ind w:left="574" w:hanging="360"/>
      </w:pPr>
      <w:rPr>
        <w:rFonts w:ascii="Symbol" w:eastAsia="Times New Roman" w:hAnsi="Symbol" w:cs="Times New Roman" w:hint="default"/>
      </w:rPr>
    </w:lvl>
    <w:lvl w:ilvl="1" w:tplc="98BC1104" w:tentative="1">
      <w:start w:val="1"/>
      <w:numFmt w:val="decimal"/>
      <w:lvlText w:val="%2."/>
      <w:lvlJc w:val="left"/>
      <w:pPr>
        <w:tabs>
          <w:tab w:val="num" w:pos="1440"/>
        </w:tabs>
        <w:ind w:left="1440" w:hanging="360"/>
      </w:pPr>
    </w:lvl>
    <w:lvl w:ilvl="2" w:tplc="29A2A03C" w:tentative="1">
      <w:start w:val="1"/>
      <w:numFmt w:val="decimal"/>
      <w:lvlText w:val="%3."/>
      <w:lvlJc w:val="left"/>
      <w:pPr>
        <w:tabs>
          <w:tab w:val="num" w:pos="2160"/>
        </w:tabs>
        <w:ind w:left="2160" w:hanging="360"/>
      </w:pPr>
    </w:lvl>
    <w:lvl w:ilvl="3" w:tplc="94A055D0" w:tentative="1">
      <w:start w:val="1"/>
      <w:numFmt w:val="decimal"/>
      <w:lvlText w:val="%4."/>
      <w:lvlJc w:val="left"/>
      <w:pPr>
        <w:tabs>
          <w:tab w:val="num" w:pos="2880"/>
        </w:tabs>
        <w:ind w:left="2880" w:hanging="360"/>
      </w:pPr>
    </w:lvl>
    <w:lvl w:ilvl="4" w:tplc="895880A2" w:tentative="1">
      <w:start w:val="1"/>
      <w:numFmt w:val="decimal"/>
      <w:lvlText w:val="%5."/>
      <w:lvlJc w:val="left"/>
      <w:pPr>
        <w:tabs>
          <w:tab w:val="num" w:pos="3600"/>
        </w:tabs>
        <w:ind w:left="3600" w:hanging="360"/>
      </w:pPr>
    </w:lvl>
    <w:lvl w:ilvl="5" w:tplc="35380188" w:tentative="1">
      <w:start w:val="1"/>
      <w:numFmt w:val="decimal"/>
      <w:lvlText w:val="%6."/>
      <w:lvlJc w:val="left"/>
      <w:pPr>
        <w:tabs>
          <w:tab w:val="num" w:pos="4320"/>
        </w:tabs>
        <w:ind w:left="4320" w:hanging="360"/>
      </w:pPr>
    </w:lvl>
    <w:lvl w:ilvl="6" w:tplc="F57C34C2" w:tentative="1">
      <w:start w:val="1"/>
      <w:numFmt w:val="decimal"/>
      <w:lvlText w:val="%7."/>
      <w:lvlJc w:val="left"/>
      <w:pPr>
        <w:tabs>
          <w:tab w:val="num" w:pos="5040"/>
        </w:tabs>
        <w:ind w:left="5040" w:hanging="360"/>
      </w:pPr>
    </w:lvl>
    <w:lvl w:ilvl="7" w:tplc="83A86362" w:tentative="1">
      <w:start w:val="1"/>
      <w:numFmt w:val="decimal"/>
      <w:lvlText w:val="%8."/>
      <w:lvlJc w:val="left"/>
      <w:pPr>
        <w:tabs>
          <w:tab w:val="num" w:pos="5760"/>
        </w:tabs>
        <w:ind w:left="5760" w:hanging="360"/>
      </w:pPr>
    </w:lvl>
    <w:lvl w:ilvl="8" w:tplc="408A419E" w:tentative="1">
      <w:start w:val="1"/>
      <w:numFmt w:val="decimal"/>
      <w:lvlText w:val="%9."/>
      <w:lvlJc w:val="left"/>
      <w:pPr>
        <w:tabs>
          <w:tab w:val="num" w:pos="6480"/>
        </w:tabs>
        <w:ind w:left="6480" w:hanging="360"/>
      </w:pPr>
    </w:lvl>
  </w:abstractNum>
  <w:abstractNum w:abstractNumId="172">
    <w:nsid w:val="7EB544F2"/>
    <w:multiLevelType w:val="hybridMultilevel"/>
    <w:tmpl w:val="71400CB6"/>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73">
    <w:nsid w:val="7F5F3ADC"/>
    <w:multiLevelType w:val="hybridMultilevel"/>
    <w:tmpl w:val="78E469A4"/>
    <w:lvl w:ilvl="0" w:tplc="0C0A0001">
      <w:start w:val="1"/>
      <w:numFmt w:val="bullet"/>
      <w:lvlText w:val=""/>
      <w:lvlJc w:val="left"/>
      <w:pPr>
        <w:tabs>
          <w:tab w:val="num" w:pos="1275"/>
        </w:tabs>
        <w:ind w:left="1275" w:hanging="360"/>
      </w:pPr>
      <w:rPr>
        <w:rFonts w:ascii="Symbol" w:hAnsi="Symbol" w:hint="default"/>
      </w:rPr>
    </w:lvl>
    <w:lvl w:ilvl="1" w:tplc="0C0A0003" w:tentative="1">
      <w:start w:val="1"/>
      <w:numFmt w:val="bullet"/>
      <w:lvlText w:val="o"/>
      <w:lvlJc w:val="left"/>
      <w:pPr>
        <w:tabs>
          <w:tab w:val="num" w:pos="1995"/>
        </w:tabs>
        <w:ind w:left="1995" w:hanging="360"/>
      </w:pPr>
      <w:rPr>
        <w:rFonts w:ascii="Courier New" w:hAnsi="Courier New" w:hint="default"/>
      </w:rPr>
    </w:lvl>
    <w:lvl w:ilvl="2" w:tplc="0C0A0005" w:tentative="1">
      <w:start w:val="1"/>
      <w:numFmt w:val="bullet"/>
      <w:lvlText w:val=""/>
      <w:lvlJc w:val="left"/>
      <w:pPr>
        <w:tabs>
          <w:tab w:val="num" w:pos="2715"/>
        </w:tabs>
        <w:ind w:left="2715" w:hanging="360"/>
      </w:pPr>
      <w:rPr>
        <w:rFonts w:ascii="Wingdings" w:hAnsi="Wingdings" w:hint="default"/>
      </w:rPr>
    </w:lvl>
    <w:lvl w:ilvl="3" w:tplc="0C0A0001" w:tentative="1">
      <w:start w:val="1"/>
      <w:numFmt w:val="bullet"/>
      <w:lvlText w:val=""/>
      <w:lvlJc w:val="left"/>
      <w:pPr>
        <w:tabs>
          <w:tab w:val="num" w:pos="3435"/>
        </w:tabs>
        <w:ind w:left="3435" w:hanging="360"/>
      </w:pPr>
      <w:rPr>
        <w:rFonts w:ascii="Symbol" w:hAnsi="Symbol" w:hint="default"/>
      </w:rPr>
    </w:lvl>
    <w:lvl w:ilvl="4" w:tplc="0C0A0003" w:tentative="1">
      <w:start w:val="1"/>
      <w:numFmt w:val="bullet"/>
      <w:lvlText w:val="o"/>
      <w:lvlJc w:val="left"/>
      <w:pPr>
        <w:tabs>
          <w:tab w:val="num" w:pos="4155"/>
        </w:tabs>
        <w:ind w:left="4155" w:hanging="360"/>
      </w:pPr>
      <w:rPr>
        <w:rFonts w:ascii="Courier New" w:hAnsi="Courier New" w:hint="default"/>
      </w:rPr>
    </w:lvl>
    <w:lvl w:ilvl="5" w:tplc="0C0A0005" w:tentative="1">
      <w:start w:val="1"/>
      <w:numFmt w:val="bullet"/>
      <w:lvlText w:val=""/>
      <w:lvlJc w:val="left"/>
      <w:pPr>
        <w:tabs>
          <w:tab w:val="num" w:pos="4875"/>
        </w:tabs>
        <w:ind w:left="4875" w:hanging="360"/>
      </w:pPr>
      <w:rPr>
        <w:rFonts w:ascii="Wingdings" w:hAnsi="Wingdings" w:hint="default"/>
      </w:rPr>
    </w:lvl>
    <w:lvl w:ilvl="6" w:tplc="0C0A0001" w:tentative="1">
      <w:start w:val="1"/>
      <w:numFmt w:val="bullet"/>
      <w:lvlText w:val=""/>
      <w:lvlJc w:val="left"/>
      <w:pPr>
        <w:tabs>
          <w:tab w:val="num" w:pos="5595"/>
        </w:tabs>
        <w:ind w:left="5595" w:hanging="360"/>
      </w:pPr>
      <w:rPr>
        <w:rFonts w:ascii="Symbol" w:hAnsi="Symbol" w:hint="default"/>
      </w:rPr>
    </w:lvl>
    <w:lvl w:ilvl="7" w:tplc="0C0A0003" w:tentative="1">
      <w:start w:val="1"/>
      <w:numFmt w:val="bullet"/>
      <w:lvlText w:val="o"/>
      <w:lvlJc w:val="left"/>
      <w:pPr>
        <w:tabs>
          <w:tab w:val="num" w:pos="6315"/>
        </w:tabs>
        <w:ind w:left="6315" w:hanging="360"/>
      </w:pPr>
      <w:rPr>
        <w:rFonts w:ascii="Courier New" w:hAnsi="Courier New" w:hint="default"/>
      </w:rPr>
    </w:lvl>
    <w:lvl w:ilvl="8" w:tplc="0C0A0005" w:tentative="1">
      <w:start w:val="1"/>
      <w:numFmt w:val="bullet"/>
      <w:lvlText w:val=""/>
      <w:lvlJc w:val="left"/>
      <w:pPr>
        <w:tabs>
          <w:tab w:val="num" w:pos="7035"/>
        </w:tabs>
        <w:ind w:left="7035" w:hanging="360"/>
      </w:pPr>
      <w:rPr>
        <w:rFonts w:ascii="Wingdings" w:hAnsi="Wingdings" w:hint="default"/>
      </w:rPr>
    </w:lvl>
  </w:abstractNum>
  <w:num w:numId="1">
    <w:abstractNumId w:val="68"/>
  </w:num>
  <w:num w:numId="2">
    <w:abstractNumId w:val="52"/>
  </w:num>
  <w:num w:numId="3">
    <w:abstractNumId w:val="2"/>
  </w:num>
  <w:num w:numId="4">
    <w:abstractNumId w:val="1"/>
  </w:num>
  <w:num w:numId="5">
    <w:abstractNumId w:val="0"/>
  </w:num>
  <w:num w:numId="6">
    <w:abstractNumId w:val="33"/>
  </w:num>
  <w:num w:numId="7">
    <w:abstractNumId w:val="14"/>
  </w:num>
  <w:num w:numId="8">
    <w:abstractNumId w:val="138"/>
  </w:num>
  <w:num w:numId="9">
    <w:abstractNumId w:val="120"/>
  </w:num>
  <w:num w:numId="10">
    <w:abstractNumId w:val="147"/>
  </w:num>
  <w:num w:numId="11">
    <w:abstractNumId w:val="45"/>
  </w:num>
  <w:num w:numId="12">
    <w:abstractNumId w:val="44"/>
  </w:num>
  <w:num w:numId="13">
    <w:abstractNumId w:val="39"/>
  </w:num>
  <w:num w:numId="14">
    <w:abstractNumId w:val="80"/>
  </w:num>
  <w:num w:numId="15">
    <w:abstractNumId w:val="130"/>
  </w:num>
  <w:num w:numId="16">
    <w:abstractNumId w:val="101"/>
  </w:num>
  <w:num w:numId="17">
    <w:abstractNumId w:val="105"/>
  </w:num>
  <w:num w:numId="18">
    <w:abstractNumId w:val="103"/>
  </w:num>
  <w:num w:numId="19">
    <w:abstractNumId w:val="68"/>
  </w:num>
  <w:num w:numId="20">
    <w:abstractNumId w:val="68"/>
  </w:num>
  <w:num w:numId="21">
    <w:abstractNumId w:val="68"/>
  </w:num>
  <w:num w:numId="22">
    <w:abstractNumId w:val="68"/>
  </w:num>
  <w:num w:numId="23">
    <w:abstractNumId w:val="68"/>
  </w:num>
  <w:num w:numId="24">
    <w:abstractNumId w:val="68"/>
  </w:num>
  <w:num w:numId="25">
    <w:abstractNumId w:val="68"/>
  </w:num>
  <w:num w:numId="26">
    <w:abstractNumId w:val="68"/>
  </w:num>
  <w:num w:numId="27">
    <w:abstractNumId w:val="68"/>
  </w:num>
  <w:num w:numId="28">
    <w:abstractNumId w:val="68"/>
  </w:num>
  <w:num w:numId="29">
    <w:abstractNumId w:val="68"/>
  </w:num>
  <w:num w:numId="30">
    <w:abstractNumId w:val="68"/>
  </w:num>
  <w:num w:numId="31">
    <w:abstractNumId w:val="68"/>
  </w:num>
  <w:num w:numId="32">
    <w:abstractNumId w:val="68"/>
  </w:num>
  <w:num w:numId="33">
    <w:abstractNumId w:val="68"/>
  </w:num>
  <w:num w:numId="34">
    <w:abstractNumId w:val="68"/>
  </w:num>
  <w:num w:numId="35">
    <w:abstractNumId w:val="68"/>
  </w:num>
  <w:num w:numId="36">
    <w:abstractNumId w:val="68"/>
  </w:num>
  <w:num w:numId="37">
    <w:abstractNumId w:val="68"/>
  </w:num>
  <w:num w:numId="38">
    <w:abstractNumId w:val="68"/>
  </w:num>
  <w:num w:numId="39">
    <w:abstractNumId w:val="68"/>
  </w:num>
  <w:num w:numId="40">
    <w:abstractNumId w:val="68"/>
  </w:num>
  <w:num w:numId="41">
    <w:abstractNumId w:val="68"/>
  </w:num>
  <w:num w:numId="42">
    <w:abstractNumId w:val="48"/>
  </w:num>
  <w:num w:numId="4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07"/>
  </w:num>
  <w:num w:numId="45">
    <w:abstractNumId w:val="68"/>
  </w:num>
  <w:num w:numId="46">
    <w:abstractNumId w:val="68"/>
  </w:num>
  <w:num w:numId="47">
    <w:abstractNumId w:val="68"/>
  </w:num>
  <w:num w:numId="48">
    <w:abstractNumId w:val="68"/>
  </w:num>
  <w:num w:numId="49">
    <w:abstractNumId w:val="61"/>
  </w:num>
  <w:num w:numId="50">
    <w:abstractNumId w:val="167"/>
  </w:num>
  <w:num w:numId="51">
    <w:abstractNumId w:val="10"/>
  </w:num>
  <w:num w:numId="52">
    <w:abstractNumId w:val="161"/>
  </w:num>
  <w:num w:numId="53">
    <w:abstractNumId w:val="31"/>
  </w:num>
  <w:num w:numId="54">
    <w:abstractNumId w:val="70"/>
  </w:num>
  <w:num w:numId="55">
    <w:abstractNumId w:val="37"/>
  </w:num>
  <w:num w:numId="56">
    <w:abstractNumId w:val="146"/>
  </w:num>
  <w:num w:numId="57">
    <w:abstractNumId w:val="17"/>
  </w:num>
  <w:num w:numId="58">
    <w:abstractNumId w:val="137"/>
  </w:num>
  <w:num w:numId="59">
    <w:abstractNumId w:val="160"/>
  </w:num>
  <w:num w:numId="60">
    <w:abstractNumId w:val="43"/>
  </w:num>
  <w:num w:numId="61">
    <w:abstractNumId w:val="132"/>
  </w:num>
  <w:num w:numId="62">
    <w:abstractNumId w:val="40"/>
  </w:num>
  <w:num w:numId="63">
    <w:abstractNumId w:val="170"/>
  </w:num>
  <w:num w:numId="64">
    <w:abstractNumId w:val="35"/>
  </w:num>
  <w:num w:numId="65">
    <w:abstractNumId w:val="42"/>
  </w:num>
  <w:num w:numId="66">
    <w:abstractNumId w:val="118"/>
  </w:num>
  <w:num w:numId="67">
    <w:abstractNumId w:val="5"/>
  </w:num>
  <w:num w:numId="68">
    <w:abstractNumId w:val="151"/>
  </w:num>
  <w:num w:numId="69">
    <w:abstractNumId w:val="93"/>
  </w:num>
  <w:num w:numId="70">
    <w:abstractNumId w:val="165"/>
  </w:num>
  <w:num w:numId="71">
    <w:abstractNumId w:val="159"/>
  </w:num>
  <w:num w:numId="72">
    <w:abstractNumId w:val="66"/>
  </w:num>
  <w:num w:numId="73">
    <w:abstractNumId w:val="50"/>
  </w:num>
  <w:num w:numId="74">
    <w:abstractNumId w:val="72"/>
  </w:num>
  <w:num w:numId="75">
    <w:abstractNumId w:val="157"/>
  </w:num>
  <w:num w:numId="76">
    <w:abstractNumId w:val="74"/>
  </w:num>
  <w:num w:numId="77">
    <w:abstractNumId w:val="56"/>
  </w:num>
  <w:num w:numId="78">
    <w:abstractNumId w:val="13"/>
  </w:num>
  <w:num w:numId="79">
    <w:abstractNumId w:val="54"/>
  </w:num>
  <w:num w:numId="80">
    <w:abstractNumId w:val="78"/>
  </w:num>
  <w:num w:numId="81">
    <w:abstractNumId w:val="125"/>
  </w:num>
  <w:num w:numId="82">
    <w:abstractNumId w:val="168"/>
  </w:num>
  <w:num w:numId="83">
    <w:abstractNumId w:val="60"/>
  </w:num>
  <w:num w:numId="84">
    <w:abstractNumId w:val="76"/>
  </w:num>
  <w:num w:numId="85">
    <w:abstractNumId w:val="129"/>
  </w:num>
  <w:num w:numId="86">
    <w:abstractNumId w:val="8"/>
  </w:num>
  <w:num w:numId="87">
    <w:abstractNumId w:val="134"/>
  </w:num>
  <w:num w:numId="88">
    <w:abstractNumId w:val="156"/>
  </w:num>
  <w:num w:numId="89">
    <w:abstractNumId w:val="34"/>
  </w:num>
  <w:num w:numId="90">
    <w:abstractNumId w:val="140"/>
  </w:num>
  <w:num w:numId="91">
    <w:abstractNumId w:val="26"/>
  </w:num>
  <w:num w:numId="92">
    <w:abstractNumId w:val="83"/>
  </w:num>
  <w:num w:numId="93">
    <w:abstractNumId w:val="58"/>
  </w:num>
  <w:num w:numId="94">
    <w:abstractNumId w:val="109"/>
  </w:num>
  <w:num w:numId="95">
    <w:abstractNumId w:val="62"/>
  </w:num>
  <w:num w:numId="96">
    <w:abstractNumId w:val="111"/>
  </w:num>
  <w:num w:numId="97">
    <w:abstractNumId w:val="131"/>
  </w:num>
  <w:num w:numId="98">
    <w:abstractNumId w:val="69"/>
  </w:num>
  <w:num w:numId="99">
    <w:abstractNumId w:val="158"/>
  </w:num>
  <w:num w:numId="100">
    <w:abstractNumId w:val="128"/>
  </w:num>
  <w:num w:numId="101">
    <w:abstractNumId w:val="84"/>
  </w:num>
  <w:num w:numId="102">
    <w:abstractNumId w:val="141"/>
  </w:num>
  <w:num w:numId="103">
    <w:abstractNumId w:val="55"/>
  </w:num>
  <w:num w:numId="104">
    <w:abstractNumId w:val="88"/>
  </w:num>
  <w:num w:numId="105">
    <w:abstractNumId w:val="51"/>
  </w:num>
  <w:num w:numId="106">
    <w:abstractNumId w:val="166"/>
  </w:num>
  <w:num w:numId="107">
    <w:abstractNumId w:val="144"/>
  </w:num>
  <w:num w:numId="108">
    <w:abstractNumId w:val="30"/>
  </w:num>
  <w:num w:numId="109">
    <w:abstractNumId w:val="32"/>
  </w:num>
  <w:num w:numId="110">
    <w:abstractNumId w:val="57"/>
  </w:num>
  <w:num w:numId="111">
    <w:abstractNumId w:val="41"/>
  </w:num>
  <w:num w:numId="112">
    <w:abstractNumId w:val="82"/>
  </w:num>
  <w:num w:numId="113">
    <w:abstractNumId w:val="81"/>
  </w:num>
  <w:num w:numId="114">
    <w:abstractNumId w:val="73"/>
  </w:num>
  <w:num w:numId="115">
    <w:abstractNumId w:val="20"/>
  </w:num>
  <w:num w:numId="116">
    <w:abstractNumId w:val="91"/>
  </w:num>
  <w:num w:numId="117">
    <w:abstractNumId w:val="126"/>
  </w:num>
  <w:num w:numId="118">
    <w:abstractNumId w:val="97"/>
  </w:num>
  <w:num w:numId="119">
    <w:abstractNumId w:val="49"/>
  </w:num>
  <w:num w:numId="120">
    <w:abstractNumId w:val="164"/>
  </w:num>
  <w:num w:numId="121">
    <w:abstractNumId w:val="154"/>
  </w:num>
  <w:num w:numId="122">
    <w:abstractNumId w:val="143"/>
  </w:num>
  <w:num w:numId="123">
    <w:abstractNumId w:val="27"/>
  </w:num>
  <w:num w:numId="124">
    <w:abstractNumId w:val="53"/>
  </w:num>
  <w:num w:numId="125">
    <w:abstractNumId w:val="152"/>
  </w:num>
  <w:num w:numId="126">
    <w:abstractNumId w:val="150"/>
  </w:num>
  <w:num w:numId="127">
    <w:abstractNumId w:val="94"/>
  </w:num>
  <w:num w:numId="128">
    <w:abstractNumId w:val="110"/>
  </w:num>
  <w:num w:numId="129">
    <w:abstractNumId w:val="7"/>
  </w:num>
  <w:num w:numId="130">
    <w:abstractNumId w:val="145"/>
  </w:num>
  <w:num w:numId="131">
    <w:abstractNumId w:val="71"/>
  </w:num>
  <w:num w:numId="132">
    <w:abstractNumId w:val="63"/>
  </w:num>
  <w:num w:numId="133">
    <w:abstractNumId w:val="169"/>
  </w:num>
  <w:num w:numId="134">
    <w:abstractNumId w:val="36"/>
  </w:num>
  <w:num w:numId="135">
    <w:abstractNumId w:val="89"/>
  </w:num>
  <w:num w:numId="136">
    <w:abstractNumId w:val="112"/>
  </w:num>
  <w:num w:numId="137">
    <w:abstractNumId w:val="38"/>
  </w:num>
  <w:num w:numId="138">
    <w:abstractNumId w:val="9"/>
  </w:num>
  <w:num w:numId="139">
    <w:abstractNumId w:val="59"/>
  </w:num>
  <w:num w:numId="140">
    <w:abstractNumId w:val="18"/>
  </w:num>
  <w:num w:numId="141">
    <w:abstractNumId w:val="123"/>
  </w:num>
  <w:num w:numId="142">
    <w:abstractNumId w:val="133"/>
  </w:num>
  <w:num w:numId="143">
    <w:abstractNumId w:val="90"/>
  </w:num>
  <w:num w:numId="144">
    <w:abstractNumId w:val="15"/>
  </w:num>
  <w:num w:numId="145">
    <w:abstractNumId w:val="3"/>
    <w:lvlOverride w:ilvl="0">
      <w:lvl w:ilvl="0">
        <w:numFmt w:val="bullet"/>
        <w:lvlText w:val=""/>
        <w:legacy w:legacy="1" w:legacySpace="0" w:legacyIndent="360"/>
        <w:lvlJc w:val="left"/>
        <w:pPr>
          <w:ind w:left="720" w:hanging="360"/>
        </w:pPr>
        <w:rPr>
          <w:rFonts w:ascii="Symbol" w:hAnsi="Symbol" w:hint="default"/>
        </w:rPr>
      </w:lvl>
    </w:lvlOverride>
  </w:num>
  <w:num w:numId="146">
    <w:abstractNumId w:val="139"/>
  </w:num>
  <w:num w:numId="147">
    <w:abstractNumId w:val="148"/>
  </w:num>
  <w:num w:numId="148">
    <w:abstractNumId w:val="135"/>
  </w:num>
  <w:num w:numId="149">
    <w:abstractNumId w:val="163"/>
  </w:num>
  <w:num w:numId="150">
    <w:abstractNumId w:val="86"/>
  </w:num>
  <w:num w:numId="151">
    <w:abstractNumId w:val="124"/>
  </w:num>
  <w:num w:numId="152">
    <w:abstractNumId w:val="16"/>
  </w:num>
  <w:num w:numId="153">
    <w:abstractNumId w:val="47"/>
  </w:num>
  <w:num w:numId="154">
    <w:abstractNumId w:val="106"/>
  </w:num>
  <w:num w:numId="155">
    <w:abstractNumId w:val="115"/>
  </w:num>
  <w:num w:numId="156">
    <w:abstractNumId w:val="75"/>
  </w:num>
  <w:num w:numId="157">
    <w:abstractNumId w:val="127"/>
  </w:num>
  <w:num w:numId="158">
    <w:abstractNumId w:val="67"/>
  </w:num>
  <w:num w:numId="159">
    <w:abstractNumId w:val="112"/>
    <w:lvlOverride w:ilvl="0"/>
  </w:num>
  <w:num w:numId="160">
    <w:abstractNumId w:val="12"/>
  </w:num>
  <w:num w:numId="161">
    <w:abstractNumId w:val="108"/>
  </w:num>
  <w:num w:numId="162">
    <w:abstractNumId w:val="65"/>
  </w:num>
  <w:num w:numId="163">
    <w:abstractNumId w:val="102"/>
  </w:num>
  <w:num w:numId="164">
    <w:abstractNumId w:val="142"/>
  </w:num>
  <w:num w:numId="165">
    <w:abstractNumId w:val="122"/>
  </w:num>
  <w:num w:numId="166">
    <w:abstractNumId w:val="155"/>
  </w:num>
  <w:num w:numId="167">
    <w:abstractNumId w:val="95"/>
  </w:num>
  <w:num w:numId="168">
    <w:abstractNumId w:val="100"/>
  </w:num>
  <w:num w:numId="169">
    <w:abstractNumId w:val="87"/>
  </w:num>
  <w:num w:numId="170">
    <w:abstractNumId w:val="85"/>
  </w:num>
  <w:num w:numId="171">
    <w:abstractNumId w:val="153"/>
  </w:num>
  <w:num w:numId="172">
    <w:abstractNumId w:val="46"/>
  </w:num>
  <w:num w:numId="173">
    <w:abstractNumId w:val="119"/>
  </w:num>
  <w:num w:numId="174">
    <w:abstractNumId w:val="19"/>
  </w:num>
  <w:num w:numId="17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76">
    <w:abstractNumId w:val="171"/>
  </w:num>
  <w:num w:numId="177">
    <w:abstractNumId w:val="25"/>
  </w:num>
  <w:num w:numId="178">
    <w:abstractNumId w:val="77"/>
  </w:num>
  <w:num w:numId="179">
    <w:abstractNumId w:val="113"/>
  </w:num>
  <w:num w:numId="180">
    <w:abstractNumId w:val="3"/>
    <w:lvlOverride w:ilvl="0">
      <w:lvl w:ilvl="0">
        <w:numFmt w:val="bullet"/>
        <w:lvlText w:val=""/>
        <w:legacy w:legacy="1" w:legacySpace="0" w:legacyIndent="360"/>
        <w:lvlJc w:val="left"/>
        <w:pPr>
          <w:ind w:left="720" w:hanging="360"/>
        </w:pPr>
        <w:rPr>
          <w:rFonts w:ascii="Symbol" w:hAnsi="Symbol" w:hint="default"/>
        </w:rPr>
      </w:lvl>
    </w:lvlOverride>
  </w:num>
  <w:num w:numId="181">
    <w:abstractNumId w:val="149"/>
  </w:num>
  <w:num w:numId="182">
    <w:abstractNumId w:val="64"/>
  </w:num>
  <w:num w:numId="183">
    <w:abstractNumId w:val="96"/>
  </w:num>
  <w:num w:numId="184">
    <w:abstractNumId w:val="114"/>
  </w:num>
  <w:num w:numId="185">
    <w:abstractNumId w:val="3"/>
    <w:lvlOverride w:ilvl="0">
      <w:lvl w:ilvl="0">
        <w:start w:val="1"/>
        <w:numFmt w:val="bullet"/>
        <w:lvlText w:val=""/>
        <w:legacy w:legacy="1" w:legacySpace="0" w:legacyIndent="283"/>
        <w:lvlJc w:val="left"/>
        <w:pPr>
          <w:ind w:left="283" w:hanging="283"/>
        </w:pPr>
        <w:rPr>
          <w:rFonts w:ascii="Symbol" w:hAnsi="Symbol" w:hint="default"/>
        </w:rPr>
      </w:lvl>
    </w:lvlOverride>
  </w:num>
  <w:num w:numId="186">
    <w:abstractNumId w:val="116"/>
  </w:num>
  <w:num w:numId="187">
    <w:abstractNumId w:val="104"/>
  </w:num>
  <w:num w:numId="188">
    <w:abstractNumId w:val="6"/>
  </w:num>
  <w:num w:numId="189">
    <w:abstractNumId w:val="136"/>
  </w:num>
  <w:num w:numId="190">
    <w:abstractNumId w:val="29"/>
  </w:num>
  <w:num w:numId="191">
    <w:abstractNumId w:val="121"/>
  </w:num>
  <w:num w:numId="192">
    <w:abstractNumId w:val="21"/>
  </w:num>
  <w:num w:numId="193">
    <w:abstractNumId w:val="92"/>
  </w:num>
  <w:num w:numId="194">
    <w:abstractNumId w:val="172"/>
  </w:num>
  <w:num w:numId="195">
    <w:abstractNumId w:val="11"/>
  </w:num>
  <w:num w:numId="196">
    <w:abstractNumId w:val="99"/>
  </w:num>
  <w:num w:numId="197">
    <w:abstractNumId w:val="173"/>
  </w:num>
  <w:num w:numId="198">
    <w:abstractNumId w:val="23"/>
  </w:num>
  <w:num w:numId="199">
    <w:abstractNumId w:val="117"/>
  </w:num>
  <w:num w:numId="200">
    <w:abstractNumId w:val="79"/>
  </w:num>
  <w:num w:numId="201">
    <w:abstractNumId w:val="24"/>
  </w:num>
  <w:num w:numId="202">
    <w:abstractNumId w:val="98"/>
  </w:num>
  <w:num w:numId="203">
    <w:abstractNumId w:val="28"/>
  </w:num>
  <w:num w:numId="204">
    <w:abstractNumId w:val="162"/>
  </w:num>
  <w:num w:numId="20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720"/>
      </w:tabs>
      <w:jc w:val="both"/>
    </w:pPr>
    <w:rPr>
      <w:sz w:val="22"/>
      <w:lang w:val="fr-FR" w:eastAsia="en-GB"/>
    </w:rPr>
  </w:style>
  <w:style w:type="paragraph" w:styleId="Heading1">
    <w:name w:val="heading 1"/>
    <w:basedOn w:val="Normal"/>
    <w:next w:val="Heading2"/>
    <w:qFormat/>
    <w:pPr>
      <w:keepNext/>
      <w:numPr>
        <w:numId w:val="1"/>
      </w:numPr>
      <w:spacing w:after="240"/>
      <w:outlineLvl w:val="0"/>
    </w:pPr>
    <w:rPr>
      <w:b/>
      <w:caps/>
    </w:rPr>
  </w:style>
  <w:style w:type="paragraph" w:styleId="Heading2">
    <w:name w:val="heading 2"/>
    <w:basedOn w:val="Normal"/>
    <w:next w:val="Heading3"/>
    <w:qFormat/>
    <w:pPr>
      <w:keepNext/>
      <w:numPr>
        <w:ilvl w:val="1"/>
        <w:numId w:val="1"/>
      </w:numPr>
      <w:spacing w:after="240"/>
      <w:outlineLvl w:val="1"/>
    </w:pPr>
    <w:rPr>
      <w:smallCaps/>
    </w:rPr>
  </w:style>
  <w:style w:type="paragraph" w:styleId="Heading3">
    <w:name w:val="heading 3"/>
    <w:basedOn w:val="Normal"/>
    <w:next w:val="Heading4"/>
    <w:qFormat/>
    <w:pPr>
      <w:keepNext/>
      <w:numPr>
        <w:ilvl w:val="2"/>
        <w:numId w:val="1"/>
      </w:numPr>
      <w:spacing w:after="240"/>
      <w:outlineLvl w:val="2"/>
    </w:pPr>
    <w:rPr>
      <w:b/>
    </w:rPr>
  </w:style>
  <w:style w:type="paragraph" w:styleId="Heading4">
    <w:name w:val="heading 4"/>
    <w:basedOn w:val="Normal"/>
    <w:next w:val="Heading5"/>
    <w:qFormat/>
    <w:pPr>
      <w:keepNext/>
      <w:numPr>
        <w:ilvl w:val="3"/>
        <w:numId w:val="1"/>
      </w:numPr>
      <w:spacing w:after="240"/>
      <w:outlineLvl w:val="3"/>
    </w:pPr>
  </w:style>
  <w:style w:type="paragraph" w:styleId="Heading5">
    <w:name w:val="heading 5"/>
    <w:basedOn w:val="Normal"/>
    <w:next w:val="BodyText"/>
    <w:qFormat/>
    <w:pPr>
      <w:keepNext/>
      <w:numPr>
        <w:ilvl w:val="4"/>
        <w:numId w:val="1"/>
      </w:numPr>
      <w:spacing w:after="240"/>
      <w:outlineLvl w:val="4"/>
    </w:pPr>
    <w:rPr>
      <w:i/>
    </w:rPr>
  </w:style>
  <w:style w:type="paragraph" w:styleId="Heading6">
    <w:name w:val="heading 6"/>
    <w:basedOn w:val="Normal"/>
    <w:next w:val="Normal"/>
    <w:qFormat/>
    <w:pPr>
      <w:spacing w:after="240"/>
      <w:outlineLvl w:val="5"/>
    </w:pPr>
  </w:style>
  <w:style w:type="paragraph" w:styleId="Heading7">
    <w:name w:val="heading 7"/>
    <w:basedOn w:val="Normal"/>
    <w:next w:val="Normal"/>
    <w:qFormat/>
    <w:pPr>
      <w:spacing w:after="240"/>
      <w:outlineLvl w:val="6"/>
    </w:pPr>
  </w:style>
  <w:style w:type="paragraph" w:styleId="Heading8">
    <w:name w:val="heading 8"/>
    <w:basedOn w:val="Normal"/>
    <w:next w:val="Normal"/>
    <w:qFormat/>
    <w:pPr>
      <w:keepNext/>
      <w:jc w:val="right"/>
      <w:outlineLvl w:val="7"/>
    </w:pPr>
    <w:rPr>
      <w:b/>
      <w:sz w:val="52"/>
      <w:lang w:val="fr-CH"/>
    </w:rPr>
  </w:style>
  <w:style w:type="paragraph" w:styleId="Heading9">
    <w:name w:val="heading 9"/>
    <w:basedOn w:val="Normal"/>
    <w:next w:val="Normal"/>
    <w:qFormat/>
    <w:pPr>
      <w:keepNext/>
      <w:jc w:val="center"/>
      <w:outlineLvl w:val="8"/>
    </w:pPr>
    <w:rPr>
      <w:b/>
      <w:lang w:val="fr-CH"/>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numPr>
        <w:ilvl w:val="5"/>
        <w:numId w:val="1"/>
      </w:numPr>
      <w:tabs>
        <w:tab w:val="clear" w:pos="720"/>
      </w:tabs>
      <w:spacing w:after="240"/>
    </w:pPr>
  </w:style>
  <w:style w:type="paragraph" w:styleId="BlockText">
    <w:name w:val="Block Text"/>
    <w:basedOn w:val="Normal"/>
    <w:semiHidden/>
    <w:pPr>
      <w:spacing w:after="240"/>
      <w:ind w:left="1440" w:right="1440"/>
    </w:pPr>
  </w:style>
  <w:style w:type="paragraph" w:styleId="BodyText2">
    <w:name w:val="Body Text 2"/>
    <w:basedOn w:val="Normal"/>
    <w:semiHidden/>
    <w:pPr>
      <w:tabs>
        <w:tab w:val="clear" w:pos="720"/>
      </w:tabs>
      <w:spacing w:after="240"/>
    </w:pPr>
  </w:style>
  <w:style w:type="paragraph" w:styleId="BodyText3">
    <w:name w:val="Body Text 3"/>
    <w:basedOn w:val="Normal"/>
    <w:semiHidden/>
    <w:pPr>
      <w:numPr>
        <w:ilvl w:val="7"/>
        <w:numId w:val="1"/>
      </w:numPr>
      <w:tabs>
        <w:tab w:val="clear" w:pos="720"/>
      </w:tabs>
      <w:spacing w:after="240"/>
    </w:pPr>
  </w:style>
  <w:style w:type="paragraph" w:customStyle="1" w:styleId="Corpsdetexte4">
    <w:name w:val="Corps de texte 4"/>
    <w:basedOn w:val="Normal"/>
    <w:pPr>
      <w:numPr>
        <w:ilvl w:val="8"/>
        <w:numId w:val="1"/>
      </w:numPr>
      <w:tabs>
        <w:tab w:val="clear" w:pos="720"/>
      </w:tabs>
      <w:spacing w:after="240"/>
    </w:pPr>
  </w:style>
  <w:style w:type="paragraph" w:styleId="EndnoteText">
    <w:name w:val="endnote text"/>
    <w:basedOn w:val="Normal"/>
    <w:semiHidden/>
    <w:pPr>
      <w:jc w:val="left"/>
    </w:pPr>
    <w:rPr>
      <w:sz w:val="20"/>
    </w:rPr>
  </w:style>
  <w:style w:type="character" w:styleId="FootnoteReference">
    <w:name w:val="footnote reference"/>
    <w:semiHidden/>
    <w:rPr>
      <w:vertAlign w:val="superscript"/>
    </w:rPr>
  </w:style>
  <w:style w:type="paragraph" w:styleId="FootnoteText">
    <w:name w:val="footnote text"/>
    <w:basedOn w:val="Normal"/>
    <w:semiHidden/>
    <w:rPr>
      <w:sz w:val="20"/>
    </w:rPr>
  </w:style>
  <w:style w:type="paragraph" w:styleId="Index1">
    <w:name w:val="index 1"/>
    <w:basedOn w:val="Normal"/>
    <w:next w:val="Normal"/>
    <w:semiHidden/>
    <w:pPr>
      <w:ind w:left="221" w:hanging="221"/>
    </w:pPr>
  </w:style>
  <w:style w:type="paragraph" w:styleId="IndexHeading">
    <w:name w:val="index heading"/>
    <w:basedOn w:val="Normal"/>
    <w:next w:val="Index1"/>
    <w:semiHidden/>
  </w:style>
  <w:style w:type="paragraph" w:styleId="ListBullet">
    <w:name w:val="List Bullet"/>
    <w:basedOn w:val="Normal"/>
    <w:semiHidden/>
    <w:pPr>
      <w:numPr>
        <w:numId w:val="2"/>
      </w:numPr>
    </w:pPr>
  </w:style>
  <w:style w:type="paragraph" w:styleId="ListBullet2">
    <w:name w:val="List Bullet 2"/>
    <w:basedOn w:val="Normal"/>
    <w:semiHidden/>
    <w:pPr>
      <w:numPr>
        <w:numId w:val="3"/>
      </w:numPr>
      <w:tabs>
        <w:tab w:val="clear" w:pos="643"/>
      </w:tabs>
      <w:ind w:left="1440" w:hanging="720"/>
    </w:pPr>
  </w:style>
  <w:style w:type="paragraph" w:styleId="ListBullet4">
    <w:name w:val="List Bullet 4"/>
    <w:basedOn w:val="Normal"/>
    <w:semiHidden/>
    <w:pPr>
      <w:numPr>
        <w:numId w:val="4"/>
      </w:numPr>
      <w:tabs>
        <w:tab w:val="clear" w:pos="1209"/>
        <w:tab w:val="left" w:pos="1440"/>
      </w:tabs>
      <w:ind w:left="2160" w:hanging="720"/>
    </w:pPr>
  </w:style>
  <w:style w:type="paragraph" w:styleId="ListNumber">
    <w:name w:val="List Number"/>
    <w:basedOn w:val="Normal"/>
    <w:semiHidden/>
    <w:pPr>
      <w:numPr>
        <w:numId w:val="6"/>
      </w:numPr>
      <w:tabs>
        <w:tab w:val="clear" w:pos="360"/>
      </w:tabs>
    </w:pPr>
  </w:style>
  <w:style w:type="paragraph" w:styleId="ListNumber2">
    <w:name w:val="List Number 2"/>
    <w:basedOn w:val="Normal"/>
    <w:semiHidden/>
    <w:pPr>
      <w:numPr>
        <w:numId w:val="5"/>
      </w:numPr>
      <w:tabs>
        <w:tab w:val="clear" w:pos="643"/>
      </w:tabs>
      <w:ind w:left="1440" w:hanging="720"/>
    </w:pPr>
  </w:style>
  <w:style w:type="paragraph" w:styleId="PlainText">
    <w:name w:val="Plain Text"/>
    <w:basedOn w:val="Normal"/>
    <w:semiHidden/>
    <w:rPr>
      <w:rFonts w:ascii="Courier New" w:hAnsi="Courier New"/>
      <w:sz w:val="20"/>
    </w:rPr>
  </w:style>
  <w:style w:type="paragraph" w:styleId="Subtitle">
    <w:name w:val="Subtitle"/>
    <w:basedOn w:val="Normal"/>
    <w:qFormat/>
    <w:pPr>
      <w:jc w:val="center"/>
      <w:outlineLvl w:val="1"/>
    </w:pPr>
  </w:style>
  <w:style w:type="paragraph" w:styleId="TableofAuthorities">
    <w:name w:val="table of authorities"/>
    <w:basedOn w:val="Normal"/>
    <w:next w:val="Normal"/>
    <w:semiHidden/>
  </w:style>
  <w:style w:type="paragraph" w:styleId="TableofFigures">
    <w:name w:val="table of figures"/>
    <w:basedOn w:val="Normal"/>
    <w:next w:val="Normal"/>
    <w:semiHidden/>
    <w:pPr>
      <w:tabs>
        <w:tab w:val="left" w:pos="720"/>
      </w:tabs>
    </w:pPr>
  </w:style>
  <w:style w:type="paragraph" w:styleId="Title">
    <w:name w:val="Title"/>
    <w:basedOn w:val="Normal"/>
    <w:qFormat/>
    <w:pPr>
      <w:jc w:val="center"/>
    </w:pPr>
    <w:rPr>
      <w:b/>
      <w:caps/>
      <w:kern w:val="28"/>
    </w:rPr>
  </w:style>
  <w:style w:type="paragraph" w:customStyle="1" w:styleId="Titredudocument2">
    <w:name w:val="Titre du document 2"/>
    <w:basedOn w:val="Normal"/>
    <w:pPr>
      <w:jc w:val="center"/>
    </w:pPr>
    <w:rPr>
      <w:u w:val="single"/>
    </w:rPr>
  </w:style>
  <w:style w:type="paragraph" w:customStyle="1" w:styleId="Titredudocument3">
    <w:name w:val="Titre du document 3"/>
    <w:basedOn w:val="Normal"/>
    <w:pPr>
      <w:jc w:val="center"/>
    </w:pPr>
    <w:rPr>
      <w:i/>
    </w:rPr>
  </w:style>
  <w:style w:type="paragraph" w:customStyle="1" w:styleId="TitredudocumentPays">
    <w:name w:val="Titre du document Pays"/>
    <w:basedOn w:val="Normal"/>
    <w:pPr>
      <w:jc w:val="center"/>
    </w:pPr>
    <w:rPr>
      <w:caps/>
    </w:rPr>
  </w:style>
  <w:style w:type="paragraph" w:styleId="TOAHeading">
    <w:name w:val="toa heading"/>
    <w:basedOn w:val="Normal"/>
    <w:next w:val="Normal"/>
    <w:semiHidden/>
    <w:rPr>
      <w:b/>
    </w:rPr>
  </w:style>
  <w:style w:type="paragraph" w:styleId="TOC1">
    <w:name w:val="toc 1"/>
    <w:basedOn w:val="Normal"/>
    <w:next w:val="Normal"/>
    <w:autoRedefine/>
    <w:semiHidden/>
    <w:pPr>
      <w:tabs>
        <w:tab w:val="right" w:leader="dot" w:pos="9072"/>
      </w:tabs>
      <w:spacing w:before="60" w:after="60"/>
      <w:ind w:left="720" w:right="720" w:hanging="720"/>
      <w:jc w:val="left"/>
    </w:pPr>
    <w:rPr>
      <w:b/>
      <w:caps/>
    </w:rPr>
  </w:style>
  <w:style w:type="paragraph" w:styleId="TOC2">
    <w:name w:val="toc 2"/>
    <w:basedOn w:val="Normal"/>
    <w:next w:val="Normal"/>
    <w:autoRedefine/>
    <w:semiHidden/>
    <w:pPr>
      <w:tabs>
        <w:tab w:val="right" w:leader="dot" w:pos="9072"/>
      </w:tabs>
      <w:spacing w:before="60" w:after="60"/>
      <w:ind w:left="720" w:right="720" w:hanging="720"/>
      <w:jc w:val="left"/>
    </w:pPr>
    <w:rPr>
      <w:smallCaps/>
    </w:rPr>
  </w:style>
  <w:style w:type="paragraph" w:styleId="TOC3">
    <w:name w:val="toc 3"/>
    <w:basedOn w:val="Normal"/>
    <w:next w:val="Normal"/>
    <w:autoRedefine/>
    <w:semiHidden/>
    <w:pPr>
      <w:tabs>
        <w:tab w:val="left" w:pos="720"/>
        <w:tab w:val="right" w:leader="dot" w:pos="9072"/>
      </w:tabs>
      <w:spacing w:before="60" w:after="60"/>
      <w:ind w:left="720" w:right="720" w:hanging="720"/>
      <w:jc w:val="left"/>
    </w:pPr>
    <w:rPr>
      <w:b/>
    </w:rPr>
  </w:style>
  <w:style w:type="paragraph" w:styleId="TOC4">
    <w:name w:val="toc 4"/>
    <w:basedOn w:val="Normal"/>
    <w:next w:val="Normal"/>
    <w:autoRedefine/>
    <w:semiHidden/>
    <w:pPr>
      <w:tabs>
        <w:tab w:val="right" w:leader="dot" w:pos="9072"/>
      </w:tabs>
      <w:spacing w:before="60" w:after="60"/>
      <w:ind w:left="720" w:right="720" w:hanging="720"/>
      <w:jc w:val="left"/>
    </w:pPr>
  </w:style>
  <w:style w:type="paragraph" w:styleId="TOC5">
    <w:name w:val="toc 5"/>
    <w:basedOn w:val="Normal"/>
    <w:next w:val="Normal"/>
    <w:autoRedefine/>
    <w:semiHidden/>
    <w:pPr>
      <w:tabs>
        <w:tab w:val="right" w:leader="dot" w:pos="9072"/>
      </w:tabs>
      <w:spacing w:before="60" w:after="60"/>
      <w:ind w:left="720" w:right="720" w:hanging="720"/>
      <w:jc w:val="left"/>
    </w:pPr>
    <w:rPr>
      <w:i/>
    </w:rPr>
  </w:style>
  <w:style w:type="paragraph" w:styleId="TOC6">
    <w:name w:val="toc 6"/>
    <w:basedOn w:val="Normal"/>
    <w:next w:val="Normal"/>
    <w:autoRedefine/>
    <w:semiHidden/>
    <w:pPr>
      <w:tabs>
        <w:tab w:val="right" w:leader="dot" w:pos="9072"/>
      </w:tabs>
      <w:spacing w:before="60" w:after="60"/>
      <w:ind w:left="720" w:right="720"/>
      <w:jc w:val="left"/>
    </w:pPr>
    <w:rPr>
      <w:sz w:val="20"/>
    </w:rPr>
  </w:style>
  <w:style w:type="paragraph" w:styleId="TOC7">
    <w:name w:val="toc 7"/>
    <w:basedOn w:val="Normal"/>
    <w:next w:val="Normal"/>
    <w:autoRedefine/>
    <w:semiHidden/>
    <w:pPr>
      <w:tabs>
        <w:tab w:val="right" w:leader="dot" w:pos="9072"/>
      </w:tabs>
      <w:spacing w:before="60" w:after="60"/>
      <w:ind w:left="1100" w:right="720"/>
      <w:jc w:val="left"/>
    </w:pPr>
    <w:rPr>
      <w:sz w:val="20"/>
    </w:rPr>
  </w:style>
  <w:style w:type="paragraph" w:styleId="TOC8">
    <w:name w:val="toc 8"/>
    <w:basedOn w:val="Normal"/>
    <w:next w:val="Normal"/>
    <w:autoRedefine/>
    <w:semiHidden/>
    <w:pPr>
      <w:tabs>
        <w:tab w:val="right" w:leader="dot" w:pos="9072"/>
      </w:tabs>
      <w:spacing w:before="60" w:after="60"/>
      <w:ind w:left="1321" w:right="720"/>
      <w:jc w:val="left"/>
    </w:pPr>
    <w:rPr>
      <w:sz w:val="20"/>
    </w:rPr>
  </w:style>
  <w:style w:type="paragraph" w:styleId="TOC9">
    <w:name w:val="toc 9"/>
    <w:basedOn w:val="Normal"/>
    <w:next w:val="Normal"/>
    <w:autoRedefine/>
    <w:semiHidden/>
    <w:pPr>
      <w:tabs>
        <w:tab w:val="right" w:leader="dot" w:pos="9072"/>
      </w:tabs>
      <w:spacing w:before="60" w:after="60"/>
      <w:ind w:left="1542" w:right="720"/>
      <w:jc w:val="left"/>
    </w:pPr>
    <w:rPr>
      <w:sz w:val="20"/>
    </w:r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4"/>
    </w:rPr>
  </w:style>
  <w:style w:type="paragraph" w:customStyle="1" w:styleId="Quotation-Parenretrait">
    <w:name w:val="Quotation - Par en retrait"/>
    <w:basedOn w:val="Normal"/>
    <w:pPr>
      <w:spacing w:after="240"/>
      <w:ind w:left="720" w:right="720"/>
    </w:pPr>
  </w:style>
  <w:style w:type="paragraph" w:customStyle="1" w:styleId="QuotationDouble-Parendoubleretrait">
    <w:name w:val="Quotation Double - Par en double retrait"/>
    <w:basedOn w:val="Normal"/>
    <w:pPr>
      <w:spacing w:after="240"/>
      <w:ind w:left="1440" w:right="1440"/>
    </w:pPr>
  </w:style>
  <w:style w:type="paragraph" w:customStyle="1" w:styleId="Notedebasdepage-Quotation">
    <w:name w:val="Note de bas de page - Quotation"/>
    <w:basedOn w:val="Normal"/>
    <w:pPr>
      <w:ind w:left="720" w:right="720"/>
    </w:pPr>
    <w:rPr>
      <w:sz w:val="20"/>
    </w:rPr>
  </w:style>
  <w:style w:type="paragraph" w:styleId="Footer">
    <w:name w:val="footer"/>
    <w:basedOn w:val="Normal"/>
    <w:semiHidden/>
    <w:pPr>
      <w:tabs>
        <w:tab w:val="center" w:pos="4513"/>
        <w:tab w:val="right" w:pos="9027"/>
      </w:tabs>
    </w:pPr>
  </w:style>
  <w:style w:type="paragraph" w:styleId="Header">
    <w:name w:val="header"/>
    <w:basedOn w:val="Normal"/>
    <w:semiHidden/>
    <w:pPr>
      <w:tabs>
        <w:tab w:val="center" w:pos="4513"/>
        <w:tab w:val="right" w:pos="9027"/>
      </w:tabs>
      <w:jc w:val="left"/>
    </w:pPr>
  </w:style>
  <w:style w:type="character" w:styleId="PageNumber">
    <w:name w:val="page number"/>
    <w:basedOn w:val="DefaultParagraphFont"/>
    <w:semiHidden/>
  </w:style>
  <w:style w:type="paragraph" w:styleId="BodyTextIndent">
    <w:name w:val="Body Text Indent"/>
    <w:basedOn w:val="Normal"/>
    <w:semiHidden/>
    <w:pPr>
      <w:tabs>
        <w:tab w:val="clear" w:pos="720"/>
      </w:tabs>
      <w:spacing w:line="360" w:lineRule="auto"/>
      <w:ind w:left="1440" w:hanging="720"/>
    </w:pPr>
    <w:rPr>
      <w:b/>
      <w:sz w:val="24"/>
    </w:rPr>
  </w:style>
  <w:style w:type="paragraph" w:styleId="BodyTextIndent2">
    <w:name w:val="Body Text Indent 2"/>
    <w:basedOn w:val="Normal"/>
    <w:semiHidden/>
    <w:pPr>
      <w:tabs>
        <w:tab w:val="left" w:pos="1134"/>
      </w:tabs>
      <w:spacing w:line="360" w:lineRule="auto"/>
      <w:ind w:left="720" w:hanging="720"/>
    </w:pPr>
    <w:rPr>
      <w:b/>
      <w:sz w:val="24"/>
    </w:rPr>
  </w:style>
  <w:style w:type="paragraph" w:styleId="BodyTextIndent3">
    <w:name w:val="Body Text Indent 3"/>
    <w:basedOn w:val="Normal"/>
    <w:semiHidden/>
    <w:pPr>
      <w:tabs>
        <w:tab w:val="left" w:pos="1134"/>
      </w:tabs>
      <w:spacing w:line="360" w:lineRule="auto"/>
      <w:ind w:left="720" w:hanging="720"/>
      <w:jc w:val="left"/>
    </w:pPr>
    <w:rPr>
      <w:b/>
      <w:sz w:val="24"/>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Textedebulles">
    <w:name w:val="Texte de bulles"/>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18" Type="http://schemas.openxmlformats.org/officeDocument/2006/relationships/header" Target="header4.xml"/><Relationship Id="rId26" Type="http://schemas.openxmlformats.org/officeDocument/2006/relationships/header" Target="header7.xml"/><Relationship Id="rId3" Type="http://schemas.openxmlformats.org/officeDocument/2006/relationships/settings" Target="settings.xml"/><Relationship Id="rId21" Type="http://schemas.openxmlformats.org/officeDocument/2006/relationships/image" Target="media/image6.jpeg"/><Relationship Id="rId7" Type="http://schemas.openxmlformats.org/officeDocument/2006/relationships/image" Target="media/image1.wmf"/><Relationship Id="rId12" Type="http://schemas.openxmlformats.org/officeDocument/2006/relationships/oleObject" Target="embeddings/oleObject2.bin"/><Relationship Id="rId17" Type="http://schemas.openxmlformats.org/officeDocument/2006/relationships/header" Target="header3.xml"/><Relationship Id="rId25"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oleObject" Target="embeddings/oleObject3.bin"/><Relationship Id="rId29" Type="http://schemas.openxmlformats.org/officeDocument/2006/relationships/header" Target="header10.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wmf"/><Relationship Id="rId24"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oleObject" Target="embeddings/oleObject4.bin"/><Relationship Id="rId28" Type="http://schemas.openxmlformats.org/officeDocument/2006/relationships/header" Target="header9.xml"/><Relationship Id="rId10" Type="http://schemas.openxmlformats.org/officeDocument/2006/relationships/image" Target="media/image3.png"/><Relationship Id="rId19" Type="http://schemas.openxmlformats.org/officeDocument/2006/relationships/image" Target="media/image5.wmf"/><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2.xml"/><Relationship Id="rId22" Type="http://schemas.openxmlformats.org/officeDocument/2006/relationships/image" Target="media/image7.wmf"/><Relationship Id="rId27" Type="http://schemas.openxmlformats.org/officeDocument/2006/relationships/header" Target="header8.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28874</Words>
  <Characters>164584</Characters>
  <Application>Microsoft Office Word</Application>
  <DocSecurity>4</DocSecurity>
  <Lines>1371</Lines>
  <Paragraphs>329</Paragraphs>
  <ScaleCrop>false</ScaleCrop>
  <HeadingPairs>
    <vt:vector size="2" baseType="variant">
      <vt:variant>
        <vt:lpstr>Title</vt:lpstr>
      </vt:variant>
      <vt:variant>
        <vt:i4>1</vt:i4>
      </vt:variant>
    </vt:vector>
  </HeadingPairs>
  <TitlesOfParts>
    <vt:vector size="1" baseType="lpstr">
      <vt:lpstr>NATIONS</vt:lpstr>
    </vt:vector>
  </TitlesOfParts>
  <Company/>
  <LinksUpToDate>false</LinksUpToDate>
  <CharactersWithSpaces>202120</CharactersWithSpaces>
  <SharedDoc>false</SharedDoc>
  <HLinks>
    <vt:vector size="6" baseType="variant">
      <vt:variant>
        <vt:i4>3276861</vt:i4>
      </vt:variant>
      <vt:variant>
        <vt:i4>105726</vt:i4>
      </vt:variant>
      <vt:variant>
        <vt:i4>1026</vt:i4>
      </vt:variant>
      <vt:variant>
        <vt:i4>1</vt:i4>
      </vt:variant>
      <vt:variant>
        <vt:lpwstr>mapa 2</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Christine Fanelli</dc:creator>
  <cp:keywords/>
  <cp:lastModifiedBy>csd</cp:lastModifiedBy>
  <cp:revision>3</cp:revision>
  <cp:lastPrinted>2005-09-27T20:09:00Z</cp:lastPrinted>
  <dcterms:created xsi:type="dcterms:W3CDTF">2005-09-28T09:10:00Z</dcterms:created>
  <dcterms:modified xsi:type="dcterms:W3CDTF">2005-09-28T09:10:00Z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-383872980</vt:i4>
  </property>
  <property fmtid="{D5CDD505-2E9C-101B-9397-08002B2CF9AE}" pid="3" name="_EmailSubject">
    <vt:lpwstr/>
  </property>
  <property fmtid="{D5CDD505-2E9C-101B-9397-08002B2CF9AE}" pid="4" name="_AuthorEmail">
    <vt:lpwstr>Christine.Boyer@wto.org</vt:lpwstr>
  </property>
  <property fmtid="{D5CDD505-2E9C-101B-9397-08002B2CF9AE}" pid="5" name="_AuthorEmailDisplayName">
    <vt:lpwstr>Boyer, Christine</vt:lpwstr>
  </property>
  <property fmtid="{D5CDD505-2E9C-101B-9397-08002B2CF9AE}" pid="6" name="_PreviousAdHocReviewCycleID">
    <vt:i4>1092105599</vt:i4>
  </property>
  <property fmtid="{D5CDD505-2E9C-101B-9397-08002B2CF9AE}" pid="7" name="_ReviewingToolsShownOnce">
    <vt:lpwstr/>
  </property>
</Properties>
</file>