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4.75pt;margin-top:716.4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44138</w:t>
                  </w:r>
                  <w:r>
                    <w:rPr>
                      <w:lang w:val="en-US"/>
                    </w:rPr>
                    <w:fldChar w:fldCharType="end"/>
                  </w:r>
                  <w:r>
                    <w:rPr>
                      <w:lang w:val="en-US"/>
                    </w:rPr>
                    <w:t xml:space="preserve">   (R)</w:t>
                  </w:r>
                  <w:r>
                    <w:rPr>
                      <w:lang w:val="en-US"/>
                    </w:rPr>
                    <w:tab/>
                    <w:t>151106    171106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05950"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ind w:left="682"/>
              <w:rPr>
                <w:lang w:val="en-US"/>
              </w:rPr>
            </w:pPr>
            <w:r>
              <w:rPr>
                <w:lang w:val="en-US"/>
              </w:rPr>
              <w:t>Distr.</w:t>
            </w:r>
          </w:p>
          <w:p w:rsidR="00000000" w:rsidRDefault="00000000">
            <w:pPr>
              <w:spacing w:line="216" w:lineRule="auto"/>
              <w:ind w:left="682"/>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ind w:left="682"/>
              <w:rPr>
                <w:lang w:val="en-US"/>
              </w:rPr>
            </w:pPr>
          </w:p>
          <w:p w:rsidR="00000000" w:rsidRDefault="00000000">
            <w:pPr>
              <w:spacing w:line="216" w:lineRule="auto"/>
              <w:ind w:left="682"/>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w:t>
            </w:r>
            <w:proofErr w:type="spellStart"/>
            <w:r>
              <w:rPr>
                <w:lang w:val="en-US"/>
              </w:rPr>
              <w:t>SWE</w:t>
            </w:r>
            <w:proofErr w:type="spellEnd"/>
            <w:r>
              <w:rPr>
                <w:lang w:val="en-US"/>
              </w:rPr>
              <w:t>/5</w:t>
            </w:r>
            <w:r>
              <w:rPr>
                <w:lang w:val="en-US"/>
              </w:rPr>
              <w:fldChar w:fldCharType="end"/>
            </w:r>
          </w:p>
          <w:p w:rsidR="00000000" w:rsidRDefault="00000000">
            <w:pPr>
              <w:spacing w:line="216" w:lineRule="auto"/>
              <w:ind w:left="682"/>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6 September 2006</w:t>
            </w:r>
            <w:r>
              <w:rPr>
                <w:lang w:val="en-US"/>
              </w:rPr>
              <w:fldChar w:fldCharType="end"/>
            </w:r>
          </w:p>
          <w:p w:rsidR="00000000" w:rsidRDefault="00000000">
            <w:pPr>
              <w:spacing w:line="216" w:lineRule="auto"/>
              <w:ind w:left="682"/>
              <w:rPr>
                <w:lang w:val="en-US"/>
              </w:rPr>
            </w:pPr>
          </w:p>
          <w:p w:rsidR="00000000" w:rsidRDefault="00000000">
            <w:pPr>
              <w:spacing w:line="216" w:lineRule="auto"/>
              <w:ind w:left="682"/>
              <w:rPr>
                <w:lang w:val="en-US"/>
              </w:rPr>
            </w:pPr>
            <w:r>
              <w:rPr>
                <w:lang w:val="en-US"/>
              </w:rPr>
              <w:t>RUSSIAN</w:t>
            </w:r>
          </w:p>
          <w:p w:rsidR="00000000" w:rsidRDefault="00000000">
            <w:pPr>
              <w:spacing w:line="216" w:lineRule="auto"/>
              <w:ind w:left="682"/>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ind w:left="682"/>
            </w:pPr>
          </w:p>
          <w:p w:rsidR="00000000" w:rsidRDefault="00000000">
            <w:pPr>
              <w:tabs>
                <w:tab w:val="left" w:pos="0"/>
                <w:tab w:val="left" w:pos="7086"/>
              </w:tabs>
              <w:suppressAutoHyphens/>
              <w:spacing w:line="216" w:lineRule="auto"/>
              <w:ind w:left="682"/>
              <w:rPr>
                <w:sz w:val="22"/>
              </w:rPr>
            </w:pPr>
          </w:p>
        </w:tc>
      </w:tr>
    </w:tbl>
    <w:p w:rsidR="00000000" w:rsidRDefault="00000000"/>
    <w:p w:rsidR="00000000" w:rsidRDefault="00000000">
      <w:r>
        <w:t>Основная сессия 2006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Пятые периодические доклады, представленные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rPr>
          <w:b/>
          <w:bCs/>
        </w:rPr>
      </w:pPr>
    </w:p>
    <w:p w:rsidR="00000000" w:rsidRDefault="00000000">
      <w:pPr>
        <w:jc w:val="center"/>
        <w:rPr>
          <w:b/>
          <w:bCs/>
          <w:lang w:val="en-US"/>
        </w:rPr>
      </w:pPr>
      <w:r>
        <w:rPr>
          <w:b/>
          <w:bCs/>
        </w:rPr>
        <w:t>Добавление</w:t>
      </w:r>
    </w:p>
    <w:p w:rsidR="00000000" w:rsidRDefault="00000000">
      <w:pPr>
        <w:jc w:val="center"/>
        <w:rPr>
          <w:b/>
          <w:bCs/>
          <w:lang w:val="en-US"/>
        </w:rPr>
      </w:pPr>
    </w:p>
    <w:p w:rsidR="00000000" w:rsidRDefault="00000000">
      <w:pPr>
        <w:jc w:val="center"/>
        <w:rPr>
          <w:bCs/>
        </w:rPr>
      </w:pPr>
      <w:r>
        <w:rPr>
          <w:b/>
          <w:bCs/>
        </w:rPr>
        <w:t>ШВЕЦИЯ</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000000" w:rsidRDefault="00000000">
      <w:pPr>
        <w:jc w:val="center"/>
        <w:rPr>
          <w:bCs/>
        </w:rPr>
      </w:pPr>
    </w:p>
    <w:p w:rsidR="00000000" w:rsidRDefault="00000000">
      <w:pPr>
        <w:jc w:val="right"/>
        <w:rPr>
          <w:bCs/>
        </w:rPr>
      </w:pPr>
      <w:r>
        <w:rPr>
          <w:bCs/>
        </w:rPr>
        <w:t>[30 июня 2006 года]</w:t>
      </w:r>
    </w:p>
    <w:p w:rsidR="00000000" w:rsidRDefault="00000000">
      <w:pPr>
        <w:jc w:val="right"/>
        <w:rPr>
          <w:bCs/>
        </w:rPr>
      </w:pPr>
    </w:p>
    <w:p w:rsidR="00000000" w:rsidRDefault="00000000">
      <w:pPr>
        <w:tabs>
          <w:tab w:val="clear" w:pos="6237"/>
          <w:tab w:val="center" w:pos="8039"/>
          <w:tab w:val="center" w:pos="9122"/>
        </w:tabs>
        <w:jc w:val="center"/>
        <w:rPr>
          <w:b/>
        </w:rPr>
      </w:pPr>
      <w:r>
        <w:rPr>
          <w:bCs/>
        </w:rPr>
        <w:br w:type="page"/>
      </w:r>
      <w:r>
        <w:rPr>
          <w:b/>
        </w:rPr>
        <w:t>СОДЕРЖАНИЕ</w:t>
      </w:r>
    </w:p>
    <w:p w:rsidR="00000000" w:rsidRDefault="00000000">
      <w:pPr>
        <w:tabs>
          <w:tab w:val="clear" w:pos="6237"/>
          <w:tab w:val="center" w:pos="8039"/>
          <w:tab w:val="center" w:pos="9122"/>
        </w:tabs>
        <w:jc w:val="center"/>
        <w:rPr>
          <w:bCs/>
        </w:rPr>
      </w:pPr>
    </w:p>
    <w:p w:rsidR="00000000" w:rsidRDefault="00000000">
      <w:pPr>
        <w:tabs>
          <w:tab w:val="clear" w:pos="6237"/>
          <w:tab w:val="center" w:pos="8222"/>
          <w:tab w:val="center" w:pos="9122"/>
        </w:tabs>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6237"/>
          <w:tab w:val="center" w:pos="8222"/>
          <w:tab w:val="center" w:pos="9122"/>
        </w:tabs>
        <w:rPr>
          <w:bCs/>
        </w:rPr>
      </w:pP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1</w:t>
      </w:r>
      <w:r>
        <w:rPr>
          <w:bCs/>
        </w:rPr>
        <w:tab/>
      </w:r>
      <w:r>
        <w:rPr>
          <w:bCs/>
        </w:rPr>
        <w:tab/>
        <w:t xml:space="preserve">  7 - 16</w:t>
      </w:r>
      <w:r>
        <w:rPr>
          <w:bCs/>
        </w:rPr>
        <w:tab/>
        <w:t>6</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2</w:t>
      </w:r>
      <w:r>
        <w:rPr>
          <w:bCs/>
        </w:rPr>
        <w:tab/>
      </w:r>
      <w:r>
        <w:rPr>
          <w:bCs/>
        </w:rPr>
        <w:tab/>
        <w:t>17 - 35</w:t>
      </w:r>
      <w:r>
        <w:rPr>
          <w:bCs/>
        </w:rPr>
        <w:tab/>
        <w:t>8</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Новый национальный план действий в области прав человека</w:t>
      </w:r>
      <w:r>
        <w:rPr>
          <w:bCs/>
        </w:rPr>
        <w:tab/>
      </w:r>
      <w:r>
        <w:rPr>
          <w:bCs/>
        </w:rPr>
        <w:tab/>
        <w:t>17 - 20</w:t>
      </w:r>
      <w:r>
        <w:rPr>
          <w:bCs/>
        </w:rPr>
        <w:tab/>
        <w:t>8</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Депутация по правам человека в Швеции (</w:t>
      </w:r>
      <w:proofErr w:type="spellStart"/>
      <w:r>
        <w:rPr>
          <w:bCs/>
          <w:lang w:val="en-US"/>
        </w:rPr>
        <w:t>ToR</w:t>
      </w:r>
      <w:proofErr w:type="spellEnd"/>
      <w:r>
        <w:rPr>
          <w:bCs/>
        </w:rPr>
        <w:t xml:space="preserve"> 2006:02)</w:t>
      </w:r>
      <w:r>
        <w:rPr>
          <w:bCs/>
        </w:rPr>
        <w:tab/>
      </w:r>
      <w:r>
        <w:rPr>
          <w:bCs/>
        </w:rPr>
        <w:tab/>
        <w:t>21 - 22</w:t>
      </w:r>
      <w:r>
        <w:rPr>
          <w:bCs/>
        </w:rPr>
        <w:tab/>
        <w:t>10</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 xml:space="preserve">Правозащитный </w:t>
      </w:r>
      <w:proofErr w:type="spellStart"/>
      <w:r>
        <w:rPr>
          <w:bCs/>
        </w:rPr>
        <w:t>вебсайт</w:t>
      </w:r>
      <w:proofErr w:type="spellEnd"/>
      <w:r>
        <w:rPr>
          <w:bCs/>
        </w:rPr>
        <w:t xml:space="preserve"> шведского правительства</w:t>
      </w:r>
      <w:r>
        <w:rPr>
          <w:bCs/>
        </w:rPr>
        <w:tab/>
      </w:r>
      <w:r>
        <w:rPr>
          <w:bCs/>
        </w:rPr>
        <w:tab/>
        <w:t>23</w:t>
      </w:r>
      <w:r>
        <w:rPr>
          <w:bCs/>
        </w:rPr>
        <w:tab/>
        <w:t>10</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Парламентский комитет по вопросам дискриминации</w:t>
      </w:r>
      <w:r>
        <w:rPr>
          <w:bCs/>
        </w:rPr>
        <w:tab/>
      </w:r>
      <w:r>
        <w:rPr>
          <w:bCs/>
        </w:rPr>
        <w:tab/>
        <w:t>24 - 28</w:t>
      </w:r>
      <w:r>
        <w:rPr>
          <w:bCs/>
        </w:rPr>
        <w:tab/>
        <w:t>11</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Закон о запрещении дискриминации (2003:307)</w:t>
      </w:r>
      <w:r>
        <w:rPr>
          <w:bCs/>
        </w:rPr>
        <w:tab/>
      </w:r>
      <w:r>
        <w:rPr>
          <w:bCs/>
        </w:rPr>
        <w:tab/>
        <w:t>29 - 30</w:t>
      </w:r>
      <w:r>
        <w:rPr>
          <w:bCs/>
        </w:rPr>
        <w:tab/>
        <w:t>13</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Закон о мерах по борьбе с этнической дискриминацией в сфере</w:t>
      </w:r>
    </w:p>
    <w:p w:rsidR="00000000" w:rsidRDefault="00000000">
      <w:pPr>
        <w:tabs>
          <w:tab w:val="clear" w:pos="1134"/>
          <w:tab w:val="clear" w:pos="1701"/>
          <w:tab w:val="clear" w:pos="2268"/>
          <w:tab w:val="clear" w:pos="6237"/>
          <w:tab w:val="left" w:pos="851"/>
          <w:tab w:val="right" w:leader="dot" w:pos="7655"/>
          <w:tab w:val="center" w:pos="8222"/>
          <w:tab w:val="center" w:pos="9122"/>
        </w:tabs>
        <w:rPr>
          <w:bCs/>
        </w:rPr>
      </w:pPr>
      <w:r>
        <w:rPr>
          <w:bCs/>
        </w:rPr>
        <w:tab/>
      </w:r>
      <w:r>
        <w:rPr>
          <w:bCs/>
        </w:rPr>
        <w:tab/>
        <w:t>трудовой деятельности (1999:130)</w:t>
      </w:r>
      <w:r>
        <w:rPr>
          <w:bCs/>
        </w:rPr>
        <w:tab/>
      </w:r>
      <w:r>
        <w:rPr>
          <w:bCs/>
        </w:rPr>
        <w:tab/>
        <w:t>31 - 33</w:t>
      </w:r>
      <w:r>
        <w:rPr>
          <w:bCs/>
        </w:rPr>
        <w:tab/>
        <w:t>14</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Новая политика Швеции в интересах глобального развития</w:t>
      </w:r>
      <w:r>
        <w:rPr>
          <w:bCs/>
        </w:rPr>
        <w:tab/>
      </w:r>
      <w:r>
        <w:rPr>
          <w:bCs/>
        </w:rPr>
        <w:tab/>
        <w:t>34 - 35</w:t>
      </w:r>
      <w:r>
        <w:rPr>
          <w:bCs/>
        </w:rPr>
        <w:tab/>
        <w:t>16</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3</w:t>
      </w:r>
      <w:r>
        <w:rPr>
          <w:bCs/>
        </w:rPr>
        <w:tab/>
      </w:r>
      <w:r>
        <w:rPr>
          <w:bCs/>
        </w:rPr>
        <w:tab/>
        <w:t>36 - 5</w:t>
      </w:r>
      <w:r>
        <w:rPr>
          <w:bCs/>
          <w:lang w:val="en-US"/>
        </w:rPr>
        <w:t>4</w:t>
      </w:r>
      <w:r>
        <w:rPr>
          <w:bCs/>
        </w:rPr>
        <w:tab/>
        <w:t>16</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6</w:t>
      </w:r>
      <w:r>
        <w:rPr>
          <w:bCs/>
        </w:rPr>
        <w:tab/>
      </w:r>
      <w:r>
        <w:rPr>
          <w:bCs/>
        </w:rPr>
        <w:tab/>
      </w:r>
      <w:r>
        <w:rPr>
          <w:bCs/>
          <w:lang w:val="en-US"/>
        </w:rPr>
        <w:t xml:space="preserve">  </w:t>
      </w:r>
      <w:r>
        <w:rPr>
          <w:bCs/>
        </w:rPr>
        <w:t>55 - 120</w:t>
      </w:r>
      <w:r>
        <w:rPr>
          <w:bCs/>
        </w:rPr>
        <w:tab/>
        <w:t>21</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Тенденции, прослеживающиеся на рыке труда</w:t>
      </w:r>
      <w:r>
        <w:rPr>
          <w:bCs/>
        </w:rPr>
        <w:tab/>
      </w:r>
      <w:r>
        <w:rPr>
          <w:bCs/>
        </w:rPr>
        <w:tab/>
        <w:t>62 - 69</w:t>
      </w:r>
      <w:r>
        <w:rPr>
          <w:bCs/>
        </w:rPr>
        <w:tab/>
        <w:t>22</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Адресные программы, осуществляющиеся в контексте проведения</w:t>
      </w:r>
    </w:p>
    <w:p w:rsidR="00000000" w:rsidRDefault="00000000">
      <w:pPr>
        <w:tabs>
          <w:tab w:val="clear" w:pos="1134"/>
          <w:tab w:val="clear" w:pos="1701"/>
          <w:tab w:val="clear" w:pos="2268"/>
          <w:tab w:val="clear" w:pos="6237"/>
          <w:tab w:val="left" w:pos="851"/>
          <w:tab w:val="right" w:leader="dot" w:pos="7655"/>
          <w:tab w:val="center" w:pos="8222"/>
          <w:tab w:val="center" w:pos="9122"/>
        </w:tabs>
        <w:rPr>
          <w:bCs/>
        </w:rPr>
      </w:pPr>
      <w:r>
        <w:rPr>
          <w:bCs/>
        </w:rPr>
        <w:tab/>
      </w:r>
      <w:r>
        <w:rPr>
          <w:bCs/>
        </w:rPr>
        <w:tab/>
        <w:t>политики на рынке труда</w:t>
      </w:r>
      <w:r>
        <w:rPr>
          <w:bCs/>
        </w:rPr>
        <w:tab/>
      </w:r>
      <w:r>
        <w:rPr>
          <w:bCs/>
        </w:rPr>
        <w:tab/>
        <w:t>70 - 74</w:t>
      </w:r>
      <w:r>
        <w:rPr>
          <w:bCs/>
        </w:rPr>
        <w:tab/>
        <w:t>25</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r>
      <w:proofErr w:type="spellStart"/>
      <w:r>
        <w:rPr>
          <w:bCs/>
        </w:rPr>
        <w:t>Гендерная</w:t>
      </w:r>
      <w:proofErr w:type="spellEnd"/>
      <w:r>
        <w:rPr>
          <w:bCs/>
        </w:rPr>
        <w:t xml:space="preserve"> сегрегация на рынке труда</w:t>
      </w:r>
      <w:r>
        <w:rPr>
          <w:bCs/>
        </w:rPr>
        <w:tab/>
      </w:r>
      <w:r>
        <w:rPr>
          <w:bCs/>
        </w:rPr>
        <w:tab/>
        <w:t>75 - 78</w:t>
      </w:r>
      <w:r>
        <w:rPr>
          <w:bCs/>
        </w:rPr>
        <w:tab/>
        <w:t>26</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Инвалиды</w:t>
      </w:r>
      <w:r>
        <w:rPr>
          <w:bCs/>
        </w:rPr>
        <w:tab/>
      </w:r>
      <w:r>
        <w:rPr>
          <w:bCs/>
        </w:rPr>
        <w:tab/>
        <w:t>79 - 89</w:t>
      </w:r>
      <w:r>
        <w:rPr>
          <w:bCs/>
        </w:rPr>
        <w:tab/>
        <w:t>27</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Молодежь</w:t>
      </w:r>
      <w:r>
        <w:rPr>
          <w:bCs/>
        </w:rPr>
        <w:tab/>
      </w:r>
      <w:r>
        <w:rPr>
          <w:bCs/>
        </w:rPr>
        <w:tab/>
        <w:t>90 - 98</w:t>
      </w:r>
      <w:r>
        <w:rPr>
          <w:bCs/>
        </w:rPr>
        <w:tab/>
        <w:t>29</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Пожилые работники</w:t>
      </w:r>
      <w:r>
        <w:rPr>
          <w:bCs/>
        </w:rPr>
        <w:tab/>
      </w:r>
      <w:r>
        <w:rPr>
          <w:bCs/>
        </w:rPr>
        <w:tab/>
        <w:t xml:space="preserve">  99 - 102</w:t>
      </w:r>
      <w:r>
        <w:rPr>
          <w:bCs/>
        </w:rPr>
        <w:tab/>
        <w:t>31</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Интеграция на рынке труда</w:t>
      </w:r>
      <w:r>
        <w:rPr>
          <w:bCs/>
        </w:rPr>
        <w:tab/>
      </w:r>
      <w:r>
        <w:rPr>
          <w:bCs/>
        </w:rPr>
        <w:tab/>
        <w:t>103 - 120</w:t>
      </w:r>
      <w:r>
        <w:rPr>
          <w:bCs/>
        </w:rPr>
        <w:tab/>
        <w:t>32</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7</w:t>
      </w:r>
      <w:r>
        <w:rPr>
          <w:bCs/>
        </w:rPr>
        <w:tab/>
      </w:r>
      <w:r>
        <w:rPr>
          <w:bCs/>
        </w:rPr>
        <w:tab/>
        <w:t>121 - 160</w:t>
      </w:r>
      <w:r>
        <w:rPr>
          <w:bCs/>
        </w:rPr>
        <w:tab/>
        <w:t>37</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С начала 1990-х годов разрыв в заработной плате не сократился</w:t>
      </w:r>
      <w:r>
        <w:rPr>
          <w:bCs/>
        </w:rPr>
        <w:tab/>
      </w:r>
      <w:r>
        <w:rPr>
          <w:bCs/>
        </w:rPr>
        <w:tab/>
        <w:t>125</w:t>
      </w:r>
      <w:r>
        <w:rPr>
          <w:bCs/>
        </w:rPr>
        <w:tab/>
        <w:t>38</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Оценка трудовой деятельности</w:t>
      </w:r>
      <w:r>
        <w:rPr>
          <w:bCs/>
        </w:rPr>
        <w:tab/>
      </w:r>
      <w:r>
        <w:rPr>
          <w:bCs/>
        </w:rPr>
        <w:tab/>
        <w:t>126</w:t>
      </w:r>
      <w:r>
        <w:rPr>
          <w:bCs/>
        </w:rPr>
        <w:tab/>
        <w:t>39</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Ужесточение норм, закрепленных в Законе о равных возможностях</w:t>
      </w:r>
      <w:r>
        <w:rPr>
          <w:bCs/>
        </w:rPr>
        <w:tab/>
      </w:r>
      <w:r>
        <w:rPr>
          <w:bCs/>
        </w:rPr>
        <w:tab/>
        <w:t>127 - 128</w:t>
      </w:r>
      <w:r>
        <w:rPr>
          <w:bCs/>
        </w:rPr>
        <w:tab/>
        <w:t>39</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Разница в оплате труда в государственном и частном секторах</w:t>
      </w:r>
      <w:r>
        <w:rPr>
          <w:bCs/>
        </w:rPr>
        <w:tab/>
      </w:r>
      <w:r>
        <w:rPr>
          <w:bCs/>
        </w:rPr>
        <w:tab/>
        <w:t>129 - 130</w:t>
      </w:r>
      <w:r>
        <w:rPr>
          <w:bCs/>
        </w:rPr>
        <w:tab/>
        <w:t>40</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Закон о равных возможностях</w:t>
      </w:r>
      <w:r>
        <w:rPr>
          <w:bCs/>
        </w:rPr>
        <w:tab/>
      </w:r>
      <w:r>
        <w:rPr>
          <w:bCs/>
        </w:rPr>
        <w:tab/>
        <w:t>131</w:t>
      </w:r>
      <w:r>
        <w:rPr>
          <w:bCs/>
        </w:rPr>
        <w:tab/>
        <w:t>40</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Роль Национального посреднического бюро</w:t>
      </w:r>
      <w:r>
        <w:rPr>
          <w:bCs/>
        </w:rPr>
        <w:tab/>
      </w:r>
      <w:r>
        <w:rPr>
          <w:bCs/>
        </w:rPr>
        <w:tab/>
        <w:t>132</w:t>
      </w:r>
      <w:r>
        <w:rPr>
          <w:bCs/>
        </w:rPr>
        <w:tab/>
        <w:t>41</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Различия в оплате труда в зависимости от социальных структур</w:t>
      </w:r>
      <w:r>
        <w:rPr>
          <w:bCs/>
        </w:rPr>
        <w:tab/>
      </w:r>
      <w:r>
        <w:rPr>
          <w:bCs/>
        </w:rPr>
        <w:tab/>
        <w:t>133</w:t>
      </w:r>
      <w:r>
        <w:rPr>
          <w:bCs/>
        </w:rPr>
        <w:tab/>
        <w:t>42</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План действий правительства по обеспечению равной оплаты труда</w:t>
      </w:r>
      <w:r>
        <w:rPr>
          <w:bCs/>
        </w:rPr>
        <w:tab/>
      </w:r>
      <w:r>
        <w:rPr>
          <w:bCs/>
        </w:rPr>
        <w:tab/>
        <w:t>134 - 160</w:t>
      </w:r>
      <w:r>
        <w:rPr>
          <w:bCs/>
        </w:rPr>
        <w:tab/>
        <w:t>42</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8</w:t>
      </w:r>
      <w:r>
        <w:rPr>
          <w:bCs/>
        </w:rPr>
        <w:tab/>
      </w:r>
      <w:r>
        <w:rPr>
          <w:bCs/>
        </w:rPr>
        <w:tab/>
        <w:t>161 - 198</w:t>
      </w:r>
      <w:r>
        <w:rPr>
          <w:bCs/>
        </w:rPr>
        <w:tab/>
        <w:t>48</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Статистика</w:t>
      </w:r>
      <w:r>
        <w:rPr>
          <w:bCs/>
        </w:rPr>
        <w:tab/>
      </w:r>
      <w:r>
        <w:rPr>
          <w:bCs/>
        </w:rPr>
        <w:tab/>
        <w:t>185 - 188</w:t>
      </w:r>
      <w:r>
        <w:rPr>
          <w:bCs/>
        </w:rPr>
        <w:tab/>
        <w:t>54</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Статья 9</w:t>
      </w:r>
      <w:r>
        <w:rPr>
          <w:bCs/>
        </w:rPr>
        <w:tab/>
      </w:r>
      <w:r>
        <w:rPr>
          <w:bCs/>
        </w:rPr>
        <w:tab/>
        <w:t>199 - 248</w:t>
      </w:r>
      <w:r>
        <w:rPr>
          <w:bCs/>
        </w:rPr>
        <w:tab/>
        <w:t>58</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Медицинское обслуживание</w:t>
      </w:r>
      <w:r>
        <w:rPr>
          <w:bCs/>
        </w:rPr>
        <w:tab/>
      </w:r>
      <w:r>
        <w:rPr>
          <w:bCs/>
        </w:rPr>
        <w:tab/>
        <w:t>204 - 205</w:t>
      </w:r>
      <w:r>
        <w:rPr>
          <w:bCs/>
        </w:rPr>
        <w:tab/>
        <w:t>59</w:t>
      </w:r>
    </w:p>
    <w:p w:rsidR="00000000" w:rsidRDefault="00000000">
      <w:pPr>
        <w:tabs>
          <w:tab w:val="clear" w:pos="1134"/>
          <w:tab w:val="clear" w:pos="1701"/>
          <w:tab w:val="clear" w:pos="2268"/>
          <w:tab w:val="clear" w:pos="6237"/>
          <w:tab w:val="right" w:leader="dot" w:pos="7655"/>
          <w:tab w:val="center" w:pos="8222"/>
          <w:tab w:val="center" w:pos="9122"/>
        </w:tabs>
        <w:rPr>
          <w:bCs/>
        </w:rPr>
      </w:pPr>
      <w:r>
        <w:rPr>
          <w:bCs/>
        </w:rPr>
        <w:tab/>
        <w:t>Денежные пособия по болезни</w:t>
      </w:r>
      <w:r>
        <w:rPr>
          <w:bCs/>
        </w:rPr>
        <w:tab/>
      </w:r>
      <w:r>
        <w:rPr>
          <w:bCs/>
        </w:rPr>
        <w:tab/>
        <w:t>206 - 210</w:t>
      </w:r>
      <w:r>
        <w:rPr>
          <w:bCs/>
        </w:rPr>
        <w:tab/>
        <w:t>59</w:t>
      </w:r>
    </w:p>
    <w:p w:rsidR="00000000" w:rsidRDefault="00000000">
      <w:pPr>
        <w:tabs>
          <w:tab w:val="clear" w:pos="1134"/>
          <w:tab w:val="clear" w:pos="1701"/>
          <w:tab w:val="clear" w:pos="2268"/>
          <w:tab w:val="clear" w:pos="6237"/>
          <w:tab w:val="right" w:leader="dot" w:pos="7655"/>
          <w:tab w:val="center" w:pos="8222"/>
          <w:tab w:val="center" w:pos="9122"/>
        </w:tabs>
        <w:rPr>
          <w:bCs/>
          <w:lang w:val="en-US"/>
        </w:rPr>
      </w:pPr>
      <w:r>
        <w:rPr>
          <w:bCs/>
        </w:rPr>
        <w:tab/>
        <w:t>Родительские пособия</w:t>
      </w:r>
      <w:r>
        <w:rPr>
          <w:bCs/>
        </w:rPr>
        <w:tab/>
      </w:r>
      <w:r>
        <w:rPr>
          <w:bCs/>
        </w:rPr>
        <w:tab/>
        <w:t>211 - 216</w:t>
      </w:r>
      <w:r>
        <w:rPr>
          <w:bCs/>
        </w:rPr>
        <w:tab/>
      </w:r>
      <w:r>
        <w:rPr>
          <w:bCs/>
          <w:lang w:val="en-US"/>
        </w:rPr>
        <w:t>60</w:t>
      </w:r>
    </w:p>
    <w:p w:rsidR="00000000" w:rsidRDefault="00000000">
      <w:pPr>
        <w:tabs>
          <w:tab w:val="clear" w:pos="6237"/>
          <w:tab w:val="center" w:pos="8039"/>
          <w:tab w:val="center" w:pos="9122"/>
        </w:tabs>
        <w:jc w:val="center"/>
        <w:rPr>
          <w:b/>
        </w:rPr>
      </w:pPr>
      <w:r>
        <w:rPr>
          <w:b/>
        </w:rPr>
        <w:t>СОДЕРЖАНИЕ (</w:t>
      </w:r>
      <w:r>
        <w:rPr>
          <w:b/>
          <w:i/>
          <w:iCs/>
        </w:rPr>
        <w:t>продолжение</w:t>
      </w:r>
      <w:r>
        <w:rPr>
          <w:b/>
        </w:rPr>
        <w:t>)</w:t>
      </w:r>
    </w:p>
    <w:p w:rsidR="00000000" w:rsidRDefault="00000000">
      <w:pPr>
        <w:tabs>
          <w:tab w:val="clear" w:pos="6237"/>
          <w:tab w:val="center" w:pos="8039"/>
          <w:tab w:val="center" w:pos="9122"/>
        </w:tabs>
        <w:jc w:val="center"/>
        <w:rPr>
          <w:bCs/>
        </w:rPr>
      </w:pPr>
    </w:p>
    <w:p w:rsidR="00000000" w:rsidRDefault="00000000">
      <w:pPr>
        <w:tabs>
          <w:tab w:val="clear" w:pos="6237"/>
          <w:tab w:val="center" w:pos="7938"/>
          <w:tab w:val="center" w:pos="9122"/>
        </w:tabs>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1134"/>
          <w:tab w:val="clear" w:pos="1701"/>
          <w:tab w:val="clear" w:pos="2268"/>
          <w:tab w:val="clear" w:pos="6237"/>
          <w:tab w:val="right" w:leader="dot" w:pos="7513"/>
          <w:tab w:val="center" w:pos="7938"/>
          <w:tab w:val="center" w:pos="9122"/>
        </w:tabs>
        <w:rPr>
          <w:bCs/>
        </w:rPr>
      </w:pPr>
    </w:p>
    <w:p w:rsidR="00000000" w:rsidRDefault="00000000">
      <w:pPr>
        <w:tabs>
          <w:tab w:val="clear" w:pos="1134"/>
          <w:tab w:val="clear" w:pos="1701"/>
          <w:tab w:val="clear" w:pos="2268"/>
          <w:tab w:val="clear" w:pos="6237"/>
          <w:tab w:val="right" w:leader="dot" w:pos="7655"/>
          <w:tab w:val="center" w:pos="7938"/>
          <w:tab w:val="center" w:pos="9122"/>
        </w:tabs>
        <w:rPr>
          <w:bCs/>
        </w:rPr>
      </w:pPr>
      <w:r>
        <w:rPr>
          <w:bCs/>
        </w:rPr>
        <w:tab/>
        <w:t xml:space="preserve">Пособия при выходе на пенсию, в связи с утратой </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трудоспособности и по случаю потери кормильца</w:t>
      </w:r>
      <w:r>
        <w:rPr>
          <w:bCs/>
        </w:rPr>
        <w:tab/>
      </w:r>
      <w:r>
        <w:rPr>
          <w:bCs/>
        </w:rPr>
        <w:tab/>
        <w:t>217 - 222</w:t>
      </w:r>
      <w:r>
        <w:rPr>
          <w:bCs/>
        </w:rPr>
        <w:tab/>
        <w:t>61</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Другие льготы в связи с инвалидностью</w:t>
      </w:r>
      <w:r>
        <w:rPr>
          <w:bCs/>
        </w:rPr>
        <w:tab/>
      </w:r>
      <w:r>
        <w:rPr>
          <w:bCs/>
        </w:rPr>
        <w:tab/>
        <w:t>223 - 224</w:t>
      </w:r>
      <w:r>
        <w:rPr>
          <w:bCs/>
        </w:rPr>
        <w:tab/>
        <w:t>62</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Пособие в связи с производственной травмой</w:t>
      </w:r>
      <w:r>
        <w:rPr>
          <w:bCs/>
        </w:rPr>
        <w:tab/>
      </w:r>
      <w:r>
        <w:rPr>
          <w:bCs/>
        </w:rPr>
        <w:tab/>
        <w:t>225 - 227</w:t>
      </w:r>
      <w:r>
        <w:rPr>
          <w:bCs/>
        </w:rPr>
        <w:tab/>
        <w:t>63</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Пособие по безработице</w:t>
      </w:r>
      <w:r>
        <w:rPr>
          <w:bCs/>
        </w:rPr>
        <w:tab/>
      </w:r>
      <w:r>
        <w:rPr>
          <w:bCs/>
        </w:rPr>
        <w:tab/>
        <w:t>228 - 232</w:t>
      </w:r>
      <w:r>
        <w:rPr>
          <w:bCs/>
        </w:rPr>
        <w:tab/>
        <w:t>64</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Семейное пособие</w:t>
      </w:r>
      <w:r>
        <w:rPr>
          <w:bCs/>
        </w:rPr>
        <w:tab/>
      </w:r>
      <w:r>
        <w:rPr>
          <w:bCs/>
        </w:rPr>
        <w:tab/>
        <w:t>233 - 242</w:t>
      </w:r>
      <w:r>
        <w:rPr>
          <w:bCs/>
        </w:rPr>
        <w:tab/>
        <w:t>65</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Экономическая помощь</w:t>
      </w:r>
      <w:r>
        <w:rPr>
          <w:bCs/>
        </w:rPr>
        <w:tab/>
      </w:r>
      <w:r>
        <w:rPr>
          <w:bCs/>
        </w:rPr>
        <w:tab/>
        <w:t>243 - 248</w:t>
      </w:r>
      <w:r>
        <w:rPr>
          <w:bCs/>
        </w:rPr>
        <w:tab/>
        <w:t>67</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Статья 10</w:t>
      </w:r>
      <w:r>
        <w:rPr>
          <w:bCs/>
        </w:rPr>
        <w:tab/>
      </w:r>
      <w:r>
        <w:rPr>
          <w:bCs/>
        </w:rPr>
        <w:tab/>
        <w:t>249 - 291</w:t>
      </w:r>
      <w:r>
        <w:rPr>
          <w:bCs/>
        </w:rPr>
        <w:tab/>
        <w:t>69</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Дети-инвалиды</w:t>
      </w:r>
      <w:r>
        <w:rPr>
          <w:bCs/>
        </w:rPr>
        <w:tab/>
      </w:r>
      <w:r>
        <w:rPr>
          <w:bCs/>
        </w:rPr>
        <w:tab/>
        <w:t>256</w:t>
      </w:r>
      <w:r>
        <w:rPr>
          <w:bCs/>
        </w:rPr>
        <w:tab/>
        <w:t>70</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Социальные службы</w:t>
      </w:r>
      <w:r>
        <w:rPr>
          <w:bCs/>
        </w:rPr>
        <w:tab/>
      </w:r>
      <w:r>
        <w:rPr>
          <w:bCs/>
        </w:rPr>
        <w:tab/>
        <w:t>257 - 260</w:t>
      </w:r>
      <w:r>
        <w:rPr>
          <w:bCs/>
        </w:rPr>
        <w:tab/>
        <w:t>71</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Правовая система</w:t>
      </w:r>
      <w:r>
        <w:rPr>
          <w:bCs/>
        </w:rPr>
        <w:tab/>
      </w:r>
      <w:r>
        <w:rPr>
          <w:bCs/>
        </w:rPr>
        <w:tab/>
        <w:t>261 - 276</w:t>
      </w:r>
      <w:r>
        <w:rPr>
          <w:bCs/>
        </w:rPr>
        <w:tab/>
        <w:t>72</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Повышение информированности государственных служащих</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и судейского корпуса в вопросах прав человека</w:t>
      </w:r>
      <w:r>
        <w:rPr>
          <w:bCs/>
        </w:rPr>
        <w:tab/>
      </w:r>
      <w:r>
        <w:rPr>
          <w:bCs/>
        </w:rPr>
        <w:tab/>
        <w:t>277 - 290</w:t>
      </w:r>
      <w:r>
        <w:rPr>
          <w:bCs/>
        </w:rPr>
        <w:tab/>
        <w:t>75</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Политика Швеции в вопросах молодежи</w:t>
      </w:r>
      <w:r>
        <w:rPr>
          <w:bCs/>
        </w:rPr>
        <w:tab/>
      </w:r>
      <w:r>
        <w:rPr>
          <w:bCs/>
        </w:rPr>
        <w:tab/>
        <w:t>291</w:t>
      </w:r>
      <w:r>
        <w:rPr>
          <w:bCs/>
        </w:rPr>
        <w:tab/>
        <w:t>79</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Статья 11</w:t>
      </w:r>
      <w:r>
        <w:rPr>
          <w:bCs/>
        </w:rPr>
        <w:tab/>
      </w:r>
      <w:r>
        <w:rPr>
          <w:bCs/>
        </w:rPr>
        <w:tab/>
        <w:t>292 - 378</w:t>
      </w:r>
      <w:r>
        <w:rPr>
          <w:bCs/>
        </w:rPr>
        <w:tab/>
        <w:t>79</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Уровень и условия жизни лиц пожилого возраста</w:t>
      </w:r>
      <w:r>
        <w:rPr>
          <w:bCs/>
        </w:rPr>
        <w:tab/>
      </w:r>
      <w:r>
        <w:rPr>
          <w:bCs/>
        </w:rPr>
        <w:tab/>
        <w:t>304 - 309</w:t>
      </w:r>
      <w:r>
        <w:rPr>
          <w:bCs/>
        </w:rPr>
        <w:tab/>
        <w:t>83</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Инвалиды</w:t>
      </w:r>
      <w:r>
        <w:rPr>
          <w:bCs/>
        </w:rPr>
        <w:tab/>
      </w:r>
      <w:r>
        <w:rPr>
          <w:bCs/>
        </w:rPr>
        <w:tab/>
        <w:t>310 - 313</w:t>
      </w:r>
      <w:r>
        <w:rPr>
          <w:bCs/>
        </w:rPr>
        <w:tab/>
        <w:t>84</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Инициативы в рамках Закона о социальных услугах</w:t>
      </w:r>
      <w:r>
        <w:rPr>
          <w:bCs/>
        </w:rPr>
        <w:tab/>
      </w:r>
      <w:r>
        <w:rPr>
          <w:bCs/>
        </w:rPr>
        <w:tab/>
        <w:t>314 - 316</w:t>
      </w:r>
      <w:r>
        <w:rPr>
          <w:bCs/>
        </w:rPr>
        <w:tab/>
        <w:t>86</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Статистика бедности в Швеции</w:t>
      </w:r>
      <w:r>
        <w:rPr>
          <w:bCs/>
        </w:rPr>
        <w:tab/>
      </w:r>
      <w:r>
        <w:rPr>
          <w:bCs/>
        </w:rPr>
        <w:tab/>
        <w:t>317 - 339</w:t>
      </w:r>
      <w:r>
        <w:rPr>
          <w:bCs/>
        </w:rPr>
        <w:tab/>
        <w:t>86</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Национальная продовольственная администрация Швеции</w:t>
      </w:r>
      <w:r>
        <w:rPr>
          <w:bCs/>
        </w:rPr>
        <w:tab/>
      </w:r>
      <w:r>
        <w:rPr>
          <w:bCs/>
        </w:rPr>
        <w:tab/>
        <w:t>340 - 346</w:t>
      </w:r>
      <w:r>
        <w:rPr>
          <w:bCs/>
        </w:rPr>
        <w:tab/>
        <w:t>93</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Совет по вопросам сельского хозяйства Швеции</w:t>
      </w:r>
      <w:r>
        <w:rPr>
          <w:bCs/>
        </w:rPr>
        <w:tab/>
      </w:r>
      <w:r>
        <w:rPr>
          <w:bCs/>
        </w:rPr>
        <w:tab/>
        <w:t>347 - 349</w:t>
      </w:r>
      <w:r>
        <w:rPr>
          <w:bCs/>
        </w:rPr>
        <w:tab/>
        <w:t>94</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Право на достаточное питание</w:t>
      </w:r>
      <w:r>
        <w:rPr>
          <w:bCs/>
        </w:rPr>
        <w:tab/>
      </w:r>
      <w:r>
        <w:rPr>
          <w:bCs/>
        </w:rPr>
        <w:tab/>
        <w:t>350 - 352</w:t>
      </w:r>
      <w:r>
        <w:rPr>
          <w:bCs/>
        </w:rPr>
        <w:tab/>
        <w:t>95</w:t>
      </w:r>
    </w:p>
    <w:p w:rsidR="00000000" w:rsidRDefault="00000000">
      <w:pPr>
        <w:tabs>
          <w:tab w:val="clear" w:pos="1134"/>
          <w:tab w:val="clear" w:pos="1701"/>
          <w:tab w:val="clear" w:pos="2268"/>
          <w:tab w:val="clear" w:pos="6237"/>
          <w:tab w:val="right" w:leader="dot" w:pos="7371"/>
          <w:tab w:val="center" w:pos="7938"/>
          <w:tab w:val="center" w:pos="9122"/>
        </w:tabs>
        <w:rPr>
          <w:bCs/>
          <w:lang w:val="en-US"/>
        </w:rPr>
      </w:pPr>
      <w:r>
        <w:rPr>
          <w:bCs/>
        </w:rPr>
        <w:tab/>
        <w:t>Жилищная политика</w:t>
      </w:r>
      <w:r>
        <w:rPr>
          <w:bCs/>
        </w:rPr>
        <w:tab/>
      </w:r>
      <w:r>
        <w:rPr>
          <w:bCs/>
        </w:rPr>
        <w:tab/>
        <w:t>353 - 355</w:t>
      </w:r>
      <w:r>
        <w:rPr>
          <w:bCs/>
        </w:rPr>
        <w:tab/>
      </w:r>
      <w:r>
        <w:rPr>
          <w:bCs/>
          <w:lang w:val="en-US"/>
        </w:rPr>
        <w:t>96</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Инициативы, направленные на снижение стоимости жилья</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и расширение его предложения</w:t>
      </w:r>
      <w:r>
        <w:rPr>
          <w:bCs/>
        </w:rPr>
        <w:tab/>
      </w:r>
      <w:r>
        <w:rPr>
          <w:bCs/>
        </w:rPr>
        <w:tab/>
        <w:t>356 - 360</w:t>
      </w:r>
      <w:r>
        <w:rPr>
          <w:bCs/>
        </w:rPr>
        <w:tab/>
        <w:t>96</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Инициативы по обеспечению жильем</w:t>
      </w:r>
      <w:r>
        <w:rPr>
          <w:bCs/>
        </w:rPr>
        <w:tab/>
      </w:r>
      <w:r>
        <w:rPr>
          <w:bCs/>
        </w:rPr>
        <w:tab/>
        <w:t>361 - 365</w:t>
      </w:r>
      <w:r>
        <w:rPr>
          <w:bCs/>
        </w:rPr>
        <w:tab/>
        <w:t>97</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Общая информация о стесненных жилищных условиях</w:t>
      </w:r>
      <w:r>
        <w:rPr>
          <w:bCs/>
        </w:rPr>
        <w:tab/>
      </w:r>
      <w:r>
        <w:rPr>
          <w:bCs/>
        </w:rPr>
        <w:tab/>
        <w:t>366</w:t>
      </w:r>
      <w:r>
        <w:rPr>
          <w:bCs/>
        </w:rPr>
        <w:tab/>
        <w:t>99</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Внутриквартирная среда</w:t>
      </w:r>
      <w:r>
        <w:rPr>
          <w:bCs/>
        </w:rPr>
        <w:tab/>
      </w:r>
      <w:r>
        <w:rPr>
          <w:bCs/>
        </w:rPr>
        <w:tab/>
        <w:t>367 - 372</w:t>
      </w:r>
      <w:r>
        <w:rPr>
          <w:bCs/>
        </w:rPr>
        <w:tab/>
        <w:t>99</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Меры по повышению безопасности лифтового оборудования</w:t>
      </w:r>
      <w:r>
        <w:rPr>
          <w:bCs/>
        </w:rPr>
        <w:tab/>
      </w:r>
      <w:r>
        <w:rPr>
          <w:bCs/>
        </w:rPr>
        <w:tab/>
        <w:t>373</w:t>
      </w:r>
      <w:r>
        <w:rPr>
          <w:bCs/>
        </w:rPr>
        <w:tab/>
        <w:t>101</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Меры по улучшению материального положения семей</w:t>
      </w:r>
      <w:r>
        <w:rPr>
          <w:bCs/>
        </w:rPr>
        <w:tab/>
      </w:r>
      <w:r>
        <w:rPr>
          <w:bCs/>
        </w:rPr>
        <w:tab/>
        <w:t>374</w:t>
      </w:r>
      <w:r>
        <w:rPr>
          <w:bCs/>
        </w:rPr>
        <w:tab/>
        <w:t>101</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Меры по улучшению социальных услуг</w:t>
      </w:r>
      <w:r>
        <w:rPr>
          <w:bCs/>
        </w:rPr>
        <w:tab/>
      </w:r>
      <w:r>
        <w:rPr>
          <w:bCs/>
        </w:rPr>
        <w:tab/>
        <w:t>375 - 378</w:t>
      </w:r>
      <w:r>
        <w:rPr>
          <w:bCs/>
        </w:rPr>
        <w:tab/>
        <w:t>101</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Статья 12</w:t>
      </w:r>
      <w:r>
        <w:rPr>
          <w:bCs/>
        </w:rPr>
        <w:tab/>
      </w:r>
      <w:r>
        <w:rPr>
          <w:bCs/>
        </w:rPr>
        <w:tab/>
        <w:t>379 - 423</w:t>
      </w:r>
      <w:r>
        <w:rPr>
          <w:bCs/>
        </w:rPr>
        <w:tab/>
        <w:t>102</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Система ухода за лицами престарелого возраста</w:t>
      </w:r>
      <w:r>
        <w:rPr>
          <w:bCs/>
        </w:rPr>
        <w:tab/>
      </w:r>
      <w:r>
        <w:rPr>
          <w:bCs/>
        </w:rPr>
        <w:tab/>
        <w:t>405 - 423</w:t>
      </w:r>
      <w:r>
        <w:rPr>
          <w:bCs/>
        </w:rPr>
        <w:tab/>
        <w:t>108</w:t>
      </w:r>
    </w:p>
    <w:p w:rsidR="00000000" w:rsidRDefault="00000000">
      <w:pPr>
        <w:tabs>
          <w:tab w:val="clear" w:pos="6237"/>
          <w:tab w:val="center" w:pos="8039"/>
          <w:tab w:val="center" w:pos="9122"/>
        </w:tabs>
        <w:jc w:val="center"/>
        <w:rPr>
          <w:b/>
        </w:rPr>
      </w:pPr>
      <w:r>
        <w:rPr>
          <w:b/>
        </w:rPr>
        <w:br w:type="page"/>
        <w:t>СОДЕРЖАНИЕ (</w:t>
      </w:r>
      <w:r>
        <w:rPr>
          <w:b/>
          <w:i/>
          <w:iCs/>
        </w:rPr>
        <w:t>продолжение</w:t>
      </w:r>
      <w:r>
        <w:rPr>
          <w:b/>
        </w:rPr>
        <w:t>)</w:t>
      </w:r>
    </w:p>
    <w:p w:rsidR="00000000" w:rsidRDefault="00000000">
      <w:pPr>
        <w:tabs>
          <w:tab w:val="clear" w:pos="6237"/>
          <w:tab w:val="center" w:pos="8039"/>
          <w:tab w:val="center" w:pos="9122"/>
        </w:tabs>
        <w:jc w:val="center"/>
        <w:rPr>
          <w:bCs/>
        </w:rPr>
      </w:pPr>
    </w:p>
    <w:p w:rsidR="00000000" w:rsidRDefault="00000000">
      <w:pPr>
        <w:tabs>
          <w:tab w:val="clear" w:pos="6237"/>
          <w:tab w:val="center" w:pos="7938"/>
          <w:tab w:val="center" w:pos="9122"/>
        </w:tabs>
        <w:rPr>
          <w:bCs/>
          <w:i/>
          <w:iCs/>
        </w:rPr>
      </w:pPr>
      <w:r>
        <w:rPr>
          <w:bCs/>
          <w:i/>
          <w:iCs/>
        </w:rPr>
        <w:tab/>
      </w:r>
      <w:r>
        <w:rPr>
          <w:bCs/>
          <w:i/>
          <w:iCs/>
        </w:rPr>
        <w:tab/>
      </w:r>
      <w:r>
        <w:rPr>
          <w:bCs/>
          <w:i/>
          <w:iCs/>
        </w:rPr>
        <w:tab/>
      </w:r>
      <w:r>
        <w:rPr>
          <w:bCs/>
          <w:i/>
          <w:iCs/>
        </w:rPr>
        <w:tab/>
      </w:r>
      <w:r>
        <w:rPr>
          <w:bCs/>
          <w:i/>
          <w:iCs/>
        </w:rPr>
        <w:tab/>
        <w:t>Пункты</w:t>
      </w:r>
      <w:r>
        <w:rPr>
          <w:bCs/>
          <w:i/>
          <w:iCs/>
        </w:rPr>
        <w:tab/>
        <w:t>Стр.</w:t>
      </w:r>
    </w:p>
    <w:p w:rsidR="00000000" w:rsidRDefault="00000000">
      <w:pPr>
        <w:tabs>
          <w:tab w:val="clear" w:pos="1134"/>
          <w:tab w:val="clear" w:pos="1701"/>
          <w:tab w:val="clear" w:pos="2268"/>
          <w:tab w:val="clear" w:pos="6237"/>
          <w:tab w:val="right" w:leader="dot" w:pos="7371"/>
          <w:tab w:val="center" w:pos="7938"/>
          <w:tab w:val="center" w:pos="9122"/>
        </w:tabs>
        <w:rPr>
          <w:bCs/>
        </w:rPr>
      </w:pP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Статья 13</w:t>
      </w:r>
      <w:r>
        <w:rPr>
          <w:bCs/>
        </w:rPr>
        <w:tab/>
      </w:r>
      <w:r>
        <w:rPr>
          <w:bCs/>
        </w:rPr>
        <w:tab/>
        <w:t>424</w:t>
      </w:r>
      <w:r>
        <w:rPr>
          <w:bCs/>
        </w:rPr>
        <w:tab/>
        <w:t>112</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ab/>
        <w:t>Образование для детей и молодежи</w:t>
      </w:r>
      <w:r>
        <w:rPr>
          <w:bCs/>
        </w:rPr>
        <w:tab/>
      </w:r>
      <w:r>
        <w:rPr>
          <w:bCs/>
        </w:rPr>
        <w:tab/>
        <w:t>424 - 457</w:t>
      </w:r>
      <w:r>
        <w:rPr>
          <w:bCs/>
        </w:rPr>
        <w:tab/>
        <w:t>112</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Содействие распространению знаний о национальных</w:t>
      </w:r>
    </w:p>
    <w:p w:rsidR="00000000" w:rsidRDefault="00000000">
      <w:pPr>
        <w:tabs>
          <w:tab w:val="clear" w:pos="1701"/>
          <w:tab w:val="clear" w:pos="2268"/>
          <w:tab w:val="clear" w:pos="6237"/>
          <w:tab w:val="left" w:pos="851"/>
          <w:tab w:val="right" w:leader="dot" w:pos="7371"/>
          <w:tab w:val="center" w:pos="7938"/>
          <w:tab w:val="center" w:pos="9122"/>
        </w:tabs>
        <w:rPr>
          <w:bCs/>
        </w:rPr>
      </w:pPr>
      <w:r>
        <w:rPr>
          <w:bCs/>
        </w:rPr>
        <w:tab/>
      </w:r>
      <w:r>
        <w:rPr>
          <w:bCs/>
        </w:rPr>
        <w:tab/>
      </w:r>
      <w:r>
        <w:rPr>
          <w:bCs/>
        </w:rPr>
        <w:tab/>
        <w:t>меньшинствах</w:t>
      </w:r>
      <w:r>
        <w:rPr>
          <w:bCs/>
        </w:rPr>
        <w:tab/>
      </w:r>
      <w:r>
        <w:rPr>
          <w:bCs/>
        </w:rPr>
        <w:tab/>
        <w:t>424 - 432</w:t>
      </w:r>
      <w:r>
        <w:rPr>
          <w:bCs/>
        </w:rPr>
        <w:tab/>
        <w:t>11</w:t>
      </w:r>
      <w:r>
        <w:rPr>
          <w:bCs/>
          <w:lang w:val="en-US"/>
        </w:rPr>
        <w:t>2</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Система дошкольных и школьных заведений</w:t>
      </w:r>
      <w:r>
        <w:rPr>
          <w:bCs/>
        </w:rPr>
        <w:tab/>
      </w:r>
      <w:r>
        <w:rPr>
          <w:bCs/>
        </w:rPr>
        <w:tab/>
        <w:t>433 - 439</w:t>
      </w:r>
      <w:r>
        <w:rPr>
          <w:bCs/>
        </w:rPr>
        <w:tab/>
        <w:t>115</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Обязательная школа</w:t>
      </w:r>
      <w:r>
        <w:rPr>
          <w:bCs/>
        </w:rPr>
        <w:tab/>
      </w:r>
      <w:r>
        <w:rPr>
          <w:bCs/>
        </w:rPr>
        <w:tab/>
        <w:t>440 - 451</w:t>
      </w:r>
      <w:r>
        <w:rPr>
          <w:bCs/>
        </w:rPr>
        <w:tab/>
        <w:t>117</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Старшая средняя школа</w:t>
      </w:r>
      <w:r>
        <w:rPr>
          <w:bCs/>
        </w:rPr>
        <w:tab/>
      </w:r>
      <w:r>
        <w:rPr>
          <w:bCs/>
        </w:rPr>
        <w:tab/>
        <w:t>452 - 457</w:t>
      </w:r>
      <w:r>
        <w:rPr>
          <w:bCs/>
        </w:rPr>
        <w:tab/>
        <w:t>121</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t>Образование для взрослых</w:t>
      </w:r>
      <w:r>
        <w:rPr>
          <w:bCs/>
        </w:rPr>
        <w:tab/>
      </w:r>
      <w:r>
        <w:rPr>
          <w:bCs/>
        </w:rPr>
        <w:tab/>
        <w:t>458 - 470</w:t>
      </w:r>
      <w:r>
        <w:rPr>
          <w:bCs/>
        </w:rPr>
        <w:tab/>
        <w:t>122</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Общая информация</w:t>
      </w:r>
      <w:r>
        <w:rPr>
          <w:bCs/>
        </w:rPr>
        <w:tab/>
      </w:r>
      <w:r>
        <w:rPr>
          <w:bCs/>
        </w:rPr>
        <w:tab/>
        <w:t>468 - 470</w:t>
      </w:r>
      <w:r>
        <w:rPr>
          <w:bCs/>
        </w:rPr>
        <w:tab/>
        <w:t>124</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t>Высшее образование</w:t>
      </w:r>
      <w:r>
        <w:rPr>
          <w:bCs/>
        </w:rPr>
        <w:tab/>
      </w:r>
      <w:r>
        <w:rPr>
          <w:bCs/>
        </w:rPr>
        <w:tab/>
        <w:t>471 - 512</w:t>
      </w:r>
      <w:r>
        <w:rPr>
          <w:bCs/>
        </w:rPr>
        <w:tab/>
        <w:t>12</w:t>
      </w:r>
      <w:r>
        <w:rPr>
          <w:bCs/>
          <w:lang w:val="en-US"/>
        </w:rPr>
        <w:t>5</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Защита от дискриминации</w:t>
      </w:r>
      <w:r>
        <w:rPr>
          <w:bCs/>
        </w:rPr>
        <w:tab/>
      </w:r>
      <w:r>
        <w:rPr>
          <w:bCs/>
        </w:rPr>
        <w:tab/>
        <w:t>472 - 473</w:t>
      </w:r>
      <w:r>
        <w:rPr>
          <w:bCs/>
        </w:rPr>
        <w:tab/>
        <w:t>125</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Расширение приема в высшие учебные заведения</w:t>
      </w:r>
      <w:r>
        <w:rPr>
          <w:bCs/>
        </w:rPr>
        <w:tab/>
      </w:r>
      <w:r>
        <w:rPr>
          <w:bCs/>
        </w:rPr>
        <w:tab/>
        <w:t>474</w:t>
      </w:r>
      <w:r>
        <w:rPr>
          <w:bCs/>
        </w:rPr>
        <w:tab/>
        <w:t>125</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Закон о равном обращении</w:t>
      </w:r>
      <w:r>
        <w:rPr>
          <w:bCs/>
        </w:rPr>
        <w:tab/>
      </w:r>
      <w:r>
        <w:rPr>
          <w:bCs/>
        </w:rPr>
        <w:tab/>
        <w:t>475 - 479</w:t>
      </w:r>
      <w:r>
        <w:rPr>
          <w:bCs/>
        </w:rPr>
        <w:tab/>
        <w:t>126</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Подготовка учителей</w:t>
      </w:r>
      <w:r>
        <w:rPr>
          <w:bCs/>
        </w:rPr>
        <w:tab/>
      </w:r>
      <w:r>
        <w:rPr>
          <w:bCs/>
        </w:rPr>
        <w:tab/>
        <w:t>480</w:t>
      </w:r>
      <w:r>
        <w:rPr>
          <w:bCs/>
        </w:rPr>
        <w:tab/>
        <w:t>127</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Повышение квалификации учителей</w:t>
      </w:r>
      <w:r>
        <w:rPr>
          <w:bCs/>
        </w:rPr>
        <w:tab/>
      </w:r>
      <w:r>
        <w:rPr>
          <w:bCs/>
        </w:rPr>
        <w:tab/>
        <w:t>481 - 484</w:t>
      </w:r>
      <w:r>
        <w:rPr>
          <w:bCs/>
        </w:rPr>
        <w:tab/>
        <w:t>128</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Права человека в системе образования</w:t>
      </w:r>
      <w:r>
        <w:rPr>
          <w:bCs/>
        </w:rPr>
        <w:tab/>
      </w:r>
      <w:r>
        <w:rPr>
          <w:bCs/>
        </w:rPr>
        <w:tab/>
        <w:t>485 - 486</w:t>
      </w:r>
      <w:r>
        <w:rPr>
          <w:bCs/>
        </w:rPr>
        <w:tab/>
        <w:t>129</w:t>
      </w:r>
    </w:p>
    <w:p w:rsidR="00000000" w:rsidRDefault="00000000">
      <w:pPr>
        <w:tabs>
          <w:tab w:val="clear" w:pos="1134"/>
          <w:tab w:val="clear" w:pos="1701"/>
          <w:tab w:val="clear" w:pos="2268"/>
          <w:tab w:val="clear" w:pos="6237"/>
          <w:tab w:val="left" w:pos="851"/>
          <w:tab w:val="right" w:leader="dot" w:pos="7371"/>
          <w:tab w:val="center" w:pos="7938"/>
          <w:tab w:val="center" w:pos="9122"/>
        </w:tabs>
        <w:rPr>
          <w:bCs/>
        </w:rPr>
      </w:pPr>
      <w:r>
        <w:rPr>
          <w:bCs/>
        </w:rPr>
        <w:tab/>
      </w:r>
      <w:r>
        <w:rPr>
          <w:bCs/>
        </w:rPr>
        <w:tab/>
        <w:t>Финансирование образования</w:t>
      </w:r>
      <w:r>
        <w:rPr>
          <w:bCs/>
        </w:rPr>
        <w:tab/>
      </w:r>
      <w:r>
        <w:rPr>
          <w:bCs/>
        </w:rPr>
        <w:tab/>
        <w:t>487</w:t>
      </w:r>
      <w:r>
        <w:rPr>
          <w:bCs/>
        </w:rPr>
        <w:tab/>
        <w:t>129</w:t>
      </w:r>
    </w:p>
    <w:p w:rsidR="00000000" w:rsidRDefault="00000000">
      <w:pPr>
        <w:tabs>
          <w:tab w:val="clear" w:pos="1134"/>
          <w:tab w:val="clear" w:pos="1701"/>
          <w:tab w:val="clear" w:pos="2268"/>
          <w:tab w:val="clear" w:pos="6237"/>
          <w:tab w:val="right" w:leader="dot" w:pos="7371"/>
          <w:tab w:val="center" w:pos="7938"/>
          <w:tab w:val="center" w:pos="9122"/>
        </w:tabs>
        <w:rPr>
          <w:bCs/>
        </w:rPr>
      </w:pPr>
      <w:r>
        <w:rPr>
          <w:bCs/>
        </w:rPr>
        <w:t>Статья 15</w:t>
      </w:r>
      <w:r>
        <w:rPr>
          <w:bCs/>
        </w:rPr>
        <w:tab/>
      </w:r>
      <w:r>
        <w:rPr>
          <w:bCs/>
        </w:rPr>
        <w:tab/>
        <w:t>488 - 512</w:t>
      </w:r>
      <w:r>
        <w:rPr>
          <w:bCs/>
        </w:rPr>
        <w:tab/>
        <w:t>129</w:t>
      </w:r>
    </w:p>
    <w:p w:rsidR="00000000" w:rsidRDefault="00000000">
      <w:pPr>
        <w:tabs>
          <w:tab w:val="clear" w:pos="1134"/>
          <w:tab w:val="clear" w:pos="1701"/>
          <w:tab w:val="clear" w:pos="2268"/>
          <w:tab w:val="clear" w:pos="6237"/>
          <w:tab w:val="right" w:leader="dot" w:pos="7172"/>
          <w:tab w:val="right" w:leader="dot" w:pos="7371"/>
          <w:tab w:val="center" w:pos="7938"/>
          <w:tab w:val="center" w:pos="8039"/>
          <w:tab w:val="center" w:pos="9122"/>
        </w:tabs>
        <w:rPr>
          <w:bCs/>
        </w:rPr>
      </w:pPr>
    </w:p>
    <w:p w:rsidR="00000000" w:rsidRDefault="00000000">
      <w:pPr>
        <w:tabs>
          <w:tab w:val="clear" w:pos="6237"/>
          <w:tab w:val="center" w:pos="8039"/>
          <w:tab w:val="center" w:pos="9122"/>
        </w:tabs>
        <w:rPr>
          <w:bCs/>
        </w:rPr>
      </w:pPr>
    </w:p>
    <w:p w:rsidR="00000000" w:rsidRDefault="00000000">
      <w:pPr>
        <w:tabs>
          <w:tab w:val="clear" w:pos="6237"/>
          <w:tab w:val="decimal" w:pos="567"/>
          <w:tab w:val="right" w:leader="dot" w:pos="7172"/>
          <w:tab w:val="center" w:pos="8039"/>
          <w:tab w:val="center" w:pos="9122"/>
        </w:tabs>
        <w:jc w:val="center"/>
        <w:rPr>
          <w:b/>
          <w:bCs/>
        </w:rPr>
      </w:pPr>
      <w:r>
        <w:rPr>
          <w:b/>
          <w:bCs/>
        </w:rPr>
        <w:br w:type="page"/>
        <w:t>Введение</w:t>
      </w:r>
    </w:p>
    <w:p w:rsidR="00000000" w:rsidRDefault="00000000">
      <w:pPr>
        <w:tabs>
          <w:tab w:val="clear" w:pos="6237"/>
          <w:tab w:val="decimal" w:pos="567"/>
          <w:tab w:val="right" w:leader="dot" w:pos="7172"/>
          <w:tab w:val="center" w:pos="8039"/>
          <w:tab w:val="center" w:pos="9122"/>
        </w:tabs>
        <w:jc w:val="center"/>
      </w:pPr>
    </w:p>
    <w:p w:rsidR="00000000" w:rsidRDefault="00000000">
      <w:pPr>
        <w:tabs>
          <w:tab w:val="clear" w:pos="567"/>
          <w:tab w:val="clear" w:pos="6237"/>
          <w:tab w:val="left" w:pos="561"/>
          <w:tab w:val="right" w:leader="dot" w:pos="7172"/>
          <w:tab w:val="center" w:pos="8039"/>
          <w:tab w:val="center" w:pos="9122"/>
        </w:tabs>
      </w:pPr>
      <w:r>
        <w:t>1.</w:t>
      </w:r>
      <w:r>
        <w:tab/>
        <w:t>В настоящем докладе подробно излагаются меры, принятые Швецией в связи с осуществлением Международного пакта об экономических, социальных и культурных правах.  В докладе также уделяется пристальное внимание вопросам, затронутым в заключительных замечаниях Комитета по экономическим, социальным и культурным правам (</w:t>
      </w:r>
      <w:r>
        <w:rPr>
          <w:lang w:val="en-US"/>
        </w:rPr>
        <w:t>E</w:t>
      </w:r>
      <w:r>
        <w:t>/</w:t>
      </w:r>
      <w:r>
        <w:rPr>
          <w:lang w:val="en-US"/>
        </w:rPr>
        <w:t>C</w:t>
      </w:r>
      <w:r>
        <w:t>.12/1/</w:t>
      </w:r>
      <w:r>
        <w:rPr>
          <w:lang w:val="en-US"/>
        </w:rPr>
        <w:t>Add</w:t>
      </w:r>
      <w:r>
        <w:t>.70).</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2.</w:t>
      </w:r>
      <w:r>
        <w:tab/>
        <w:t xml:space="preserve">В своих заключительных замечаниях Комитет выражает сожаление по поводу того, что в рамках внутреннего правопорядка в государстве-участнике не обеспечено полное действие Пакта и поэтому на Пакт нельзя непосредственно ссылаться в судах.  </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3.</w:t>
      </w:r>
      <w:r>
        <w:tab/>
        <w:t xml:space="preserve">Швеция придерживается принципа, согласно которому международные договоры не становятся автоматически частью шведского права.  Для того чтобы международные договоры могли применяться, они должны быть транспонированы в шведское законодательство или инкорпорированы с помощью специального закона.  Обычной процедурой осуществления любого международного соглашения является включение эквивалентных положений в отдельный шведский законодательный акт, если таких положений еще не существует.  </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4.</w:t>
      </w:r>
      <w:r>
        <w:tab/>
        <w:t xml:space="preserve">Подготовка к ратификации Международного пакта об экономических, социальных и культурных правах предполагала проведение всеобъемлющего обзора в целях обеспечения того, чтобы шведское законодательство согласовывалось с положениями Пакта.  Пакт был ратифицирован после проведения обзора и принятия парламентом соответствующего законопроекта.  </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5.</w:t>
      </w:r>
      <w:r>
        <w:tab/>
        <w:t xml:space="preserve">Согласно существующей в Швеции системе материальные нормы, закрепленные в Пакте, не могут непосредственно применяться в национальных судах или органами власти Швеции.  Однако по прецедентному праву Швеции, основывающемуся на ряде решений Верховного суда, внутреннее законодательство и любые поправки к нему должны истолковываться с учетом международных обязательств страны.  </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6.</w:t>
      </w:r>
      <w:r>
        <w:tab/>
        <w:t xml:space="preserve">Во время подготовки доклада шведским НПО было предложено представить свои замечания.  Было также организовано совещание с широким кругом НПО.  </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rPr>
          <w:b/>
          <w:bCs/>
        </w:rPr>
        <w:br w:type="page"/>
        <w:t>Статья 1</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7.</w:t>
      </w:r>
      <w:r>
        <w:tab/>
        <w:t>По мнению правительства Швеции, коренные народы имеют право на самоопределение в той мере, в которой они представляют собой народы по смыслу общей статьи 1 Международного пакта о гражданских и политических правах 1966 года и Международного пакта об экономических, социальных и культурных правах 1966 года.</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8.</w:t>
      </w:r>
      <w:r>
        <w:tab/>
        <w:t>В силу права на самоопределение коренные народы свободно устанавливают свой политический статус и свободно обеспечивают свое экономическое, социальное и культурное развитие.  Однако право на самоопределение не должно быть истолковано как разрешающее или поощряющее какие-либо действия, которые будут нарушать или подрывать, полностью или частично, территориальную целостность или политическое единство суверенных и независимых государств, поступающих в соответствии с принципом равных прав и самоопределения народов и, таким образом, имеющих правительство, которое представляет весь народ, проживающий на данной территории, без каких-либо различий.</w:t>
      </w:r>
    </w:p>
    <w:p w:rsidR="00000000" w:rsidRDefault="00000000"/>
    <w:p w:rsidR="00000000" w:rsidRDefault="00000000">
      <w:r>
        <w:t>9.</w:t>
      </w:r>
      <w:r>
        <w:tab/>
        <w:t xml:space="preserve">Саами признаются в качестве коренного народа и представляют собой признанное национальное меньшинство в Швеции.  </w:t>
      </w:r>
    </w:p>
    <w:p w:rsidR="00000000" w:rsidRDefault="00000000"/>
    <w:p w:rsidR="00000000" w:rsidRDefault="00000000">
      <w:r>
        <w:t>10.</w:t>
      </w:r>
      <w:r>
        <w:tab/>
        <w:t>Важно, чтобы население саами, подобно другим группам общества, считало, что оно обладает соответствующими правами, и имело возможность влиять на свою собственную культуру и развитие общества в целом.  Таковы некоторые причины, объясняющие создание парламента саами в Швеции в 1993 году.  Парламент саами является одновременно шведским государственным учреждением и народно избранным органом.  В состав этого избранного органа входит 31 член парламента, избранный проживающим в Швеции населением саами.  Выборы в парламент саами проводятся один раз в четыре года, и в них могут участвовать саами, зарегистрированные в избирательном бюллетене парламента саами.  В Швеции проживают приблизительно 20 000 саами и примерно 7 180 из них обладают избирательным правом.  На выборах 2005 года явка избирателей составила 66%, что на 10% меньше по сравнению с первыми выборами, состоявшимися в 1993 году.  Вместе с тем с момента проведения первых выборов для участия в выборах зарегистрировалось примерно на 1 800 саами больше, т.е. в абсолютном выражении явка избирателей возросла.  По состоянию на период выборов 2005 года 32% членов пленарной ассамблеи парламента саами являлись женщинами и 68% - мужчинами.  Со времени проведения выборов 2001 года представительство женщин увеличилось на 7%.  Из общего числа саами, обладающих избирательным правом и реально участвующих в голосовании, 49% приходится на женщин и 51% - на мужчин.</w:t>
      </w:r>
    </w:p>
    <w:p w:rsidR="00000000" w:rsidRDefault="00000000"/>
    <w:p w:rsidR="00000000" w:rsidRDefault="00000000">
      <w:r>
        <w:t>11.</w:t>
      </w:r>
      <w:r>
        <w:tab/>
        <w:t xml:space="preserve">Парламент саами олицетворяет собой важный механизм для саами и представляет интересы населения саами на различных уровнях в своем качестве народно избранного органа.  Регулярный диалог и дискуссии между шведским правительством и парламентом саами выполняют важную функцию в деле укрепления статуса саами как коренного народа и меньшинства в Швеции.  Пристальное внимание в ходе постоянно проводимого диалога уделяется тематическим вопросам, в первую очередь вопросам, которые парламент саами хочет обсудить и прояснить в приоритетном порядке.  </w:t>
      </w:r>
    </w:p>
    <w:p w:rsidR="00000000" w:rsidRDefault="00000000"/>
    <w:p w:rsidR="00000000" w:rsidRDefault="00000000">
      <w:r>
        <w:t>12.</w:t>
      </w:r>
      <w:r>
        <w:tab/>
        <w:t>В Швеции уже предпринимаются в течение определенного времени усилия, направленные на расширение влияния населения саами в решении как сугубо внутренних дел саами, так и вопросов, затрагивающих население саами в более широком социальном контексте.  В рамках этой деятельности правительство представило в риксдаг законопроект 2005/06:86 "Расширение влияния саами" (</w:t>
      </w:r>
      <w:r>
        <w:rPr>
          <w:i/>
          <w:iCs/>
          <w:lang w:val="en-US"/>
        </w:rPr>
        <w:t>Ett</w:t>
      </w:r>
      <w:r>
        <w:rPr>
          <w:i/>
          <w:iCs/>
        </w:rPr>
        <w:t xml:space="preserve"> ö</w:t>
      </w:r>
      <w:r>
        <w:rPr>
          <w:i/>
          <w:iCs/>
          <w:lang w:val="en-US"/>
        </w:rPr>
        <w:t>kat</w:t>
      </w:r>
      <w:r>
        <w:rPr>
          <w:i/>
          <w:iCs/>
        </w:rPr>
        <w:t xml:space="preserve"> </w:t>
      </w:r>
      <w:r>
        <w:rPr>
          <w:i/>
          <w:iCs/>
          <w:lang w:val="en-US"/>
        </w:rPr>
        <w:t>samiskt</w:t>
      </w:r>
      <w:r>
        <w:rPr>
          <w:i/>
          <w:iCs/>
        </w:rPr>
        <w:t xml:space="preserve"> </w:t>
      </w:r>
      <w:r>
        <w:rPr>
          <w:i/>
          <w:iCs/>
          <w:lang w:val="en-US"/>
        </w:rPr>
        <w:t>inflytande</w:t>
      </w:r>
      <w:r>
        <w:t>).  В этом законопроекте правительство выражает свое мнение о том, что парламент саами должен взять на себя функции, которые в настоящее время выполняют Губернский административный совет и Шведский совет по сельскому хозяйству и которые касаются в основном уклада жизни саами.  11 мая 2006 года риксдаг проголосовал за предложения, изложенные в законопроекте.  Согласно принятому решению бо</w:t>
      </w:r>
      <w:r>
        <w:rPr>
          <w:rFonts w:ascii="Tahoma" w:hAnsi="Tahoma" w:cs="Tahoma"/>
        </w:rPr>
        <w:t></w:t>
      </w:r>
      <w:r>
        <w:t>льшая часть функций, связанная с ведением оленеводства, перейдет от Губернского административного совета и Совета по сельскому хозяйству к парламенту саами, и с 1 января 2007 года парламент саами станет административным учреждением, ведающим вопросами оленеводства.</w:t>
      </w:r>
    </w:p>
    <w:p w:rsidR="00000000" w:rsidRDefault="00000000"/>
    <w:p w:rsidR="00000000" w:rsidRDefault="00000000">
      <w:r>
        <w:t>13.</w:t>
      </w:r>
      <w:r>
        <w:tab/>
        <w:t xml:space="preserve">Еще один аспект осуществляемых преобразований сводится к тому, что Швеция в кратчайшие по возможности сроки намеревается стать участником Конвенции МОТ № 169.  Правительство определило две области, в которых до будущей ратификации необходимо добиться прояснений в отношении прав саами и других народов на землю и воду (см. пункт 28 Заключительных замечаний Комитета). </w:t>
      </w:r>
    </w:p>
    <w:p w:rsidR="00000000" w:rsidRDefault="00000000"/>
    <w:p w:rsidR="00000000" w:rsidRDefault="00000000">
      <w:r>
        <w:t>14.</w:t>
      </w:r>
      <w:r>
        <w:tab/>
        <w:t xml:space="preserve">С этой целью в январе 2002 года правительство назначило комитет по вопросам границ, которому поручено изучить границы земель, на которых существуют права в отношении ведения оленеводства.  Комитет был также призван установить, в какой мере саами традиционно занимают и используют землю на общей основе с другими народами по смыслу статьи 14 Конвенции МОТ № 169.  Комитет представил свой доклад и рекомендации весной 2006 года, и доклад был передан на рассмотрение соответствующих органов.  </w:t>
      </w:r>
    </w:p>
    <w:p w:rsidR="00000000" w:rsidRDefault="00000000"/>
    <w:p w:rsidR="00000000" w:rsidRDefault="00000000">
      <w:r>
        <w:t>15.</w:t>
      </w:r>
      <w:r>
        <w:tab/>
        <w:t xml:space="preserve">В целях получения дополнительных прояснений до ратификации Конвенции МОТ правительство в апреле 2003 года назначило специальный комитет по обзору, задача которого заключалась в том, чтобы по возможности определить юридическую базу и объем прав на охоту и рыбный промысел, которыми обладают землевладельцы и деревенские жители саами на землях саами и в горных районах, предназначенных для выпаса оленей.  Доклад был представлен правительству в январе 2006 года и был передан на рассмотрение соответствующих органов.  По истечении периода рассмотрения соответствующими исследованиями и итоговыми рекомендациями будут заниматься правительственные ведомства. </w:t>
      </w:r>
    </w:p>
    <w:p w:rsidR="00000000" w:rsidRDefault="00000000"/>
    <w:p w:rsidR="00000000" w:rsidRDefault="00000000">
      <w:r>
        <w:t>16.</w:t>
      </w:r>
      <w:r>
        <w:tab/>
        <w:t xml:space="preserve">На общескандинавском уровне осуществляется проект, направленный на согласование вопроса о положении народа саами в Швеции, Норвегии и Финляндии.  Одним из результатов этих усилий является то, что министры саами и председатели парламентов саами в трех странах назначили комитет, которому было поручено подготовить проект североевропейской конвенции о народе саами.  В состав этого комитета вошли представители парламентов саами и национальных правительств трех стран.  Комитет представил указанный проект в ноябре 2005 года, а весной 2006 года соответствующий доклад был передан на рассмотрение соответствующих органов в трех странах.  Впоследствии скандинавские страны в отдельности и совместно будут осуществлять разработку проекта. </w:t>
      </w:r>
    </w:p>
    <w:p w:rsidR="00000000" w:rsidRDefault="00000000"/>
    <w:p w:rsidR="00000000" w:rsidRDefault="00000000">
      <w:pPr>
        <w:rPr>
          <w:b/>
          <w:bCs/>
        </w:rPr>
      </w:pPr>
      <w:r>
        <w:rPr>
          <w:b/>
          <w:bCs/>
        </w:rPr>
        <w:t>Статья 2</w:t>
      </w:r>
    </w:p>
    <w:p w:rsidR="00000000" w:rsidRDefault="00000000">
      <w:pPr>
        <w:rPr>
          <w:b/>
          <w:bCs/>
        </w:rPr>
      </w:pPr>
    </w:p>
    <w:p w:rsidR="00000000" w:rsidRDefault="00000000">
      <w:pPr>
        <w:rPr>
          <w:b/>
          <w:bCs/>
          <w:i/>
          <w:iCs/>
        </w:rPr>
      </w:pPr>
      <w:r>
        <w:rPr>
          <w:b/>
          <w:bCs/>
          <w:i/>
          <w:iCs/>
        </w:rPr>
        <w:t>Новый национальный план действий в области прав человека</w:t>
      </w:r>
    </w:p>
    <w:p w:rsidR="00000000" w:rsidRDefault="00000000">
      <w:pPr>
        <w:rPr>
          <w:b/>
          <w:bCs/>
          <w:i/>
          <w:iCs/>
        </w:rPr>
      </w:pPr>
    </w:p>
    <w:p w:rsidR="00000000" w:rsidRDefault="00000000">
      <w:r>
        <w:t>17.</w:t>
      </w:r>
      <w:r>
        <w:tab/>
        <w:t xml:space="preserve">В марте 2006 года правительство приняло решение, касающееся "Национального плана действий в области прав человека на 2006-2009 годы" (правительственное сообщение 2005/06:95).  Этот план действий, принятый риксдагом в мае 2006 года, является вторым национальным планом действий в области прав человека, разработанным правительством.  По итогам первого плана действий, принятого в 2002 году и охватывающего период 2002-2004 годов, были предприняты последующие меры и проведена оценка.  Меры, предусмотренные в первом плане действий, были, за отдельными исключениями, успешно осуществлены. </w:t>
      </w:r>
    </w:p>
    <w:p w:rsidR="00000000" w:rsidRDefault="00000000"/>
    <w:p w:rsidR="00000000" w:rsidRDefault="00000000">
      <w:r>
        <w:t>18.</w:t>
      </w:r>
      <w:r>
        <w:tab/>
        <w:t>В новом правительственном сообщении содержится план действий в области прав человека на период 2006-2009 годов (Часть I) и обзор положения в области прав человека в Швеции в 2005 году (Часть II).  Обзор призван пролить свет на любые недостатки, которые могут существовать в сфере защиты и поощрения прав человека в Швеции, и таким образом закладывает основу для плана действий.  В плане действий на базе обзора подробно излагаются меры, направленные на укрепление ряда прав.  В плане действий делается упор на защите от дискриминации и конкретно оговариваются некоторые меры, направленные на борьбу с дискриминацией по признакам пола, этнического происхождения, религии или других убеждений, инвалидности, сексуальной ориентации и в некоторой степени возраста.  Согласно рекомендациям соответствующих органов, включая Комитет по экономическим, социальным и культурным правам Организации Объединенных Наций (см. пункт 25 Заключительных замечаний) и учреждение, проводившее оценку первого плана действий, по сравнению с первым планом действий более пристальное внимание уделяется экономическим, социальным и культурным правам при включении отдельных разделов и мер, касающихся права на занятость, жилище, здоровье, образование, а также прав национальных меньшинств, в том числе коренного народа саами.  В контексте экономических и социальных прав был добавлен аспект недискриминации.</w:t>
      </w:r>
    </w:p>
    <w:p w:rsidR="00000000" w:rsidRDefault="00000000">
      <w:pPr>
        <w:rPr>
          <w:lang w:val="en-US"/>
        </w:rPr>
      </w:pPr>
    </w:p>
    <w:p w:rsidR="00000000" w:rsidRDefault="00000000">
      <w:r>
        <w:t>19.</w:t>
      </w:r>
      <w:r>
        <w:tab/>
        <w:t xml:space="preserve">К другим рассматриваемым вопросам относятся, в частности, права инвалидов, права детей, насилие мужчин в отношении женщин, включая насилие на почве оскорбленной чести, торговля людьми, вопросы законности и убежища и миграции.  Предусмотрены другие меры, направленные на расширение знаний и информированности о правах человека в рамках системы образования и в государственном секторе, а также среди широкой общественности.  И наконец, в плане действий затрагиваются вопросы, касающиеся организации правозащитной деятельности и методов работы, последующих мер и проведения оценки по итогам плана действий.  Применительно к методологии следует отметить, что правительство заявляет в плане действий о своем намерении приступить в 2006 году к осуществлению проекта, предполагающего установление национальных правозащитных целей и определение показателей для проведения последующих мер и оценки усилий, направленных на достижение поставленных целей.  </w:t>
      </w:r>
    </w:p>
    <w:p w:rsidR="00000000" w:rsidRDefault="00000000"/>
    <w:p w:rsidR="00000000" w:rsidRDefault="00000000">
      <w:r>
        <w:t>20.</w:t>
      </w:r>
      <w:r>
        <w:tab/>
        <w:t>Вопросы прав человека, охватываемые обзором и планом действий, были отобраны на основе большого объема материалов.  Эти материалы включают в себя в первую очередь комментарии и критические замечания органов по наблюдению за соблюдением договоров Организации Объединенных Наций и Совета Европы;  во</w:t>
      </w:r>
      <w:r>
        <w:noBreakHyphen/>
        <w:t>вторых, ценный материал был взят из замечаний по итогам оценки первого плана действий;  и в</w:t>
      </w:r>
      <w:r>
        <w:noBreakHyphen/>
        <w:t xml:space="preserve">третьих, для решения вопроса о том, что следует включать в обзор и план действий, были собраны мнения и предложения значительного числа социальных субъектов, в том числе политических партий, представленных в риксдаге, правительственных учреждений, муниципалитетов и губернских советов, высших учебных заведений и неправительственных организаций.  Национальный план действий в области прав человека будет переведен на английский язык.  </w:t>
      </w:r>
    </w:p>
    <w:p w:rsidR="00000000" w:rsidRDefault="00000000"/>
    <w:p w:rsidR="00000000" w:rsidRDefault="00000000">
      <w:pPr>
        <w:keepNext/>
        <w:rPr>
          <w:b/>
          <w:bCs/>
          <w:i/>
          <w:iCs/>
        </w:rPr>
      </w:pPr>
      <w:r>
        <w:rPr>
          <w:b/>
          <w:bCs/>
          <w:i/>
          <w:iCs/>
        </w:rPr>
        <w:t>Депутация по правам человека в Швеции (</w:t>
      </w:r>
      <w:proofErr w:type="spellStart"/>
      <w:r>
        <w:rPr>
          <w:b/>
          <w:bCs/>
          <w:i/>
          <w:iCs/>
          <w:lang w:val="en-US"/>
        </w:rPr>
        <w:t>ToR</w:t>
      </w:r>
      <w:proofErr w:type="spellEnd"/>
      <w:r>
        <w:rPr>
          <w:b/>
          <w:bCs/>
          <w:i/>
          <w:iCs/>
        </w:rPr>
        <w:t xml:space="preserve"> 2006:02)</w:t>
      </w:r>
    </w:p>
    <w:p w:rsidR="00000000" w:rsidRDefault="00000000">
      <w:pPr>
        <w:keepNext/>
        <w:rPr>
          <w:b/>
          <w:bCs/>
        </w:rPr>
      </w:pPr>
    </w:p>
    <w:p w:rsidR="00000000" w:rsidRDefault="00000000">
      <w:pPr>
        <w:keepNext/>
      </w:pPr>
      <w:r>
        <w:t>21.</w:t>
      </w:r>
      <w:r>
        <w:tab/>
        <w:t>В связи с представлением плана действий правительство учредило Депутацию для содействия решению долгосрочной задачи обеспечения полного уважения прав человека в Швеции на основе плана действий (</w:t>
      </w:r>
      <w:proofErr w:type="spellStart"/>
      <w:r>
        <w:rPr>
          <w:lang w:val="en-US"/>
        </w:rPr>
        <w:t>ToR</w:t>
      </w:r>
      <w:proofErr w:type="spellEnd"/>
      <w:r>
        <w:t xml:space="preserve"> 2006:27).  В рамках своего мандата Депутация:</w:t>
      </w:r>
    </w:p>
    <w:p w:rsidR="00000000" w:rsidRDefault="00000000"/>
    <w:p w:rsidR="00000000" w:rsidRDefault="00000000">
      <w:pPr>
        <w:ind w:left="1134" w:hanging="1134"/>
      </w:pPr>
      <w:r>
        <w:tab/>
        <w:t>-</w:t>
      </w:r>
      <w:r>
        <w:tab/>
        <w:t>оказывает правительственным учреждениям, муниципалитетам и губернским советам помощь в их работе по обеспечению полного уважения прав человека в областях их ведения;</w:t>
      </w:r>
    </w:p>
    <w:p w:rsidR="00000000" w:rsidRDefault="00000000">
      <w:pPr>
        <w:ind w:left="1134" w:hanging="1134"/>
      </w:pPr>
    </w:p>
    <w:p w:rsidR="00000000" w:rsidRDefault="00000000">
      <w:pPr>
        <w:ind w:left="1134" w:hanging="1134"/>
      </w:pPr>
      <w:r>
        <w:tab/>
        <w:t>-</w:t>
      </w:r>
      <w:r>
        <w:tab/>
        <w:t xml:space="preserve">разрабатывает и осуществляет стратегии, направленные на расширение информированности и осведомленности о правах человека среди конкретных целевых групп общества;  </w:t>
      </w:r>
    </w:p>
    <w:p w:rsidR="00000000" w:rsidRDefault="00000000">
      <w:pPr>
        <w:ind w:left="1134" w:hanging="1134"/>
      </w:pPr>
    </w:p>
    <w:p w:rsidR="00000000" w:rsidRDefault="00000000">
      <w:pPr>
        <w:ind w:left="1134" w:hanging="1134"/>
      </w:pPr>
      <w:r>
        <w:tab/>
        <w:t>-</w:t>
      </w:r>
      <w:r>
        <w:tab/>
        <w:t>стимулирует проведение публичных дискуссий по правам человека;  и</w:t>
      </w:r>
    </w:p>
    <w:p w:rsidR="00000000" w:rsidRDefault="00000000">
      <w:pPr>
        <w:ind w:left="1134" w:hanging="1134"/>
      </w:pPr>
    </w:p>
    <w:p w:rsidR="00000000" w:rsidRDefault="00000000">
      <w:pPr>
        <w:ind w:left="1134" w:hanging="1134"/>
      </w:pPr>
      <w:r>
        <w:tab/>
        <w:t>-</w:t>
      </w:r>
      <w:r>
        <w:tab/>
        <w:t>подготавливает предложения о том, каким образом содействовать решению задачи обеспечения полного уважения прав человека в Швеции после выполнения Депутацией своей миссии.</w:t>
      </w:r>
    </w:p>
    <w:p w:rsidR="00000000" w:rsidRDefault="00000000">
      <w:pPr>
        <w:ind w:left="1134" w:hanging="1134"/>
      </w:pPr>
    </w:p>
    <w:p w:rsidR="00000000" w:rsidRDefault="00000000">
      <w:r>
        <w:t>22.</w:t>
      </w:r>
      <w:r>
        <w:tab/>
        <w:t xml:space="preserve">В состав Депутации входят председатель и 10 представителей, обладающих экспертными знаниями в области прав человека.  В рамках Депутации должна существовать справочно-информационная группа в составе представителей НПО.  Депутация также имеет секретариат с тремя секретарями, работающими полный рабочий день.  Депутация должна представить свой окончательный доклад правительству к 31 марта 2010 года.  </w:t>
      </w:r>
    </w:p>
    <w:p w:rsidR="00000000" w:rsidRDefault="00000000"/>
    <w:p w:rsidR="00000000" w:rsidRDefault="00000000">
      <w:pPr>
        <w:rPr>
          <w:b/>
          <w:bCs/>
          <w:i/>
          <w:iCs/>
        </w:rPr>
      </w:pPr>
      <w:r>
        <w:rPr>
          <w:b/>
          <w:bCs/>
          <w:i/>
          <w:iCs/>
        </w:rPr>
        <w:t xml:space="preserve">Правозащитный </w:t>
      </w:r>
      <w:proofErr w:type="spellStart"/>
      <w:r>
        <w:rPr>
          <w:b/>
          <w:bCs/>
          <w:i/>
          <w:iCs/>
        </w:rPr>
        <w:t>вебсайт</w:t>
      </w:r>
      <w:proofErr w:type="spellEnd"/>
      <w:r>
        <w:rPr>
          <w:b/>
          <w:bCs/>
          <w:i/>
          <w:iCs/>
        </w:rPr>
        <w:t xml:space="preserve"> шведского правительства</w:t>
      </w:r>
    </w:p>
    <w:p w:rsidR="00000000" w:rsidRDefault="00000000">
      <w:pPr>
        <w:rPr>
          <w:b/>
          <w:bCs/>
          <w:i/>
          <w:iCs/>
        </w:rPr>
      </w:pPr>
    </w:p>
    <w:p w:rsidR="00000000" w:rsidRDefault="00000000">
      <w:r>
        <w:t>23.</w:t>
      </w:r>
      <w:r>
        <w:tab/>
        <w:t xml:space="preserve">Правозащитный </w:t>
      </w:r>
      <w:proofErr w:type="spellStart"/>
      <w:r>
        <w:t>вебсайт</w:t>
      </w:r>
      <w:proofErr w:type="spellEnd"/>
      <w:r>
        <w:t xml:space="preserve"> правительства (</w:t>
      </w:r>
      <w:hyperlink r:id="rId9" w:history="1">
        <w:r>
          <w:rPr>
            <w:rStyle w:val="Hyperlink"/>
            <w:lang w:val="en-US"/>
          </w:rPr>
          <w:t>www</w:t>
        </w:r>
        <w:r>
          <w:rPr>
            <w:rStyle w:val="Hyperlink"/>
          </w:rPr>
          <w:t>.</w:t>
        </w:r>
        <w:r>
          <w:rPr>
            <w:rStyle w:val="Hyperlink"/>
            <w:lang w:val="en-US"/>
          </w:rPr>
          <w:t>manskligarattigheter</w:t>
        </w:r>
        <w:r>
          <w:rPr>
            <w:rStyle w:val="Hyperlink"/>
          </w:rPr>
          <w:t>.</w:t>
        </w:r>
        <w:r>
          <w:rPr>
            <w:rStyle w:val="Hyperlink"/>
            <w:lang w:val="en-US"/>
          </w:rPr>
          <w:t>se</w:t>
        </w:r>
        <w:r>
          <w:rPr>
            <w:rStyle w:val="Hyperlink"/>
          </w:rPr>
          <w:t>/</w:t>
        </w:r>
        <w:r>
          <w:rPr>
            <w:rStyle w:val="Hyperlink"/>
          </w:rPr>
          <w:br/>
        </w:r>
        <w:r>
          <w:rPr>
            <w:rStyle w:val="Hyperlink"/>
            <w:lang w:val="en-US"/>
          </w:rPr>
          <w:t>www</w:t>
        </w:r>
        <w:r>
          <w:rPr>
            <w:rStyle w:val="Hyperlink"/>
          </w:rPr>
          <w:t>.</w:t>
        </w:r>
        <w:r>
          <w:rPr>
            <w:rStyle w:val="Hyperlink"/>
            <w:lang w:val="en-US"/>
          </w:rPr>
          <w:t>humanrights</w:t>
        </w:r>
        <w:r>
          <w:rPr>
            <w:rStyle w:val="Hyperlink"/>
          </w:rPr>
          <w:t>.</w:t>
        </w:r>
        <w:r>
          <w:rPr>
            <w:rStyle w:val="Hyperlink"/>
            <w:lang w:val="en-US"/>
          </w:rPr>
          <w:t>gov</w:t>
        </w:r>
        <w:r>
          <w:rPr>
            <w:rStyle w:val="Hyperlink"/>
          </w:rPr>
          <w:t>.</w:t>
        </w:r>
        <w:r>
          <w:rPr>
            <w:rStyle w:val="Hyperlink"/>
            <w:lang w:val="en-US"/>
          </w:rPr>
          <w:t>se</w:t>
        </w:r>
      </w:hyperlink>
      <w:r>
        <w:t xml:space="preserve">) был создан в 2002 году в контексте осуществления первого плана действий.  Информация, размещенная на </w:t>
      </w:r>
      <w:proofErr w:type="spellStart"/>
      <w:r>
        <w:t>вебсайте</w:t>
      </w:r>
      <w:proofErr w:type="spellEnd"/>
      <w:r>
        <w:t xml:space="preserve">, включает в себя основные правозащитные конвенции, переведенные на шведский язык, и другие важные документы, в том числе доклады Швеции органам по наблюдению за соблюдением договоров Организации Объединенных Наций и Совету Европы, также на шведском языке.  В 2006 году был начат проект, направленный на дальнейшую адаптацию </w:t>
      </w:r>
      <w:proofErr w:type="spellStart"/>
      <w:r>
        <w:t>вебсайта</w:t>
      </w:r>
      <w:proofErr w:type="spellEnd"/>
      <w:r>
        <w:t xml:space="preserve"> в интересах инвалидов и перевод отдельных разделов на языки меньшинств, на которых говорят в Швеции.  </w:t>
      </w:r>
    </w:p>
    <w:p w:rsidR="00000000" w:rsidRDefault="00000000"/>
    <w:p w:rsidR="00000000" w:rsidRDefault="00000000">
      <w:pPr>
        <w:rPr>
          <w:b/>
          <w:bCs/>
          <w:i/>
          <w:iCs/>
        </w:rPr>
      </w:pPr>
      <w:r>
        <w:rPr>
          <w:b/>
          <w:bCs/>
          <w:i/>
          <w:iCs/>
        </w:rPr>
        <w:t>Парламентский комитет по вопросам дискриминации</w:t>
      </w:r>
    </w:p>
    <w:p w:rsidR="00000000" w:rsidRDefault="00000000">
      <w:pPr>
        <w:rPr>
          <w:b/>
          <w:bCs/>
          <w:i/>
          <w:iCs/>
        </w:rPr>
      </w:pPr>
    </w:p>
    <w:p w:rsidR="00000000" w:rsidRDefault="00000000">
      <w:r>
        <w:t>24.</w:t>
      </w:r>
      <w:r>
        <w:tab/>
        <w:t>В январе 2002 года правительство постановило назначить парламентский комитет по вопросам дискриминации с задачами, включающими в себя проведение обзора сводных законов о дискриминации, т.е. законодательства, охватывающего всю совокупность или подавляющее большинство признаков дискриминации и сфер общественной жизни.  Комитет по вопросам дискриминации представил окончательный отчет о выполнении своего мандата в феврале 2006 года, подготовив доклад по поводу сводного законодательства о дискриминации (</w:t>
      </w:r>
      <w:r>
        <w:rPr>
          <w:i/>
          <w:iCs/>
          <w:lang w:val="en-US"/>
        </w:rPr>
        <w:t>En</w:t>
      </w:r>
      <w:r>
        <w:rPr>
          <w:i/>
          <w:iCs/>
        </w:rPr>
        <w:t xml:space="preserve"> </w:t>
      </w:r>
      <w:proofErr w:type="spellStart"/>
      <w:r>
        <w:rPr>
          <w:i/>
          <w:iCs/>
          <w:lang w:val="en-US"/>
        </w:rPr>
        <w:t>sammanh</w:t>
      </w:r>
      <w:r>
        <w:rPr>
          <w:i/>
          <w:iCs/>
        </w:rPr>
        <w:t>å</w:t>
      </w:r>
      <w:r>
        <w:rPr>
          <w:i/>
          <w:iCs/>
          <w:lang w:val="en-US"/>
        </w:rPr>
        <w:t>llen</w:t>
      </w:r>
      <w:proofErr w:type="spellEnd"/>
      <w:r>
        <w:rPr>
          <w:i/>
          <w:iCs/>
        </w:rPr>
        <w:t xml:space="preserve"> </w:t>
      </w:r>
      <w:proofErr w:type="spellStart"/>
      <w:r>
        <w:rPr>
          <w:i/>
          <w:iCs/>
          <w:lang w:val="en-US"/>
        </w:rPr>
        <w:t>diskrimineringslagstiftning</w:t>
      </w:r>
      <w:proofErr w:type="spellEnd"/>
      <w:r>
        <w:rPr>
          <w:i/>
          <w:iCs/>
        </w:rPr>
        <w:t xml:space="preserve"> </w:t>
      </w:r>
      <w:r>
        <w:rPr>
          <w:i/>
          <w:iCs/>
          <w:lang w:val="en-US"/>
        </w:rPr>
        <w:t>del</w:t>
      </w:r>
      <w:r>
        <w:rPr>
          <w:i/>
          <w:iCs/>
        </w:rPr>
        <w:t xml:space="preserve"> </w:t>
      </w:r>
      <w:r>
        <w:rPr>
          <w:i/>
          <w:iCs/>
          <w:lang w:val="en-US"/>
        </w:rPr>
        <w:t>I</w:t>
      </w:r>
      <w:r>
        <w:rPr>
          <w:i/>
          <w:iCs/>
        </w:rPr>
        <w:t xml:space="preserve"> </w:t>
      </w:r>
      <w:proofErr w:type="spellStart"/>
      <w:r>
        <w:rPr>
          <w:i/>
          <w:iCs/>
          <w:lang w:val="en-US"/>
        </w:rPr>
        <w:t>och</w:t>
      </w:r>
      <w:proofErr w:type="spellEnd"/>
      <w:r>
        <w:rPr>
          <w:i/>
          <w:iCs/>
        </w:rPr>
        <w:t xml:space="preserve"> </w:t>
      </w:r>
      <w:r>
        <w:rPr>
          <w:i/>
          <w:iCs/>
          <w:lang w:val="en-US"/>
        </w:rPr>
        <w:t>II</w:t>
      </w:r>
      <w:r>
        <w:rPr>
          <w:i/>
          <w:iCs/>
        </w:rPr>
        <w:t xml:space="preserve"> (</w:t>
      </w:r>
      <w:proofErr w:type="spellStart"/>
      <w:r>
        <w:rPr>
          <w:i/>
          <w:iCs/>
          <w:lang w:val="en-US"/>
        </w:rPr>
        <w:t>SOU</w:t>
      </w:r>
      <w:proofErr w:type="spellEnd"/>
      <w:r>
        <w:rPr>
          <w:i/>
          <w:iCs/>
        </w:rPr>
        <w:t xml:space="preserve"> 2006:22)</w:t>
      </w:r>
      <w:r>
        <w:t xml:space="preserve">).  Изложенные в докладе рекомендации предусматривают, в частности, отмену ныне действующих законов, запрещающих дискриминацию (Закона о </w:t>
      </w:r>
      <w:proofErr w:type="spellStart"/>
      <w:r>
        <w:t>гендерном</w:t>
      </w:r>
      <w:proofErr w:type="spellEnd"/>
      <w:r>
        <w:t xml:space="preserve"> равенстве, законов о труде 1999</w:t>
      </w:r>
      <w:r>
        <w:rPr>
          <w:lang w:val="en-US"/>
        </w:rPr>
        <w:t> </w:t>
      </w:r>
      <w:r>
        <w:t xml:space="preserve">года, касающихся дискриминации, Закона о равном обращении с учащимися в университетах, Закона о запрещении дискриминации, Закона о запрещении дискриминации и другого унижающего достоинство обращения по отношению к детям и школьникам), с целью их замены новым законодательным актом, запрещающим дискриминацию.  Комитет также рекомендовал объединить четыре ныне существующих института </w:t>
      </w:r>
      <w:proofErr w:type="spellStart"/>
      <w:r>
        <w:t>омбудсменов</w:t>
      </w:r>
      <w:proofErr w:type="spellEnd"/>
      <w:r>
        <w:t xml:space="preserve"> по вопросам дискриминации - </w:t>
      </w:r>
      <w:proofErr w:type="spellStart"/>
      <w:r>
        <w:t>Омбудсмена</w:t>
      </w:r>
      <w:proofErr w:type="spellEnd"/>
      <w:r>
        <w:t xml:space="preserve"> по борьбе против этнической дискриминации (</w:t>
      </w:r>
      <w:r>
        <w:rPr>
          <w:lang w:val="en-US"/>
        </w:rPr>
        <w:t>DO</w:t>
      </w:r>
      <w:r>
        <w:t xml:space="preserve">), </w:t>
      </w:r>
      <w:proofErr w:type="spellStart"/>
      <w:r>
        <w:t>Омбудсмена</w:t>
      </w:r>
      <w:proofErr w:type="spellEnd"/>
      <w:r>
        <w:t xml:space="preserve"> по вопросам инвалидности (</w:t>
      </w:r>
      <w:r>
        <w:rPr>
          <w:lang w:val="en-US"/>
        </w:rPr>
        <w:t>HO</w:t>
      </w:r>
      <w:r>
        <w:t xml:space="preserve">), </w:t>
      </w:r>
      <w:proofErr w:type="spellStart"/>
      <w:r>
        <w:t>Омбудсмена</w:t>
      </w:r>
      <w:proofErr w:type="spellEnd"/>
      <w:r>
        <w:t xml:space="preserve"> по борьбе против дискриминации по признакам сексуальной ориентации (</w:t>
      </w:r>
      <w:proofErr w:type="spellStart"/>
      <w:r>
        <w:rPr>
          <w:lang w:val="en-US"/>
        </w:rPr>
        <w:t>HomO</w:t>
      </w:r>
      <w:proofErr w:type="spellEnd"/>
      <w:r>
        <w:t xml:space="preserve">) и </w:t>
      </w:r>
      <w:proofErr w:type="spellStart"/>
      <w:r>
        <w:t>Омбудсмена</w:t>
      </w:r>
      <w:proofErr w:type="spellEnd"/>
      <w:r>
        <w:t xml:space="preserve"> по вопросу равных возможностей (</w:t>
      </w:r>
      <w:r>
        <w:rPr>
          <w:lang w:val="en-US"/>
        </w:rPr>
        <w:t>J</w:t>
      </w:r>
      <w:proofErr w:type="spellStart"/>
      <w:r>
        <w:t>ä</w:t>
      </w:r>
      <w:r>
        <w:rPr>
          <w:lang w:val="en-US"/>
        </w:rPr>
        <w:t>mO</w:t>
      </w:r>
      <w:proofErr w:type="spellEnd"/>
      <w:r>
        <w:t xml:space="preserve">) - в рамках одного правительственного учреждения, а именно Управления </w:t>
      </w:r>
      <w:proofErr w:type="spellStart"/>
      <w:r>
        <w:t>Омбудсмена</w:t>
      </w:r>
      <w:proofErr w:type="spellEnd"/>
      <w:r>
        <w:t xml:space="preserve"> по вопросам дискриминации.  (См. пункт 26 </w:t>
      </w:r>
      <w:r>
        <w:rPr>
          <w:i/>
          <w:iCs/>
        </w:rPr>
        <w:t>Заключительных замечаний</w:t>
      </w:r>
      <w:r>
        <w:t>.)</w:t>
      </w:r>
    </w:p>
    <w:p w:rsidR="00000000" w:rsidRDefault="00000000"/>
    <w:p w:rsidR="00000000" w:rsidRDefault="00000000">
      <w:r>
        <w:t>25.</w:t>
      </w:r>
      <w:r>
        <w:tab/>
        <w:t xml:space="preserve">Новый </w:t>
      </w:r>
      <w:proofErr w:type="spellStart"/>
      <w:r>
        <w:t>омбудсмен</w:t>
      </w:r>
      <w:proofErr w:type="spellEnd"/>
      <w:r>
        <w:t xml:space="preserve"> будет осуществлять надзор в сфере борьбы с дискриминацией в соответствии с новым законом.  Предполагается, что по состоянию на сегодняшний день новый закон должен распространяться на сферу занятости, часть учреждений системы образования, программы, связанные с проведением политики на рынке труда, процесс создания или обеспечения функционирования предприятий, осуществление той или иной профессии, членство и т.д. в организациях нанимателей, в профсоюзах и аналогичных организациях, предоставление товаров, услуг и жилья, деятельность социальных служб, систему социального страхования, страхование по безработице, здравоохранение и финансовую помощь учащимся со стороны государства.  Кроме того, предполагалось также распространить сферу действия закона на новые социальные сектора:</w:t>
      </w:r>
    </w:p>
    <w:p w:rsidR="00000000" w:rsidRDefault="00000000"/>
    <w:p w:rsidR="00000000" w:rsidRDefault="00000000">
      <w:pPr>
        <w:ind w:left="1134" w:hanging="1134"/>
      </w:pPr>
      <w:r>
        <w:tab/>
        <w:t>-</w:t>
      </w:r>
      <w:r>
        <w:tab/>
        <w:t>всю систему образования;</w:t>
      </w:r>
    </w:p>
    <w:p w:rsidR="00000000" w:rsidRDefault="00000000">
      <w:pPr>
        <w:ind w:left="1134" w:hanging="1134"/>
      </w:pPr>
      <w:r>
        <w:tab/>
        <w:t>-</w:t>
      </w:r>
      <w:r>
        <w:tab/>
        <w:t>публичные митинги и культурно-массовые мероприятия;</w:t>
      </w:r>
    </w:p>
    <w:p w:rsidR="00000000" w:rsidRDefault="00000000">
      <w:pPr>
        <w:ind w:left="1134" w:hanging="1134"/>
      </w:pPr>
      <w:r>
        <w:tab/>
        <w:t>-</w:t>
      </w:r>
      <w:r>
        <w:tab/>
        <w:t>обязательную военную службу и гражданскую оборону;</w:t>
      </w:r>
    </w:p>
    <w:p w:rsidR="00000000" w:rsidRDefault="00000000">
      <w:pPr>
        <w:ind w:left="1134" w:hanging="1134"/>
      </w:pPr>
      <w:r>
        <w:tab/>
        <w:t>-</w:t>
      </w:r>
      <w:r>
        <w:tab/>
        <w:t>занятость в государственном секторе или комиссии государственного сектора.</w:t>
      </w:r>
    </w:p>
    <w:p w:rsidR="00000000" w:rsidRDefault="00000000">
      <w:pPr>
        <w:ind w:left="1134" w:hanging="1134"/>
      </w:pPr>
    </w:p>
    <w:p w:rsidR="00000000" w:rsidRDefault="00000000">
      <w:r>
        <w:t>26.</w:t>
      </w:r>
      <w:r>
        <w:tab/>
        <w:t xml:space="preserve">В дополнение к этому предложено ввести запрет на дискриминацию со стороны частных лиц при предоставлении ими товаров, услуг или жилья населению и при необходимости обеспечить соответствующую правовую защиту компаний, ассоциаций и других юридических лиц в данной области.  Согласно ныне действующим </w:t>
      </w:r>
      <w:proofErr w:type="spellStart"/>
      <w:r>
        <w:t>антидискриминационным</w:t>
      </w:r>
      <w:proofErr w:type="spellEnd"/>
      <w:r>
        <w:t xml:space="preserve"> законам, защита от дискриминации обеспечивается только физическим лицам.  Правительство намерено подготовить предложения с целью введения нового закона в силу к 2008 году.  </w:t>
      </w:r>
    </w:p>
    <w:p w:rsidR="00000000" w:rsidRDefault="00000000"/>
    <w:p w:rsidR="00000000" w:rsidRDefault="00000000">
      <w:pPr>
        <w:rPr>
          <w:szCs w:val="24"/>
        </w:rPr>
      </w:pPr>
      <w:r>
        <w:t>27.</w:t>
      </w:r>
      <w:r>
        <w:tab/>
        <w:t xml:space="preserve">По мнению правительства, государственные средства не должны выделяться на деятельность, предпринимаемую в нарушение прав человека.  В целях предотвращения этого в сфере государственных закупок должны применяться антидискриминационные оговорки, и с этой целью принят ряд мер.  В ответ на просьбу правительства Национальный совет по государственным закупкам </w:t>
      </w:r>
      <w:r>
        <w:rPr>
          <w:szCs w:val="24"/>
        </w:rPr>
        <w:t>(</w:t>
      </w:r>
      <w:proofErr w:type="spellStart"/>
      <w:r>
        <w:rPr>
          <w:szCs w:val="24"/>
          <w:lang w:val="en-GB"/>
        </w:rPr>
        <w:t>NOU</w:t>
      </w:r>
      <w:proofErr w:type="spellEnd"/>
      <w:r>
        <w:rPr>
          <w:szCs w:val="24"/>
        </w:rPr>
        <w:t xml:space="preserve">) разработал типовые </w:t>
      </w:r>
      <w:proofErr w:type="spellStart"/>
      <w:r>
        <w:rPr>
          <w:szCs w:val="24"/>
        </w:rPr>
        <w:t>антидискриминационные</w:t>
      </w:r>
      <w:proofErr w:type="spellEnd"/>
      <w:r>
        <w:rPr>
          <w:szCs w:val="24"/>
        </w:rPr>
        <w:t xml:space="preserve"> оговорки.  Впоследствии правительство уполномочило </w:t>
      </w:r>
      <w:proofErr w:type="spellStart"/>
      <w:r>
        <w:rPr>
          <w:szCs w:val="24"/>
          <w:lang w:val="en-GB"/>
        </w:rPr>
        <w:t>NOU</w:t>
      </w:r>
      <w:proofErr w:type="spellEnd"/>
      <w:r>
        <w:rPr>
          <w:szCs w:val="24"/>
        </w:rPr>
        <w:t xml:space="preserve"> провести информационную кампанию, имеющую целью оказание организациям содействия в осуществлении ими на постоянной основе соответствующей работы в области закупок.  В этой связи </w:t>
      </w:r>
      <w:proofErr w:type="spellStart"/>
      <w:r>
        <w:rPr>
          <w:szCs w:val="24"/>
          <w:lang w:val="en-GB"/>
        </w:rPr>
        <w:t>NOU</w:t>
      </w:r>
      <w:proofErr w:type="spellEnd"/>
      <w:r>
        <w:rPr>
          <w:szCs w:val="24"/>
        </w:rPr>
        <w:t xml:space="preserve"> подготовил информационную брошюру, посвященную использованию </w:t>
      </w:r>
      <w:proofErr w:type="spellStart"/>
      <w:r>
        <w:rPr>
          <w:szCs w:val="24"/>
        </w:rPr>
        <w:t>антидискриминационных</w:t>
      </w:r>
      <w:proofErr w:type="spellEnd"/>
      <w:r>
        <w:rPr>
          <w:szCs w:val="24"/>
        </w:rPr>
        <w:t xml:space="preserve"> оговорок, и организовал конференцию, на которой были рассмотрены смежные вопросы.  Правительство также издало Указ об </w:t>
      </w:r>
      <w:proofErr w:type="spellStart"/>
      <w:r>
        <w:rPr>
          <w:szCs w:val="24"/>
        </w:rPr>
        <w:t>антидискриминационных</w:t>
      </w:r>
      <w:proofErr w:type="spellEnd"/>
      <w:r>
        <w:rPr>
          <w:szCs w:val="24"/>
        </w:rPr>
        <w:t xml:space="preserve"> условиях в закупочных контрактах (</w:t>
      </w:r>
      <w:r>
        <w:rPr>
          <w:i/>
          <w:szCs w:val="24"/>
          <w:lang w:val="en-GB"/>
        </w:rPr>
        <w:t>F</w:t>
      </w:r>
      <w:proofErr w:type="spellStart"/>
      <w:r>
        <w:rPr>
          <w:i/>
          <w:szCs w:val="24"/>
        </w:rPr>
        <w:t>ö</w:t>
      </w:r>
      <w:r>
        <w:rPr>
          <w:i/>
          <w:szCs w:val="24"/>
          <w:lang w:val="en-GB"/>
        </w:rPr>
        <w:t>rordning</w:t>
      </w:r>
      <w:proofErr w:type="spellEnd"/>
      <w:r>
        <w:rPr>
          <w:i/>
          <w:szCs w:val="24"/>
        </w:rPr>
        <w:t xml:space="preserve">  (2006:260) </w:t>
      </w:r>
      <w:proofErr w:type="spellStart"/>
      <w:r>
        <w:rPr>
          <w:i/>
          <w:szCs w:val="24"/>
          <w:lang w:val="en-GB"/>
        </w:rPr>
        <w:t>om</w:t>
      </w:r>
      <w:proofErr w:type="spellEnd"/>
      <w:r>
        <w:rPr>
          <w:i/>
          <w:szCs w:val="24"/>
        </w:rPr>
        <w:t xml:space="preserve"> </w:t>
      </w:r>
      <w:proofErr w:type="spellStart"/>
      <w:r>
        <w:rPr>
          <w:i/>
          <w:szCs w:val="24"/>
          <w:lang w:val="en-GB"/>
        </w:rPr>
        <w:t>antidiskrimineringsvillkor</w:t>
      </w:r>
      <w:proofErr w:type="spellEnd"/>
      <w:r>
        <w:rPr>
          <w:i/>
          <w:szCs w:val="24"/>
        </w:rPr>
        <w:t xml:space="preserve"> </w:t>
      </w:r>
      <w:proofErr w:type="spellStart"/>
      <w:r>
        <w:rPr>
          <w:i/>
          <w:szCs w:val="24"/>
          <w:lang w:val="en-GB"/>
        </w:rPr>
        <w:t>i</w:t>
      </w:r>
      <w:proofErr w:type="spellEnd"/>
      <w:r>
        <w:rPr>
          <w:i/>
          <w:szCs w:val="24"/>
        </w:rPr>
        <w:t xml:space="preserve"> </w:t>
      </w:r>
      <w:proofErr w:type="spellStart"/>
      <w:r>
        <w:rPr>
          <w:i/>
          <w:szCs w:val="24"/>
          <w:lang w:val="en-GB"/>
        </w:rPr>
        <w:t>upphandlingskontrakt</w:t>
      </w:r>
      <w:proofErr w:type="spellEnd"/>
      <w:r>
        <w:rPr>
          <w:szCs w:val="24"/>
        </w:rPr>
        <w:t xml:space="preserve">), который вступил в силу 1 июня 2006 года.  Указ требует, чтобы некоторые крупнейшие правительственные учреждения интегрировали условия, касающиеся </w:t>
      </w:r>
      <w:proofErr w:type="spellStart"/>
      <w:r>
        <w:rPr>
          <w:szCs w:val="24"/>
        </w:rPr>
        <w:t>недискриминации</w:t>
      </w:r>
      <w:proofErr w:type="spellEnd"/>
      <w:r>
        <w:rPr>
          <w:szCs w:val="24"/>
        </w:rPr>
        <w:t xml:space="preserve">, в свои закупочные операции.  </w:t>
      </w:r>
      <w:proofErr w:type="spellStart"/>
      <w:r>
        <w:rPr>
          <w:szCs w:val="24"/>
          <w:lang w:val="en-GB"/>
        </w:rPr>
        <w:t>NOU</w:t>
      </w:r>
      <w:proofErr w:type="spellEnd"/>
      <w:r>
        <w:rPr>
          <w:szCs w:val="24"/>
        </w:rPr>
        <w:t xml:space="preserve"> было поручено разработать инструкции в отношении применения последующего контроля за осуществлением Указа.</w:t>
      </w:r>
    </w:p>
    <w:p w:rsidR="00000000" w:rsidRDefault="00000000">
      <w:pPr>
        <w:rPr>
          <w:szCs w:val="24"/>
        </w:rPr>
      </w:pPr>
    </w:p>
    <w:p w:rsidR="00000000" w:rsidRDefault="00000000">
      <w:pPr>
        <w:rPr>
          <w:szCs w:val="24"/>
        </w:rPr>
      </w:pPr>
      <w:r>
        <w:rPr>
          <w:szCs w:val="24"/>
        </w:rPr>
        <w:t>28.</w:t>
      </w:r>
      <w:r>
        <w:rPr>
          <w:szCs w:val="24"/>
        </w:rPr>
        <w:tab/>
        <w:t>Согласно Указу о государственных субсидиях на деятельность по предотвращению и борьбе против дискриминации (</w:t>
      </w:r>
      <w:r>
        <w:rPr>
          <w:i/>
          <w:szCs w:val="24"/>
          <w:lang w:val="en-GB"/>
        </w:rPr>
        <w:t>F</w:t>
      </w:r>
      <w:proofErr w:type="spellStart"/>
      <w:r>
        <w:rPr>
          <w:i/>
          <w:szCs w:val="24"/>
        </w:rPr>
        <w:t>ö</w:t>
      </w:r>
      <w:r>
        <w:rPr>
          <w:i/>
          <w:szCs w:val="24"/>
          <w:lang w:val="en-GB"/>
        </w:rPr>
        <w:t>rordningen</w:t>
      </w:r>
      <w:proofErr w:type="spellEnd"/>
      <w:r>
        <w:rPr>
          <w:i/>
          <w:szCs w:val="24"/>
        </w:rPr>
        <w:t xml:space="preserve"> (2002:989) </w:t>
      </w:r>
      <w:proofErr w:type="spellStart"/>
      <w:r>
        <w:rPr>
          <w:i/>
          <w:szCs w:val="24"/>
          <w:lang w:val="en-GB"/>
        </w:rPr>
        <w:t>om</w:t>
      </w:r>
      <w:proofErr w:type="spellEnd"/>
      <w:r>
        <w:rPr>
          <w:i/>
          <w:szCs w:val="24"/>
        </w:rPr>
        <w:t xml:space="preserve"> </w:t>
      </w:r>
      <w:proofErr w:type="spellStart"/>
      <w:r>
        <w:rPr>
          <w:i/>
          <w:szCs w:val="24"/>
          <w:lang w:val="en-GB"/>
        </w:rPr>
        <w:t>statligt</w:t>
      </w:r>
      <w:proofErr w:type="spellEnd"/>
      <w:r>
        <w:rPr>
          <w:i/>
          <w:szCs w:val="24"/>
        </w:rPr>
        <w:t xml:space="preserve"> </w:t>
      </w:r>
      <w:proofErr w:type="spellStart"/>
      <w:r>
        <w:rPr>
          <w:i/>
          <w:szCs w:val="24"/>
          <w:lang w:val="en-GB"/>
        </w:rPr>
        <w:t>st</w:t>
      </w:r>
      <w:r>
        <w:rPr>
          <w:i/>
          <w:szCs w:val="24"/>
        </w:rPr>
        <w:t>ö</w:t>
      </w:r>
      <w:proofErr w:type="spellEnd"/>
      <w:r>
        <w:rPr>
          <w:i/>
          <w:szCs w:val="24"/>
          <w:lang w:val="en-GB"/>
        </w:rPr>
        <w:t>d</w:t>
      </w:r>
      <w:r>
        <w:rPr>
          <w:i/>
          <w:szCs w:val="24"/>
        </w:rPr>
        <w:t xml:space="preserve"> </w:t>
      </w:r>
      <w:r>
        <w:rPr>
          <w:i/>
          <w:szCs w:val="24"/>
          <w:lang w:val="en-GB"/>
        </w:rPr>
        <w:t>f</w:t>
      </w:r>
      <w:proofErr w:type="spellStart"/>
      <w:r>
        <w:rPr>
          <w:i/>
          <w:szCs w:val="24"/>
        </w:rPr>
        <w:t>ö</w:t>
      </w:r>
      <w:proofErr w:type="spellEnd"/>
      <w:r>
        <w:rPr>
          <w:i/>
          <w:szCs w:val="24"/>
          <w:lang w:val="en-GB"/>
        </w:rPr>
        <w:t>r</w:t>
      </w:r>
      <w:r>
        <w:rPr>
          <w:i/>
          <w:szCs w:val="24"/>
        </w:rPr>
        <w:t xml:space="preserve"> </w:t>
      </w:r>
      <w:proofErr w:type="spellStart"/>
      <w:r>
        <w:rPr>
          <w:i/>
          <w:szCs w:val="24"/>
          <w:lang w:val="en-GB"/>
        </w:rPr>
        <w:t>verksamhet</w:t>
      </w:r>
      <w:proofErr w:type="spellEnd"/>
      <w:r>
        <w:rPr>
          <w:i/>
          <w:szCs w:val="24"/>
        </w:rPr>
        <w:t xml:space="preserve"> </w:t>
      </w:r>
      <w:proofErr w:type="spellStart"/>
      <w:r>
        <w:rPr>
          <w:i/>
          <w:szCs w:val="24"/>
          <w:lang w:val="en-GB"/>
        </w:rPr>
        <w:t>som</w:t>
      </w:r>
      <w:proofErr w:type="spellEnd"/>
      <w:r>
        <w:rPr>
          <w:i/>
          <w:szCs w:val="24"/>
        </w:rPr>
        <w:t xml:space="preserve"> </w:t>
      </w:r>
      <w:r>
        <w:rPr>
          <w:i/>
          <w:szCs w:val="24"/>
          <w:lang w:val="en-GB"/>
        </w:rPr>
        <w:t>f</w:t>
      </w:r>
      <w:proofErr w:type="spellStart"/>
      <w:r>
        <w:rPr>
          <w:i/>
          <w:szCs w:val="24"/>
        </w:rPr>
        <w:t>ö</w:t>
      </w:r>
      <w:r>
        <w:rPr>
          <w:i/>
          <w:szCs w:val="24"/>
          <w:lang w:val="en-GB"/>
        </w:rPr>
        <w:t>rebygger</w:t>
      </w:r>
      <w:proofErr w:type="spellEnd"/>
      <w:r>
        <w:rPr>
          <w:i/>
          <w:szCs w:val="24"/>
        </w:rPr>
        <w:t xml:space="preserve"> </w:t>
      </w:r>
      <w:proofErr w:type="spellStart"/>
      <w:r>
        <w:rPr>
          <w:i/>
          <w:szCs w:val="24"/>
          <w:lang w:val="en-GB"/>
        </w:rPr>
        <w:t>och</w:t>
      </w:r>
      <w:proofErr w:type="spellEnd"/>
      <w:r>
        <w:rPr>
          <w:i/>
          <w:szCs w:val="24"/>
        </w:rPr>
        <w:t xml:space="preserve"> </w:t>
      </w:r>
      <w:proofErr w:type="spellStart"/>
      <w:r>
        <w:rPr>
          <w:i/>
          <w:szCs w:val="24"/>
          <w:lang w:val="en-GB"/>
        </w:rPr>
        <w:t>motverkar</w:t>
      </w:r>
      <w:proofErr w:type="spellEnd"/>
      <w:r>
        <w:rPr>
          <w:i/>
          <w:szCs w:val="24"/>
        </w:rPr>
        <w:t xml:space="preserve"> </w:t>
      </w:r>
      <w:proofErr w:type="spellStart"/>
      <w:r>
        <w:rPr>
          <w:i/>
          <w:szCs w:val="24"/>
          <w:lang w:val="en-GB"/>
        </w:rPr>
        <w:t>diskriminering</w:t>
      </w:r>
      <w:proofErr w:type="spellEnd"/>
      <w:r>
        <w:rPr>
          <w:szCs w:val="24"/>
        </w:rPr>
        <w:t xml:space="preserve">), организациям и фондам может предоставляться финансирование в целях осуществления деятельности, направленной на предотвращение и пресечение дискриминации по признакам пола, этнического происхождения, религии или других убеждений, инвалидности и сексуальной ориентации.  В соответствии с этим Указом Совет по вопросам интеграции принимает решения о предоставлении финансирования.  Учреждения, занимающиеся вопросами борьбы против дискриминации, а также </w:t>
      </w:r>
      <w:r>
        <w:rPr>
          <w:szCs w:val="24"/>
          <w:lang w:val="en-GB"/>
        </w:rPr>
        <w:t>J</w:t>
      </w:r>
      <w:proofErr w:type="spellStart"/>
      <w:r>
        <w:rPr>
          <w:szCs w:val="24"/>
        </w:rPr>
        <w:t>ä</w:t>
      </w:r>
      <w:r>
        <w:rPr>
          <w:szCs w:val="24"/>
          <w:lang w:val="en-GB"/>
        </w:rPr>
        <w:t>mO</w:t>
      </w:r>
      <w:proofErr w:type="spellEnd"/>
      <w:r>
        <w:rPr>
          <w:szCs w:val="24"/>
        </w:rPr>
        <w:t xml:space="preserve">, </w:t>
      </w:r>
      <w:r>
        <w:rPr>
          <w:szCs w:val="24"/>
          <w:lang w:val="en-GB"/>
        </w:rPr>
        <w:t>DO</w:t>
      </w:r>
      <w:r>
        <w:rPr>
          <w:szCs w:val="24"/>
        </w:rPr>
        <w:t xml:space="preserve">, </w:t>
      </w:r>
      <w:r>
        <w:rPr>
          <w:szCs w:val="24"/>
          <w:lang w:val="en-GB"/>
        </w:rPr>
        <w:t>HO</w:t>
      </w:r>
      <w:r>
        <w:rPr>
          <w:szCs w:val="24"/>
        </w:rPr>
        <w:t xml:space="preserve"> и </w:t>
      </w:r>
      <w:proofErr w:type="spellStart"/>
      <w:r>
        <w:rPr>
          <w:szCs w:val="24"/>
          <w:lang w:val="en-GB"/>
        </w:rPr>
        <w:t>HomO</w:t>
      </w:r>
      <w:proofErr w:type="spellEnd"/>
      <w:r>
        <w:rPr>
          <w:szCs w:val="24"/>
        </w:rPr>
        <w:t xml:space="preserve"> участвуют в партнерстве, которое будет развиваться по линии услуг в области консультирования, практической поддержки и образования, оказываемых </w:t>
      </w:r>
      <w:proofErr w:type="spellStart"/>
      <w:r>
        <w:rPr>
          <w:szCs w:val="24"/>
        </w:rPr>
        <w:t>омбудсменами</w:t>
      </w:r>
      <w:proofErr w:type="spellEnd"/>
      <w:r>
        <w:rPr>
          <w:szCs w:val="24"/>
        </w:rPr>
        <w:t xml:space="preserve"> учреждениям, занимающимся вопросами борьбы против дискриминации.</w:t>
      </w:r>
    </w:p>
    <w:p w:rsidR="00000000" w:rsidRDefault="00000000">
      <w:pPr>
        <w:rPr>
          <w:szCs w:val="24"/>
        </w:rPr>
      </w:pPr>
    </w:p>
    <w:p w:rsidR="00000000" w:rsidRDefault="00000000">
      <w:pPr>
        <w:pStyle w:val="Heading2"/>
        <w:rPr>
          <w:b/>
          <w:bCs/>
          <w:i/>
          <w:iCs/>
          <w:szCs w:val="24"/>
          <w:u w:val="none"/>
        </w:rPr>
      </w:pPr>
      <w:r>
        <w:rPr>
          <w:b/>
          <w:bCs/>
          <w:i/>
          <w:iCs/>
          <w:szCs w:val="24"/>
          <w:u w:val="none"/>
        </w:rPr>
        <w:t>Закон о запрещении дискриминации (2003:307)</w:t>
      </w:r>
    </w:p>
    <w:p w:rsidR="00000000" w:rsidRDefault="00000000">
      <w:pPr>
        <w:pStyle w:val="Heading2"/>
        <w:rPr>
          <w:b/>
          <w:bCs/>
          <w:i/>
          <w:iCs/>
          <w:szCs w:val="24"/>
          <w:u w:val="none"/>
        </w:rPr>
      </w:pPr>
    </w:p>
    <w:p w:rsidR="00000000" w:rsidRDefault="00000000">
      <w:r>
        <w:t>29.</w:t>
      </w:r>
      <w:r>
        <w:tab/>
        <w:t>Закон о запрещении дискриминации (2003:307) вступил в силу 1 июля 2003 года в контексте осуществления двух директив ЕС</w:t>
      </w:r>
      <w:r>
        <w:rPr>
          <w:rStyle w:val="FootnoteReference"/>
        </w:rPr>
        <w:footnoteReference w:id="4"/>
      </w:r>
      <w:r>
        <w:t>.  Цель этого закона заключается в борьбе против дискриминации по признакам, включающим в себя этническую принадлежность и религию или другие убеждения.  В соответствии с законом под "дискриминацией" подразумевается прямая и косвенная дискриминация, домогательство и дача указаний к осуществлению дискриминации.  Закон имеет широкую сферу действия.  Запрет на дискриминацию по признакам этнической принадлежности и религии или других убеждений распространяется на:</w:t>
      </w:r>
    </w:p>
    <w:p w:rsidR="00000000" w:rsidRDefault="00000000"/>
    <w:p w:rsidR="00000000" w:rsidRDefault="00000000">
      <w:r>
        <w:tab/>
        <w:t>-</w:t>
      </w:r>
      <w:r>
        <w:tab/>
        <w:t>программы осуществления политики на рынке труда;</w:t>
      </w:r>
    </w:p>
    <w:p w:rsidR="00000000" w:rsidRDefault="00000000"/>
    <w:p w:rsidR="00000000" w:rsidRDefault="00000000">
      <w:r>
        <w:tab/>
        <w:t>-</w:t>
      </w:r>
      <w:r>
        <w:tab/>
        <w:t>создание или обеспечение функционирования предприятий;</w:t>
      </w:r>
    </w:p>
    <w:p w:rsidR="00000000" w:rsidRDefault="00000000"/>
    <w:p w:rsidR="00000000" w:rsidRDefault="00000000">
      <w:r>
        <w:tab/>
        <w:t>-</w:t>
      </w:r>
      <w:r>
        <w:tab/>
        <w:t>профессиональную практику;</w:t>
      </w:r>
    </w:p>
    <w:p w:rsidR="00000000" w:rsidRDefault="00000000"/>
    <w:p w:rsidR="00000000" w:rsidRDefault="00000000">
      <w:pPr>
        <w:ind w:left="1134" w:hanging="1134"/>
      </w:pPr>
      <w:r>
        <w:tab/>
        <w:t>-</w:t>
      </w:r>
      <w:r>
        <w:tab/>
        <w:t>членство, участие и льготы, связанные с членством в профсоюзах, управленческих организациях или профессиональных организациях;</w:t>
      </w:r>
    </w:p>
    <w:p w:rsidR="00000000" w:rsidRDefault="00000000"/>
    <w:p w:rsidR="00000000" w:rsidRDefault="00000000">
      <w:r>
        <w:tab/>
        <w:t>-</w:t>
      </w:r>
      <w:r>
        <w:tab/>
        <w:t>предоставление товаров, услуг и жилья;</w:t>
      </w:r>
    </w:p>
    <w:p w:rsidR="00000000" w:rsidRDefault="00000000"/>
    <w:p w:rsidR="00000000" w:rsidRDefault="00000000">
      <w:pPr>
        <w:ind w:left="1134" w:hanging="1134"/>
      </w:pPr>
      <w:r>
        <w:tab/>
        <w:t>-</w:t>
      </w:r>
      <w:r>
        <w:tab/>
        <w:t>деятельность социальных служб, субсидируемые транспортные услуги по соображениям медицинского характера, субсидируемые поездки по территории страны в медицинских целях и субсидии для адаптации жилья в интересах инвалидов;</w:t>
      </w:r>
    </w:p>
    <w:p w:rsidR="00000000" w:rsidRDefault="00000000"/>
    <w:p w:rsidR="00000000" w:rsidRDefault="00000000">
      <w:r>
        <w:tab/>
        <w:t>-</w:t>
      </w:r>
      <w:r>
        <w:tab/>
        <w:t xml:space="preserve">социальное страхование и смежные схемы выплаты пособий; </w:t>
      </w:r>
    </w:p>
    <w:p w:rsidR="00000000" w:rsidRDefault="00000000"/>
    <w:p w:rsidR="00000000" w:rsidRDefault="00000000">
      <w:r>
        <w:tab/>
        <w:t>-</w:t>
      </w:r>
      <w:r>
        <w:tab/>
        <w:t>страхование по безработице;</w:t>
      </w:r>
    </w:p>
    <w:p w:rsidR="00000000" w:rsidRDefault="00000000"/>
    <w:p w:rsidR="00000000" w:rsidRDefault="00000000">
      <w:r>
        <w:tab/>
        <w:t>-</w:t>
      </w:r>
      <w:r>
        <w:tab/>
        <w:t>государственную финансовую помощь учащимся;  и</w:t>
      </w:r>
    </w:p>
    <w:p w:rsidR="00000000" w:rsidRDefault="00000000"/>
    <w:p w:rsidR="00000000" w:rsidRDefault="00000000">
      <w:r>
        <w:tab/>
        <w:t>-</w:t>
      </w:r>
      <w:r>
        <w:tab/>
        <w:t>здравоохранение и другие медицинские услуги.</w:t>
      </w:r>
    </w:p>
    <w:p w:rsidR="00000000" w:rsidRDefault="00000000"/>
    <w:p w:rsidR="00000000" w:rsidRDefault="00000000">
      <w:r>
        <w:t>В качестве правовых санкций в случае нарушения запретов на дискриминацию могут применяться такие меры, как лишение соответствующих актов юридической силы и возмещение ущерба.</w:t>
      </w:r>
    </w:p>
    <w:p w:rsidR="00000000" w:rsidRDefault="00000000"/>
    <w:p w:rsidR="00000000" w:rsidRDefault="00000000">
      <w:r>
        <w:t>30.</w:t>
      </w:r>
      <w:r>
        <w:tab/>
        <w:t>В соответствии с законом лицо, которое, согласно утверждениям, совершило акт дискриминации против какого-либо другого лица, не может предпринимать по отношению к последнему репрессивные меры в силу того, что жертва возбудила жалобу или протест в связи с фактом дискриминации или сотрудничала в его расследовании.  Нарушение запрета на принятие репрессивных мер может повлечь за собой наступление ответственности в отношении возмещения ущерба.</w:t>
      </w:r>
    </w:p>
    <w:p w:rsidR="00000000" w:rsidRDefault="00000000"/>
    <w:p w:rsidR="00000000" w:rsidRDefault="00000000">
      <w:pPr>
        <w:rPr>
          <w:szCs w:val="24"/>
        </w:rPr>
      </w:pPr>
      <w:r>
        <w:rPr>
          <w:b/>
          <w:bCs/>
          <w:i/>
          <w:iCs/>
        </w:rPr>
        <w:t xml:space="preserve">Закон о мерах по борьбе с этнической дискриминацией в сфере трудовой деятельности </w:t>
      </w:r>
      <w:r>
        <w:rPr>
          <w:b/>
          <w:bCs/>
          <w:i/>
          <w:iCs/>
          <w:szCs w:val="24"/>
        </w:rPr>
        <w:t>(1999:130)</w:t>
      </w:r>
    </w:p>
    <w:p w:rsidR="00000000" w:rsidRDefault="00000000">
      <w:pPr>
        <w:rPr>
          <w:szCs w:val="24"/>
        </w:rPr>
      </w:pPr>
    </w:p>
    <w:p w:rsidR="00000000" w:rsidRDefault="00000000">
      <w:pPr>
        <w:rPr>
          <w:szCs w:val="24"/>
        </w:rPr>
      </w:pPr>
      <w:r>
        <w:rPr>
          <w:szCs w:val="24"/>
        </w:rPr>
        <w:t>31.</w:t>
      </w:r>
      <w:r>
        <w:rPr>
          <w:szCs w:val="24"/>
        </w:rPr>
        <w:tab/>
        <w:t>Этот закон был изменен 1 июля 2003 года в контексте осуществления двух вышеупомянутых директив ЕС.  В закон был включен новый признак дискриминации, а именно признак "религии или других убеждений".  Название закона было соответственно изменено на "Закон о мерах по борьбе с этнической дискриминацией в сфере трудовой деятельности по признакам этнической принадлежности, религии или других убеждений".  Внесенные поправки проводят различие между такими признаками дискриминации, как "убеждения" и "этническая принадлежность", поскольку в настоящее время используется отдельный признак в виде выражения "религии или других убеждений".  В соответствии с законом под "этнической принадлежностью" понимается принадлежность к какой-либо группе лиц одного и того же национального или этнического происхождения, расы или цвета кожи.  Определения дискриминации были согласованы с законодательством ЕС, и сейчас в законе четко указывается, что домогательство и дача указаний к осуществлению дискриминации против какого-либо лица квалифицируются в качестве проявлений дискриминации.  Кроме того, была расширена сфера действия закона.  Закон также применяется в случае принятия работодателями решения или мер, которые касаются стажировки, профессиональной подготовки или какой-либо иной профессиональной ориентации.  Защитой закона также пользуются лица, которые хотят пройти или заканчивают стажировку, и лица, которые не являются штатными сотрудниками, а выполняют работу по принципу откомандирования или в режиме временного трудоустройства через соответствующие агентства.</w:t>
      </w:r>
    </w:p>
    <w:p w:rsidR="00000000" w:rsidRDefault="00000000">
      <w:pPr>
        <w:rPr>
          <w:szCs w:val="24"/>
        </w:rPr>
      </w:pPr>
    </w:p>
    <w:p w:rsidR="00000000" w:rsidRDefault="00000000">
      <w:pPr>
        <w:rPr>
          <w:szCs w:val="24"/>
        </w:rPr>
      </w:pPr>
      <w:r>
        <w:rPr>
          <w:szCs w:val="24"/>
        </w:rPr>
        <w:t>32.</w:t>
      </w:r>
      <w:r>
        <w:rPr>
          <w:szCs w:val="24"/>
        </w:rPr>
        <w:tab/>
        <w:t xml:space="preserve">В директивах в отношении освоения ассигнованных средств Совета по вопросам интеграции на 2005 год Совету предлагается использовать ситуационный анализ для оценки возможностей и изучения характера и масштабов этнической и религиозной дискриминации на рынке труда и, в случае наличия необходимых условий, разработки и осуществления таких исследований.  Согласно кругу ведения Совета по вопросам интеграции, исследования должны быть направлены на подготовку общенационального обзора и проведение сопоставлений между регионами, отраслями, а также мужчинами и женщинами.  В соответствии с поставленной задачей Совет по вопросам интеграции разработал проектный план, предусматривающий представление окончательного доклада в октябре 2006 года.  Совету с учетом его предложения было разрешено заключить соглашение с Международной организацией труда (МОТ) о проведении таких исследований на шведском рынке труда.  МОТ разработала методику проведения ситуационного анализа на рынке труда, которая использовалась в ряде европейских стран.  Полученные показатели свидетельствуют о существовании дискриминации в некоторых сферах жизни общества.  Значительное число жалоб, поданных </w:t>
      </w:r>
      <w:proofErr w:type="spellStart"/>
      <w:r>
        <w:rPr>
          <w:szCs w:val="24"/>
        </w:rPr>
        <w:t>Омбудсмену</w:t>
      </w:r>
      <w:proofErr w:type="spellEnd"/>
      <w:r>
        <w:rPr>
          <w:szCs w:val="24"/>
        </w:rPr>
        <w:t xml:space="preserve"> по борьбе против этнической дискриминации (</w:t>
      </w:r>
      <w:r>
        <w:rPr>
          <w:szCs w:val="24"/>
          <w:lang w:val="en-GB"/>
        </w:rPr>
        <w:t>DO</w:t>
      </w:r>
      <w:r>
        <w:rPr>
          <w:szCs w:val="24"/>
        </w:rPr>
        <w:t>), касается рынка жилья.  Таким образом, принимая во внимание выводы, сделанные Советом по вопросам интеграции по итогам исследования рынка труда, правительство намеревается изучить необходимость проведения ситуационного анализа в других сферах жизни общества.</w:t>
      </w:r>
    </w:p>
    <w:p w:rsidR="00000000" w:rsidRDefault="00000000">
      <w:pPr>
        <w:rPr>
          <w:lang w:val="en-US"/>
        </w:rPr>
      </w:pPr>
    </w:p>
    <w:p w:rsidR="00000000" w:rsidRDefault="00000000">
      <w:r>
        <w:t>33.</w:t>
      </w:r>
      <w:r>
        <w:tab/>
        <w:t>В октябре 2003 года правительство поручило специальному комитету провести обзор и представить результаты исследований и информацию в отношении структурной дискриминации по признакам этнической принадлежности или религии, рекомендовать инициативы с целью улучшения взаимопонимания в данной области и предложить меры по борьбе с такой дискриминацией.  В июне 2005 года комитет представил свой доклад "Дом из желто-синего хрусталя - структурная дискриминация в Швеции" (</w:t>
      </w:r>
      <w:proofErr w:type="spellStart"/>
      <w:r>
        <w:rPr>
          <w:lang w:val="en-US"/>
        </w:rPr>
        <w:t>SOU</w:t>
      </w:r>
      <w:proofErr w:type="spellEnd"/>
      <w:r>
        <w:t xml:space="preserve"> 2005:56).  Этот доклад был передан на рассмотрение, и с учетом выдвинутых предложений правительство проработает надлежащие меры.  Вместе с тем мандат комитета не предусматривал проведение им собственных исследований или изысканий с целью устранения существующих пробелов в знаниях.  Отчасти по этой причине 22 апреля 2004 года правительство постановило издать директиву об учреждении комитета по вопросам правомочности, интеграции и структурной дискриминации (</w:t>
      </w:r>
      <w:r>
        <w:rPr>
          <w:lang w:val="en-US"/>
        </w:rPr>
        <w:t>ToR</w:t>
      </w:r>
      <w:r>
        <w:t xml:space="preserve"> 2004:54).  Согласно указанной директиве комитет призван рассмотреть практику структурной дискриминации по признакам этнической или религиозной принадлежности и в зависимости о того, насколько это возможно, определить и проанализировать основополагающие ее механизмы и последствия для правомочности и влияния, а также последствия применительно к целям и задачам интеграционной политики.  Комитет также призван предложить меры в целях борьбы со структурной дискриминацией по признакам этнической принадлежности или религии и в целях расширения возможностей для обеспечения влияния и правомочности лиц, которые сталкиваются с наибольшим риском стать жертвами такой дискриминации.  Комитет должен представить свой окончательный доклад к 1 августа 2006 года.  С учетом будущих рекомендаций комитета правительство также проработает вопрос о надлежащих мерах.</w:t>
      </w:r>
    </w:p>
    <w:p w:rsidR="00000000" w:rsidRDefault="00000000"/>
    <w:p w:rsidR="00000000" w:rsidRDefault="00000000">
      <w:pPr>
        <w:rPr>
          <w:b/>
          <w:bCs/>
          <w:i/>
          <w:iCs/>
        </w:rPr>
      </w:pPr>
      <w:r>
        <w:rPr>
          <w:b/>
          <w:bCs/>
          <w:i/>
          <w:iCs/>
        </w:rPr>
        <w:t>Новая политика Швеции в интересах глобального развития</w:t>
      </w:r>
    </w:p>
    <w:p w:rsidR="00000000" w:rsidRDefault="00000000">
      <w:pPr>
        <w:rPr>
          <w:b/>
          <w:bCs/>
          <w:i/>
          <w:iCs/>
        </w:rPr>
      </w:pPr>
    </w:p>
    <w:p w:rsidR="00000000" w:rsidRDefault="00000000">
      <w:r>
        <w:t>34.</w:t>
      </w:r>
      <w:r>
        <w:tab/>
        <w:t>В декабре 2003 года шведский риксдаг единодушно принял документ "Совместная ответственность:  политика Швеции в интересах глобального развития" (правительственный законопроект 2002/2003:122;  доклад 2003/2004:</w:t>
      </w:r>
      <w:proofErr w:type="spellStart"/>
      <w:r>
        <w:rPr>
          <w:lang w:val="en-US"/>
        </w:rPr>
        <w:t>UU</w:t>
      </w:r>
      <w:proofErr w:type="spellEnd"/>
      <w:r>
        <w:t>3, сообщение риксдага 2003/2004:112).  Этот курс был выработан с учетом вывода о том, что многие области политики, включая области, которые традиционно не были сфокусированы на вопросах развития, затрагивают глобальное развитие и условия жизни бедноты в развивающихся странах и странах с переходной экономикой.  Он распространяется на все политические решения, напрямую или косвенно затрагивающие этих людей.  Общая задача, охватывающая все области политики, заключается в содействии справедливому и устойчивому глобальному развитию.  Более слаженный характер взаимосвязей между конкретной областью политики и действующими субъектами, такими, как Европейский союз, Организация Объединенных Наций, международные финансовые учреждения, другие многосторонние организации и страны, повлечет за собой повышение эффективности деятельности по сокращению масштабов нищеты.  Политику будут пронизывать два момента:  правозащитная перспектива и устремления малоимущих на пути развития.  Политике присущи восемь основных составляющих:  уважение прав человека, демократия и благое управление, гендерное равенство, устойчивое использование природных ресурсов и забота об окружающей среде, экономический рост, социальное развитие и безопасность, урегулирование конфликтов и глобальные общественные блага.</w:t>
      </w:r>
    </w:p>
    <w:p w:rsidR="00000000" w:rsidRDefault="00000000"/>
    <w:p w:rsidR="00000000" w:rsidRDefault="00000000">
      <w:r>
        <w:t>35.</w:t>
      </w:r>
      <w:r>
        <w:tab/>
        <w:t>Правительство представляет ежегодный доклад риксдагу о результатах осуществления своей политики.  В настоящее время пристальное внимание уделяется следующим пяти вопросам:  окружающей среде, сельскому хозяйству, торговле, миграции и безопасности и соответствующим связям с развитием (сообщение риксдага 2004/2005:4, сообщение риксдага 2004/2005/161, сообщение риксдага 2005/2006:204).</w:t>
      </w:r>
    </w:p>
    <w:p w:rsidR="00000000" w:rsidRDefault="00000000"/>
    <w:p w:rsidR="00000000" w:rsidRDefault="00000000">
      <w:pPr>
        <w:rPr>
          <w:b/>
          <w:bCs/>
        </w:rPr>
      </w:pPr>
      <w:r>
        <w:rPr>
          <w:b/>
          <w:bCs/>
        </w:rPr>
        <w:t>Статья 3</w:t>
      </w:r>
    </w:p>
    <w:p w:rsidR="00000000" w:rsidRDefault="00000000">
      <w:pPr>
        <w:rPr>
          <w:b/>
          <w:bCs/>
        </w:rPr>
      </w:pPr>
    </w:p>
    <w:p w:rsidR="00000000" w:rsidRDefault="00000000">
      <w:r>
        <w:t>36.</w:t>
      </w:r>
      <w:r>
        <w:tab/>
        <w:t>Информация о положении женщин и мужчин излагается в настоящем докладе в разделах, посвященных соответствующим статьям.</w:t>
      </w:r>
    </w:p>
    <w:p w:rsidR="00000000" w:rsidRDefault="00000000"/>
    <w:p w:rsidR="00000000" w:rsidRDefault="00000000">
      <w:r>
        <w:t>37.</w:t>
      </w:r>
      <w:r>
        <w:tab/>
        <w:t>Ниже содержится краткий доклад о принятых правительством мерах по поощрению равенства между женщинами и мужчинами в соответствующий период.  Более подробные сведения см. в объединенных шестом и седьмом периодических докладах правительства Швеции в соответствии с Конвенцией о ликвидации всех форм дискриминации в отношении женщин, подлежащих представлению Организации Объединенных Наций к 3 сентября 2006 года.</w:t>
      </w:r>
    </w:p>
    <w:p w:rsidR="00000000" w:rsidRDefault="00000000"/>
    <w:p w:rsidR="00000000" w:rsidRDefault="00000000">
      <w:r>
        <w:t>38.</w:t>
      </w:r>
      <w:r>
        <w:tab/>
        <w:t>В апреле 2004 года правительство приняло отдельный план по обеспечению упорядоченного учета гендерных факторов в деятельности правительственных ведомств, охватывающий период до 31 декабря 2009 года.</w:t>
      </w:r>
    </w:p>
    <w:p w:rsidR="00000000" w:rsidRDefault="00000000"/>
    <w:p w:rsidR="00000000" w:rsidRDefault="00000000">
      <w:pPr>
        <w:rPr>
          <w:szCs w:val="24"/>
        </w:rPr>
      </w:pPr>
      <w:r>
        <w:t>39.</w:t>
      </w:r>
      <w:r>
        <w:tab/>
        <w:t>В докладе 2002 года риксдагу (</w:t>
      </w:r>
      <w:r>
        <w:rPr>
          <w:i/>
          <w:iCs/>
          <w:szCs w:val="24"/>
          <w:lang w:val="en-GB"/>
        </w:rPr>
        <w:t>J</w:t>
      </w:r>
      <w:proofErr w:type="spellStart"/>
      <w:r>
        <w:rPr>
          <w:i/>
          <w:iCs/>
          <w:szCs w:val="24"/>
        </w:rPr>
        <w:t>ä</w:t>
      </w:r>
      <w:r>
        <w:rPr>
          <w:i/>
          <w:iCs/>
          <w:szCs w:val="24"/>
          <w:lang w:val="en-GB"/>
        </w:rPr>
        <w:t>mt</w:t>
      </w:r>
      <w:proofErr w:type="spellEnd"/>
      <w:r>
        <w:rPr>
          <w:i/>
          <w:iCs/>
          <w:szCs w:val="24"/>
        </w:rPr>
        <w:t xml:space="preserve"> </w:t>
      </w:r>
      <w:proofErr w:type="spellStart"/>
      <w:r>
        <w:rPr>
          <w:i/>
          <w:iCs/>
          <w:szCs w:val="24"/>
          <w:lang w:val="en-GB"/>
        </w:rPr>
        <w:t>och</w:t>
      </w:r>
      <w:proofErr w:type="spellEnd"/>
      <w:r>
        <w:rPr>
          <w:i/>
          <w:iCs/>
          <w:szCs w:val="24"/>
        </w:rPr>
        <w:t xml:space="preserve"> </w:t>
      </w:r>
      <w:proofErr w:type="spellStart"/>
      <w:r>
        <w:rPr>
          <w:i/>
          <w:iCs/>
          <w:szCs w:val="24"/>
          <w:lang w:val="en-GB"/>
        </w:rPr>
        <w:t>st</w:t>
      </w:r>
      <w:r>
        <w:rPr>
          <w:i/>
          <w:iCs/>
          <w:szCs w:val="24"/>
        </w:rPr>
        <w:t>ä</w:t>
      </w:r>
      <w:r>
        <w:rPr>
          <w:i/>
          <w:iCs/>
          <w:szCs w:val="24"/>
          <w:lang w:val="en-GB"/>
        </w:rPr>
        <w:t>ndigt</w:t>
      </w:r>
      <w:proofErr w:type="spellEnd"/>
      <w:r>
        <w:rPr>
          <w:szCs w:val="24"/>
        </w:rPr>
        <w:t xml:space="preserve"> 2002/03:140) правительство сообщило информацию о принятых с 1999 года мерах </w:t>
      </w:r>
      <w:proofErr w:type="spellStart"/>
      <w:r>
        <w:rPr>
          <w:szCs w:val="24"/>
        </w:rPr>
        <w:t>гендерной</w:t>
      </w:r>
      <w:proofErr w:type="spellEnd"/>
      <w:r>
        <w:rPr>
          <w:szCs w:val="24"/>
        </w:rPr>
        <w:t xml:space="preserve"> политики и представило национальный план действий по обеспечению </w:t>
      </w:r>
      <w:proofErr w:type="spellStart"/>
      <w:r>
        <w:rPr>
          <w:szCs w:val="24"/>
        </w:rPr>
        <w:t>гендерного</w:t>
      </w:r>
      <w:proofErr w:type="spellEnd"/>
      <w:r>
        <w:rPr>
          <w:szCs w:val="24"/>
        </w:rPr>
        <w:t xml:space="preserve"> равенства на период 2002</w:t>
      </w:r>
      <w:r>
        <w:rPr>
          <w:szCs w:val="24"/>
        </w:rPr>
        <w:noBreakHyphen/>
        <w:t xml:space="preserve">2006 годов, соответствующий сроку своих нынешних полномочий.  В докладе отмечается, что в последние годы был достигнут значительный прогресс в деле укрепления положения женщин в обществе, включая расширение представительства женщин в политической сфере.  Помимо упорядоченного учета гендерных факторов в плане действий предусмотрено пять основных направлений деятельности:  представительство;  равное распределение правомочности и влияния;  равная оплата за равную и сопоставимую работу;  насилие, совершаемое мужчинами в отношении женщин;  проституция и торговля женщинами в сексуальных целях;  мужчины и </w:t>
      </w:r>
      <w:proofErr w:type="spellStart"/>
      <w:r>
        <w:rPr>
          <w:szCs w:val="24"/>
        </w:rPr>
        <w:t>гендерное</w:t>
      </w:r>
      <w:proofErr w:type="spellEnd"/>
      <w:r>
        <w:rPr>
          <w:szCs w:val="24"/>
        </w:rPr>
        <w:t xml:space="preserve"> равенство;  и </w:t>
      </w:r>
      <w:proofErr w:type="spellStart"/>
      <w:r>
        <w:rPr>
          <w:szCs w:val="24"/>
        </w:rPr>
        <w:t>сексуализация</w:t>
      </w:r>
      <w:proofErr w:type="spellEnd"/>
      <w:r>
        <w:rPr>
          <w:szCs w:val="24"/>
        </w:rPr>
        <w:t xml:space="preserve"> общественной жизни.</w:t>
      </w:r>
    </w:p>
    <w:p w:rsidR="00000000" w:rsidRDefault="00000000">
      <w:pPr>
        <w:rPr>
          <w:szCs w:val="24"/>
        </w:rPr>
      </w:pPr>
    </w:p>
    <w:p w:rsidR="00000000" w:rsidRDefault="00000000">
      <w:pPr>
        <w:rPr>
          <w:szCs w:val="24"/>
        </w:rPr>
      </w:pPr>
      <w:r>
        <w:rPr>
          <w:szCs w:val="24"/>
        </w:rPr>
        <w:t>40.</w:t>
      </w:r>
      <w:r>
        <w:rPr>
          <w:szCs w:val="24"/>
        </w:rPr>
        <w:tab/>
        <w:t xml:space="preserve">В марте 2006 года правительство внесло в риксдаг законопроект, озаглавленный "Правомочия по формированию общественного устройства и уклада своей собственной жизни:  новые задачи </w:t>
      </w:r>
      <w:proofErr w:type="spellStart"/>
      <w:r>
        <w:rPr>
          <w:szCs w:val="24"/>
        </w:rPr>
        <w:t>гендерной</w:t>
      </w:r>
      <w:proofErr w:type="spellEnd"/>
      <w:r>
        <w:rPr>
          <w:szCs w:val="24"/>
        </w:rPr>
        <w:t xml:space="preserve"> политики" (</w:t>
      </w:r>
      <w:proofErr w:type="spellStart"/>
      <w:r>
        <w:rPr>
          <w:i/>
          <w:iCs/>
          <w:szCs w:val="24"/>
          <w:lang w:val="en-GB"/>
        </w:rPr>
        <w:t>Makt</w:t>
      </w:r>
      <w:proofErr w:type="spellEnd"/>
      <w:r>
        <w:rPr>
          <w:i/>
          <w:iCs/>
          <w:szCs w:val="24"/>
        </w:rPr>
        <w:t xml:space="preserve"> </w:t>
      </w:r>
      <w:proofErr w:type="spellStart"/>
      <w:r>
        <w:rPr>
          <w:i/>
          <w:iCs/>
          <w:szCs w:val="24"/>
          <w:lang w:val="en-GB"/>
        </w:rPr>
        <w:t>att</w:t>
      </w:r>
      <w:proofErr w:type="spellEnd"/>
      <w:r>
        <w:rPr>
          <w:i/>
          <w:iCs/>
          <w:szCs w:val="24"/>
        </w:rPr>
        <w:t xml:space="preserve"> </w:t>
      </w:r>
      <w:r>
        <w:rPr>
          <w:i/>
          <w:iCs/>
          <w:szCs w:val="24"/>
          <w:lang w:val="en-GB"/>
        </w:rPr>
        <w:t>forma</w:t>
      </w:r>
      <w:r>
        <w:rPr>
          <w:i/>
          <w:iCs/>
          <w:szCs w:val="24"/>
        </w:rPr>
        <w:t xml:space="preserve"> </w:t>
      </w:r>
      <w:proofErr w:type="spellStart"/>
      <w:r>
        <w:rPr>
          <w:i/>
          <w:iCs/>
          <w:szCs w:val="24"/>
          <w:lang w:val="en-GB"/>
        </w:rPr>
        <w:t>samh</w:t>
      </w:r>
      <w:r>
        <w:rPr>
          <w:i/>
          <w:iCs/>
          <w:szCs w:val="24"/>
        </w:rPr>
        <w:t>ä</w:t>
      </w:r>
      <w:r>
        <w:rPr>
          <w:i/>
          <w:iCs/>
          <w:szCs w:val="24"/>
          <w:lang w:val="en-GB"/>
        </w:rPr>
        <w:t>llet</w:t>
      </w:r>
      <w:proofErr w:type="spellEnd"/>
      <w:r>
        <w:rPr>
          <w:i/>
          <w:iCs/>
          <w:szCs w:val="24"/>
        </w:rPr>
        <w:t xml:space="preserve"> </w:t>
      </w:r>
      <w:proofErr w:type="spellStart"/>
      <w:r>
        <w:rPr>
          <w:i/>
          <w:iCs/>
          <w:szCs w:val="24"/>
          <w:lang w:val="en-GB"/>
        </w:rPr>
        <w:t>och</w:t>
      </w:r>
      <w:proofErr w:type="spellEnd"/>
      <w:r>
        <w:rPr>
          <w:i/>
          <w:iCs/>
          <w:szCs w:val="24"/>
        </w:rPr>
        <w:t xml:space="preserve"> </w:t>
      </w:r>
      <w:proofErr w:type="spellStart"/>
      <w:r>
        <w:rPr>
          <w:i/>
          <w:iCs/>
          <w:szCs w:val="24"/>
          <w:lang w:val="en-GB"/>
        </w:rPr>
        <w:t>sitt</w:t>
      </w:r>
      <w:proofErr w:type="spellEnd"/>
      <w:r>
        <w:rPr>
          <w:i/>
          <w:iCs/>
          <w:szCs w:val="24"/>
        </w:rPr>
        <w:t xml:space="preserve"> </w:t>
      </w:r>
      <w:proofErr w:type="spellStart"/>
      <w:r>
        <w:rPr>
          <w:i/>
          <w:iCs/>
          <w:szCs w:val="24"/>
          <w:lang w:val="en-GB"/>
        </w:rPr>
        <w:t>eget</w:t>
      </w:r>
      <w:proofErr w:type="spellEnd"/>
      <w:r>
        <w:rPr>
          <w:i/>
          <w:iCs/>
          <w:szCs w:val="24"/>
        </w:rPr>
        <w:t xml:space="preserve"> </w:t>
      </w:r>
      <w:proofErr w:type="spellStart"/>
      <w:r>
        <w:rPr>
          <w:i/>
          <w:iCs/>
          <w:szCs w:val="24"/>
          <w:lang w:val="en-GB"/>
        </w:rPr>
        <w:t>liv</w:t>
      </w:r>
      <w:proofErr w:type="spellEnd"/>
      <w:r>
        <w:rPr>
          <w:i/>
          <w:iCs/>
          <w:szCs w:val="24"/>
        </w:rPr>
        <w:t xml:space="preserve"> – </w:t>
      </w:r>
      <w:proofErr w:type="spellStart"/>
      <w:r>
        <w:rPr>
          <w:i/>
          <w:iCs/>
          <w:szCs w:val="24"/>
          <w:lang w:val="en-GB"/>
        </w:rPr>
        <w:t>nya</w:t>
      </w:r>
      <w:proofErr w:type="spellEnd"/>
      <w:r>
        <w:rPr>
          <w:i/>
          <w:iCs/>
          <w:szCs w:val="24"/>
        </w:rPr>
        <w:t xml:space="preserve"> </w:t>
      </w:r>
      <w:r>
        <w:rPr>
          <w:i/>
          <w:iCs/>
          <w:szCs w:val="24"/>
          <w:lang w:val="en-GB"/>
        </w:rPr>
        <w:t>m</w:t>
      </w:r>
      <w:proofErr w:type="spellStart"/>
      <w:r>
        <w:rPr>
          <w:i/>
          <w:iCs/>
          <w:szCs w:val="24"/>
        </w:rPr>
        <w:t>å</w:t>
      </w:r>
      <w:proofErr w:type="spellEnd"/>
      <w:r>
        <w:rPr>
          <w:i/>
          <w:iCs/>
          <w:szCs w:val="24"/>
          <w:lang w:val="en-GB"/>
        </w:rPr>
        <w:t>l</w:t>
      </w:r>
      <w:r>
        <w:rPr>
          <w:i/>
          <w:iCs/>
          <w:szCs w:val="24"/>
        </w:rPr>
        <w:t xml:space="preserve"> </w:t>
      </w:r>
      <w:proofErr w:type="spellStart"/>
      <w:r>
        <w:rPr>
          <w:i/>
          <w:iCs/>
          <w:szCs w:val="24"/>
          <w:lang w:val="en-GB"/>
        </w:rPr>
        <w:t>i</w:t>
      </w:r>
      <w:proofErr w:type="spellEnd"/>
      <w:r>
        <w:rPr>
          <w:i/>
          <w:iCs/>
          <w:szCs w:val="24"/>
        </w:rPr>
        <w:t xml:space="preserve"> </w:t>
      </w:r>
      <w:r>
        <w:rPr>
          <w:i/>
          <w:iCs/>
          <w:szCs w:val="24"/>
          <w:lang w:val="en-GB"/>
        </w:rPr>
        <w:t>j</w:t>
      </w:r>
      <w:proofErr w:type="spellStart"/>
      <w:r>
        <w:rPr>
          <w:i/>
          <w:iCs/>
          <w:szCs w:val="24"/>
        </w:rPr>
        <w:t>ä</w:t>
      </w:r>
      <w:r>
        <w:rPr>
          <w:i/>
          <w:iCs/>
          <w:szCs w:val="24"/>
          <w:lang w:val="en-GB"/>
        </w:rPr>
        <w:t>mst</w:t>
      </w:r>
      <w:r>
        <w:rPr>
          <w:i/>
          <w:iCs/>
          <w:szCs w:val="24"/>
        </w:rPr>
        <w:t>ä</w:t>
      </w:r>
      <w:r>
        <w:rPr>
          <w:i/>
          <w:iCs/>
          <w:szCs w:val="24"/>
          <w:lang w:val="en-GB"/>
        </w:rPr>
        <w:t>lldhetspolitiken</w:t>
      </w:r>
      <w:proofErr w:type="spellEnd"/>
      <w:r>
        <w:rPr>
          <w:szCs w:val="24"/>
        </w:rPr>
        <w:t xml:space="preserve">, правительственный законопроект 2005/06:155).  Законопроект предусматривал новые задачи </w:t>
      </w:r>
      <w:proofErr w:type="spellStart"/>
      <w:r>
        <w:rPr>
          <w:szCs w:val="24"/>
        </w:rPr>
        <w:t>гендерной</w:t>
      </w:r>
      <w:proofErr w:type="spellEnd"/>
      <w:r>
        <w:rPr>
          <w:szCs w:val="24"/>
        </w:rPr>
        <w:t xml:space="preserve"> политики и предложение о создании нового правительственного учреждения.  Законопроект был принят риксдагом в конце мая.  Общая задача заключается в том, что женщины и мужчины должны иметь равные правомочия по формированию общественного устройства и уклада и своей собственной жизни.  В законопроекте рассматривается проблема насилия в отношении женщин, в частности насилия, совершаемого мужчинами в отношении женщин.  Промежуточными задачами являются:</w:t>
      </w:r>
    </w:p>
    <w:p w:rsidR="00000000" w:rsidRDefault="00000000">
      <w:pPr>
        <w:rPr>
          <w:szCs w:val="24"/>
        </w:rPr>
      </w:pPr>
    </w:p>
    <w:p w:rsidR="00000000" w:rsidRDefault="00000000">
      <w:pPr>
        <w:ind w:left="1134" w:hanging="567"/>
        <w:rPr>
          <w:szCs w:val="24"/>
        </w:rPr>
      </w:pPr>
      <w:r>
        <w:rPr>
          <w:szCs w:val="24"/>
        </w:rPr>
        <w:t>-</w:t>
      </w:r>
      <w:r>
        <w:rPr>
          <w:szCs w:val="24"/>
        </w:rPr>
        <w:tab/>
        <w:t>Равное распределение правомочий и влияния.  Женщины и мужчины должны иметь равные права и возможности, с тем чтобы быть активными гражданами и формировать условия процесса принятия решений.</w:t>
      </w:r>
    </w:p>
    <w:p w:rsidR="00000000" w:rsidRDefault="00000000">
      <w:pPr>
        <w:ind w:left="1134" w:hanging="567"/>
        <w:rPr>
          <w:szCs w:val="24"/>
        </w:rPr>
      </w:pPr>
    </w:p>
    <w:p w:rsidR="00000000" w:rsidRDefault="00000000">
      <w:pPr>
        <w:ind w:left="1134" w:hanging="567"/>
        <w:rPr>
          <w:szCs w:val="24"/>
        </w:rPr>
      </w:pPr>
      <w:r>
        <w:rPr>
          <w:szCs w:val="24"/>
        </w:rPr>
        <w:t>-</w:t>
      </w:r>
      <w:r>
        <w:rPr>
          <w:szCs w:val="24"/>
        </w:rPr>
        <w:tab/>
        <w:t>Экономическое равенство.  Женщины и мужчины должны иметь равные возможности и условия применительно к образованию и оплачиваемому труду, обеспечивающие экономическую независимость на протяжении всей жизни.</w:t>
      </w:r>
    </w:p>
    <w:p w:rsidR="00000000" w:rsidRDefault="00000000">
      <w:pPr>
        <w:ind w:left="1134" w:hanging="567"/>
        <w:rPr>
          <w:szCs w:val="24"/>
        </w:rPr>
      </w:pPr>
    </w:p>
    <w:p w:rsidR="00000000" w:rsidRDefault="00000000">
      <w:pPr>
        <w:ind w:left="1134" w:hanging="567"/>
        <w:rPr>
          <w:szCs w:val="24"/>
        </w:rPr>
      </w:pPr>
      <w:r>
        <w:rPr>
          <w:szCs w:val="24"/>
        </w:rPr>
        <w:t>-</w:t>
      </w:r>
      <w:r>
        <w:rPr>
          <w:szCs w:val="24"/>
        </w:rPr>
        <w:tab/>
        <w:t>Равное распределение неоплачиваемых обязанностей по уходу и работы по дому.  Женщины и мужчины должны нести одинаковую ответственность за работу по дому и иметь одинаковые возможности в плане оказания и получения услуг по уходу на равной основе.</w:t>
      </w:r>
    </w:p>
    <w:p w:rsidR="00000000" w:rsidRDefault="00000000">
      <w:pPr>
        <w:ind w:left="1134" w:hanging="567"/>
        <w:rPr>
          <w:szCs w:val="24"/>
        </w:rPr>
      </w:pPr>
    </w:p>
    <w:p w:rsidR="00000000" w:rsidRDefault="00000000">
      <w:pPr>
        <w:ind w:left="1134" w:hanging="567"/>
        <w:rPr>
          <w:szCs w:val="24"/>
        </w:rPr>
      </w:pPr>
      <w:r>
        <w:rPr>
          <w:szCs w:val="24"/>
        </w:rPr>
        <w:t>-</w:t>
      </w:r>
      <w:r>
        <w:rPr>
          <w:szCs w:val="24"/>
        </w:rPr>
        <w:tab/>
        <w:t>Должен быть положен конец насилию, совершаемому мужчинами в отношении женщин.  Женщины и мужчины, девочки и мальчики должны иметь равные права и возможности с точки зрения обеспечения физической неприкосновенности.</w:t>
      </w:r>
    </w:p>
    <w:p w:rsidR="00000000" w:rsidRDefault="00000000">
      <w:pPr>
        <w:rPr>
          <w:szCs w:val="24"/>
        </w:rPr>
      </w:pPr>
    </w:p>
    <w:p w:rsidR="00000000" w:rsidRDefault="00000000">
      <w:pPr>
        <w:rPr>
          <w:szCs w:val="24"/>
        </w:rPr>
      </w:pPr>
      <w:r>
        <w:rPr>
          <w:szCs w:val="24"/>
        </w:rPr>
        <w:t>41.</w:t>
      </w:r>
      <w:r>
        <w:rPr>
          <w:szCs w:val="24"/>
        </w:rPr>
        <w:tab/>
        <w:t>Совершаемое в отношении женщин насилие, которое в конечном итоге является следствием несбалансированного в структурном плане распределения правомочий между женщинами и мужчинами, по</w:t>
      </w:r>
      <w:r>
        <w:rPr>
          <w:szCs w:val="24"/>
        </w:rPr>
        <w:noBreakHyphen/>
        <w:t>прежнему остается серьезной проблемой.  Правительство намерено и далее прилагать усилия на направлениях, предусмотренных в правительственном законопроекте 1997/98 "Насилие в отношении женщин" (см. предыдущий доклад).</w:t>
      </w:r>
    </w:p>
    <w:p w:rsidR="00000000" w:rsidRDefault="00000000"/>
    <w:p w:rsidR="00000000" w:rsidRDefault="00000000">
      <w:r>
        <w:t>42.</w:t>
      </w:r>
      <w:r>
        <w:tab/>
        <w:t xml:space="preserve">В последние годы были предприняты значительные усилия, включая крупномасштабные инициативы в области образования и разработку руководящих принципов в правительственных учреждениях, увеличение объема финансирования женских приютов, оказание более широкой поддержки жертвам и принятие более строгих законов.  </w:t>
      </w:r>
    </w:p>
    <w:p w:rsidR="00000000" w:rsidRDefault="00000000"/>
    <w:p w:rsidR="00000000" w:rsidRDefault="00000000">
      <w:r>
        <w:t>43.</w:t>
      </w:r>
      <w:r>
        <w:tab/>
        <w:t xml:space="preserve">В 2006 году правительство планирует приступить к обзору законодательства, касающегося вопиющих нарушений прав женщин на физическую неприкосновенность.  В настоящее время правительственные ведомства более подробно рассматривают методы проведения такого обзора.  </w:t>
      </w:r>
    </w:p>
    <w:p w:rsidR="00000000" w:rsidRDefault="00000000"/>
    <w:p w:rsidR="00000000" w:rsidRDefault="00000000">
      <w:r>
        <w:t>44.</w:t>
      </w:r>
      <w:r>
        <w:tab/>
        <w:t xml:space="preserve">1 апреля 2005 года вступил в силу новый Закон о сексуальных преступлениях.  Целями закона являются дальнейшее укрепление и конкретизация абсолютного права каждого человека на личную и сексуальную неприкосновенность и сексуальное самоопределение, а также всемерное поощрение и усиление защиты детей и молодежи от сексуальной эксплуатации.  В этом контексте было предусмотрено, в частности, расширение правового толкования преступления изнасилования, запрещение приобретения сексуальных услуг у несовершеннолетних, включение особых уголовных положений о защите детей, эксплуатируемых в целях сексуального позирования, и расширение сферы применения Закона о запрещении приобретения сексуальных услуг также на лиц, которые используют сексуальную услугу, оплаченную другим лицом.  </w:t>
      </w:r>
    </w:p>
    <w:p w:rsidR="00000000" w:rsidRDefault="00000000"/>
    <w:p w:rsidR="00000000" w:rsidRDefault="00000000">
      <w:r>
        <w:t>45.</w:t>
      </w:r>
      <w:r>
        <w:tab/>
        <w:t xml:space="preserve">Новый Закон о сексуальных преступлениях устранил требование обоюдного признания соответствующих деяний уголовно наказуемыми преступлениями, с тем чтобы можно было выносить обвинительные приговоры за серьезные сексуальные преступления в отношении несовершеннолетних, совершенные шведскими гражданами за рубежом.  Внесенные поправки аннулируют требование "обоюдного признания в качестве уголовно наказуемых преступлений следующих деяний в отношении следующих преступлений в случае их совершения по отношению к несовершеннолетнему:  изнасилование;  изнасилование при отягчающих обстоятельствах;  сексуальное принуждение;  сексуальное принуждение при отягчающих обстоятельствах;  сексуальная эксплуатация какого-либо лица, находящегося в зависимом положении;  сексуальная эксплуатация какого-либо лица, находящегося в зависимом положении, при отягчающих обстоятельствах;  изнасилование ребенка;  изнасилование несовершеннолетнего при отягчающих обстоятельствах;  сексуальная эксплуатация несовершеннолетнего;  совершение развратных действий по отношению к ребенку;  совершение развратных действий по отношению к ребенку при отягчающих обстоятельства;  эксплуатация ребенка в целях сексуального позирования при отягчающих обстоятельствах;  сводничество и сводничество при отягчающих обстоятельствах;  а также покушение на совершение этих преступлений.  Поправки также позволяют выносить такие наказания за перечисленные преступления, которые могут считаться более суровыми по сравнению с наказаниями, предусмотренными в соответствии с применимым законодательством на момент совершения преступления (см. пункты 23 и 39 Заключительных замечаний).  Комитету было также поручено проанализировать существующие доводы за и против отмены или ограничения действия требования об обоюдном признании в качестве уголовно наказуемых деяний преступлений, связанных с торговлей людьми.  </w:t>
      </w:r>
    </w:p>
    <w:p w:rsidR="00000000" w:rsidRDefault="00000000"/>
    <w:p w:rsidR="00000000" w:rsidRDefault="00000000">
      <w:r>
        <w:t>46.</w:t>
      </w:r>
      <w:r>
        <w:tab/>
        <w:t xml:space="preserve">15 июня 2004 года правительство поручило Омбудсмену по вопросу равных возможностей проанализировать факторы, которые могут способствовать сокрытию информации о случаях сексуального посягательства, изучить отношение жертв сексуального посягательства к уголовному расследованию и последующему судопроизводству и рекомендовать стратегии и меры, направленные на повышение готовности сообщать о случаях сексуального посягательства и уменьшение тягот и трудностей всего процесса судебного разбирательства для жертвы.  В ноябре 2005 года комитет вынес ряд рекомендаций в отношении надлежащих мер в виде законодательных предложений и других решений, касающихся, в частности, деятельности соответствующих правительственных учреждений и вопросов образования.  </w:t>
      </w:r>
    </w:p>
    <w:p w:rsidR="00000000" w:rsidRDefault="00000000"/>
    <w:p w:rsidR="00000000" w:rsidRDefault="00000000">
      <w:r>
        <w:t>47.</w:t>
      </w:r>
      <w:r>
        <w:tab/>
        <w:t xml:space="preserve">Уже осуществлены рекомендации, касающиеся подготовки учебно-просветительских материалов для молодежи по вопросам полового воспитания, а также сбора специальной информации о сексуальных преступлениях в связи с созданием портала для жертв преступлений под эгидой Органа по предоставлению компенсации и помощи жертвам преступлений в контексте разработки национальной координационной программы с целью решения вопросов, имеющих отношение к проблеме жертв преступлений в обществе.  Законодательные предложения были переданы на рассмотрение соответствующих органов.  В настоящее время готовятся и другие предложения.  </w:t>
      </w:r>
    </w:p>
    <w:p w:rsidR="00000000" w:rsidRDefault="00000000"/>
    <w:p w:rsidR="00000000" w:rsidRDefault="00000000">
      <w:r>
        <w:t>48.</w:t>
      </w:r>
      <w:r>
        <w:tab/>
        <w:t>С 1 июля 2002 года в Уголовный кодекс Швеции добавлена новая категория преступления, заключающегося в "торговле людьми в сексуальных целях".  С 1 июля 2004 года обеспечиваемая уголовным законом защита от торговли людьми была распространена на нетранснациональную торговлю людьми и торговлю людьми в целях эксплуатации помимо сексуальной эксплуатации, включая принудительный труд и торговлю человеческими органами.  (См. пункт 36 Заключительных замечаний.)</w:t>
      </w:r>
    </w:p>
    <w:p w:rsidR="00000000" w:rsidRDefault="00000000"/>
    <w:p w:rsidR="00000000" w:rsidRDefault="00000000">
      <w:r>
        <w:t>49.</w:t>
      </w:r>
      <w:r>
        <w:tab/>
        <w:t xml:space="preserve">Швеция стала государством - участником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w:t>
      </w:r>
    </w:p>
    <w:p w:rsidR="00000000" w:rsidRDefault="00000000"/>
    <w:p w:rsidR="00000000" w:rsidRDefault="00000000">
      <w:r>
        <w:t>50.</w:t>
      </w:r>
      <w:r>
        <w:tab/>
        <w:t xml:space="preserve">Правительство назначило комитет для подготовки обзора ситуации в области преступности, связанной с торговлей людьми.  </w:t>
      </w:r>
    </w:p>
    <w:p w:rsidR="00000000" w:rsidRDefault="00000000"/>
    <w:p w:rsidR="00000000" w:rsidRDefault="00000000">
      <w:r>
        <w:t>51.</w:t>
      </w:r>
      <w:r>
        <w:tab/>
        <w:t xml:space="preserve">Швеция одобрила рамочное решение ЕС, касающееся борьбы с торговлей людьми.  </w:t>
      </w:r>
    </w:p>
    <w:p w:rsidR="00000000" w:rsidRDefault="00000000"/>
    <w:p w:rsidR="00000000" w:rsidRDefault="00000000">
      <w:r>
        <w:t>52.</w:t>
      </w:r>
      <w:r>
        <w:tab/>
        <w:t xml:space="preserve">Швеция стала государством - участником Конвенции Совета Европы о мерах по борьбе с торговлей людьми.  </w:t>
      </w:r>
    </w:p>
    <w:p w:rsidR="00000000" w:rsidRDefault="00000000"/>
    <w:p w:rsidR="00000000" w:rsidRDefault="00000000">
      <w:r>
        <w:t>53.</w:t>
      </w:r>
      <w:r>
        <w:tab/>
        <w:t xml:space="preserve">В настоящее время правительственные ведомства разрабатывают план действий по борьбе со всеми формами торговли людьми.  План действий будет состоять из двух частей.  Первая часть будет посвящена усилиям по борьбе с проституцией и торговлей людьми, особенно женщинами и детьми, в сексуальных целях и будет окончательно доработана весной 2006 года.  Вторая часть будет касаться усилий по борьбе с торговлей людьми в целях трудовой эксплуатации и торговлей человеческими органами, ее доработка будет завершена осенью 2006 года.  </w:t>
      </w:r>
    </w:p>
    <w:p w:rsidR="00000000" w:rsidRDefault="00000000"/>
    <w:p w:rsidR="00000000" w:rsidRDefault="00000000">
      <w:r>
        <w:t>54.</w:t>
      </w:r>
      <w:r>
        <w:tab/>
        <w:t>В течение нескольких лет правительство принимает конкретные меры, направленные на улучшение положения подростков обоих полов, сталкивающихся с риском насилия на почве оскорбленной чести и угнетения со стороны семьи.  Правительство выделило для этого в общей сложности 180 млн. шведских крон на период 2003</w:t>
      </w:r>
      <w:r>
        <w:noBreakHyphen/>
        <w:t xml:space="preserve">2007 годов.  </w:t>
      </w:r>
    </w:p>
    <w:p w:rsidR="00000000" w:rsidRDefault="00000000"/>
    <w:p w:rsidR="00000000" w:rsidRDefault="00000000">
      <w:pPr>
        <w:rPr>
          <w:b/>
          <w:bCs/>
        </w:rPr>
      </w:pPr>
      <w:r>
        <w:rPr>
          <w:b/>
          <w:bCs/>
        </w:rPr>
        <w:t>Статья 6</w:t>
      </w:r>
    </w:p>
    <w:p w:rsidR="00000000" w:rsidRDefault="00000000">
      <w:pPr>
        <w:rPr>
          <w:b/>
          <w:bCs/>
        </w:rPr>
      </w:pPr>
    </w:p>
    <w:p w:rsidR="00000000" w:rsidRDefault="00000000">
      <w:pPr>
        <w:rPr>
          <w:i/>
          <w:iCs/>
        </w:rPr>
      </w:pPr>
      <w:r>
        <w:rPr>
          <w:i/>
          <w:iCs/>
        </w:rPr>
        <w:tab/>
        <w:t>Руководящий принцип 1</w:t>
      </w:r>
    </w:p>
    <w:p w:rsidR="00000000" w:rsidRDefault="00000000">
      <w:pPr>
        <w:rPr>
          <w:u w:val="single"/>
        </w:rPr>
      </w:pPr>
    </w:p>
    <w:p w:rsidR="00000000" w:rsidRDefault="00000000">
      <w:r>
        <w:t>55.</w:t>
      </w:r>
      <w:r>
        <w:tab/>
        <w:t>Швеция является стороной Конвенций  МОТ № 122 от 1964 года (о политике в области занятости) и № 111 от 1958 года (о дискриминации в области труда и занятий).</w:t>
      </w:r>
    </w:p>
    <w:p w:rsidR="00000000" w:rsidRDefault="00000000"/>
    <w:p w:rsidR="00000000" w:rsidRDefault="00000000">
      <w:r>
        <w:t>56.</w:t>
      </w:r>
      <w:r>
        <w:tab/>
        <w:t>Кроме того, Швеция является государством - участником Международной конвенции о ликвидации всех форм расовой дискриминации и Конвенции о ликвидации всех форм дискриминации в отношении женщин.</w:t>
      </w:r>
    </w:p>
    <w:p w:rsidR="00000000" w:rsidRDefault="00000000"/>
    <w:p w:rsidR="00000000" w:rsidRDefault="00000000">
      <w:pPr>
        <w:rPr>
          <w:i/>
          <w:iCs/>
        </w:rPr>
      </w:pPr>
      <w:r>
        <w:rPr>
          <w:i/>
          <w:iCs/>
        </w:rPr>
        <w:tab/>
        <w:t>Руководящие принципы 2 а)-с), е) и f)</w:t>
      </w:r>
    </w:p>
    <w:p w:rsidR="00000000" w:rsidRDefault="00000000">
      <w:pPr>
        <w:rPr>
          <w:u w:val="single"/>
        </w:rPr>
      </w:pPr>
    </w:p>
    <w:p w:rsidR="00000000" w:rsidRDefault="00000000">
      <w:r>
        <w:t>57.</w:t>
      </w:r>
      <w:r>
        <w:tab/>
        <w:t xml:space="preserve">Информация по этому вопросу содержится в четвертом периодическом докладе об осуществлении указанной конвенции.  </w:t>
      </w:r>
    </w:p>
    <w:p w:rsidR="00000000" w:rsidRDefault="00000000">
      <w:pPr>
        <w:rPr>
          <w:lang w:val="en-US"/>
        </w:rPr>
      </w:pPr>
    </w:p>
    <w:p w:rsidR="00000000" w:rsidRDefault="00000000">
      <w:r>
        <w:t>58.</w:t>
      </w:r>
      <w:r>
        <w:tab/>
        <w:t>В этой связи следует также сослаться на предыдущие доклады, представленные Швецией в отношении осуществления Конвенции МОТ № 122 от 1964 года (о политике в области занятости).</w:t>
      </w:r>
    </w:p>
    <w:p w:rsidR="00000000" w:rsidRDefault="00000000"/>
    <w:p w:rsidR="00000000" w:rsidRDefault="00000000">
      <w:r>
        <w:t>59.</w:t>
      </w:r>
      <w:r>
        <w:tab/>
        <w:t>Кроме того, соответствующая информация содержится в шестом и седьмом периодических докладах, представленных Швецией в соответствии с Конвенцией о ликвидации всех форм дискриминации в отношении женщин.</w:t>
      </w:r>
    </w:p>
    <w:p w:rsidR="00000000" w:rsidRDefault="00000000"/>
    <w:p w:rsidR="00000000" w:rsidRDefault="00000000">
      <w:r>
        <w:t xml:space="preserve">Ниже приводится резюме содержания этих докладов и дополнительная информация.  </w:t>
      </w:r>
    </w:p>
    <w:p w:rsidR="00000000" w:rsidRDefault="00000000"/>
    <w:p w:rsidR="00000000" w:rsidRDefault="00000000">
      <w:r>
        <w:t>60.</w:t>
      </w:r>
      <w:r>
        <w:tab/>
        <w:t>Двумя ключевыми целями, стоящими перед шведским правительством, являются повышение уровня занятости и сокращение безработицы.  Для того чтобы их достижение оказалось возможным, должно быть обеспечено взаимодействие по ряду областей политики и партнерство субъектов, действующих на рынке труда.</w:t>
      </w:r>
    </w:p>
    <w:p w:rsidR="00000000" w:rsidRDefault="00000000"/>
    <w:p w:rsidR="00000000" w:rsidRDefault="00000000">
      <w:r>
        <w:t>61.</w:t>
      </w:r>
      <w:r>
        <w:tab/>
        <w:t>Эффективная увязка интересов работников и работодателей имеет важное значение для достижения поставленной правительством цели обеспечения полной занятости, а также промежуточной задачи, касающейся 4-процентного показателя безработицы и 80</w:t>
      </w:r>
      <w:r>
        <w:noBreakHyphen/>
        <w:t>процентного показателя занятости для лиц в возрасте 20-64 лет.  В рамках политики, проводимой на рынке труда, правительство осуществляет меры, предусматривающие быстрое заполнение имеющихся рабочих мест и обеспечение того, чтобы профессиональный уровень ищущих работу лиц соответствовал потребностям, предъявляемым на рынке труда.  Также предпринимается деятельность с целью содействия мобильности рабочей силы на рынке труда для предотвращения нехватки работников на местном или региональном уровне.  Политика, проводимая на рынке труда, предполагает уделение приоритетного внимания инвалидам, трудоспособность которых ограничена, безработной молодежи и женщинам и мужчинам иностранного происхождения.</w:t>
      </w:r>
    </w:p>
    <w:p w:rsidR="00000000" w:rsidRDefault="00000000"/>
    <w:p w:rsidR="00000000" w:rsidRDefault="00000000">
      <w:pPr>
        <w:rPr>
          <w:b/>
          <w:bCs/>
          <w:i/>
          <w:iCs/>
        </w:rPr>
      </w:pPr>
      <w:r>
        <w:rPr>
          <w:b/>
          <w:bCs/>
          <w:i/>
          <w:iCs/>
        </w:rPr>
        <w:t>Тенденции, прослеживающиеся на рынке труда</w:t>
      </w:r>
    </w:p>
    <w:p w:rsidR="00000000" w:rsidRDefault="00000000">
      <w:pPr>
        <w:rPr>
          <w:b/>
          <w:bCs/>
          <w:i/>
          <w:iCs/>
        </w:rPr>
      </w:pPr>
    </w:p>
    <w:p w:rsidR="00000000" w:rsidRDefault="00000000">
      <w:r>
        <w:t>62.</w:t>
      </w:r>
      <w:r>
        <w:tab/>
        <w:t xml:space="preserve">После периода экономического кризиса, разразившегося в 1990-е годы, безработица в 1995 году составила </w:t>
      </w:r>
      <w:proofErr w:type="spellStart"/>
      <w:r>
        <w:t>7,7%</w:t>
      </w:r>
      <w:proofErr w:type="spellEnd"/>
      <w:r>
        <w:t xml:space="preserve"> для лиц в возрасте 16-64 лет (6,9% для женщин и 8,4% для мужчин).  Уровень занятости составил </w:t>
      </w:r>
      <w:proofErr w:type="spellStart"/>
      <w:r>
        <w:t>72,2%</w:t>
      </w:r>
      <w:proofErr w:type="spellEnd"/>
      <w:r>
        <w:t xml:space="preserve"> (</w:t>
      </w:r>
      <w:proofErr w:type="spellStart"/>
      <w:r>
        <w:t>73,5%</w:t>
      </w:r>
      <w:proofErr w:type="spellEnd"/>
      <w:r>
        <w:t xml:space="preserve"> для женщин и 70,9% для мужчин).</w:t>
      </w:r>
    </w:p>
    <w:p w:rsidR="00000000" w:rsidRDefault="00000000"/>
    <w:p w:rsidR="00000000" w:rsidRDefault="00000000">
      <w:r>
        <w:t>63.</w:t>
      </w:r>
      <w:r>
        <w:tab/>
        <w:t xml:space="preserve">Безработица упала до 4,7% к 2000 году (4,3% для женщин и 65,0% для мужчин).  Занятость возросла до 74,2% (72,2% для женщин и 76,1% для мужчин), и отмечающиеся на шведском рынке труда тенденции являются благоприятными.  Экономический спад в 2001 году привел к увольнениям.  Несмотря на более вялое состояние экономики, положение на рынке труда </w:t>
      </w:r>
      <w:proofErr w:type="spellStart"/>
      <w:r>
        <w:t>сколь-нибудь</w:t>
      </w:r>
      <w:proofErr w:type="spellEnd"/>
      <w:r>
        <w:t xml:space="preserve"> существенным образом не ухудшалось вплоть до 2003 года, когда произошло падение уровня занятости и увеличение безработицы.  Несмотря на мощный экономический рост и выделение более значительных ресурсов на адресные программы, осуществляемые в контексте проводимой на рынке труда политики, в 2004 году открытая безработица возросла, а занятость дополнительно снизилась.  В 2005 году продолжался мощный экономический рост, который тем не менее не привел к сокращению безработицы:  6,0% населения были охвачены открытой безработицей (5,7% женщин и </w:t>
      </w:r>
      <w:proofErr w:type="spellStart"/>
      <w:r>
        <w:t>6,2%</w:t>
      </w:r>
      <w:proofErr w:type="spellEnd"/>
      <w:r>
        <w:t xml:space="preserve"> мужчин), а показатель занятости составил </w:t>
      </w:r>
      <w:proofErr w:type="spellStart"/>
      <w:r>
        <w:t>73,9%</w:t>
      </w:r>
      <w:proofErr w:type="spellEnd"/>
      <w:r>
        <w:t xml:space="preserve"> (</w:t>
      </w:r>
      <w:proofErr w:type="spellStart"/>
      <w:r>
        <w:t>71,9%</w:t>
      </w:r>
      <w:proofErr w:type="spellEnd"/>
      <w:r>
        <w:t xml:space="preserve">  женщин и </w:t>
      </w:r>
      <w:proofErr w:type="spellStart"/>
      <w:r>
        <w:t>75,9%</w:t>
      </w:r>
      <w:proofErr w:type="spellEnd"/>
      <w:r>
        <w:t xml:space="preserve"> мужчин)</w:t>
      </w:r>
      <w:r>
        <w:rPr>
          <w:rStyle w:val="FootnoteReference"/>
        </w:rPr>
        <w:footnoteReference w:id="5"/>
      </w:r>
      <w:r>
        <w:t>.  Полная безработица выше среди мужчин по сравнению с женщинами, однако в случае частичной безработицы наблюдается обратная ситуация.  Женщины в значительно большей степени затронуты феноменом частичной безработицы.</w:t>
      </w:r>
    </w:p>
    <w:p w:rsidR="00000000" w:rsidRDefault="00000000"/>
    <w:p w:rsidR="00000000" w:rsidRDefault="00000000">
      <w:pPr>
        <w:keepNext/>
        <w:jc w:val="center"/>
        <w:rPr>
          <w:b/>
          <w:bCs/>
        </w:rPr>
      </w:pPr>
      <w:r>
        <w:rPr>
          <w:b/>
          <w:bCs/>
        </w:rPr>
        <w:t>Таблица 6.1</w:t>
      </w:r>
    </w:p>
    <w:p w:rsidR="00000000" w:rsidRDefault="00000000">
      <w:pPr>
        <w:keepNext/>
        <w:jc w:val="center"/>
        <w:rPr>
          <w:b/>
          <w:bCs/>
        </w:rPr>
      </w:pPr>
    </w:p>
    <w:p w:rsidR="00000000" w:rsidRDefault="00000000">
      <w:pPr>
        <w:keepNext/>
        <w:jc w:val="center"/>
        <w:rPr>
          <w:b/>
          <w:bCs/>
        </w:rPr>
      </w:pPr>
      <w:r>
        <w:rPr>
          <w:b/>
          <w:bCs/>
        </w:rPr>
        <w:t xml:space="preserve">Частично безработные в возрасте 16-64 лет в процентном отношении </w:t>
      </w:r>
    </w:p>
    <w:p w:rsidR="00000000" w:rsidRDefault="00000000">
      <w:pPr>
        <w:keepNext/>
        <w:jc w:val="center"/>
        <w:rPr>
          <w:b/>
          <w:bCs/>
        </w:rPr>
      </w:pPr>
      <w:r>
        <w:rPr>
          <w:b/>
          <w:bCs/>
        </w:rPr>
        <w:t xml:space="preserve">от численности лиц, ищущих работу в течение </w:t>
      </w:r>
    </w:p>
    <w:p w:rsidR="00000000" w:rsidRDefault="00000000">
      <w:pPr>
        <w:keepNext/>
        <w:jc w:val="center"/>
        <w:rPr>
          <w:b/>
          <w:bCs/>
        </w:rPr>
      </w:pPr>
      <w:r>
        <w:rPr>
          <w:b/>
          <w:bCs/>
        </w:rPr>
        <w:t>полного или неполного рабочего дня</w:t>
      </w:r>
    </w:p>
    <w:p w:rsidR="00000000" w:rsidRDefault="00000000">
      <w:pPr>
        <w:keepNext/>
        <w:rPr>
          <w:b/>
          <w:bCs/>
        </w:rPr>
      </w:pPr>
    </w:p>
    <w:tbl>
      <w:tblPr>
        <w:tblW w:w="0" w:type="auto"/>
        <w:jc w:val="center"/>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6"/>
        <w:gridCol w:w="1976"/>
        <w:gridCol w:w="1976"/>
      </w:tblGrid>
      <w:tr w:rsidR="00000000">
        <w:tblPrEx>
          <w:tblCellMar>
            <w:top w:w="0" w:type="dxa"/>
            <w:bottom w:w="0" w:type="dxa"/>
          </w:tblCellMar>
        </w:tblPrEx>
        <w:trPr>
          <w:jc w:val="center"/>
        </w:trPr>
        <w:tc>
          <w:tcPr>
            <w:tcW w:w="1976" w:type="dxa"/>
          </w:tcPr>
          <w:p w:rsidR="00000000" w:rsidRDefault="00000000">
            <w:pPr>
              <w:keepNext/>
              <w:spacing w:line="240" w:lineRule="auto"/>
              <w:jc w:val="center"/>
              <w:rPr>
                <w:b/>
                <w:bCs/>
              </w:rPr>
            </w:pPr>
            <w:r>
              <w:rPr>
                <w:b/>
                <w:bCs/>
              </w:rPr>
              <w:t>Год</w:t>
            </w:r>
          </w:p>
        </w:tc>
        <w:tc>
          <w:tcPr>
            <w:tcW w:w="1976" w:type="dxa"/>
          </w:tcPr>
          <w:p w:rsidR="00000000" w:rsidRDefault="00000000">
            <w:pPr>
              <w:keepNext/>
              <w:spacing w:line="240" w:lineRule="auto"/>
              <w:jc w:val="center"/>
              <w:rPr>
                <w:b/>
                <w:bCs/>
              </w:rPr>
            </w:pPr>
            <w:r>
              <w:rPr>
                <w:b/>
                <w:bCs/>
              </w:rPr>
              <w:t>Женщины</w:t>
            </w:r>
          </w:p>
        </w:tc>
        <w:tc>
          <w:tcPr>
            <w:tcW w:w="1976" w:type="dxa"/>
          </w:tcPr>
          <w:p w:rsidR="00000000" w:rsidRDefault="00000000">
            <w:pPr>
              <w:keepNext/>
              <w:spacing w:line="240" w:lineRule="auto"/>
              <w:jc w:val="center"/>
              <w:rPr>
                <w:b/>
                <w:bCs/>
              </w:rPr>
            </w:pPr>
            <w:r>
              <w:rPr>
                <w:b/>
                <w:bCs/>
              </w:rPr>
              <w:t>Мужчины</w:t>
            </w:r>
          </w:p>
        </w:tc>
      </w:tr>
      <w:tr w:rsidR="00000000">
        <w:tblPrEx>
          <w:tblCellMar>
            <w:top w:w="0" w:type="dxa"/>
            <w:bottom w:w="0" w:type="dxa"/>
          </w:tblCellMar>
        </w:tblPrEx>
        <w:trPr>
          <w:jc w:val="center"/>
        </w:trPr>
        <w:tc>
          <w:tcPr>
            <w:tcW w:w="1976" w:type="dxa"/>
          </w:tcPr>
          <w:p w:rsidR="00000000" w:rsidRDefault="00000000">
            <w:pPr>
              <w:spacing w:line="240" w:lineRule="auto"/>
              <w:jc w:val="center"/>
              <w:rPr>
                <w:lang w:val="en-US"/>
              </w:rPr>
            </w:pPr>
            <w:r>
              <w:rPr>
                <w:lang w:val="en-US"/>
              </w:rPr>
              <w:t>2001</w:t>
            </w:r>
          </w:p>
        </w:tc>
        <w:tc>
          <w:tcPr>
            <w:tcW w:w="1976" w:type="dxa"/>
            <w:vAlign w:val="center"/>
          </w:tcPr>
          <w:p w:rsidR="00000000" w:rsidRDefault="00000000">
            <w:pPr>
              <w:spacing w:line="240" w:lineRule="auto"/>
              <w:jc w:val="center"/>
              <w:rPr>
                <w:lang w:val="en-US"/>
              </w:rPr>
            </w:pPr>
            <w:r>
              <w:rPr>
                <w:lang w:val="en-US"/>
              </w:rPr>
              <w:t>48</w:t>
            </w:r>
          </w:p>
        </w:tc>
        <w:tc>
          <w:tcPr>
            <w:tcW w:w="1976" w:type="dxa"/>
            <w:vAlign w:val="center"/>
          </w:tcPr>
          <w:p w:rsidR="00000000" w:rsidRDefault="00000000">
            <w:pPr>
              <w:spacing w:line="240" w:lineRule="auto"/>
              <w:jc w:val="center"/>
              <w:rPr>
                <w:lang w:val="en-US"/>
              </w:rPr>
            </w:pPr>
            <w:r>
              <w:rPr>
                <w:lang w:val="en-US"/>
              </w:rPr>
              <w:t>15</w:t>
            </w:r>
          </w:p>
        </w:tc>
      </w:tr>
      <w:tr w:rsidR="00000000">
        <w:tblPrEx>
          <w:tblCellMar>
            <w:top w:w="0" w:type="dxa"/>
            <w:bottom w:w="0" w:type="dxa"/>
          </w:tblCellMar>
        </w:tblPrEx>
        <w:trPr>
          <w:jc w:val="center"/>
        </w:trPr>
        <w:tc>
          <w:tcPr>
            <w:tcW w:w="1976" w:type="dxa"/>
          </w:tcPr>
          <w:p w:rsidR="00000000" w:rsidRDefault="00000000">
            <w:pPr>
              <w:spacing w:line="240" w:lineRule="auto"/>
              <w:jc w:val="center"/>
              <w:rPr>
                <w:lang w:val="en-US"/>
              </w:rPr>
            </w:pPr>
            <w:r>
              <w:rPr>
                <w:lang w:val="en-US"/>
              </w:rPr>
              <w:t>2002</w:t>
            </w:r>
          </w:p>
        </w:tc>
        <w:tc>
          <w:tcPr>
            <w:tcW w:w="1976" w:type="dxa"/>
            <w:vAlign w:val="center"/>
          </w:tcPr>
          <w:p w:rsidR="00000000" w:rsidRDefault="00000000">
            <w:pPr>
              <w:spacing w:line="240" w:lineRule="auto"/>
              <w:jc w:val="center"/>
              <w:rPr>
                <w:lang w:val="en-US"/>
              </w:rPr>
            </w:pPr>
            <w:r>
              <w:rPr>
                <w:lang w:val="en-US"/>
              </w:rPr>
              <w:t>46</w:t>
            </w:r>
          </w:p>
        </w:tc>
        <w:tc>
          <w:tcPr>
            <w:tcW w:w="1976" w:type="dxa"/>
            <w:vAlign w:val="center"/>
          </w:tcPr>
          <w:p w:rsidR="00000000" w:rsidRDefault="00000000">
            <w:pPr>
              <w:spacing w:line="240" w:lineRule="auto"/>
              <w:jc w:val="center"/>
              <w:rPr>
                <w:lang w:val="en-US"/>
              </w:rPr>
            </w:pPr>
            <w:r>
              <w:rPr>
                <w:lang w:val="en-US"/>
              </w:rPr>
              <w:t>13</w:t>
            </w:r>
          </w:p>
        </w:tc>
      </w:tr>
      <w:tr w:rsidR="00000000">
        <w:tblPrEx>
          <w:tblCellMar>
            <w:top w:w="0" w:type="dxa"/>
            <w:bottom w:w="0" w:type="dxa"/>
          </w:tblCellMar>
        </w:tblPrEx>
        <w:trPr>
          <w:jc w:val="center"/>
        </w:trPr>
        <w:tc>
          <w:tcPr>
            <w:tcW w:w="1976" w:type="dxa"/>
          </w:tcPr>
          <w:p w:rsidR="00000000" w:rsidRDefault="00000000">
            <w:pPr>
              <w:spacing w:line="240" w:lineRule="auto"/>
              <w:jc w:val="center"/>
              <w:rPr>
                <w:lang w:val="en-US"/>
              </w:rPr>
            </w:pPr>
            <w:r>
              <w:rPr>
                <w:lang w:val="en-US"/>
              </w:rPr>
              <w:t>2003</w:t>
            </w:r>
          </w:p>
        </w:tc>
        <w:tc>
          <w:tcPr>
            <w:tcW w:w="1976" w:type="dxa"/>
            <w:vAlign w:val="center"/>
          </w:tcPr>
          <w:p w:rsidR="00000000" w:rsidRDefault="00000000">
            <w:pPr>
              <w:spacing w:line="240" w:lineRule="auto"/>
              <w:jc w:val="center"/>
              <w:rPr>
                <w:lang w:val="en-US"/>
              </w:rPr>
            </w:pPr>
            <w:r>
              <w:rPr>
                <w:lang w:val="en-US"/>
              </w:rPr>
              <w:t>39</w:t>
            </w:r>
          </w:p>
        </w:tc>
        <w:tc>
          <w:tcPr>
            <w:tcW w:w="1976" w:type="dxa"/>
            <w:vAlign w:val="center"/>
          </w:tcPr>
          <w:p w:rsidR="00000000" w:rsidRDefault="00000000">
            <w:pPr>
              <w:spacing w:line="240" w:lineRule="auto"/>
              <w:jc w:val="center"/>
              <w:rPr>
                <w:lang w:val="en-US"/>
              </w:rPr>
            </w:pPr>
            <w:r>
              <w:rPr>
                <w:lang w:val="en-US"/>
              </w:rPr>
              <w:t>11</w:t>
            </w:r>
          </w:p>
        </w:tc>
      </w:tr>
      <w:tr w:rsidR="00000000">
        <w:tblPrEx>
          <w:tblCellMar>
            <w:top w:w="0" w:type="dxa"/>
            <w:bottom w:w="0" w:type="dxa"/>
          </w:tblCellMar>
        </w:tblPrEx>
        <w:trPr>
          <w:jc w:val="center"/>
        </w:trPr>
        <w:tc>
          <w:tcPr>
            <w:tcW w:w="1976" w:type="dxa"/>
          </w:tcPr>
          <w:p w:rsidR="00000000" w:rsidRDefault="00000000">
            <w:pPr>
              <w:spacing w:line="240" w:lineRule="auto"/>
              <w:jc w:val="center"/>
              <w:rPr>
                <w:lang w:val="en-US"/>
              </w:rPr>
            </w:pPr>
            <w:r>
              <w:rPr>
                <w:lang w:val="en-US"/>
              </w:rPr>
              <w:t>2004</w:t>
            </w:r>
          </w:p>
        </w:tc>
        <w:tc>
          <w:tcPr>
            <w:tcW w:w="1976" w:type="dxa"/>
            <w:vAlign w:val="center"/>
          </w:tcPr>
          <w:p w:rsidR="00000000" w:rsidRDefault="00000000">
            <w:pPr>
              <w:spacing w:line="240" w:lineRule="auto"/>
              <w:jc w:val="center"/>
              <w:rPr>
                <w:lang w:val="en-US"/>
              </w:rPr>
            </w:pPr>
            <w:r>
              <w:rPr>
                <w:lang w:val="en-US"/>
              </w:rPr>
              <w:t>35</w:t>
            </w:r>
          </w:p>
        </w:tc>
        <w:tc>
          <w:tcPr>
            <w:tcW w:w="1976" w:type="dxa"/>
            <w:vAlign w:val="center"/>
          </w:tcPr>
          <w:p w:rsidR="00000000" w:rsidRDefault="00000000">
            <w:pPr>
              <w:spacing w:line="240" w:lineRule="auto"/>
              <w:jc w:val="center"/>
              <w:rPr>
                <w:lang w:val="en-US"/>
              </w:rPr>
            </w:pPr>
            <w:r>
              <w:rPr>
                <w:lang w:val="en-US"/>
              </w:rPr>
              <w:t>11</w:t>
            </w:r>
          </w:p>
        </w:tc>
      </w:tr>
      <w:tr w:rsidR="00000000">
        <w:tblPrEx>
          <w:tblCellMar>
            <w:top w:w="0" w:type="dxa"/>
            <w:bottom w:w="0" w:type="dxa"/>
          </w:tblCellMar>
        </w:tblPrEx>
        <w:trPr>
          <w:jc w:val="center"/>
        </w:trPr>
        <w:tc>
          <w:tcPr>
            <w:tcW w:w="1976" w:type="dxa"/>
          </w:tcPr>
          <w:p w:rsidR="00000000" w:rsidRDefault="00000000">
            <w:pPr>
              <w:spacing w:line="240" w:lineRule="auto"/>
              <w:jc w:val="center"/>
              <w:rPr>
                <w:lang w:val="en-US"/>
              </w:rPr>
            </w:pPr>
            <w:r>
              <w:rPr>
                <w:lang w:val="en-US"/>
              </w:rPr>
              <w:t>2005</w:t>
            </w:r>
          </w:p>
        </w:tc>
        <w:tc>
          <w:tcPr>
            <w:tcW w:w="1976" w:type="dxa"/>
            <w:vAlign w:val="center"/>
          </w:tcPr>
          <w:p w:rsidR="00000000" w:rsidRDefault="00000000">
            <w:pPr>
              <w:spacing w:line="240" w:lineRule="auto"/>
              <w:jc w:val="center"/>
              <w:rPr>
                <w:lang w:val="en-US"/>
              </w:rPr>
            </w:pPr>
            <w:r>
              <w:rPr>
                <w:lang w:val="en-US"/>
              </w:rPr>
              <w:t>33</w:t>
            </w:r>
          </w:p>
        </w:tc>
        <w:tc>
          <w:tcPr>
            <w:tcW w:w="1976" w:type="dxa"/>
            <w:vAlign w:val="center"/>
          </w:tcPr>
          <w:p w:rsidR="00000000" w:rsidRDefault="00000000">
            <w:pPr>
              <w:spacing w:line="240" w:lineRule="auto"/>
              <w:jc w:val="center"/>
              <w:rPr>
                <w:lang w:val="en-US"/>
              </w:rPr>
            </w:pPr>
            <w:r>
              <w:rPr>
                <w:lang w:val="en-US"/>
              </w:rPr>
              <w:t>11</w:t>
            </w:r>
          </w:p>
        </w:tc>
      </w:tr>
    </w:tbl>
    <w:p w:rsidR="00000000" w:rsidRDefault="00000000">
      <w:pPr>
        <w:rPr>
          <w:lang w:val="en-US"/>
        </w:rPr>
      </w:pPr>
    </w:p>
    <w:p w:rsidR="00000000" w:rsidRDefault="00000000">
      <w:pPr>
        <w:tabs>
          <w:tab w:val="left" w:pos="2552"/>
        </w:tabs>
        <w:rPr>
          <w:lang w:val="en-US"/>
        </w:rPr>
      </w:pPr>
      <w:r>
        <w:tab/>
      </w:r>
      <w:r>
        <w:tab/>
      </w:r>
      <w:r>
        <w:tab/>
      </w:r>
      <w:r>
        <w:rPr>
          <w:i/>
          <w:iCs/>
        </w:rPr>
        <w:t>Источник</w:t>
      </w:r>
      <w:r>
        <w:rPr>
          <w:lang w:val="en-US"/>
        </w:rPr>
        <w:t xml:space="preserve">:  National </w:t>
      </w:r>
      <w:proofErr w:type="spellStart"/>
      <w:r>
        <w:rPr>
          <w:lang w:val="en-US"/>
        </w:rPr>
        <w:t>Labour</w:t>
      </w:r>
      <w:proofErr w:type="spellEnd"/>
      <w:r>
        <w:rPr>
          <w:lang w:val="en-US"/>
        </w:rPr>
        <w:t xml:space="preserve"> Market Board.</w:t>
      </w:r>
    </w:p>
    <w:p w:rsidR="00000000" w:rsidRDefault="00000000">
      <w:pPr>
        <w:rPr>
          <w:lang w:val="en-US"/>
        </w:rPr>
      </w:pPr>
    </w:p>
    <w:p w:rsidR="00000000" w:rsidRDefault="00000000">
      <w:r>
        <w:t>64.</w:t>
      </w:r>
      <w:r>
        <w:tab/>
        <w:t>В целях решения проблемы недобровольной частичной безработицы правительство назначило комитет для изучения возможности укрепления права на полную занятость.  В конце ноября 2005 года комитет подготовил свои рекомендации для правительства (</w:t>
      </w:r>
      <w:proofErr w:type="spellStart"/>
      <w:r>
        <w:rPr>
          <w:lang w:val="en-US"/>
        </w:rPr>
        <w:t>SOU</w:t>
      </w:r>
      <w:proofErr w:type="spellEnd"/>
      <w:r>
        <w:t xml:space="preserve"> 2004:50).  В конце осени 2006 года правительство намеревается принять решение о том, чтобы препроводить предложение, предусматривающее более эффективное обеспечение прав на полную занятость, на рассмотрение Совета по законодательству.</w:t>
      </w:r>
    </w:p>
    <w:p w:rsidR="00000000" w:rsidRDefault="00000000"/>
    <w:p w:rsidR="00000000" w:rsidRDefault="00000000">
      <w:r>
        <w:t>65.</w:t>
      </w:r>
      <w:r>
        <w:tab/>
        <w:t xml:space="preserve">На рубеже нового тысячелетия также резко возросла численность лиц, находящихся в отпуске по болезни.  В ответ на это правительство поставило задачу снизить вдвое к 2008 году по сравнению с 2002 годом количество дней выплаты пособия по болезни при одновременном сокращении числа новых случаев выплаты компенсации по болезни и компенсации в связи с осуществляемой деятельностью.  Правительство считает благоприятными условия для достижения этой цели к 2008 году.  В контексте временной утраты трудоспособности по причине заболеваний между мужчинами и женщинами прослеживаются большие различия.  На женщин приходится 62% общего количества дней выплаты пособия по болезни, а на мужчин - 38%.  В последние годы количество дней выплаты пособия по болезни для мужчин и женщин сократилось на одинаковую величину.  В сравнении с 2002 годом количество дней выплаты пособия по болезни снизилось на 31%.  По сравнению с мужчинами женщины чаще находятся в частичном отпуске по болезни.  По состоянию на март 2006 года </w:t>
      </w:r>
      <w:proofErr w:type="spellStart"/>
      <w:r>
        <w:t>37%</w:t>
      </w:r>
      <w:proofErr w:type="spellEnd"/>
      <w:r>
        <w:t xml:space="preserve"> женщин и 32% мужчин, не работавших по причине болезни, находились в частичном отпуске.  </w:t>
      </w:r>
    </w:p>
    <w:p w:rsidR="00000000" w:rsidRDefault="00000000"/>
    <w:p w:rsidR="00000000" w:rsidRDefault="00000000">
      <w:r>
        <w:t>66.</w:t>
      </w:r>
      <w:r>
        <w:tab/>
        <w:t>Приблизительно 60% страховых случаев, связанных с выплатой пособия по болезни (пособие по линии социального страхования, которое наряду с компенсацией в связи с осуществляемой деятельностью заменило прежние выплаты пенсии по инвалидности и пенсии по болезни в 2003 году), приходится на женщин и 40% - на мужчин.  Женщины составляют 67% лиц, получающих полновременное пособие по болезни.  Женщины также чаще по сравнению с мужчинами получают частичное пособие.  Причины, по которым больше женщин, нежели мужчин, получают пособие по болезни, неясны.  Одна из причин может заключаться в том, что среди женщин больше распространена работа в режиме неполного рабочего дня и что объем пособия по болезни связан с характером предыдущей работы, а не с фактической нетрудоспособностью.  В среднем соответствующее пособие является частичным для каждой третьей женщины, получающей пособие по болезни или компенсацию в связи с осуществляемой деятельностью и для каждого пятого мужчины.</w:t>
      </w:r>
    </w:p>
    <w:p w:rsidR="00000000" w:rsidRDefault="00000000"/>
    <w:p w:rsidR="00000000" w:rsidRDefault="00000000">
      <w:r>
        <w:t>67.</w:t>
      </w:r>
      <w:r>
        <w:tab/>
        <w:t xml:space="preserve">По просьбе правительства Управление социального страхования провело </w:t>
      </w:r>
      <w:proofErr w:type="spellStart"/>
      <w:r>
        <w:t>гендерный</w:t>
      </w:r>
      <w:proofErr w:type="spellEnd"/>
      <w:r>
        <w:t xml:space="preserve"> анализ схем социального страхования.  В окончательном докладе Управления рассматривается ряд задач и проблем, касающихся урегулирования случаев социального страхования, главным образом пособий, связанных со страхованием по болезни.  В целях обеспечения того, чтобы случаи страхования по болезни регулировались для мужчин и женщин на равной основе, правительство поручило Управлению социального страхования подготовить план учета </w:t>
      </w:r>
      <w:proofErr w:type="spellStart"/>
      <w:r>
        <w:t>гендерных</w:t>
      </w:r>
      <w:proofErr w:type="spellEnd"/>
      <w:r>
        <w:t xml:space="preserve"> факторов в процессе применения схем социального страхования.</w:t>
      </w:r>
    </w:p>
    <w:p w:rsidR="00000000" w:rsidRDefault="00000000"/>
    <w:p w:rsidR="00000000" w:rsidRDefault="00000000">
      <w:r>
        <w:t>68.</w:t>
      </w:r>
      <w:r>
        <w:tab/>
        <w:t xml:space="preserve">С тем чтобы содействовать переходу от упора на пособия к </w:t>
      </w:r>
      <w:proofErr w:type="spellStart"/>
      <w:r>
        <w:t>самоподдержке</w:t>
      </w:r>
      <w:proofErr w:type="spellEnd"/>
      <w:r>
        <w:t xml:space="preserve"> посредством занятости, правительство назначило Комитет по вопросам переориентации с социальной помощи на трудовую деятельность.  Комитет представит свой окончательный доклад 1 ноября 2006 года.</w:t>
      </w:r>
    </w:p>
    <w:p w:rsidR="00000000" w:rsidRDefault="00000000"/>
    <w:p w:rsidR="00000000" w:rsidRDefault="00000000">
      <w:r>
        <w:t>69.</w:t>
      </w:r>
      <w:r>
        <w:tab/>
        <w:t>В законопроекте о бюджете 2006 года правительство предложило пакет мер, направленных на увеличение занятости и сокращение безработицы.  В результате осуществления этого пакета мер ожидается обеспечить занятость, прохождение стажировки или обучение примерно для 55 000 человек.  Основная часть инициатив будет реализована в рамках политики, проводимой на рынке труда, и повлечет за собой осуществление программ улучшения занятости или повышения квалификации для более 40 000 безработных.  Правительство также предложило ряд инициатив, предусматривающих расширение возможностей занятости инвалидов, трудоспособность которых ограничена, включая трехэтапную схему повышения их пригодности к трудовой деятельности.  Кроме того, выдвинутые предложения предусматривают отведение новой роли государственной компании с ограниченной ответственностью "</w:t>
      </w:r>
      <w:proofErr w:type="spellStart"/>
      <w:r>
        <w:t>Самхалл</w:t>
      </w:r>
      <w:proofErr w:type="spellEnd"/>
      <w:r>
        <w:t xml:space="preserve">", которая предлагает работу инвалидам, а также увеличение порогового показателя для субсидирования заработной платы.  </w:t>
      </w:r>
    </w:p>
    <w:p w:rsidR="00000000" w:rsidRDefault="00000000"/>
    <w:p w:rsidR="00000000" w:rsidRDefault="00000000">
      <w:pPr>
        <w:keepNext/>
        <w:rPr>
          <w:b/>
          <w:bCs/>
          <w:i/>
          <w:iCs/>
        </w:rPr>
      </w:pPr>
      <w:r>
        <w:rPr>
          <w:b/>
          <w:bCs/>
          <w:i/>
          <w:iCs/>
        </w:rPr>
        <w:t xml:space="preserve">Адресные программы, осуществляющиеся в контексте проведения </w:t>
      </w:r>
    </w:p>
    <w:p w:rsidR="00000000" w:rsidRDefault="00000000">
      <w:pPr>
        <w:keepNext/>
        <w:rPr>
          <w:b/>
          <w:bCs/>
          <w:i/>
          <w:iCs/>
        </w:rPr>
      </w:pPr>
      <w:r>
        <w:rPr>
          <w:b/>
          <w:bCs/>
          <w:i/>
          <w:iCs/>
        </w:rPr>
        <w:t>политики на рынке труда</w:t>
      </w:r>
    </w:p>
    <w:p w:rsidR="00000000" w:rsidRDefault="00000000">
      <w:pPr>
        <w:keepNext/>
        <w:rPr>
          <w:b/>
          <w:bCs/>
          <w:i/>
          <w:iCs/>
        </w:rPr>
      </w:pPr>
    </w:p>
    <w:p w:rsidR="00000000" w:rsidRDefault="00000000">
      <w:pPr>
        <w:keepNext/>
      </w:pPr>
      <w:r>
        <w:t>70.</w:t>
      </w:r>
      <w:r>
        <w:tab/>
        <w:t xml:space="preserve">Адресные программы, осуществляющиеся в контексте проведения политики на рынке труда, призваны различными путями обеспечить повышение уровня квалификации и знаний ищущих работу лиц в целях укрепления их положения на рынке труда и расширения возможностей для получения работы.  Эти программы также призваны содействовать достижению того, чтобы лица, ищущие работу, обладали такими профессиональными навыками, которые пользуются спросом, и тем самым предупредить нехватку рабочей силы (возникновение "узких мест"), влекущую за собой инфляцию и препятствующую экономическому росту.  Задача некоторых программ заключается в том, чтобы стимулировать работодателей к найму на работу определенных категорий безработных.  </w:t>
      </w:r>
    </w:p>
    <w:p w:rsidR="00000000" w:rsidRDefault="00000000"/>
    <w:p w:rsidR="00000000" w:rsidRDefault="00000000">
      <w:r>
        <w:t>71.</w:t>
      </w:r>
      <w:r>
        <w:tab/>
        <w:t>1 января 2006 года был внедрен усовершенствованный механизм субсидирования занятости, именуемый "</w:t>
      </w:r>
      <w:proofErr w:type="spellStart"/>
      <w:r>
        <w:rPr>
          <w:lang w:val="en-US"/>
        </w:rPr>
        <w:t>Plusj</w:t>
      </w:r>
      <w:proofErr w:type="spellEnd"/>
      <w:r>
        <w:t>о</w:t>
      </w:r>
      <w:r>
        <w:rPr>
          <w:lang w:val="en-US"/>
        </w:rPr>
        <w:t>bb</w:t>
      </w:r>
      <w:r>
        <w:t>".  Механизм ""</w:t>
      </w:r>
      <w:proofErr w:type="spellStart"/>
      <w:r>
        <w:rPr>
          <w:lang w:val="en-US"/>
        </w:rPr>
        <w:t>Plusj</w:t>
      </w:r>
      <w:proofErr w:type="spellEnd"/>
      <w:r>
        <w:t>о</w:t>
      </w:r>
      <w:r>
        <w:rPr>
          <w:lang w:val="en-US"/>
        </w:rPr>
        <w:t>bb</w:t>
      </w:r>
      <w:r>
        <w:t>"" связан с занятостью по линии государственных учреждений, муниципалитетов, ассоциаций местных властей и подрядчиков, нанимаемых этими организациями.  В целевую группу входят безработные, зарегистрированные в Службе занятости по меньшей мере в течение двух лет.</w:t>
      </w:r>
    </w:p>
    <w:p w:rsidR="00000000" w:rsidRDefault="00000000"/>
    <w:p w:rsidR="00000000" w:rsidRDefault="00000000">
      <w:r>
        <w:t>72.</w:t>
      </w:r>
      <w:r>
        <w:tab/>
        <w:t>На 2006 и 2007 годы вновь была введена в действие схема временной стажерской подмены.  Схема временной стажерской подмены направлена на то, чтобы предприятия и организации государственного сектора могли осуществлять вложения на цели более совершенной подготовки и образования своего персонала при одновременном предоставлении 10 000 безработным мужчинам и женщинам возможности для накопления производственного опыта.  На этот раз схема ориентирована на сектор здравоохранения и имеет целью повышение уровня образования наименее образованных сотрудников.</w:t>
      </w:r>
    </w:p>
    <w:p w:rsidR="00000000" w:rsidRDefault="00000000"/>
    <w:p w:rsidR="00000000" w:rsidRDefault="00000000">
      <w:r>
        <w:t>73.</w:t>
      </w:r>
      <w:r>
        <w:tab/>
        <w:t xml:space="preserve">В 2004 году в 12 муниципалитетах был завершен </w:t>
      </w:r>
      <w:proofErr w:type="spellStart"/>
      <w:r>
        <w:t>пилотный</w:t>
      </w:r>
      <w:proofErr w:type="spellEnd"/>
      <w:r>
        <w:t xml:space="preserve"> проект, предусматривающий предоставление академического отпуска.  С января 2005 года схема предоставления академических отпусков была развернута на общенациональной основе.  Эта схема позволяет работнику ходатайствовать о получении академического отпуска продолжительностью от 3 до 12 месяцев, если его замещает безработный.  Штатному сотруднику, находящемуся в академическом отпуске, выплачивается </w:t>
      </w:r>
      <w:proofErr w:type="spellStart"/>
      <w:r>
        <w:t>85%</w:t>
      </w:r>
      <w:proofErr w:type="spellEnd"/>
      <w:r>
        <w:t xml:space="preserve"> от той суммы, которую он получал бы в качестве безработного лица, получающего компенсацию в связи с осуществляемой деятельностью. </w:t>
      </w:r>
    </w:p>
    <w:p w:rsidR="00000000" w:rsidRDefault="00000000"/>
    <w:p w:rsidR="00000000" w:rsidRDefault="00000000">
      <w:r>
        <w:t>74.</w:t>
      </w:r>
      <w:r>
        <w:tab/>
        <w:t>Участники адресных программ, реализуемых в контексте проведения политики на рынке труда и не предусматривающих оплачиваемую работу по найму, получают пособие в форме компенсации за осуществляемую деятельность.  Размер компенсации за осуществляемую деятельность для лиц, которые имеют право на компенсацию по безработице, равен сумме пособия, которое они получали бы, если бы были безработными, но не участвовали при этом в схеме.  Другие участники получают 223 шведские кроны в день в качестве компенсации за осуществляемую деятельность.</w:t>
      </w:r>
    </w:p>
    <w:p w:rsidR="00000000" w:rsidRDefault="00000000"/>
    <w:p w:rsidR="00000000" w:rsidRDefault="00000000">
      <w:pPr>
        <w:rPr>
          <w:b/>
          <w:bCs/>
          <w:i/>
          <w:iCs/>
        </w:rPr>
      </w:pPr>
      <w:proofErr w:type="spellStart"/>
      <w:r>
        <w:rPr>
          <w:b/>
          <w:bCs/>
          <w:i/>
          <w:iCs/>
        </w:rPr>
        <w:t>Гендерная</w:t>
      </w:r>
      <w:proofErr w:type="spellEnd"/>
      <w:r>
        <w:rPr>
          <w:b/>
          <w:bCs/>
          <w:i/>
          <w:iCs/>
        </w:rPr>
        <w:t xml:space="preserve"> сегрегация на рынке труда</w:t>
      </w:r>
    </w:p>
    <w:p w:rsidR="00000000" w:rsidRDefault="00000000">
      <w:pPr>
        <w:rPr>
          <w:b/>
          <w:bCs/>
          <w:i/>
          <w:iCs/>
        </w:rPr>
      </w:pPr>
    </w:p>
    <w:p w:rsidR="00000000" w:rsidRDefault="00000000">
      <w:r>
        <w:t>75.</w:t>
      </w:r>
      <w:r>
        <w:tab/>
        <w:t xml:space="preserve">Несмотря на большое стремление Швеции к обеспечению </w:t>
      </w:r>
      <w:proofErr w:type="spellStart"/>
      <w:r>
        <w:t>гендерного</w:t>
      </w:r>
      <w:proofErr w:type="spellEnd"/>
      <w:r>
        <w:t xml:space="preserve"> равенства, на шведском рынке труда прослеживаются </w:t>
      </w:r>
      <w:proofErr w:type="spellStart"/>
      <w:r>
        <w:t>гендерные</w:t>
      </w:r>
      <w:proofErr w:type="spellEnd"/>
      <w:r>
        <w:t xml:space="preserve"> различия (см. пункты 19 и 30 </w:t>
      </w:r>
      <w:r>
        <w:rPr>
          <w:i/>
          <w:iCs/>
        </w:rPr>
        <w:t>Заключительных замечаний</w:t>
      </w:r>
      <w:r>
        <w:t>).  Хотя доля работающих среди мужчин и женщин является практически одинаковой, для шведского рынка труда по</w:t>
      </w:r>
      <w:r>
        <w:noBreakHyphen/>
        <w:t xml:space="preserve">прежнему характерна явно выраженная </w:t>
      </w:r>
      <w:proofErr w:type="spellStart"/>
      <w:r>
        <w:t>гендерная</w:t>
      </w:r>
      <w:proofErr w:type="spellEnd"/>
      <w:r>
        <w:t xml:space="preserve"> сегрегация, несмотря на некоторое сглаживание различий в 1990</w:t>
      </w:r>
      <w:r>
        <w:noBreakHyphen/>
        <w:t>е годы.  Основной движущей силой для изменений выступают женщины.</w:t>
      </w:r>
    </w:p>
    <w:p w:rsidR="00000000" w:rsidRDefault="00000000"/>
    <w:p w:rsidR="00000000" w:rsidRDefault="00000000">
      <w:r>
        <w:t>76.</w:t>
      </w:r>
      <w:r>
        <w:tab/>
        <w:t xml:space="preserve">Женщины в большей мере по сравнению с мужчинами расширили базовый выбор профессий и в еще большей мере внедряются в сферу тех требующих высшего образования профессий, где доминирующее положение занимают мужчины.  Аналогичные сдвиги отсутствуют в тех профессиональных сферах, где доминируют мужчины и установлены низкие образовательные требования.  Мужчинам не удалось закрепиться в тех профессиональных сферах, где доминируют женщины, независимо от того, предъявляются ли там низкие или высокие образовательные требования.  Половина всех женщин в возрасте 20-64 лет работают в государственном секторе и половина - в частном секторе.  Среди мужчин той же возрастной группы примерно </w:t>
      </w:r>
      <w:proofErr w:type="spellStart"/>
      <w:r>
        <w:t>20%</w:t>
      </w:r>
      <w:proofErr w:type="spellEnd"/>
      <w:r>
        <w:t xml:space="preserve"> работают в государственном секторе и около </w:t>
      </w:r>
      <w:proofErr w:type="spellStart"/>
      <w:r>
        <w:t>80%</w:t>
      </w:r>
      <w:proofErr w:type="spellEnd"/>
      <w:r>
        <w:t xml:space="preserve"> - в частном секторе.</w:t>
      </w:r>
    </w:p>
    <w:p w:rsidR="00000000" w:rsidRDefault="00000000"/>
    <w:p w:rsidR="00000000" w:rsidRDefault="00000000">
      <w:r>
        <w:t>77.</w:t>
      </w:r>
      <w:r>
        <w:tab/>
        <w:t xml:space="preserve">Женщины и мужчины находятся на различных иерархических ступенях рынка труда, поскольку женщины реже по сравнению с мужчинами занимают административные должности.  Мужчины чаще работают на высокооплачиваемых профессиональных должностях, тогда как женщины работают по профессиям, предполагающим выплату более низкой заработной платы и таким образом более низкой компенсации по линии систем социального страхования.  Кроме того, женщины гораздо чаще по сравнению с мужчинами работают в режиме неполного рабочего дня, и значительно чаще работают по временным контрактам.  В 2003 году из общей численности лиц, занятых на временной работе, женщины составляли </w:t>
      </w:r>
      <w:proofErr w:type="spellStart"/>
      <w:r>
        <w:t>60%</w:t>
      </w:r>
      <w:proofErr w:type="spellEnd"/>
      <w:r>
        <w:t xml:space="preserve">, а мужчины - </w:t>
      </w:r>
      <w:proofErr w:type="spellStart"/>
      <w:r>
        <w:t>40%</w:t>
      </w:r>
      <w:proofErr w:type="spellEnd"/>
      <w:r>
        <w:t>.</w:t>
      </w:r>
    </w:p>
    <w:p w:rsidR="00000000" w:rsidRDefault="00000000"/>
    <w:p w:rsidR="00000000" w:rsidRDefault="00000000">
      <w:r>
        <w:t>78.</w:t>
      </w:r>
      <w:r>
        <w:tab/>
        <w:t>Несхожие условия труда и жизни женщин и мужчин также в некоторой степени находят отражение в рамках адресных программ, осуществляемых в контексте проведения политики на рынке труда.  Так, например, охват мужчин и женщин соответствующими схемами несколько отличается с учетом их доли в общей численности безработных лиц.  Для женщин в большей степени, чем для мужчин характерны прохождение предварительной подготовки, а также пользование услугами учреждений по профессиональной ориентации и трудоустройству.  Мужчины явно преобладают в рамках схем субсидируемой занятости, таких, как поддержка по линии занятости, субсидирование заработной платы и дотации на начало предпринимательской деятельности.</w:t>
      </w:r>
    </w:p>
    <w:p w:rsidR="00000000" w:rsidRDefault="00000000">
      <w:pPr>
        <w:rPr>
          <w:lang w:val="en-US"/>
        </w:rPr>
      </w:pPr>
    </w:p>
    <w:p w:rsidR="00000000" w:rsidRDefault="00000000">
      <w:pPr>
        <w:rPr>
          <w:b/>
          <w:bCs/>
          <w:i/>
          <w:iCs/>
        </w:rPr>
      </w:pPr>
      <w:r>
        <w:rPr>
          <w:b/>
          <w:bCs/>
          <w:i/>
          <w:iCs/>
        </w:rPr>
        <w:t>Инвалиды</w:t>
      </w:r>
    </w:p>
    <w:p w:rsidR="00000000" w:rsidRDefault="00000000">
      <w:pPr>
        <w:rPr>
          <w:b/>
          <w:bCs/>
          <w:i/>
          <w:iCs/>
        </w:rPr>
      </w:pPr>
    </w:p>
    <w:p w:rsidR="00000000" w:rsidRDefault="00000000">
      <w:r>
        <w:t>79.</w:t>
      </w:r>
      <w:r>
        <w:tab/>
        <w:t>В период 1996-2000 годов резко возросла доля работающих инвалидов (с </w:t>
      </w:r>
      <w:proofErr w:type="spellStart"/>
      <w:r>
        <w:t>61,3%</w:t>
      </w:r>
      <w:proofErr w:type="spellEnd"/>
      <w:r>
        <w:t xml:space="preserve"> в 1996 году до 70,7% в 2000 году).  Впоследствии из-за ухудшения состояния рынка труда эта доля сократилось.  Показатель участия этой группы населения на рынке труда в 2004 году составил 65,7%.  Для мужчин-инвалидов соответствующая доля несколько выше, чем для женщин-инвалидов.  В среднем в период 1998-2004 годов разница в показателе участия на рынке труда в рамках этой группы составляла 5,2% в пользу мужчин.  В 2004 году доля работающих женщин-инвалидов составила </w:t>
      </w:r>
      <w:proofErr w:type="spellStart"/>
      <w:r>
        <w:t>63,1%</w:t>
      </w:r>
      <w:proofErr w:type="spellEnd"/>
      <w:r>
        <w:t xml:space="preserve">, а мужчин-инвалидов - </w:t>
      </w:r>
      <w:proofErr w:type="spellStart"/>
      <w:r>
        <w:t>68,1%</w:t>
      </w:r>
      <w:proofErr w:type="spellEnd"/>
      <w:r>
        <w:t>.</w:t>
      </w:r>
    </w:p>
    <w:p w:rsidR="00000000" w:rsidRDefault="00000000"/>
    <w:p w:rsidR="00000000" w:rsidRDefault="00000000">
      <w:r>
        <w:t>80.</w:t>
      </w:r>
      <w:r>
        <w:tab/>
        <w:t xml:space="preserve">В период 1996-2000 годов аналогичным образом увеличился уровень занятости среди инвалидов (с 54,8% в 1996 году до 67% в 2000 году).  В 2004 году этот показатель упал до 61,6%.  Вместе с тем следует отметить, что тенденции в области занятости инвалидов с полноценной трудоспособностью в этот период были благоприятными, и линия тренда была лучше, чем для лиц, не являющихся инвалидами.  Показатель занятости инвалидов с полноценной трудоспособностью составлял </w:t>
      </w:r>
      <w:proofErr w:type="spellStart"/>
      <w:r>
        <w:t>65,3%</w:t>
      </w:r>
      <w:proofErr w:type="spellEnd"/>
      <w:r>
        <w:t xml:space="preserve"> в 1996 году, 76,4% в 2000 году и 76,8% в 2004 году.  Показатель занятости лиц, не являющихся инвалидами, составлял 74,7% в 1996 году, 76,8% в 2000 году и 75,5% в 2004 году.</w:t>
      </w:r>
    </w:p>
    <w:p w:rsidR="00000000" w:rsidRDefault="00000000"/>
    <w:p w:rsidR="00000000" w:rsidRDefault="00000000">
      <w:r>
        <w:t>81.</w:t>
      </w:r>
      <w:r>
        <w:tab/>
        <w:t xml:space="preserve">Показатель занятости мужчин-инвалидов выше по сравнению с женщинами-инвалидами.  В период 2000-2004 годов показатель занятости инвалидов в среднем был на 4,8 процентных пункта выше для мужчин, чем для женщин.  Среди лиц с полноценной трудоспособностью соответствующая разница в 2002-2004 годах составляла 1,6 процентных пункта в пользу мужчин.  </w:t>
      </w:r>
    </w:p>
    <w:p w:rsidR="00000000" w:rsidRDefault="00000000"/>
    <w:p w:rsidR="00000000" w:rsidRDefault="00000000">
      <w:r>
        <w:t>82.</w:t>
      </w:r>
      <w:r>
        <w:tab/>
        <w:t xml:space="preserve">К числу наиболее важных специальных адресных программ, осуществляющихся в контексте проводимой политики на рынке труда в интересах инвалидов, относится программа субсидирования заработной платы и программа защищенной занятости в государственном секторе (программа </w:t>
      </w:r>
      <w:proofErr w:type="spellStart"/>
      <w:r>
        <w:rPr>
          <w:lang w:val="en-US"/>
        </w:rPr>
        <w:t>OSA</w:t>
      </w:r>
      <w:proofErr w:type="spellEnd"/>
      <w:r>
        <w:t xml:space="preserve">).  За последние десять лет число работников, пользующихся преимуществами субсидируемой заработной платы и защищенной занятости в государственном секторе, стабильно возрастало.  В 1995 году в среднем на помесячной основе существовало 55 400 должностей, относящихся к программам субсидируемой заработной платы или </w:t>
      </w:r>
      <w:proofErr w:type="spellStart"/>
      <w:r>
        <w:rPr>
          <w:lang w:val="en-US"/>
        </w:rPr>
        <w:t>OSA</w:t>
      </w:r>
      <w:proofErr w:type="spellEnd"/>
      <w:r>
        <w:t xml:space="preserve"> (в том числе </w:t>
      </w:r>
      <w:proofErr w:type="spellStart"/>
      <w:r>
        <w:t>38%</w:t>
      </w:r>
      <w:proofErr w:type="spellEnd"/>
      <w:r>
        <w:t xml:space="preserve"> приходилось на женщин и </w:t>
      </w:r>
      <w:proofErr w:type="spellStart"/>
      <w:r>
        <w:t>62%</w:t>
      </w:r>
      <w:proofErr w:type="spellEnd"/>
      <w:r>
        <w:t xml:space="preserve"> на мужчин).  Соответствующая цифра в 2000 году составляла 53 900 должностей (из которых </w:t>
      </w:r>
      <w:proofErr w:type="spellStart"/>
      <w:r>
        <w:t>37%</w:t>
      </w:r>
      <w:proofErr w:type="spellEnd"/>
      <w:r>
        <w:t xml:space="preserve"> приходилось на женщин и 63% - на мужчин).  В 2000 году рассматриваемый показатель был необычно низким, и в 2001 году он возрос до 56 800 (</w:t>
      </w:r>
      <w:proofErr w:type="spellStart"/>
      <w:r>
        <w:t>гендерное</w:t>
      </w:r>
      <w:proofErr w:type="spellEnd"/>
      <w:r>
        <w:t xml:space="preserve"> распределение осталось таким же, как и в 2000 году).  К 2005 году данная цифра возросла до 62 900 позиций, предполагающих субсидирование заработной платы, и рабочих мест </w:t>
      </w:r>
      <w:proofErr w:type="spellStart"/>
      <w:r>
        <w:rPr>
          <w:lang w:val="en-US"/>
        </w:rPr>
        <w:t>OSA</w:t>
      </w:r>
      <w:proofErr w:type="spellEnd"/>
      <w:r>
        <w:t xml:space="preserve"> (</w:t>
      </w:r>
      <w:proofErr w:type="spellStart"/>
      <w:r>
        <w:t>гендерное</w:t>
      </w:r>
      <w:proofErr w:type="spellEnd"/>
      <w:r>
        <w:t xml:space="preserve"> распределение осталось таким же, как и в 2000 году).</w:t>
      </w:r>
    </w:p>
    <w:p w:rsidR="00000000" w:rsidRDefault="00000000"/>
    <w:p w:rsidR="00000000" w:rsidRDefault="00000000">
      <w:r>
        <w:t>83.</w:t>
      </w:r>
      <w:r>
        <w:tab/>
        <w:t xml:space="preserve">Ищущим работу инвалидам также уделяется первоочередное внимание в рамках обычных хозрасчетных адресных программ, осуществляющихся в контексте проведения политики на рынке труда.  Доля хозрасчетных схем, используемых инвалидами, возросла с 12,3% в 1995 году до 18,6% в 2000 году, а в 2005 году </w:t>
      </w:r>
      <w:proofErr w:type="spellStart"/>
      <w:r>
        <w:t>составила19,1%</w:t>
      </w:r>
      <w:proofErr w:type="spellEnd"/>
      <w:r>
        <w:t>.  В период 2000</w:t>
      </w:r>
      <w:r>
        <w:noBreakHyphen/>
        <w:t>2005 годов доля женщин-инвалидов в рамках соответствующих схем политики была на 1 процентный пункт выше, чем доля мужчин-инвалидов.  В 1995-2000 годах доля инвалидов среди ищущих работу лиц, зарегистрированных в Службе занятости, несколько возросла (с 9% до 10,7%).  В 2005 году эта доля снизилась до 8,9%.  Доля женщин-инвалидов среди безработных в период 2000-2005 годов была примерно на 2 процентных пункта ниже, чем доля мужчин-инвалидов.  Сопоставление доли инвалидов с соответствующей долей лиц, охваченных хозрасчетными схемами, свидетельствует о том, что в рамках этих схем инвалидам уделяется повышенное внимание.  Несколько более пристальное внимание уделяется женщинам по сравнению с мужчинами.</w:t>
      </w:r>
    </w:p>
    <w:p w:rsidR="00000000" w:rsidRDefault="00000000"/>
    <w:p w:rsidR="00000000" w:rsidRDefault="00000000">
      <w:r>
        <w:t>84.</w:t>
      </w:r>
      <w:r>
        <w:tab/>
        <w:t>В качестве средства дальнейшего улучшения положения инвалидов правительство и риксдаг разработали новую модель более систематического осуществления инициатив, реализуемых в контексте проводимой политики на рынке труда, в интересах инвалидов.  Эта новая модель была внедрена 1 января 2006 года.</w:t>
      </w:r>
    </w:p>
    <w:p w:rsidR="00000000" w:rsidRDefault="00000000"/>
    <w:p w:rsidR="00000000" w:rsidRDefault="00000000">
      <w:r>
        <w:t>85.</w:t>
      </w:r>
      <w:r>
        <w:tab/>
        <w:t>Доля ищущих работу лиц, которые не уверены в своей квалификации и способностях, будет реализована новая инициатива, связанная с углубленной профессиональной оценкой и ориентацией.  В течение ограниченного периода времени они могут воспользоваться помощью с целью дальнейшего решения вопроса о выборе себе работы по линии Службы занятости, и в это время они получают компенсацию в связи с осуществляемой деятельностью в порядке их социальной поддержки.</w:t>
      </w:r>
    </w:p>
    <w:p w:rsidR="00000000" w:rsidRDefault="00000000"/>
    <w:p w:rsidR="00000000" w:rsidRDefault="00000000">
      <w:r>
        <w:t>86.</w:t>
      </w:r>
      <w:r>
        <w:tab/>
        <w:t>Следующим шагом может быть программа развития занятости, предполагающая временную работу продолжительностью не более одного года.  В этом случае работнику выплачивается заработная плата и другие пособия в соответствии с коллективными договорами.  Такая работа предполагает обеспечение возможностей для осуществления некоторых программ реабилитации, а также развития квалификации.  Нанимателю обеспечивается компенсация за ограниченную трудоспособность конкретного работника с использованием системы субсидирования заработной платы и предоставления ему как работодателю дотации в размере до 100 шведских крон в день.</w:t>
      </w:r>
    </w:p>
    <w:p w:rsidR="00000000" w:rsidRDefault="00000000"/>
    <w:p w:rsidR="00000000" w:rsidRDefault="00000000">
      <w:r>
        <w:t>87.</w:t>
      </w:r>
      <w:r>
        <w:tab/>
        <w:t>Третьим возможным шагом является защищенная работа по найму на других предприятиях, помимо государственной компании "</w:t>
      </w:r>
      <w:proofErr w:type="spellStart"/>
      <w:r>
        <w:t>Самхалл</w:t>
      </w:r>
      <w:proofErr w:type="spellEnd"/>
      <w:r>
        <w:t>", которая на специализированной основе осуществляет программу защищенной занятости.  Работа, предоставляемая по линии социального страхования, представляет собой постоянную работу, за которую в соответствии с коллективными договорами выплачиваются заработная плата и другие пособия.  Нанимателю обеспечивается компенсация за ограниченную трудоспособность конкретного работника с использованием системы субсидирования заработной платы и предоставления ему как работодателю дотации в размере до 100 шведских крон в день.</w:t>
      </w:r>
    </w:p>
    <w:p w:rsidR="00000000" w:rsidRDefault="00000000"/>
    <w:p w:rsidR="00000000" w:rsidRDefault="00000000">
      <w:r>
        <w:t>88.</w:t>
      </w:r>
      <w:r>
        <w:tab/>
        <w:t>Субсидии по заработной плате предоставляются из расчета определенной доли заработной платы, не превышающей максимальную заработную плату, которая может субсидироваться.  С января 2006 года правительство повысило максимальный пороговый уровень месячной заработной платы, которая может субсидироваться, с 13 700  до 15 200 шведских крон.</w:t>
      </w:r>
    </w:p>
    <w:p w:rsidR="00000000" w:rsidRDefault="00000000"/>
    <w:p w:rsidR="00000000" w:rsidRDefault="00000000">
      <w:r>
        <w:t>89.</w:t>
      </w:r>
      <w:r>
        <w:tab/>
        <w:t>В настоящее время государство выделяет приблизительно 12 млрд. шведских крон в год на адресные программы, осуществляемые в контексте проводимой на рынке труда политики в интересах инвалидов, включая "Самхалл".  Преследуемая правительством цель заключается в разработке более консолидированной стратегии на рынке труда в интересах лиц с функциональными недостатками, ограничивающими трудоспособность.  В рамках этих усилий в 2006 году на Национальный совет по вопросам рынка труда (</w:t>
      </w:r>
      <w:proofErr w:type="spellStart"/>
      <w:r>
        <w:rPr>
          <w:lang w:val="en-US"/>
        </w:rPr>
        <w:t>AMS</w:t>
      </w:r>
      <w:proofErr w:type="spellEnd"/>
      <w:r>
        <w:t>) была возложена общая ответственность за предоставление различного рода помощи на цели осуществления инициатив в интересах инвалидов, включая в себя ассигнования для "</w:t>
      </w:r>
      <w:proofErr w:type="spellStart"/>
      <w:r>
        <w:t>Самхалл</w:t>
      </w:r>
      <w:proofErr w:type="spellEnd"/>
      <w:r>
        <w:t xml:space="preserve">".  Это, как ожидается, должно рационализировать партнерство между </w:t>
      </w:r>
      <w:proofErr w:type="spellStart"/>
      <w:r>
        <w:rPr>
          <w:lang w:val="en-US"/>
        </w:rPr>
        <w:t>AMS</w:t>
      </w:r>
      <w:proofErr w:type="spellEnd"/>
      <w:r>
        <w:t xml:space="preserve"> и "</w:t>
      </w:r>
      <w:proofErr w:type="spellStart"/>
      <w:r>
        <w:t>Самхалл</w:t>
      </w:r>
      <w:proofErr w:type="spellEnd"/>
      <w:r>
        <w:t>" и содействовать более эффективному достижению "Самхалл" поставленной цели.</w:t>
      </w:r>
    </w:p>
    <w:p w:rsidR="00000000" w:rsidRDefault="00000000"/>
    <w:p w:rsidR="00000000" w:rsidRDefault="00000000">
      <w:r>
        <w:rPr>
          <w:b/>
          <w:bCs/>
          <w:i/>
          <w:iCs/>
        </w:rPr>
        <w:t>Молодежь</w:t>
      </w:r>
    </w:p>
    <w:p w:rsidR="00000000" w:rsidRDefault="00000000"/>
    <w:p w:rsidR="00000000" w:rsidRDefault="00000000">
      <w:r>
        <w:t>90.</w:t>
      </w:r>
      <w:r>
        <w:tab/>
        <w:t xml:space="preserve">В 1995 году относительная безработица среди молодежи в возрасте 16-24 лет составила 15,3%.  Безработицей было охвачено </w:t>
      </w:r>
      <w:proofErr w:type="spellStart"/>
      <w:r>
        <w:t>14,0%</w:t>
      </w:r>
      <w:proofErr w:type="spellEnd"/>
      <w:r>
        <w:t xml:space="preserve"> молодых женщин и 16,6% молодых мужчин.  К 2000 году безработица снизилась до </w:t>
      </w:r>
      <w:proofErr w:type="spellStart"/>
      <w:r>
        <w:t>7,9%</w:t>
      </w:r>
      <w:proofErr w:type="spellEnd"/>
      <w:r>
        <w:t xml:space="preserve"> (7,4% для молодых женщин и 8,6% для молодых мужчин).  После этого безработица вновь возросла до высоких уровней и в 2005 году составила 13,9% (12,7% для молодых женщин и 15,9% для молодых мужчин).</w:t>
      </w:r>
    </w:p>
    <w:p w:rsidR="00000000" w:rsidRDefault="00000000"/>
    <w:p w:rsidR="00000000" w:rsidRDefault="00000000">
      <w:r>
        <w:t>91.</w:t>
      </w:r>
      <w:r>
        <w:tab/>
        <w:t>За последние десять лет резко сократилась численность молодежи, участвующей в адресных программах, осуществляемых в контексте соответствующей политики на рынке труда.  В 1997 году в такого рода различных программах ежемесячно участвовало в среднем примерно 58 000 представителей молодежи.  Среди них было 27 000 женщин и 31 000 мужчин.  К 2000 году среднее месячное количество участников сократилось до 20 000 человек, среди которых примерно 9 000 были молодыми женщинами.  К 2005 году средняя численность участников возросла до 21 000 человек, включая примерно 9 000 женщин.</w:t>
      </w:r>
    </w:p>
    <w:p w:rsidR="00000000" w:rsidRDefault="00000000"/>
    <w:p w:rsidR="00000000" w:rsidRDefault="00000000">
      <w:r>
        <w:t>92.</w:t>
      </w:r>
      <w:r>
        <w:tab/>
        <w:t>В 2005 году средняя численность молодежи, охваченной застойной безработицей, т.е. лиц, которые не имеют никакой работы в течение периода свыше 100 дней, составила 3 500 человек.  Соответствующая доля среди молодых женщин составила 39%.  В конце 1990-х годов долгосрочная безработица резко сократилась.  За десятилетний период масштабы застойной безработицы среди молодежи снизились на 87%, хотя в последние пять лет она возросла на 12%.</w:t>
      </w:r>
    </w:p>
    <w:p w:rsidR="00000000" w:rsidRDefault="00000000"/>
    <w:p w:rsidR="00000000" w:rsidRDefault="00000000">
      <w:r>
        <w:t>93.</w:t>
      </w:r>
      <w:r>
        <w:tab/>
        <w:t>В июле 2005 года в Закон об образовании были внесены поправки, предполагающие возложение на муниципалитеты по месту проживания молодежи более конкретных функций по информированию.  Теперь муниципалитеты обязаны следить на своей территории за родом занятий молодых людей, завершивших обязательное школьное обучение, но не достигших 20-летнего возраста.  Соответствующая информация призвана облегчить поиск муниципалитетом надлежащих индивидуальных решений проблем, характерных для молодых людей, которые не учатся в школе и не работают.</w:t>
      </w:r>
    </w:p>
    <w:p w:rsidR="00000000" w:rsidRDefault="00000000"/>
    <w:p w:rsidR="00000000" w:rsidRDefault="00000000">
      <w:r>
        <w:t>94.</w:t>
      </w:r>
      <w:r>
        <w:tab/>
        <w:t xml:space="preserve">Молодые люди, стоящие на учете в Службе занятости более шести месяцев и участвовавшие в программе профессиональной ориентации и деятельности, специально ориентированной на ищущих работу лиц, должны иметь возможность получить работу путем </w:t>
      </w:r>
      <w:proofErr w:type="spellStart"/>
      <w:r>
        <w:t>задействования</w:t>
      </w:r>
      <w:proofErr w:type="spellEnd"/>
      <w:r>
        <w:t xml:space="preserve"> механизма общей поддержки занятости.  Этот механизм представляет собой схему поддержки, в рамках которой компании и организации могут принимать молодых людей на работу с выплатой им половины заработной платы в течение шести месяцев.  Цель этой меры заключается в том, чтобы снабдить Службу занятости более эффективным средством содействия получению молодыми людьми работы на рынке труда.</w:t>
      </w:r>
    </w:p>
    <w:p w:rsidR="00000000" w:rsidRDefault="00000000"/>
    <w:p w:rsidR="00000000" w:rsidRDefault="00000000">
      <w:r>
        <w:t>95.</w:t>
      </w:r>
      <w:r>
        <w:tab/>
        <w:t xml:space="preserve">В партнерстве с конкретным лицом, ищущим работу, Служба занятости разрабатывает индивидуальный план, в котором указываются обязательства ищущего работу лица и запланированные мероприятия.  Согласно инструкциям </w:t>
      </w:r>
      <w:proofErr w:type="spellStart"/>
      <w:r>
        <w:t>AMS</w:t>
      </w:r>
      <w:proofErr w:type="spellEnd"/>
      <w:r>
        <w:t>, план должен составляться в течение 14 дней для лиц в возрасте моложе 25 лет и в дальнейшем регулярно обновляться.  В данном контексте ожидается продолжение тесного сотрудничества между Службой занятости, муниципалитетом и молодежью.</w:t>
      </w:r>
    </w:p>
    <w:p w:rsidR="00000000" w:rsidRDefault="00000000"/>
    <w:p w:rsidR="00000000" w:rsidRDefault="00000000">
      <w:r>
        <w:t>96.</w:t>
      </w:r>
      <w:r>
        <w:tab/>
        <w:t xml:space="preserve">Все безработные молодые люди в течение 90 дней должны быть охвачены специальными мероприятиями, ориентированными на ищущих работу лиц.  Это распространяется даже на те отделения Службы занятости, в которых осуществляется программа гарантированного трудоустройства молодежи.  Муниципальная молодежная программа и программа гарантированного трудоустройства молодежи должны также начинаться с профессиональной ориентации и специальных мероприятий, ориентированных на ищущих работу лиц.  Схемы соответствующей деятельности в интересах молодежи также должны включать в себя более четкие образовательные компоненты и в конечном итоге предусматривать выдачу свидетельств о </w:t>
      </w:r>
      <w:proofErr w:type="spellStart"/>
      <w:r>
        <w:t>профпригодности</w:t>
      </w:r>
      <w:proofErr w:type="spellEnd"/>
      <w:r>
        <w:t>.</w:t>
      </w:r>
    </w:p>
    <w:p w:rsidR="00000000" w:rsidRDefault="00000000"/>
    <w:p w:rsidR="00000000" w:rsidRDefault="00000000">
      <w:r>
        <w:t>97.</w:t>
      </w:r>
      <w:r>
        <w:tab/>
        <w:t>С 1 июля 2006 году параллельно с продолжением поддержки "навигационных схем", в рамках которых муниципалитеты сотрудничают со Службой занятости, различными организациями и местными деловыми кругами в целях оказания поддержки и персональных консультационных услуг молодым людям, будет создано 1 000 "бонусных" рабочих мест, в частности для молодежи, охваченной застойной безработицей.</w:t>
      </w:r>
    </w:p>
    <w:p w:rsidR="00000000" w:rsidRDefault="00000000"/>
    <w:p w:rsidR="00000000" w:rsidRDefault="00000000">
      <w:r>
        <w:t>98.</w:t>
      </w:r>
      <w:r>
        <w:tab/>
        <w:t>С тем чтобы обеспечить молодым людям точку опоры на рынке труда, в 2006 году правительство выделит в общей сложности 100 млн. шведских крон на оказание помощи муниципалитетам, которые предлагают учащимся средних школ работу в летний период.  Правительство назначило национального координатора для изучения других мер, содействующих тому, чтобы молодые люди могли быстрее закрепиться на рынке труда.  Координатор представит свои выводы по итогам исследования к 30 ноября 2006 года.</w:t>
      </w:r>
    </w:p>
    <w:p w:rsidR="00000000" w:rsidRDefault="00000000"/>
    <w:p w:rsidR="00000000" w:rsidRDefault="00000000">
      <w:r>
        <w:rPr>
          <w:b/>
          <w:bCs/>
          <w:i/>
          <w:iCs/>
        </w:rPr>
        <w:t>Пожилые работники</w:t>
      </w:r>
    </w:p>
    <w:p w:rsidR="00000000" w:rsidRDefault="00000000"/>
    <w:p w:rsidR="00000000" w:rsidRDefault="00000000">
      <w:r>
        <w:t>99.</w:t>
      </w:r>
      <w:r>
        <w:tab/>
        <w:t>В 1996 году уровень занятости лиц в возрастной группе 55-64 лет составлял чуть более 54% для женщин и 60% для мужчин.  Впоследствии он резко сократился как для женщин, так и для мужчин.  В 2005 году 67% женщин и 74% мужчин в рамках этой возрастной группы имели работу.</w:t>
      </w:r>
    </w:p>
    <w:p w:rsidR="00000000" w:rsidRDefault="00000000"/>
    <w:p w:rsidR="00000000" w:rsidRDefault="00000000">
      <w:r>
        <w:t>100.</w:t>
      </w:r>
      <w:r>
        <w:tab/>
        <w:t xml:space="preserve">Наиболее существенные изменения произошли за последние пять лет в возрастной группе 60-64 лет.  Уровень занятости возрос на чуть более 11 процентных пунктов с </w:t>
      </w:r>
      <w:proofErr w:type="spellStart"/>
      <w:r>
        <w:t>46,8%</w:t>
      </w:r>
      <w:proofErr w:type="spellEnd"/>
      <w:r>
        <w:t xml:space="preserve"> до 58,5% как для женщин, так и для мужчин.  Ключевыми факторами, позволившими добиться такого прогресса, являются активная политика, проводимая на рынке труда, и действующее трудовое законодательство.  Еще одним фактором является повышение образовательного уровня этой возрастной группы, что позволяет представителям этой группы продлить свое пребывание на рынке труда.</w:t>
      </w:r>
    </w:p>
    <w:p w:rsidR="00000000" w:rsidRDefault="00000000"/>
    <w:p w:rsidR="00000000" w:rsidRDefault="00000000">
      <w:r>
        <w:t>101.</w:t>
      </w:r>
      <w:r>
        <w:tab/>
        <w:t>В 2005 году 69,0% шведок и 75,9% шведов в возрасте от 55 до 64 лет имели работу, что вполне соответствует среднему показателю численности работающих в возрастной группе 16-64 лет, составившим 76,1% для женщин и 81% для мужчин.</w:t>
      </w:r>
    </w:p>
    <w:p w:rsidR="00000000" w:rsidRDefault="00000000"/>
    <w:p w:rsidR="00000000" w:rsidRDefault="00000000">
      <w:r>
        <w:t>102.</w:t>
      </w:r>
      <w:r>
        <w:tab/>
        <w:t>Уровень безработицы среди пожилых работников по</w:t>
      </w:r>
      <w:r>
        <w:noBreakHyphen/>
        <w:t xml:space="preserve">прежнему ниже, чем в среднем для всех трудящихся в Швеции.  По возрастной группе 55-64 лет средний уровень безработицы в 2005 году составил 4% для женщин и 4,8% для мужчин.  Из-за рецессии, разразившейся в 90-е годы, в 1996 году соответствующие уровни безработицы были существенно выше.  В 1996 году безработными были 9% мужчин и 7% женщин.  После потери работы у пожилых трудящих могут возникнуть проблемы с возвращением на рынок труда.  Около 40% пожилых женщин и мужчин, являющихся безработными, охвачены застойной безработицей.  Эта цифра снизилась по сравнению с прошлыми годами, когда она составляла </w:t>
      </w:r>
      <w:proofErr w:type="spellStart"/>
      <w:r>
        <w:t>50%</w:t>
      </w:r>
      <w:proofErr w:type="spellEnd"/>
      <w:r>
        <w:t>.</w:t>
      </w:r>
    </w:p>
    <w:p w:rsidR="00000000" w:rsidRDefault="00000000"/>
    <w:p w:rsidR="00000000" w:rsidRDefault="00000000">
      <w:r>
        <w:rPr>
          <w:b/>
          <w:bCs/>
          <w:i/>
          <w:iCs/>
        </w:rPr>
        <w:t>Интеграция на рынке труда</w:t>
      </w:r>
    </w:p>
    <w:p w:rsidR="00000000" w:rsidRDefault="00000000"/>
    <w:p w:rsidR="00000000" w:rsidRDefault="00000000">
      <w:r>
        <w:t>103.</w:t>
      </w:r>
      <w:r>
        <w:tab/>
        <w:t xml:space="preserve">С 1997 года произошло увеличение уровня занятости как среди имеющих шведское гражданство лиц иностранного происхождения, так и среди коренных шведов.  В относительном выражении улучшение было более выраженным для лиц иностранного происхождения, имеющих шведское гражданство.  Тем не менее различия в показателях занятости являются недопустимо высокими, и необходимо принять дополнительные меры в целях сокращения разрыва.  Уровень занятости среди лиц иностранного происхождения, имеющих шведское гражданство, и резидентов Швеции значительно ниже, чем для коренных шведов.  В 2005 году в Швеции было занято </w:t>
      </w:r>
      <w:proofErr w:type="spellStart"/>
      <w:r>
        <w:t>61,6%</w:t>
      </w:r>
      <w:proofErr w:type="spellEnd"/>
      <w:r>
        <w:t xml:space="preserve"> от общей численности лиц иностранного происхождения в возрасте 16</w:t>
      </w:r>
      <w:r>
        <w:noBreakHyphen/>
        <w:t>64 лет (</w:t>
      </w:r>
      <w:proofErr w:type="spellStart"/>
      <w:r>
        <w:t>58,7%</w:t>
      </w:r>
      <w:proofErr w:type="spellEnd"/>
      <w:r>
        <w:t xml:space="preserve"> женщин и 64,8% мужчин).</w:t>
      </w:r>
    </w:p>
    <w:p w:rsidR="00000000" w:rsidRDefault="00000000"/>
    <w:p w:rsidR="00000000" w:rsidRDefault="00000000">
      <w:r>
        <w:t>104.</w:t>
      </w:r>
      <w:r>
        <w:tab/>
        <w:t>В 2005 году относительная безработица среди лиц иностранного происхождения, имеющих шведское гражданство, и резидентов Швеции в два раза с небольшим превышала аналогичный показатель для коренных шведов.  Вместе с тем в сравнении с 1995 годом безработица среди лиц иностранного происхождения резко снизилась.  Кроме того, среди лиц иностранного происхождения наблюдается более высокий уровень застойной безработицы.</w:t>
      </w:r>
    </w:p>
    <w:p w:rsidR="00000000" w:rsidRDefault="00000000"/>
    <w:p w:rsidR="00000000" w:rsidRDefault="00000000">
      <w:pPr>
        <w:keepNext/>
        <w:jc w:val="center"/>
        <w:rPr>
          <w:b/>
          <w:bCs/>
        </w:rPr>
      </w:pPr>
      <w:r>
        <w:rPr>
          <w:b/>
          <w:bCs/>
        </w:rPr>
        <w:t>Таблица 6.2</w:t>
      </w:r>
    </w:p>
    <w:p w:rsidR="00000000" w:rsidRDefault="00000000">
      <w:pPr>
        <w:keepNext/>
        <w:jc w:val="center"/>
        <w:rPr>
          <w:b/>
          <w:bCs/>
        </w:rPr>
      </w:pPr>
    </w:p>
    <w:p w:rsidR="00000000" w:rsidRDefault="00000000">
      <w:pPr>
        <w:keepNext/>
        <w:jc w:val="center"/>
        <w:rPr>
          <w:b/>
          <w:bCs/>
        </w:rPr>
      </w:pPr>
      <w:r>
        <w:rPr>
          <w:b/>
          <w:bCs/>
        </w:rPr>
        <w:t>Безработица среди проживающих в Швеции лиц иностранного происхождения в возрасте 16–64 лет</w:t>
      </w:r>
    </w:p>
    <w:p w:rsidR="00000000" w:rsidRDefault="00000000">
      <w:pPr>
        <w:keepNext/>
        <w:rPr>
          <w:b/>
          <w:bCs/>
        </w:rPr>
      </w:pPr>
    </w:p>
    <w:tbl>
      <w:tblPr>
        <w:tblW w:w="0" w:type="auto"/>
        <w:jc w:val="center"/>
        <w:tblInd w:w="-646" w:type="dxa"/>
        <w:tblBorders>
          <w:top w:val="single" w:sz="12" w:space="0" w:color="008000"/>
          <w:left w:val="nil"/>
          <w:bottom w:val="single" w:sz="12" w:space="0" w:color="008000"/>
          <w:right w:val="nil"/>
          <w:insideH w:val="nil"/>
          <w:insideV w:val="nil"/>
        </w:tblBorders>
        <w:tblLayout w:type="fixed"/>
        <w:tblCellMar>
          <w:left w:w="0" w:type="dxa"/>
          <w:right w:w="0" w:type="dxa"/>
        </w:tblCellMar>
        <w:tblLook w:val="00BF" w:firstRow="1" w:lastRow="0" w:firstColumn="1" w:lastColumn="0" w:noHBand="0" w:noVBand="0"/>
      </w:tblPr>
      <w:tblGrid>
        <w:gridCol w:w="1498"/>
        <w:gridCol w:w="1498"/>
        <w:gridCol w:w="1498"/>
        <w:gridCol w:w="1498"/>
      </w:tblGrid>
      <w:tr w:rsidR="00000000">
        <w:trPr>
          <w:trHeight w:val="255"/>
          <w:jc w:val="center"/>
        </w:trPr>
        <w:tc>
          <w:tcPr>
            <w:tcW w:w="1498"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b/>
                <w:bCs/>
              </w:rPr>
            </w:pPr>
          </w:p>
        </w:tc>
        <w:tc>
          <w:tcPr>
            <w:tcW w:w="1498"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r>
              <w:rPr>
                <w:b/>
                <w:bCs/>
              </w:rPr>
              <w:t>1995*</w:t>
            </w:r>
          </w:p>
        </w:tc>
        <w:tc>
          <w:tcPr>
            <w:tcW w:w="1498"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r>
              <w:rPr>
                <w:b/>
                <w:bCs/>
              </w:rPr>
              <w:t>2000*</w:t>
            </w:r>
          </w:p>
        </w:tc>
        <w:tc>
          <w:tcPr>
            <w:tcW w:w="1498"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r>
              <w:rPr>
                <w:b/>
                <w:bCs/>
              </w:rPr>
              <w:t>2005**</w:t>
            </w:r>
          </w:p>
        </w:tc>
      </w:tr>
      <w:tr w:rsidR="00000000">
        <w:trPr>
          <w:trHeight w:val="255"/>
          <w:jc w:val="center"/>
        </w:trPr>
        <w:tc>
          <w:tcPr>
            <w:tcW w:w="1498"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r>
              <w:t>Всего</w:t>
            </w:r>
          </w:p>
        </w:tc>
        <w:tc>
          <w:tcPr>
            <w:tcW w:w="1498"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17,6</w:t>
            </w:r>
          </w:p>
        </w:tc>
        <w:tc>
          <w:tcPr>
            <w:tcW w:w="1498"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10,2</w:t>
            </w:r>
          </w:p>
        </w:tc>
        <w:tc>
          <w:tcPr>
            <w:tcW w:w="1498"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11,3</w:t>
            </w:r>
          </w:p>
        </w:tc>
      </w:tr>
      <w:tr w:rsidR="00000000">
        <w:trPr>
          <w:trHeight w:val="255"/>
          <w:jc w:val="center"/>
        </w:trPr>
        <w:tc>
          <w:tcPr>
            <w:tcW w:w="149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r>
              <w:t>Женщины</w:t>
            </w:r>
          </w:p>
        </w:tc>
        <w:tc>
          <w:tcPr>
            <w:tcW w:w="149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16,8</w:t>
            </w:r>
          </w:p>
        </w:tc>
        <w:tc>
          <w:tcPr>
            <w:tcW w:w="149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 xml:space="preserve">  9,1</w:t>
            </w:r>
          </w:p>
        </w:tc>
        <w:tc>
          <w:tcPr>
            <w:tcW w:w="149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10,5</w:t>
            </w:r>
          </w:p>
        </w:tc>
      </w:tr>
      <w:tr w:rsidR="00000000">
        <w:trPr>
          <w:trHeight w:val="255"/>
          <w:jc w:val="center"/>
        </w:trPr>
        <w:tc>
          <w:tcPr>
            <w:tcW w:w="149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r>
              <w:rPr>
                <w:rFonts w:eastAsia="Arial Unicode MS"/>
              </w:rPr>
              <w:t>Мужчины</w:t>
            </w:r>
          </w:p>
        </w:tc>
        <w:tc>
          <w:tcPr>
            <w:tcW w:w="149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18,3</w:t>
            </w:r>
          </w:p>
        </w:tc>
        <w:tc>
          <w:tcPr>
            <w:tcW w:w="149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11,1</w:t>
            </w:r>
          </w:p>
        </w:tc>
        <w:tc>
          <w:tcPr>
            <w:tcW w:w="149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jc w:val="center"/>
              <w:rPr>
                <w:rFonts w:eastAsia="Arial Unicode MS"/>
              </w:rPr>
            </w:pPr>
            <w:r>
              <w:t>11,9</w:t>
            </w:r>
          </w:p>
        </w:tc>
      </w:tr>
    </w:tbl>
    <w:p w:rsidR="00000000" w:rsidRDefault="00000000">
      <w:pPr>
        <w:pStyle w:val="RKnormal"/>
        <w:tabs>
          <w:tab w:val="clear" w:pos="2835"/>
          <w:tab w:val="left" w:pos="2552"/>
        </w:tabs>
        <w:spacing w:line="288" w:lineRule="auto"/>
        <w:ind w:left="2552"/>
        <w:rPr>
          <w:rFonts w:ascii="Times New Roman" w:hAnsi="Times New Roman"/>
          <w:i/>
          <w:iCs/>
          <w:szCs w:val="24"/>
          <w:lang w:val="ru-RU"/>
        </w:rPr>
      </w:pPr>
    </w:p>
    <w:p w:rsidR="00000000" w:rsidRDefault="00000000">
      <w:pPr>
        <w:pStyle w:val="RKnormal"/>
        <w:tabs>
          <w:tab w:val="clear" w:pos="2835"/>
          <w:tab w:val="left" w:pos="2268"/>
        </w:tabs>
        <w:spacing w:line="240" w:lineRule="auto"/>
        <w:ind w:left="1701"/>
        <w:rPr>
          <w:rFonts w:ascii="Times New Roman" w:hAnsi="Times New Roman"/>
          <w:szCs w:val="24"/>
          <w:lang w:val="ru-RU"/>
        </w:rPr>
      </w:pPr>
      <w:r>
        <w:rPr>
          <w:rFonts w:ascii="Times New Roman" w:hAnsi="Times New Roman"/>
          <w:i/>
          <w:iCs/>
          <w:szCs w:val="24"/>
          <w:lang w:val="ru-RU"/>
        </w:rPr>
        <w:t>Источник</w:t>
      </w:r>
      <w:r>
        <w:rPr>
          <w:rFonts w:ascii="Times New Roman" w:hAnsi="Times New Roman"/>
          <w:szCs w:val="24"/>
          <w:lang w:val="ru-RU"/>
        </w:rPr>
        <w:t xml:space="preserve">:  </w:t>
      </w:r>
      <w:proofErr w:type="spellStart"/>
      <w:r>
        <w:rPr>
          <w:rFonts w:ascii="Times New Roman" w:hAnsi="Times New Roman"/>
          <w:szCs w:val="24"/>
          <w:lang w:val="en-GB"/>
        </w:rPr>
        <w:t>AKU</w:t>
      </w:r>
      <w:proofErr w:type="spellEnd"/>
      <w:r>
        <w:rPr>
          <w:rFonts w:ascii="Times New Roman" w:hAnsi="Times New Roman"/>
          <w:szCs w:val="24"/>
          <w:lang w:val="ru-RU"/>
        </w:rPr>
        <w:t>.</w:t>
      </w:r>
    </w:p>
    <w:p w:rsidR="00000000" w:rsidRDefault="00000000">
      <w:pPr>
        <w:pStyle w:val="RKnormal"/>
        <w:tabs>
          <w:tab w:val="clear" w:pos="2835"/>
          <w:tab w:val="left" w:pos="567"/>
          <w:tab w:val="left" w:pos="1134"/>
          <w:tab w:val="left" w:pos="1701"/>
          <w:tab w:val="left" w:pos="2268"/>
          <w:tab w:val="left" w:pos="2977"/>
        </w:tabs>
        <w:spacing w:line="240" w:lineRule="auto"/>
        <w:ind w:left="1701"/>
        <w:rPr>
          <w:rFonts w:ascii="Times New Roman" w:hAnsi="Times New Roman"/>
          <w:szCs w:val="24"/>
          <w:lang w:val="ru-RU"/>
        </w:rPr>
      </w:pPr>
    </w:p>
    <w:p w:rsidR="00000000" w:rsidRDefault="00000000">
      <w:pPr>
        <w:pStyle w:val="RKnormal"/>
        <w:tabs>
          <w:tab w:val="clear" w:pos="2835"/>
          <w:tab w:val="left" w:pos="567"/>
          <w:tab w:val="left" w:pos="1134"/>
          <w:tab w:val="left" w:pos="1701"/>
          <w:tab w:val="left" w:pos="2268"/>
          <w:tab w:val="left" w:pos="2977"/>
        </w:tabs>
        <w:spacing w:line="240" w:lineRule="auto"/>
        <w:ind w:left="1701"/>
        <w:rPr>
          <w:rFonts w:ascii="Times New Roman" w:hAnsi="Times New Roman"/>
          <w:szCs w:val="24"/>
          <w:lang w:val="ru-RU"/>
        </w:rPr>
      </w:pPr>
      <w:r>
        <w:rPr>
          <w:rFonts w:ascii="Times New Roman" w:hAnsi="Times New Roman"/>
          <w:szCs w:val="24"/>
          <w:lang w:val="ru-RU"/>
        </w:rPr>
        <w:t>*</w:t>
      </w:r>
      <w:r>
        <w:rPr>
          <w:rFonts w:ascii="Times New Roman" w:hAnsi="Times New Roman"/>
          <w:szCs w:val="24"/>
          <w:lang w:val="ru-RU"/>
        </w:rPr>
        <w:tab/>
        <w:t>Относится ко второй половине года.</w:t>
      </w:r>
    </w:p>
    <w:p w:rsidR="00000000" w:rsidRDefault="00000000">
      <w:pPr>
        <w:pStyle w:val="RKnormal"/>
        <w:tabs>
          <w:tab w:val="clear" w:pos="2835"/>
          <w:tab w:val="left" w:pos="567"/>
          <w:tab w:val="left" w:pos="1134"/>
          <w:tab w:val="left" w:pos="1701"/>
          <w:tab w:val="left" w:pos="2268"/>
          <w:tab w:val="left" w:pos="2977"/>
        </w:tabs>
        <w:spacing w:line="240" w:lineRule="auto"/>
        <w:ind w:left="1701"/>
        <w:rPr>
          <w:rFonts w:ascii="Times New Roman" w:hAnsi="Times New Roman"/>
          <w:szCs w:val="24"/>
          <w:lang w:val="ru-RU"/>
        </w:rPr>
      </w:pPr>
      <w:r>
        <w:rPr>
          <w:rFonts w:ascii="Times New Roman" w:hAnsi="Times New Roman"/>
          <w:szCs w:val="24"/>
          <w:lang w:val="ru-RU"/>
        </w:rPr>
        <w:t>**</w:t>
      </w:r>
      <w:r>
        <w:rPr>
          <w:rFonts w:ascii="Times New Roman" w:hAnsi="Times New Roman"/>
          <w:szCs w:val="24"/>
          <w:lang w:val="ru-RU"/>
        </w:rPr>
        <w:tab/>
        <w:t>Ввиду реорганизации системы государственной статистики (</w:t>
      </w:r>
      <w:proofErr w:type="spellStart"/>
      <w:r>
        <w:rPr>
          <w:rFonts w:ascii="Times New Roman" w:hAnsi="Times New Roman"/>
          <w:szCs w:val="24"/>
          <w:lang w:val="en-GB"/>
        </w:rPr>
        <w:t>AKU</w:t>
      </w:r>
      <w:proofErr w:type="spellEnd"/>
      <w:r>
        <w:rPr>
          <w:rFonts w:ascii="Times New Roman" w:hAnsi="Times New Roman"/>
          <w:szCs w:val="24"/>
          <w:lang w:val="ru-RU"/>
        </w:rPr>
        <w:t>) цифры за 2005 год несопоставимы с другими годами;  относится к полному году.</w:t>
      </w:r>
    </w:p>
    <w:p w:rsidR="00000000" w:rsidRDefault="00000000">
      <w:pPr>
        <w:pStyle w:val="RKnormal"/>
        <w:tabs>
          <w:tab w:val="left" w:pos="567"/>
          <w:tab w:val="left" w:pos="1134"/>
          <w:tab w:val="left" w:pos="1701"/>
        </w:tabs>
        <w:spacing w:line="288" w:lineRule="auto"/>
        <w:rPr>
          <w:rFonts w:ascii="Times New Roman" w:hAnsi="Times New Roman"/>
          <w:szCs w:val="24"/>
          <w:lang w:val="ru-RU"/>
        </w:rPr>
      </w:pPr>
    </w:p>
    <w:p w:rsidR="00000000" w:rsidRDefault="00000000">
      <w:pPr>
        <w:pStyle w:val="RKnormal"/>
        <w:spacing w:line="288" w:lineRule="auto"/>
        <w:jc w:val="center"/>
        <w:rPr>
          <w:rFonts w:ascii="Times New Roman" w:hAnsi="Times New Roman"/>
          <w:b/>
          <w:bCs/>
          <w:szCs w:val="24"/>
          <w:lang w:val="ru-RU"/>
        </w:rPr>
      </w:pPr>
      <w:r>
        <w:rPr>
          <w:rFonts w:ascii="Times New Roman" w:hAnsi="Times New Roman"/>
          <w:b/>
          <w:bCs/>
          <w:szCs w:val="24"/>
          <w:lang w:val="ru-RU"/>
        </w:rPr>
        <w:t xml:space="preserve">Таблица 6.3 </w:t>
      </w:r>
    </w:p>
    <w:p w:rsidR="00000000" w:rsidRDefault="00000000">
      <w:pPr>
        <w:pStyle w:val="RKnormal"/>
        <w:spacing w:line="288" w:lineRule="auto"/>
        <w:jc w:val="center"/>
        <w:rPr>
          <w:rFonts w:ascii="Times New Roman" w:hAnsi="Times New Roman"/>
          <w:b/>
          <w:bCs/>
          <w:szCs w:val="24"/>
          <w:lang w:val="ru-RU"/>
        </w:rPr>
      </w:pPr>
    </w:p>
    <w:p w:rsidR="00000000" w:rsidRDefault="00000000">
      <w:pPr>
        <w:pStyle w:val="RKnormal"/>
        <w:spacing w:line="288" w:lineRule="auto"/>
        <w:jc w:val="center"/>
        <w:rPr>
          <w:rFonts w:ascii="Times New Roman" w:hAnsi="Times New Roman"/>
          <w:b/>
          <w:bCs/>
          <w:szCs w:val="24"/>
          <w:lang w:val="ru-RU"/>
        </w:rPr>
      </w:pPr>
      <w:r>
        <w:rPr>
          <w:rFonts w:ascii="Times New Roman" w:hAnsi="Times New Roman"/>
          <w:b/>
          <w:bCs/>
          <w:szCs w:val="24"/>
          <w:lang w:val="ru-RU"/>
        </w:rPr>
        <w:t xml:space="preserve">Уровень занятости среди проживающих в Швеции лиц </w:t>
      </w:r>
    </w:p>
    <w:p w:rsidR="00000000" w:rsidRDefault="00000000">
      <w:pPr>
        <w:pStyle w:val="RKnormal"/>
        <w:spacing w:line="288" w:lineRule="auto"/>
        <w:jc w:val="center"/>
        <w:rPr>
          <w:rFonts w:ascii="Times New Roman" w:hAnsi="Times New Roman"/>
          <w:b/>
          <w:bCs/>
          <w:szCs w:val="24"/>
          <w:lang w:val="ru-RU"/>
        </w:rPr>
      </w:pPr>
      <w:r>
        <w:rPr>
          <w:rFonts w:ascii="Times New Roman" w:hAnsi="Times New Roman"/>
          <w:b/>
          <w:bCs/>
          <w:szCs w:val="24"/>
          <w:lang w:val="ru-RU"/>
        </w:rPr>
        <w:t>иностранного происхождения в возрасте 16–64 лет</w:t>
      </w:r>
    </w:p>
    <w:p w:rsidR="00000000" w:rsidRDefault="00000000">
      <w:pPr>
        <w:pStyle w:val="RKnormal"/>
        <w:spacing w:line="288" w:lineRule="auto"/>
        <w:rPr>
          <w:rFonts w:ascii="Times New Roman" w:hAnsi="Times New Roman"/>
          <w:b/>
          <w:bCs/>
          <w:szCs w:val="24"/>
          <w:lang w:val="ru-RU"/>
        </w:rPr>
      </w:pPr>
    </w:p>
    <w:tbl>
      <w:tblPr>
        <w:tblW w:w="0" w:type="auto"/>
        <w:jc w:val="center"/>
        <w:tblInd w:w="-334" w:type="dxa"/>
        <w:tblBorders>
          <w:top w:val="single" w:sz="12" w:space="0" w:color="008000"/>
          <w:left w:val="nil"/>
          <w:bottom w:val="single" w:sz="12" w:space="0" w:color="008000"/>
          <w:right w:val="nil"/>
          <w:insideH w:val="nil"/>
          <w:insideV w:val="nil"/>
        </w:tblBorders>
        <w:tblLayout w:type="fixed"/>
        <w:tblCellMar>
          <w:left w:w="0" w:type="dxa"/>
          <w:right w:w="0" w:type="dxa"/>
        </w:tblCellMar>
        <w:tblLook w:val="00BF" w:firstRow="1" w:lastRow="0" w:firstColumn="1" w:lastColumn="0" w:noHBand="0" w:noVBand="0"/>
      </w:tblPr>
      <w:tblGrid>
        <w:gridCol w:w="1629"/>
        <w:gridCol w:w="1629"/>
        <w:gridCol w:w="1629"/>
        <w:gridCol w:w="1629"/>
      </w:tblGrid>
      <w:tr w:rsidR="00000000">
        <w:trPr>
          <w:trHeight w:val="255"/>
          <w:jc w:val="center"/>
        </w:trPr>
        <w:tc>
          <w:tcPr>
            <w:tcW w:w="1629"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p>
        </w:tc>
        <w:tc>
          <w:tcPr>
            <w:tcW w:w="1629"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r>
              <w:rPr>
                <w:b/>
                <w:bCs/>
              </w:rPr>
              <w:t>1995*</w:t>
            </w:r>
          </w:p>
        </w:tc>
        <w:tc>
          <w:tcPr>
            <w:tcW w:w="1629"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r>
              <w:rPr>
                <w:b/>
                <w:bCs/>
              </w:rPr>
              <w:t>2000*</w:t>
            </w:r>
          </w:p>
        </w:tc>
        <w:tc>
          <w:tcPr>
            <w:tcW w:w="1629" w:type="dxa"/>
            <w:tcBorders>
              <w:top w:val="single" w:sz="4" w:space="0" w:color="auto"/>
              <w:left w:val="single" w:sz="4" w:space="0" w:color="auto"/>
              <w:bottom w:val="single" w:sz="6" w:space="0" w:color="008000"/>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b/>
                <w:bCs/>
              </w:rPr>
            </w:pPr>
            <w:r>
              <w:rPr>
                <w:b/>
                <w:bCs/>
              </w:rPr>
              <w:t>2005**</w:t>
            </w:r>
          </w:p>
        </w:tc>
      </w:tr>
      <w:tr w:rsidR="00000000">
        <w:trPr>
          <w:trHeight w:val="255"/>
          <w:jc w:val="center"/>
        </w:trPr>
        <w:tc>
          <w:tcPr>
            <w:tcW w:w="1629"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r>
              <w:t>Всего</w:t>
            </w:r>
          </w:p>
        </w:tc>
        <w:tc>
          <w:tcPr>
            <w:tcW w:w="1629"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53,9</w:t>
            </w:r>
          </w:p>
        </w:tc>
        <w:tc>
          <w:tcPr>
            <w:tcW w:w="1629"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60,6</w:t>
            </w:r>
          </w:p>
        </w:tc>
        <w:tc>
          <w:tcPr>
            <w:tcW w:w="1629" w:type="dxa"/>
            <w:tcBorders>
              <w:top w:val="single" w:sz="6" w:space="0" w:color="008000"/>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61,6</w:t>
            </w:r>
          </w:p>
        </w:tc>
      </w:tr>
      <w:tr w:rsidR="00000000">
        <w:trPr>
          <w:trHeight w:val="255"/>
          <w:jc w:val="center"/>
        </w:trPr>
        <w:tc>
          <w:tcPr>
            <w:tcW w:w="162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r>
              <w:rPr>
                <w:rFonts w:eastAsia="Arial Unicode MS"/>
              </w:rPr>
              <w:t>Женщины</w:t>
            </w:r>
          </w:p>
        </w:tc>
        <w:tc>
          <w:tcPr>
            <w:tcW w:w="162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51,1</w:t>
            </w:r>
          </w:p>
        </w:tc>
        <w:tc>
          <w:tcPr>
            <w:tcW w:w="1629"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56,5</w:t>
            </w:r>
          </w:p>
        </w:tc>
        <w:tc>
          <w:tcPr>
            <w:tcW w:w="1629"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58,7</w:t>
            </w:r>
          </w:p>
        </w:tc>
      </w:tr>
      <w:tr w:rsidR="00000000">
        <w:trPr>
          <w:trHeight w:val="255"/>
          <w:jc w:val="center"/>
        </w:trPr>
        <w:tc>
          <w:tcPr>
            <w:tcW w:w="162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r>
              <w:rPr>
                <w:rFonts w:eastAsia="Arial Unicode MS"/>
              </w:rPr>
              <w:t>Мужчины</w:t>
            </w:r>
          </w:p>
        </w:tc>
        <w:tc>
          <w:tcPr>
            <w:tcW w:w="162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56,9</w:t>
            </w:r>
          </w:p>
        </w:tc>
        <w:tc>
          <w:tcPr>
            <w:tcW w:w="162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64,9</w:t>
            </w:r>
          </w:p>
        </w:tc>
        <w:tc>
          <w:tcPr>
            <w:tcW w:w="162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rPr>
            </w:pPr>
            <w:r>
              <w:t>64,8</w:t>
            </w:r>
          </w:p>
        </w:tc>
      </w:tr>
    </w:tbl>
    <w:p w:rsidR="00000000" w:rsidRDefault="00000000">
      <w:pPr>
        <w:pStyle w:val="RKnormal"/>
        <w:spacing w:line="288" w:lineRule="auto"/>
        <w:rPr>
          <w:rFonts w:ascii="Times New Roman" w:hAnsi="Times New Roman"/>
          <w:szCs w:val="24"/>
          <w:lang w:val="ru-RU"/>
        </w:rPr>
      </w:pPr>
    </w:p>
    <w:p w:rsidR="00000000" w:rsidRDefault="00000000">
      <w:pPr>
        <w:pStyle w:val="RKnormal"/>
        <w:tabs>
          <w:tab w:val="left" w:pos="1985"/>
        </w:tabs>
        <w:spacing w:line="240" w:lineRule="auto"/>
        <w:ind w:left="1418"/>
        <w:rPr>
          <w:rFonts w:ascii="Times New Roman" w:hAnsi="Times New Roman"/>
          <w:szCs w:val="24"/>
          <w:lang w:val="ru-RU"/>
        </w:rPr>
      </w:pPr>
      <w:r>
        <w:rPr>
          <w:rFonts w:ascii="Times New Roman" w:hAnsi="Times New Roman"/>
          <w:i/>
          <w:iCs/>
          <w:szCs w:val="24"/>
          <w:lang w:val="ru-RU"/>
        </w:rPr>
        <w:t>Источник</w:t>
      </w:r>
      <w:r>
        <w:rPr>
          <w:rFonts w:ascii="Times New Roman" w:hAnsi="Times New Roman"/>
          <w:szCs w:val="24"/>
          <w:lang w:val="ru-RU"/>
        </w:rPr>
        <w:t xml:space="preserve">:  </w:t>
      </w:r>
      <w:proofErr w:type="spellStart"/>
      <w:r>
        <w:rPr>
          <w:rFonts w:ascii="Times New Roman" w:hAnsi="Times New Roman"/>
          <w:szCs w:val="24"/>
          <w:lang w:val="en-GB"/>
        </w:rPr>
        <w:t>AKU</w:t>
      </w:r>
      <w:proofErr w:type="spellEnd"/>
      <w:r>
        <w:rPr>
          <w:rFonts w:ascii="Times New Roman" w:hAnsi="Times New Roman"/>
          <w:szCs w:val="24"/>
          <w:lang w:val="ru-RU"/>
        </w:rPr>
        <w:t>.</w:t>
      </w:r>
    </w:p>
    <w:p w:rsidR="00000000" w:rsidRDefault="00000000">
      <w:pPr>
        <w:pStyle w:val="RKnormal"/>
        <w:tabs>
          <w:tab w:val="clear" w:pos="2835"/>
          <w:tab w:val="left" w:pos="567"/>
          <w:tab w:val="left" w:pos="1134"/>
          <w:tab w:val="left" w:pos="1985"/>
          <w:tab w:val="left" w:pos="3119"/>
        </w:tabs>
        <w:spacing w:line="240" w:lineRule="auto"/>
        <w:ind w:left="1418"/>
        <w:rPr>
          <w:rFonts w:ascii="Times New Roman" w:hAnsi="Times New Roman"/>
          <w:szCs w:val="24"/>
          <w:lang w:val="en-US"/>
        </w:rPr>
      </w:pPr>
    </w:p>
    <w:p w:rsidR="00000000" w:rsidRDefault="00000000">
      <w:pPr>
        <w:pStyle w:val="RKnormal"/>
        <w:tabs>
          <w:tab w:val="clear" w:pos="2835"/>
          <w:tab w:val="left" w:pos="567"/>
          <w:tab w:val="left" w:pos="1134"/>
          <w:tab w:val="left" w:pos="1985"/>
          <w:tab w:val="left" w:pos="3119"/>
        </w:tabs>
        <w:spacing w:line="240" w:lineRule="auto"/>
        <w:ind w:left="1418"/>
        <w:rPr>
          <w:rFonts w:ascii="Times New Roman" w:hAnsi="Times New Roman"/>
          <w:szCs w:val="24"/>
          <w:lang w:val="ru-RU"/>
        </w:rPr>
      </w:pPr>
      <w:r>
        <w:rPr>
          <w:rFonts w:ascii="Times New Roman" w:hAnsi="Times New Roman"/>
          <w:szCs w:val="24"/>
          <w:lang w:val="ru-RU"/>
        </w:rPr>
        <w:t>*</w:t>
      </w:r>
      <w:r>
        <w:rPr>
          <w:rFonts w:ascii="Times New Roman" w:hAnsi="Times New Roman"/>
          <w:szCs w:val="24"/>
          <w:lang w:val="ru-RU"/>
        </w:rPr>
        <w:tab/>
        <w:t>Относится ко второй половине года.</w:t>
      </w:r>
    </w:p>
    <w:p w:rsidR="00000000" w:rsidRDefault="00000000">
      <w:pPr>
        <w:pStyle w:val="RKnormal"/>
        <w:tabs>
          <w:tab w:val="clear" w:pos="2835"/>
          <w:tab w:val="left" w:pos="567"/>
          <w:tab w:val="left" w:pos="1134"/>
          <w:tab w:val="left" w:pos="1985"/>
          <w:tab w:val="left" w:pos="3119"/>
        </w:tabs>
        <w:spacing w:line="240" w:lineRule="auto"/>
        <w:ind w:left="1418"/>
        <w:rPr>
          <w:rFonts w:ascii="Times New Roman" w:hAnsi="Times New Roman"/>
          <w:szCs w:val="24"/>
          <w:lang w:val="ru-RU"/>
        </w:rPr>
      </w:pPr>
      <w:r>
        <w:rPr>
          <w:rFonts w:ascii="Times New Roman" w:hAnsi="Times New Roman"/>
          <w:szCs w:val="24"/>
          <w:lang w:val="ru-RU"/>
        </w:rPr>
        <w:t>**</w:t>
      </w:r>
      <w:r>
        <w:rPr>
          <w:rFonts w:ascii="Times New Roman" w:hAnsi="Times New Roman"/>
          <w:szCs w:val="24"/>
          <w:lang w:val="ru-RU"/>
        </w:rPr>
        <w:tab/>
        <w:t>Полный год.</w:t>
      </w:r>
    </w:p>
    <w:p w:rsidR="00000000" w:rsidRDefault="00000000">
      <w:pPr>
        <w:pStyle w:val="RKnormal"/>
        <w:tabs>
          <w:tab w:val="left" w:pos="567"/>
          <w:tab w:val="left" w:pos="1134"/>
          <w:tab w:val="left" w:pos="1701"/>
        </w:tabs>
        <w:spacing w:line="288" w:lineRule="auto"/>
        <w:rPr>
          <w:rFonts w:ascii="Times New Roman" w:hAnsi="Times New Roman"/>
          <w:szCs w:val="24"/>
          <w:lang w:val="ru-RU"/>
        </w:rPr>
      </w:pPr>
    </w:p>
    <w:p w:rsidR="00000000" w:rsidRDefault="00000000">
      <w:pPr>
        <w:pStyle w:val="RKnormal"/>
        <w:tabs>
          <w:tab w:val="left" w:pos="567"/>
          <w:tab w:val="left" w:pos="1134"/>
          <w:tab w:val="left" w:pos="1701"/>
        </w:tabs>
        <w:spacing w:line="288" w:lineRule="auto"/>
        <w:rPr>
          <w:rFonts w:ascii="Times New Roman" w:hAnsi="Times New Roman"/>
          <w:szCs w:val="24"/>
          <w:lang w:val="ru-RU"/>
        </w:rPr>
      </w:pPr>
      <w:r>
        <w:rPr>
          <w:rFonts w:ascii="Times New Roman" w:hAnsi="Times New Roman"/>
          <w:szCs w:val="24"/>
          <w:lang w:val="ru-RU"/>
        </w:rPr>
        <w:t>105.</w:t>
      </w:r>
      <w:r>
        <w:rPr>
          <w:rFonts w:ascii="Times New Roman" w:hAnsi="Times New Roman"/>
          <w:szCs w:val="24"/>
          <w:lang w:val="ru-RU"/>
        </w:rPr>
        <w:tab/>
        <w:t>Различия между лицами иностранного происхождения, имеющими шведское гражданство, и коренными шведами с точки зрения доли работающих не зависит исключительно от причин, которые могут быть связаны с личностью мигрантов.  Определенный разрыв сохраняется и после корректировки с учетом таких факторов, как образование, накопленный опыт, пол, семейное положение и место жительства.</w:t>
      </w:r>
    </w:p>
    <w:p w:rsidR="00000000" w:rsidRDefault="00000000">
      <w:pPr>
        <w:pStyle w:val="RKnormal"/>
        <w:tabs>
          <w:tab w:val="left" w:pos="567"/>
          <w:tab w:val="left" w:pos="1134"/>
          <w:tab w:val="left" w:pos="1701"/>
        </w:tabs>
        <w:spacing w:line="288" w:lineRule="auto"/>
        <w:rPr>
          <w:rFonts w:ascii="Times New Roman" w:hAnsi="Times New Roman"/>
          <w:szCs w:val="24"/>
          <w:lang w:val="ru-RU"/>
        </w:rPr>
      </w:pPr>
    </w:p>
    <w:p w:rsidR="00000000" w:rsidRDefault="00000000">
      <w:pPr>
        <w:pStyle w:val="RKnormal"/>
        <w:tabs>
          <w:tab w:val="left" w:pos="567"/>
          <w:tab w:val="left" w:pos="1134"/>
          <w:tab w:val="left" w:pos="1701"/>
        </w:tabs>
        <w:spacing w:line="288" w:lineRule="auto"/>
        <w:rPr>
          <w:rFonts w:ascii="Times New Roman" w:hAnsi="Times New Roman"/>
          <w:szCs w:val="24"/>
          <w:lang w:val="ru-RU"/>
        </w:rPr>
      </w:pPr>
      <w:r>
        <w:rPr>
          <w:rFonts w:ascii="Times New Roman" w:hAnsi="Times New Roman"/>
          <w:szCs w:val="24"/>
          <w:lang w:val="ru-RU"/>
        </w:rPr>
        <w:t>106.</w:t>
      </w:r>
      <w:r>
        <w:rPr>
          <w:rFonts w:ascii="Times New Roman" w:hAnsi="Times New Roman"/>
          <w:szCs w:val="24"/>
          <w:lang w:val="ru-RU"/>
        </w:rPr>
        <w:tab/>
        <w:t>Парламентский комитет по дискриминации, уполномоченный проработать вопрос о едином законодательстве, касающемся дискриминации, недавно представил свой окончательный доклад.  Правительство планирует подготовить предложения с целью принятия нового закона, который должен вступить в силу к 2008 году.</w:t>
      </w:r>
    </w:p>
    <w:p w:rsidR="00000000" w:rsidRDefault="00000000">
      <w:pPr>
        <w:pStyle w:val="RKnormal"/>
        <w:tabs>
          <w:tab w:val="left" w:pos="567"/>
          <w:tab w:val="left" w:pos="1134"/>
          <w:tab w:val="left" w:pos="1701"/>
        </w:tabs>
        <w:spacing w:line="288" w:lineRule="auto"/>
        <w:rPr>
          <w:rFonts w:ascii="Times New Roman" w:hAnsi="Times New Roman"/>
          <w:szCs w:val="24"/>
          <w:lang w:val="ru-RU"/>
        </w:rPr>
      </w:pPr>
    </w:p>
    <w:p w:rsidR="00000000" w:rsidRDefault="00000000">
      <w:pPr>
        <w:pStyle w:val="RKnormal"/>
        <w:tabs>
          <w:tab w:val="left" w:pos="567"/>
          <w:tab w:val="left" w:pos="1134"/>
          <w:tab w:val="left" w:pos="1701"/>
        </w:tabs>
        <w:spacing w:line="288" w:lineRule="auto"/>
        <w:rPr>
          <w:rFonts w:ascii="Times New Roman" w:hAnsi="Times New Roman"/>
          <w:szCs w:val="24"/>
          <w:lang w:val="ru-RU"/>
        </w:rPr>
      </w:pPr>
      <w:r>
        <w:rPr>
          <w:rFonts w:ascii="Times New Roman" w:hAnsi="Times New Roman"/>
          <w:szCs w:val="24"/>
          <w:lang w:val="ru-RU"/>
        </w:rPr>
        <w:t>107.</w:t>
      </w:r>
      <w:r>
        <w:rPr>
          <w:rFonts w:ascii="Times New Roman" w:hAnsi="Times New Roman"/>
          <w:szCs w:val="24"/>
          <w:lang w:val="ru-RU"/>
        </w:rPr>
        <w:tab/>
        <w:t xml:space="preserve">Была изучена возможность использования системы обезличенных заявлений на работу.  По итогам этого исследования недавно был представлен доклад, и в 2006 году правительство примет решение о целесообразности опробования данного метода в одном или нескольких правительственных учреждениях.  </w:t>
      </w:r>
    </w:p>
    <w:p w:rsidR="00000000" w:rsidRDefault="00000000">
      <w:pPr>
        <w:pStyle w:val="RKnormal"/>
        <w:tabs>
          <w:tab w:val="left" w:pos="567"/>
          <w:tab w:val="left" w:pos="1134"/>
          <w:tab w:val="left" w:pos="1701"/>
        </w:tabs>
        <w:spacing w:line="288" w:lineRule="auto"/>
        <w:rPr>
          <w:rFonts w:ascii="Times New Roman" w:hAnsi="Times New Roman"/>
          <w:szCs w:val="24"/>
          <w:lang w:val="ru-RU"/>
        </w:rPr>
      </w:pPr>
    </w:p>
    <w:p w:rsidR="00000000" w:rsidRDefault="00000000">
      <w:r>
        <w:t>108.</w:t>
      </w:r>
      <w:r>
        <w:tab/>
        <w:t xml:space="preserve">Интеграция на рынке труда связана со многими различными областями политики.  Проводимая на рынке труда политика является </w:t>
      </w:r>
      <w:r>
        <w:rPr>
          <w:u w:val="single"/>
        </w:rPr>
        <w:t>одним</w:t>
      </w:r>
      <w:r>
        <w:t xml:space="preserve"> из важных инструментов для разрешения проблем низкого уровня занятости и высокой безработицы среди лиц иностранного происхождения.  Поскольку конечная цель заключается в получении людьми работы, центральная роль в данном контексте отводится социальным партнерам в процессе проведения переговоров на рынке труда.  В целях налаживания сотрудничества между правительством и социальными партнерами недавно были выдвинуты две инициативы.</w:t>
      </w:r>
    </w:p>
    <w:p w:rsidR="00000000" w:rsidRDefault="00000000"/>
    <w:p w:rsidR="00000000" w:rsidRDefault="00000000">
      <w:r>
        <w:t>109.</w:t>
      </w:r>
      <w:r>
        <w:tab/>
        <w:t>В январе 2003 года был назначен комитет в составе представителей Конфедерации шведских предприятий и правительственных ведомств, призванный выработать меры для улучшения положения лиц иностранного происхождения на рынке труда.  Комитет представил свой доклад и рекомендации правительству в конце апреля 2004 года.  Эти рекомендации предусматривали, в частности, такие новые адресные программы в контексте проводимой политики на рынке труда, как "Профессиональная оценка в сфере трудовой деятельности" ("Профессиональная оценка") и "Пробная занятость".</w:t>
      </w:r>
    </w:p>
    <w:p w:rsidR="00000000" w:rsidRDefault="00000000"/>
    <w:p w:rsidR="00000000" w:rsidRDefault="00000000">
      <w:r>
        <w:t>110.</w:t>
      </w:r>
      <w:r>
        <w:tab/>
        <w:t>Летом 2004 года правительство завершило проведение дискуссий с основными социальными партнерами, участвующими в переговорах на рынке труда, по поводу инициатив улучшения интеграции.  Дискуссии привели к подписанию правительством, Ассоциацией местных органов власти Швеции и Федерацией шведских губернских советов, а также LО, ТСО и SАСО совместного заявления о намерениях в отношении ряда интеграционных схем, направленных на увеличение уровня занятости, поощрение равного обращения и борьбу с дискриминацией по признаку этнического происхождения.  В результате подписания совместного заявления в 2005 году были введены в действие новые адресные программы, относящиеся к проводимой политике на рынке труда, а именно "Пробная занятость" и "Профессиональная оценка".</w:t>
      </w:r>
    </w:p>
    <w:p w:rsidR="00000000" w:rsidRDefault="00000000"/>
    <w:p w:rsidR="00000000" w:rsidRDefault="00000000">
      <w:r>
        <w:t>111.</w:t>
      </w:r>
      <w:r>
        <w:tab/>
        <w:t>Как отмечается выше, большинство инициатив, предусмотренных правительственным пакетом мер в области занятости, предложенным в законопроекте о бюджете 2006 года, были предприняты в рамках политики, проводимой на рынке труда.  Эти инициативы ориентированы на лиц, затронутых застойной безработицей, среди которых чрезмерно высока доля женщин и мужчин иностранного происхождения.  Указанный пакет мер откроет новые возможности для многих лиц иностранного происхождения.</w:t>
      </w:r>
    </w:p>
    <w:p w:rsidR="00000000" w:rsidRDefault="00000000"/>
    <w:p w:rsidR="00000000" w:rsidRDefault="00000000">
      <w:r>
        <w:t>112.</w:t>
      </w:r>
      <w:r>
        <w:tab/>
        <w:t>Было однозначно установлено, что многие иммигранты не имеют тех контактов и каналов, которые имеют важное значение для получения работы.  Цель схемы введения в работу заключается в том, чтобы преодолеть этот барьер за счет дополнительной поддержки по линии Службы занятости до приема на работу и в начальный период трудовой деятельности на новом месте.  По необходимости работодатель также получает помощь со стороны соответствующих специалистов Службы занятости.  С 2003 года осуществляются экспериментальные проекты введения в работу, и после 2006 года данная схема будет внедрена на постоянной основе.</w:t>
      </w:r>
    </w:p>
    <w:p w:rsidR="00000000" w:rsidRDefault="00000000"/>
    <w:p w:rsidR="00000000" w:rsidRDefault="00000000">
      <w:pPr>
        <w:rPr>
          <w:i/>
          <w:iCs/>
        </w:rPr>
      </w:pPr>
      <w:r>
        <w:rPr>
          <w:i/>
          <w:iCs/>
        </w:rPr>
        <w:tab/>
        <w:t>Руководящий принцип 2 d)</w:t>
      </w:r>
    </w:p>
    <w:p w:rsidR="00000000" w:rsidRDefault="00000000"/>
    <w:p w:rsidR="00000000" w:rsidRDefault="00000000">
      <w:r>
        <w:t>113.</w:t>
      </w:r>
      <w:r>
        <w:tab/>
        <w:t>Информация по соответствующему вопросу приводится в докладах, представленных Швецией в сентябре 2000 года и более ранний период в соответствии с Конвенцией № 29 МОТ от 1930 года (о принудительном труде).</w:t>
      </w:r>
    </w:p>
    <w:p w:rsidR="00000000" w:rsidRDefault="00000000"/>
    <w:p w:rsidR="00000000" w:rsidRDefault="00000000"/>
    <w:p w:rsidR="00000000" w:rsidRDefault="00000000">
      <w:pPr>
        <w:keepNext/>
        <w:rPr>
          <w:i/>
          <w:iCs/>
          <w:szCs w:val="24"/>
        </w:rPr>
      </w:pPr>
      <w:r>
        <w:rPr>
          <w:i/>
          <w:iCs/>
          <w:szCs w:val="24"/>
        </w:rPr>
        <w:tab/>
        <w:t xml:space="preserve">Руководящие принципы 3 </w:t>
      </w:r>
      <w:r>
        <w:rPr>
          <w:i/>
          <w:iCs/>
          <w:szCs w:val="24"/>
          <w:lang w:val="en-GB"/>
        </w:rPr>
        <w:t>a</w:t>
      </w:r>
      <w:r>
        <w:rPr>
          <w:i/>
          <w:iCs/>
          <w:szCs w:val="24"/>
        </w:rPr>
        <w:t xml:space="preserve">) </w:t>
      </w:r>
      <w:r>
        <w:rPr>
          <w:i/>
          <w:iCs/>
          <w:szCs w:val="24"/>
          <w:lang w:val="en-GB"/>
        </w:rPr>
        <w:t>and</w:t>
      </w:r>
      <w:r>
        <w:rPr>
          <w:i/>
          <w:iCs/>
          <w:szCs w:val="24"/>
        </w:rPr>
        <w:t xml:space="preserve"> </w:t>
      </w:r>
      <w:proofErr w:type="spellStart"/>
      <w:r>
        <w:rPr>
          <w:i/>
          <w:iCs/>
          <w:szCs w:val="24"/>
          <w:lang w:val="en-GB"/>
        </w:rPr>
        <w:t>c</w:t>
      </w:r>
      <w:proofErr w:type="spellEnd"/>
      <w:r>
        <w:rPr>
          <w:i/>
          <w:iCs/>
          <w:szCs w:val="24"/>
        </w:rPr>
        <w:t>)</w:t>
      </w:r>
    </w:p>
    <w:p w:rsidR="00000000" w:rsidRDefault="00000000">
      <w:pPr>
        <w:keepNext/>
        <w:rPr>
          <w:szCs w:val="24"/>
        </w:rPr>
      </w:pPr>
    </w:p>
    <w:p w:rsidR="00000000" w:rsidRDefault="00000000">
      <w:pPr>
        <w:rPr>
          <w:szCs w:val="24"/>
        </w:rPr>
      </w:pPr>
      <w:r>
        <w:rPr>
          <w:szCs w:val="24"/>
        </w:rPr>
        <w:t>114.</w:t>
      </w:r>
      <w:r>
        <w:rPr>
          <w:szCs w:val="24"/>
        </w:rPr>
        <w:tab/>
        <w:t>Соответствующая информация приведена в шестом и седьмом периодических докладах, представленных Швецией в соответствии с Международной конвенцией о ликвидации всех форм дискриминации в отношении женщин, и в докладе, представленном Швецией в ноябре 2004 года по условиям Конвенции МОТ № 111 от 1958 года (о дискриминации в области труда и занятий).</w:t>
      </w:r>
    </w:p>
    <w:p w:rsidR="00000000" w:rsidRDefault="00000000">
      <w:pPr>
        <w:rPr>
          <w:szCs w:val="24"/>
        </w:rPr>
      </w:pPr>
    </w:p>
    <w:p w:rsidR="00000000" w:rsidRDefault="00000000">
      <w:pPr>
        <w:keepNext/>
        <w:rPr>
          <w:i/>
          <w:iCs/>
          <w:szCs w:val="24"/>
        </w:rPr>
      </w:pPr>
      <w:r>
        <w:rPr>
          <w:i/>
          <w:iCs/>
          <w:szCs w:val="24"/>
        </w:rPr>
        <w:tab/>
        <w:t xml:space="preserve">Руководящий принцип 3 </w:t>
      </w:r>
      <w:r>
        <w:rPr>
          <w:i/>
          <w:iCs/>
          <w:szCs w:val="24"/>
          <w:lang w:val="en-GB"/>
        </w:rPr>
        <w:t>b</w:t>
      </w:r>
      <w:r>
        <w:rPr>
          <w:i/>
          <w:iCs/>
          <w:szCs w:val="24"/>
        </w:rPr>
        <w:t>)</w:t>
      </w:r>
    </w:p>
    <w:p w:rsidR="00000000" w:rsidRDefault="00000000">
      <w:pPr>
        <w:keepNext/>
        <w:rPr>
          <w:szCs w:val="24"/>
        </w:rPr>
      </w:pPr>
    </w:p>
    <w:p w:rsidR="00000000" w:rsidRDefault="00000000">
      <w:pPr>
        <w:rPr>
          <w:szCs w:val="24"/>
        </w:rPr>
      </w:pPr>
      <w:r>
        <w:rPr>
          <w:szCs w:val="24"/>
        </w:rPr>
        <w:t>115.</w:t>
      </w:r>
      <w:r>
        <w:rPr>
          <w:szCs w:val="24"/>
        </w:rPr>
        <w:tab/>
        <w:t xml:space="preserve">Соответствующая информация приведена в разделе настоящего доклада, посвященном статье 6, руководящие принципы 2 </w:t>
      </w:r>
      <w:r>
        <w:rPr>
          <w:szCs w:val="24"/>
          <w:lang w:val="en-GB"/>
        </w:rPr>
        <w:t>a</w:t>
      </w:r>
      <w:r>
        <w:rPr>
          <w:szCs w:val="24"/>
        </w:rPr>
        <w:t>)</w:t>
      </w:r>
      <w:r>
        <w:rPr>
          <w:szCs w:val="24"/>
        </w:rPr>
        <w:noBreakHyphen/>
      </w:r>
      <w:r>
        <w:rPr>
          <w:szCs w:val="24"/>
          <w:lang w:val="en-GB"/>
        </w:rPr>
        <w:t>c</w:t>
      </w:r>
      <w:r>
        <w:rPr>
          <w:szCs w:val="24"/>
        </w:rPr>
        <w:t xml:space="preserve">), </w:t>
      </w:r>
      <w:r>
        <w:rPr>
          <w:szCs w:val="24"/>
          <w:lang w:val="en-GB"/>
        </w:rPr>
        <w:t>e</w:t>
      </w:r>
      <w:r>
        <w:rPr>
          <w:szCs w:val="24"/>
        </w:rPr>
        <w:t xml:space="preserve">) и </w:t>
      </w:r>
      <w:r>
        <w:rPr>
          <w:szCs w:val="24"/>
          <w:lang w:val="en-GB"/>
        </w:rPr>
        <w:t>f</w:t>
      </w:r>
      <w:r>
        <w:rPr>
          <w:szCs w:val="24"/>
        </w:rPr>
        <w:t>).  Внимание следует обратить также на доклад, представленный Швецией в ноябре 2004 года по условиям Конвенции МОТ № 111 от 1958 года (о дискриминации в области труда и занятий).</w:t>
      </w:r>
    </w:p>
    <w:p w:rsidR="00000000" w:rsidRDefault="00000000">
      <w:pPr>
        <w:rPr>
          <w:szCs w:val="24"/>
        </w:rPr>
      </w:pPr>
    </w:p>
    <w:p w:rsidR="00000000" w:rsidRDefault="00000000">
      <w:pPr>
        <w:keepNext/>
        <w:rPr>
          <w:i/>
          <w:iCs/>
          <w:szCs w:val="24"/>
        </w:rPr>
      </w:pPr>
      <w:r>
        <w:rPr>
          <w:i/>
          <w:iCs/>
          <w:szCs w:val="24"/>
        </w:rPr>
        <w:tab/>
        <w:t>Руководящий принцип 4</w:t>
      </w:r>
    </w:p>
    <w:p w:rsidR="00000000" w:rsidRDefault="00000000">
      <w:pPr>
        <w:keepNext/>
        <w:rPr>
          <w:szCs w:val="24"/>
          <w:u w:val="single"/>
        </w:rPr>
      </w:pPr>
    </w:p>
    <w:p w:rsidR="00000000" w:rsidRDefault="00000000">
      <w:pPr>
        <w:rPr>
          <w:szCs w:val="24"/>
        </w:rPr>
      </w:pPr>
      <w:r>
        <w:rPr>
          <w:szCs w:val="24"/>
        </w:rPr>
        <w:t>116.</w:t>
      </w:r>
      <w:r>
        <w:rPr>
          <w:szCs w:val="24"/>
        </w:rPr>
        <w:tab/>
        <w:t>Запрошенных статистических данных не имеется.</w:t>
      </w:r>
    </w:p>
    <w:p w:rsidR="00000000" w:rsidRDefault="00000000">
      <w:pPr>
        <w:rPr>
          <w:szCs w:val="24"/>
        </w:rPr>
      </w:pPr>
    </w:p>
    <w:p w:rsidR="00000000" w:rsidRDefault="00000000">
      <w:pPr>
        <w:rPr>
          <w:szCs w:val="24"/>
        </w:rPr>
      </w:pPr>
      <w:r>
        <w:rPr>
          <w:szCs w:val="24"/>
        </w:rPr>
        <w:t>117.</w:t>
      </w:r>
      <w:r>
        <w:rPr>
          <w:szCs w:val="24"/>
        </w:rPr>
        <w:tab/>
        <w:t>Швеция располагает данными о процентной доле всех занятых лиц, работающих на двух и более работах, однако в этих данных не указывается, занимает ли основная работа весь рабочий день и чем обусловлена вторичная занятость.</w:t>
      </w:r>
    </w:p>
    <w:p w:rsidR="00000000" w:rsidRDefault="00000000">
      <w:pPr>
        <w:rPr>
          <w:szCs w:val="24"/>
        </w:rPr>
      </w:pPr>
    </w:p>
    <w:p w:rsidR="00000000" w:rsidRDefault="00000000">
      <w:pPr>
        <w:keepNext/>
        <w:jc w:val="center"/>
        <w:rPr>
          <w:b/>
          <w:bCs/>
          <w:szCs w:val="24"/>
        </w:rPr>
      </w:pPr>
      <w:r>
        <w:rPr>
          <w:b/>
          <w:bCs/>
          <w:szCs w:val="24"/>
        </w:rPr>
        <w:t>Таблица 6.4</w:t>
      </w:r>
    </w:p>
    <w:p w:rsidR="00000000" w:rsidRDefault="00000000">
      <w:pPr>
        <w:keepNext/>
        <w:spacing w:line="240" w:lineRule="auto"/>
        <w:jc w:val="center"/>
        <w:rPr>
          <w:b/>
          <w:bCs/>
          <w:szCs w:val="24"/>
        </w:rPr>
      </w:pPr>
    </w:p>
    <w:p w:rsidR="00000000" w:rsidRDefault="00000000">
      <w:pPr>
        <w:keepNext/>
        <w:spacing w:line="240" w:lineRule="auto"/>
        <w:jc w:val="center"/>
        <w:rPr>
          <w:b/>
          <w:bCs/>
          <w:szCs w:val="24"/>
        </w:rPr>
      </w:pPr>
      <w:r>
        <w:rPr>
          <w:b/>
          <w:bCs/>
          <w:szCs w:val="24"/>
        </w:rPr>
        <w:t xml:space="preserve">Процентная доля лиц, имеющих вторичную занятость, от общей </w:t>
      </w:r>
    </w:p>
    <w:p w:rsidR="00000000" w:rsidRDefault="00000000">
      <w:pPr>
        <w:keepNext/>
        <w:spacing w:line="240" w:lineRule="auto"/>
        <w:jc w:val="center"/>
        <w:rPr>
          <w:b/>
          <w:bCs/>
          <w:szCs w:val="24"/>
        </w:rPr>
      </w:pPr>
      <w:r>
        <w:rPr>
          <w:b/>
          <w:bCs/>
          <w:szCs w:val="24"/>
        </w:rPr>
        <w:t>численности занятого населения</w:t>
      </w:r>
    </w:p>
    <w:p w:rsidR="00000000" w:rsidRDefault="00000000">
      <w:pPr>
        <w:keepNext/>
        <w:ind w:left="1701" w:hanging="1701"/>
        <w:rPr>
          <w:b/>
          <w:bCs/>
          <w:szCs w:val="24"/>
        </w:rPr>
      </w:pPr>
    </w:p>
    <w:tbl>
      <w:tblPr>
        <w:tblW w:w="0" w:type="auto"/>
        <w:tblInd w:w="1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left w:w="0" w:type="dxa"/>
          <w:bottom w:w="113" w:type="dxa"/>
          <w:right w:w="0" w:type="dxa"/>
        </w:tblCellMar>
        <w:tblLook w:val="00BF" w:firstRow="1" w:lastRow="0" w:firstColumn="1" w:lastColumn="0" w:noHBand="0" w:noVBand="0"/>
      </w:tblPr>
      <w:tblGrid>
        <w:gridCol w:w="1665"/>
        <w:gridCol w:w="1666"/>
        <w:gridCol w:w="1665"/>
        <w:gridCol w:w="1666"/>
      </w:tblGrid>
      <w:tr w:rsidR="00000000">
        <w:trPr>
          <w:cantSplit/>
          <w:trHeight w:val="20"/>
          <w:tblHeader/>
        </w:trPr>
        <w:tc>
          <w:tcPr>
            <w:tcW w:w="1665" w:type="dxa"/>
            <w:noWrap/>
            <w:tcMar>
              <w:top w:w="15" w:type="dxa"/>
              <w:left w:w="15" w:type="dxa"/>
              <w:bottom w:w="0" w:type="dxa"/>
              <w:right w:w="15" w:type="dxa"/>
            </w:tcMar>
            <w:vAlign w:val="center"/>
          </w:tcPr>
          <w:p w:rsidR="00000000" w:rsidRDefault="00000000">
            <w:pPr>
              <w:keepNext/>
              <w:spacing w:line="240" w:lineRule="auto"/>
              <w:jc w:val="center"/>
              <w:rPr>
                <w:rFonts w:eastAsia="Arial Unicode MS"/>
                <w:b/>
                <w:bCs/>
              </w:rPr>
            </w:pPr>
            <w:r>
              <w:rPr>
                <w:b/>
                <w:bCs/>
              </w:rPr>
              <w:t>Год</w:t>
            </w:r>
          </w:p>
        </w:tc>
        <w:tc>
          <w:tcPr>
            <w:tcW w:w="1666" w:type="dxa"/>
            <w:noWrap/>
            <w:tcMar>
              <w:top w:w="15" w:type="dxa"/>
              <w:left w:w="15" w:type="dxa"/>
              <w:bottom w:w="0" w:type="dxa"/>
              <w:right w:w="15" w:type="dxa"/>
            </w:tcMar>
            <w:vAlign w:val="center"/>
          </w:tcPr>
          <w:p w:rsidR="00000000" w:rsidRDefault="00000000">
            <w:pPr>
              <w:keepNext/>
              <w:spacing w:line="240" w:lineRule="auto"/>
              <w:jc w:val="center"/>
              <w:rPr>
                <w:rFonts w:eastAsia="Arial Unicode MS"/>
                <w:b/>
                <w:bCs/>
              </w:rPr>
            </w:pPr>
            <w:r>
              <w:rPr>
                <w:b/>
                <w:bCs/>
              </w:rPr>
              <w:t>Всего</w:t>
            </w:r>
          </w:p>
        </w:tc>
        <w:tc>
          <w:tcPr>
            <w:tcW w:w="1665" w:type="dxa"/>
            <w:noWrap/>
            <w:tcMar>
              <w:top w:w="15" w:type="dxa"/>
              <w:left w:w="15" w:type="dxa"/>
              <w:bottom w:w="0" w:type="dxa"/>
              <w:right w:w="15" w:type="dxa"/>
            </w:tcMar>
            <w:vAlign w:val="center"/>
          </w:tcPr>
          <w:p w:rsidR="00000000" w:rsidRDefault="00000000">
            <w:pPr>
              <w:keepNext/>
              <w:spacing w:line="240" w:lineRule="auto"/>
              <w:jc w:val="center"/>
              <w:rPr>
                <w:rFonts w:eastAsia="Arial Unicode MS"/>
                <w:b/>
                <w:bCs/>
              </w:rPr>
            </w:pPr>
            <w:r>
              <w:rPr>
                <w:b/>
                <w:bCs/>
              </w:rPr>
              <w:t>Мужчины</w:t>
            </w:r>
          </w:p>
        </w:tc>
        <w:tc>
          <w:tcPr>
            <w:tcW w:w="1666" w:type="dxa"/>
            <w:noWrap/>
            <w:tcMar>
              <w:top w:w="15" w:type="dxa"/>
              <w:left w:w="15" w:type="dxa"/>
              <w:bottom w:w="0" w:type="dxa"/>
              <w:right w:w="15" w:type="dxa"/>
            </w:tcMar>
            <w:vAlign w:val="center"/>
          </w:tcPr>
          <w:p w:rsidR="00000000" w:rsidRDefault="00000000">
            <w:pPr>
              <w:keepNext/>
              <w:spacing w:line="240" w:lineRule="auto"/>
              <w:jc w:val="center"/>
              <w:rPr>
                <w:rFonts w:eastAsia="Arial Unicode MS"/>
                <w:b/>
                <w:bCs/>
              </w:rPr>
            </w:pPr>
            <w:r>
              <w:rPr>
                <w:b/>
                <w:bCs/>
              </w:rPr>
              <w:t>Женщины</w:t>
            </w:r>
          </w:p>
        </w:tc>
      </w:tr>
      <w:tr w:rsidR="00000000">
        <w:trPr>
          <w:cantSplit/>
          <w:trHeight w:val="20"/>
        </w:trPr>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1999</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rPr>
            </w:pPr>
            <w:r>
              <w:rPr>
                <w:lang w:val="en-GB"/>
              </w:rPr>
              <w:t>9</w:t>
            </w:r>
          </w:p>
        </w:tc>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9,4</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8,6</w:t>
            </w:r>
          </w:p>
        </w:tc>
      </w:tr>
      <w:tr w:rsidR="00000000">
        <w:trPr>
          <w:cantSplit/>
          <w:trHeight w:val="20"/>
        </w:trPr>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2000</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w:t>
            </w:r>
          </w:p>
        </w:tc>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9,5</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8,5</w:t>
            </w:r>
          </w:p>
        </w:tc>
      </w:tr>
      <w:tr w:rsidR="00000000">
        <w:trPr>
          <w:cantSplit/>
          <w:trHeight w:val="20"/>
        </w:trPr>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2001</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9,5</w:t>
            </w:r>
          </w:p>
        </w:tc>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10,2</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8,7</w:t>
            </w:r>
          </w:p>
        </w:tc>
      </w:tr>
      <w:tr w:rsidR="00000000">
        <w:trPr>
          <w:cantSplit/>
          <w:trHeight w:val="20"/>
        </w:trPr>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2002</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9,4</w:t>
            </w:r>
          </w:p>
        </w:tc>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9,9</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8,9</w:t>
            </w:r>
          </w:p>
        </w:tc>
      </w:tr>
      <w:tr w:rsidR="00000000">
        <w:trPr>
          <w:cantSplit/>
          <w:trHeight w:val="20"/>
        </w:trPr>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2003</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9,2</w:t>
            </w:r>
          </w:p>
        </w:tc>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9,7</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8,7</w:t>
            </w:r>
          </w:p>
        </w:tc>
      </w:tr>
      <w:tr w:rsidR="00000000">
        <w:trPr>
          <w:cantSplit/>
          <w:trHeight w:val="20"/>
        </w:trPr>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2004</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9,2</w:t>
            </w:r>
          </w:p>
        </w:tc>
        <w:tc>
          <w:tcPr>
            <w:tcW w:w="1665"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9,5</w:t>
            </w:r>
          </w:p>
        </w:tc>
        <w:tc>
          <w:tcPr>
            <w:tcW w:w="1666" w:type="dxa"/>
            <w:noWrap/>
            <w:tcMar>
              <w:top w:w="15" w:type="dxa"/>
              <w:left w:w="15" w:type="dxa"/>
              <w:bottom w:w="0" w:type="dxa"/>
              <w:right w:w="15" w:type="dxa"/>
            </w:tcMar>
            <w:vAlign w:val="center"/>
          </w:tcPr>
          <w:p w:rsidR="00000000" w:rsidRDefault="00000000">
            <w:pPr>
              <w:spacing w:line="240" w:lineRule="auto"/>
              <w:jc w:val="center"/>
              <w:rPr>
                <w:rFonts w:eastAsia="Arial Unicode MS"/>
                <w:lang w:val="en-GB"/>
              </w:rPr>
            </w:pPr>
            <w:r>
              <w:rPr>
                <w:lang w:val="en-GB"/>
              </w:rPr>
              <w:t>8,8</w:t>
            </w:r>
          </w:p>
        </w:tc>
      </w:tr>
    </w:tbl>
    <w:p w:rsidR="00000000" w:rsidRDefault="00000000">
      <w:pPr>
        <w:rPr>
          <w:szCs w:val="24"/>
          <w:lang w:val="en-GB"/>
        </w:rPr>
      </w:pPr>
    </w:p>
    <w:p w:rsidR="00000000" w:rsidRDefault="00000000">
      <w:pPr>
        <w:rPr>
          <w:szCs w:val="24"/>
        </w:rPr>
      </w:pPr>
      <w:r>
        <w:rPr>
          <w:szCs w:val="24"/>
        </w:rPr>
        <w:t>118.</w:t>
      </w:r>
      <w:r>
        <w:rPr>
          <w:szCs w:val="24"/>
        </w:rPr>
        <w:tab/>
        <w:t>Согласно шведскому Закону об условиях труда (1977:1160) на работодателя возложена ответственность за обустройство рабочего места с учетом физических и психологических потребностей и особенностей работников.  Управление по вопросам условий труда Швеции несет общую ответственность за решение вопросов, связанных с утратой трудоспособности и условиями труда, и координирует, поддерживает и поощряет решение вопросов, имеющих отношение к другим соответствующим сторонам.  К мерам, принимаемым Управлением, относится подготовка контрольных перечней для мониторинга вопросов утраты трудоспособности в соответствии с Законом об условиях труда, например в отношении доступности и соблюдения требований к оснащению рабочих мест.</w:t>
      </w:r>
    </w:p>
    <w:p w:rsidR="00000000" w:rsidRDefault="00000000">
      <w:pPr>
        <w:rPr>
          <w:szCs w:val="24"/>
        </w:rPr>
      </w:pPr>
    </w:p>
    <w:p w:rsidR="00000000" w:rsidRDefault="00000000">
      <w:pPr>
        <w:keepNext/>
        <w:rPr>
          <w:i/>
          <w:iCs/>
          <w:szCs w:val="24"/>
        </w:rPr>
      </w:pPr>
      <w:r>
        <w:rPr>
          <w:i/>
          <w:iCs/>
          <w:szCs w:val="24"/>
        </w:rPr>
        <w:tab/>
        <w:t>Руководящий принцип 5</w:t>
      </w:r>
    </w:p>
    <w:p w:rsidR="00000000" w:rsidRDefault="00000000">
      <w:pPr>
        <w:keepNext/>
        <w:rPr>
          <w:szCs w:val="24"/>
          <w:u w:val="single"/>
        </w:rPr>
      </w:pPr>
    </w:p>
    <w:p w:rsidR="00000000" w:rsidRDefault="00000000">
      <w:pPr>
        <w:rPr>
          <w:szCs w:val="24"/>
        </w:rPr>
      </w:pPr>
      <w:r>
        <w:rPr>
          <w:szCs w:val="24"/>
        </w:rPr>
        <w:t>119.</w:t>
      </w:r>
      <w:r>
        <w:rPr>
          <w:szCs w:val="24"/>
        </w:rPr>
        <w:tab/>
        <w:t>Регулирование мер политики на рынке труда обеспечивается с помощью нескольких законов и указов.  За</w:t>
      </w:r>
      <w:r>
        <w:rPr>
          <w:szCs w:val="24"/>
          <w:lang w:val="en-GB"/>
        </w:rPr>
        <w:t> </w:t>
      </w:r>
      <w:r>
        <w:rPr>
          <w:szCs w:val="24"/>
        </w:rPr>
        <w:t>период после представления последнего доклада был проведен ряд изменений.  Кроме того, определенные указы были аннулированы, а вместо них приняты новые.  Основную роль в регулировании мер политики играют следующие законы и указы:</w:t>
      </w:r>
    </w:p>
    <w:p w:rsidR="00000000" w:rsidRDefault="00000000">
      <w:pPr>
        <w:rPr>
          <w:szCs w:val="24"/>
        </w:rPr>
      </w:pPr>
    </w:p>
    <w:p w:rsidR="00000000" w:rsidRDefault="00000000">
      <w:pPr>
        <w:spacing w:line="240" w:lineRule="auto"/>
        <w:ind w:left="567"/>
        <w:rPr>
          <w:szCs w:val="24"/>
        </w:rPr>
      </w:pPr>
      <w:r>
        <w:rPr>
          <w:szCs w:val="24"/>
        </w:rPr>
        <w:t>Закон о программах реализации политики на рынке труда (2000:625)</w:t>
      </w:r>
    </w:p>
    <w:p w:rsidR="00000000" w:rsidRDefault="00000000">
      <w:pPr>
        <w:spacing w:line="240" w:lineRule="auto"/>
        <w:ind w:left="567"/>
        <w:rPr>
          <w:szCs w:val="24"/>
        </w:rPr>
      </w:pPr>
    </w:p>
    <w:p w:rsidR="00000000" w:rsidRDefault="00000000">
      <w:pPr>
        <w:spacing w:line="240" w:lineRule="auto"/>
        <w:ind w:left="567"/>
        <w:rPr>
          <w:szCs w:val="24"/>
        </w:rPr>
      </w:pPr>
      <w:r>
        <w:rPr>
          <w:szCs w:val="24"/>
        </w:rPr>
        <w:t>Указ о программах реализации политики на рынке труда (2000:634)</w:t>
      </w:r>
    </w:p>
    <w:p w:rsidR="00000000" w:rsidRDefault="00000000">
      <w:pPr>
        <w:spacing w:line="240" w:lineRule="auto"/>
        <w:ind w:left="567"/>
        <w:rPr>
          <w:szCs w:val="24"/>
        </w:rPr>
      </w:pPr>
    </w:p>
    <w:p w:rsidR="00000000" w:rsidRDefault="00000000">
      <w:pPr>
        <w:spacing w:line="240" w:lineRule="auto"/>
        <w:ind w:left="567"/>
        <w:rPr>
          <w:szCs w:val="24"/>
        </w:rPr>
      </w:pPr>
      <w:r>
        <w:rPr>
          <w:szCs w:val="24"/>
        </w:rPr>
        <w:t>Указ о лицах, утративших профессиональную работоспособность (специальные меры) (2000:630)</w:t>
      </w:r>
    </w:p>
    <w:p w:rsidR="00000000" w:rsidRDefault="00000000">
      <w:pPr>
        <w:spacing w:line="240" w:lineRule="auto"/>
        <w:ind w:left="567"/>
        <w:rPr>
          <w:szCs w:val="24"/>
        </w:rPr>
      </w:pPr>
    </w:p>
    <w:p w:rsidR="00000000" w:rsidRDefault="00000000">
      <w:pPr>
        <w:spacing w:line="240" w:lineRule="auto"/>
        <w:ind w:left="567"/>
        <w:rPr>
          <w:szCs w:val="24"/>
        </w:rPr>
      </w:pPr>
      <w:r>
        <w:rPr>
          <w:szCs w:val="24"/>
        </w:rPr>
        <w:t>Указ о дотации на трудоустройство (1997:1275)</w:t>
      </w:r>
    </w:p>
    <w:p w:rsidR="00000000" w:rsidRDefault="00000000">
      <w:pPr>
        <w:spacing w:line="240" w:lineRule="auto"/>
        <w:ind w:left="567"/>
        <w:rPr>
          <w:szCs w:val="24"/>
        </w:rPr>
      </w:pPr>
    </w:p>
    <w:p w:rsidR="00000000" w:rsidRDefault="00000000">
      <w:pPr>
        <w:spacing w:line="240" w:lineRule="auto"/>
        <w:ind w:left="567"/>
        <w:rPr>
          <w:szCs w:val="24"/>
        </w:rPr>
      </w:pPr>
      <w:r>
        <w:rPr>
          <w:szCs w:val="24"/>
        </w:rPr>
        <w:t>Указ о пособиях на переезд в связи с изменением места работы (1999:594)</w:t>
      </w:r>
    </w:p>
    <w:p w:rsidR="00000000" w:rsidRDefault="00000000">
      <w:pPr>
        <w:spacing w:line="240" w:lineRule="auto"/>
        <w:ind w:left="567"/>
        <w:rPr>
          <w:szCs w:val="24"/>
        </w:rPr>
      </w:pPr>
    </w:p>
    <w:p w:rsidR="00000000" w:rsidRDefault="00000000">
      <w:pPr>
        <w:spacing w:line="240" w:lineRule="auto"/>
        <w:ind w:left="567"/>
        <w:rPr>
          <w:szCs w:val="24"/>
        </w:rPr>
      </w:pPr>
      <w:r>
        <w:rPr>
          <w:szCs w:val="24"/>
        </w:rPr>
        <w:t>Указ об оплачиваемом академическом отпуске (</w:t>
      </w:r>
      <w:r>
        <w:rPr>
          <w:i/>
          <w:szCs w:val="24"/>
          <w:lang w:val="en-US"/>
        </w:rPr>
        <w:t>F</w:t>
      </w:r>
      <w:proofErr w:type="spellStart"/>
      <w:r>
        <w:rPr>
          <w:i/>
          <w:szCs w:val="24"/>
        </w:rPr>
        <w:t>ö</w:t>
      </w:r>
      <w:r>
        <w:rPr>
          <w:i/>
          <w:szCs w:val="24"/>
          <w:lang w:val="en-US"/>
        </w:rPr>
        <w:t>rordning</w:t>
      </w:r>
      <w:proofErr w:type="spellEnd"/>
      <w:r>
        <w:rPr>
          <w:i/>
          <w:szCs w:val="24"/>
        </w:rPr>
        <w:t xml:space="preserve"> (2001:1300) </w:t>
      </w:r>
      <w:proofErr w:type="spellStart"/>
      <w:r>
        <w:rPr>
          <w:i/>
          <w:szCs w:val="24"/>
          <w:lang w:val="en-US"/>
        </w:rPr>
        <w:t>om</w:t>
      </w:r>
      <w:proofErr w:type="spellEnd"/>
      <w:r>
        <w:rPr>
          <w:i/>
          <w:szCs w:val="24"/>
        </w:rPr>
        <w:t xml:space="preserve"> </w:t>
      </w:r>
      <w:proofErr w:type="spellStart"/>
      <w:r>
        <w:rPr>
          <w:i/>
          <w:szCs w:val="24"/>
          <w:lang w:val="en-US"/>
        </w:rPr>
        <w:t>fri</w:t>
      </w:r>
      <w:r>
        <w:rPr>
          <w:i/>
          <w:szCs w:val="24"/>
        </w:rPr>
        <w:t>å</w:t>
      </w:r>
      <w:proofErr w:type="spellEnd"/>
      <w:r>
        <w:rPr>
          <w:i/>
          <w:szCs w:val="24"/>
          <w:lang w:val="en-US"/>
        </w:rPr>
        <w:t>ret</w:t>
      </w:r>
      <w:r>
        <w:rPr>
          <w:szCs w:val="24"/>
        </w:rPr>
        <w:t>)</w:t>
      </w:r>
    </w:p>
    <w:p w:rsidR="00000000" w:rsidRDefault="00000000">
      <w:pPr>
        <w:spacing w:line="240" w:lineRule="auto"/>
        <w:ind w:left="567"/>
        <w:rPr>
          <w:szCs w:val="24"/>
        </w:rPr>
      </w:pPr>
    </w:p>
    <w:p w:rsidR="00000000" w:rsidRDefault="00000000">
      <w:pPr>
        <w:spacing w:line="240" w:lineRule="auto"/>
        <w:ind w:left="567"/>
        <w:rPr>
          <w:szCs w:val="24"/>
        </w:rPr>
      </w:pPr>
      <w:r>
        <w:rPr>
          <w:szCs w:val="24"/>
        </w:rPr>
        <w:t>Указ о производственной стажировке (</w:t>
      </w:r>
      <w:r>
        <w:rPr>
          <w:i/>
          <w:szCs w:val="24"/>
        </w:rPr>
        <w:t xml:space="preserve">Förordning (2003:623) om </w:t>
      </w:r>
      <w:proofErr w:type="spellStart"/>
      <w:r>
        <w:rPr>
          <w:i/>
          <w:szCs w:val="24"/>
        </w:rPr>
        <w:t>arbetsplatsintroduktion</w:t>
      </w:r>
      <w:proofErr w:type="spellEnd"/>
      <w:r>
        <w:rPr>
          <w:szCs w:val="24"/>
        </w:rPr>
        <w:t>).</w:t>
      </w:r>
    </w:p>
    <w:p w:rsidR="00000000" w:rsidRDefault="00000000">
      <w:pPr>
        <w:rPr>
          <w:szCs w:val="24"/>
        </w:rPr>
      </w:pPr>
    </w:p>
    <w:p w:rsidR="00000000" w:rsidRDefault="00000000">
      <w:pPr>
        <w:rPr>
          <w:szCs w:val="24"/>
        </w:rPr>
      </w:pPr>
      <w:r>
        <w:rPr>
          <w:szCs w:val="24"/>
        </w:rPr>
        <w:t>120.</w:t>
      </w:r>
      <w:r>
        <w:rPr>
          <w:szCs w:val="24"/>
        </w:rPr>
        <w:tab/>
        <w:t>За период после представления последнего доклада дважды </w:t>
      </w:r>
      <w:r>
        <w:rPr>
          <w:szCs w:val="24"/>
        </w:rPr>
        <w:noBreakHyphen/>
        <w:t xml:space="preserve"> 1 января 2001 года и 1 июля 2005 года </w:t>
      </w:r>
      <w:r>
        <w:rPr>
          <w:szCs w:val="24"/>
        </w:rPr>
        <w:noBreakHyphen/>
        <w:t xml:space="preserve"> вносились поправки в Закон о равных возможностях (1991:443).  Благодаря внесению этих поправок было обеспечено полное </w:t>
      </w:r>
      <w:proofErr w:type="spellStart"/>
      <w:r>
        <w:rPr>
          <w:szCs w:val="24"/>
        </w:rPr>
        <w:t>инкорпорирование</w:t>
      </w:r>
      <w:proofErr w:type="spellEnd"/>
      <w:r>
        <w:rPr>
          <w:szCs w:val="24"/>
        </w:rPr>
        <w:t xml:space="preserve"> в Закон о равных возможностях положений Директивы о распределении "бремени доказывания" в соответствии с законодательством ЕС (Директива Совета № 97/80/ЕС).  Полная информация по этому вопросу приведена в шестом и седьмом периодических докладах, представленных Швецией в соответствии с Международной конвенцией о ликвидации всех форм дискриминации в отношении женщин.</w:t>
      </w:r>
    </w:p>
    <w:p w:rsidR="00000000" w:rsidRDefault="00000000">
      <w:pPr>
        <w:rPr>
          <w:szCs w:val="24"/>
        </w:rPr>
      </w:pPr>
    </w:p>
    <w:p w:rsidR="00000000" w:rsidRDefault="00000000">
      <w:pPr>
        <w:keepNext/>
        <w:rPr>
          <w:b/>
          <w:bCs/>
        </w:rPr>
      </w:pPr>
      <w:bookmarkStart w:id="5" w:name="_Toc141071233"/>
      <w:bookmarkStart w:id="6" w:name="_Toc141084099"/>
      <w:bookmarkStart w:id="7" w:name="_Toc141085109"/>
      <w:r>
        <w:rPr>
          <w:b/>
          <w:bCs/>
        </w:rPr>
        <w:t>Статья 7</w:t>
      </w:r>
      <w:bookmarkEnd w:id="5"/>
      <w:bookmarkEnd w:id="6"/>
      <w:bookmarkEnd w:id="7"/>
    </w:p>
    <w:p w:rsidR="00000000" w:rsidRDefault="00000000">
      <w:pPr>
        <w:keepNext/>
        <w:rPr>
          <w:b/>
          <w:bCs/>
        </w:rPr>
      </w:pPr>
    </w:p>
    <w:p w:rsidR="00000000" w:rsidRDefault="00000000">
      <w:pPr>
        <w:keepNext/>
        <w:rPr>
          <w:i/>
          <w:iCs/>
          <w:szCs w:val="24"/>
        </w:rPr>
      </w:pPr>
      <w:r>
        <w:rPr>
          <w:i/>
          <w:iCs/>
          <w:szCs w:val="24"/>
        </w:rPr>
        <w:tab/>
        <w:t>Руководящий принцип 1</w:t>
      </w:r>
    </w:p>
    <w:p w:rsidR="00000000" w:rsidRDefault="00000000">
      <w:pPr>
        <w:keepNext/>
        <w:rPr>
          <w:szCs w:val="24"/>
          <w:u w:val="single"/>
        </w:rPr>
      </w:pPr>
    </w:p>
    <w:p w:rsidR="00000000" w:rsidRDefault="00000000">
      <w:pPr>
        <w:rPr>
          <w:szCs w:val="24"/>
        </w:rPr>
      </w:pPr>
      <w:r>
        <w:rPr>
          <w:szCs w:val="24"/>
        </w:rPr>
        <w:t>121.</w:t>
      </w:r>
      <w:r>
        <w:rPr>
          <w:szCs w:val="24"/>
        </w:rPr>
        <w:tab/>
        <w:t>Соответствующая информация приведена в четвертом периодическом докладе Швеции.  Обоснованность ссылок на доклады МОТ определяется на индивидуальной основе применительно к каждому отдельному руководящему принципу.</w:t>
      </w:r>
    </w:p>
    <w:p w:rsidR="00000000" w:rsidRDefault="00000000">
      <w:pPr>
        <w:rPr>
          <w:szCs w:val="24"/>
        </w:rPr>
      </w:pPr>
    </w:p>
    <w:p w:rsidR="00000000" w:rsidRDefault="00000000">
      <w:pPr>
        <w:rPr>
          <w:i/>
          <w:iCs/>
          <w:szCs w:val="24"/>
        </w:rPr>
      </w:pPr>
      <w:r>
        <w:rPr>
          <w:i/>
          <w:iCs/>
          <w:szCs w:val="24"/>
        </w:rPr>
        <w:tab/>
        <w:t>Руководящий принцип 2</w:t>
      </w:r>
    </w:p>
    <w:p w:rsidR="00000000" w:rsidRDefault="00000000">
      <w:pPr>
        <w:rPr>
          <w:szCs w:val="24"/>
          <w:u w:val="single"/>
        </w:rPr>
      </w:pPr>
    </w:p>
    <w:p w:rsidR="00000000" w:rsidRDefault="00000000">
      <w:pPr>
        <w:rPr>
          <w:szCs w:val="24"/>
        </w:rPr>
      </w:pPr>
      <w:r>
        <w:rPr>
          <w:szCs w:val="24"/>
        </w:rPr>
        <w:t>122.</w:t>
      </w:r>
      <w:r>
        <w:rPr>
          <w:szCs w:val="24"/>
        </w:rPr>
        <w:tab/>
        <w:t>Соответствующая информация приведена в пункте 84 четвертого периодического доклада Швеции.</w:t>
      </w:r>
    </w:p>
    <w:p w:rsidR="00000000" w:rsidRDefault="00000000">
      <w:pPr>
        <w:rPr>
          <w:szCs w:val="24"/>
        </w:rPr>
      </w:pPr>
    </w:p>
    <w:p w:rsidR="00000000" w:rsidRDefault="00000000">
      <w:pPr>
        <w:rPr>
          <w:szCs w:val="24"/>
        </w:rPr>
      </w:pPr>
      <w:r>
        <w:rPr>
          <w:szCs w:val="24"/>
        </w:rPr>
        <w:t>123.</w:t>
      </w:r>
      <w:r>
        <w:rPr>
          <w:szCs w:val="24"/>
        </w:rPr>
        <w:tab/>
        <w:t>В Швеции отсутствует законодательство о минимальных ставках заработной платы.  Ее размер определяется на основе коллективных договоров.  В некоторых случаях в коллективные договоры включают и положения о минимальных ставках оплаты труда.</w:t>
      </w:r>
    </w:p>
    <w:p w:rsidR="00000000" w:rsidRDefault="00000000">
      <w:pPr>
        <w:rPr>
          <w:szCs w:val="24"/>
        </w:rPr>
      </w:pPr>
    </w:p>
    <w:p w:rsidR="00000000" w:rsidRDefault="00000000">
      <w:pPr>
        <w:keepNext/>
        <w:rPr>
          <w:i/>
          <w:iCs/>
          <w:kern w:val="28"/>
          <w:szCs w:val="24"/>
        </w:rPr>
      </w:pPr>
      <w:r>
        <w:rPr>
          <w:i/>
          <w:iCs/>
          <w:szCs w:val="24"/>
        </w:rPr>
        <w:tab/>
        <w:t>Статистика заработной платы</w:t>
      </w:r>
    </w:p>
    <w:p w:rsidR="00000000" w:rsidRDefault="00000000">
      <w:pPr>
        <w:keepNext/>
        <w:rPr>
          <w:b/>
          <w:bCs/>
          <w:kern w:val="28"/>
          <w:szCs w:val="24"/>
        </w:rPr>
      </w:pPr>
    </w:p>
    <w:p w:rsidR="00000000" w:rsidRDefault="00000000">
      <w:pPr>
        <w:rPr>
          <w:szCs w:val="24"/>
        </w:rPr>
      </w:pPr>
      <w:r>
        <w:rPr>
          <w:szCs w:val="24"/>
        </w:rPr>
        <w:t>124.</w:t>
      </w:r>
      <w:r>
        <w:rPr>
          <w:szCs w:val="24"/>
        </w:rPr>
        <w:tab/>
        <w:t>Подготовка официальных статистических данных о заработной плате строится таким образом, чтобы охватить весь рынок труда.  Благодаря разработке соответствующего метода в настоящее время имеется возможность для отслеживания разницы в оплате труда между мужчинами и женщинами на постоянной основе.  Эта информация ежегодно предоставляется Статистическим управлением Швеции (СУШ).</w:t>
      </w:r>
    </w:p>
    <w:p w:rsidR="00000000" w:rsidRDefault="00000000">
      <w:pPr>
        <w:rPr>
          <w:szCs w:val="24"/>
        </w:rPr>
      </w:pPr>
    </w:p>
    <w:p w:rsidR="00000000" w:rsidRDefault="00000000">
      <w:pPr>
        <w:keepNext/>
        <w:rPr>
          <w:b/>
          <w:bCs/>
          <w:i/>
          <w:iCs/>
          <w:szCs w:val="24"/>
        </w:rPr>
      </w:pPr>
      <w:r>
        <w:rPr>
          <w:b/>
          <w:bCs/>
          <w:i/>
          <w:iCs/>
          <w:szCs w:val="24"/>
        </w:rPr>
        <w:t>С начала 1990</w:t>
      </w:r>
      <w:r>
        <w:rPr>
          <w:b/>
          <w:bCs/>
          <w:i/>
          <w:iCs/>
          <w:szCs w:val="24"/>
        </w:rPr>
        <w:noBreakHyphen/>
        <w:t>х годов разрыв в заработной плате не сократился</w:t>
      </w:r>
    </w:p>
    <w:p w:rsidR="00000000" w:rsidRDefault="00000000">
      <w:pPr>
        <w:keepNext/>
        <w:rPr>
          <w:b/>
          <w:bCs/>
          <w:i/>
          <w:iCs/>
          <w:szCs w:val="24"/>
        </w:rPr>
      </w:pPr>
    </w:p>
    <w:p w:rsidR="00000000" w:rsidRDefault="00000000">
      <w:pPr>
        <w:rPr>
          <w:szCs w:val="24"/>
        </w:rPr>
      </w:pPr>
      <w:r>
        <w:rPr>
          <w:szCs w:val="24"/>
        </w:rPr>
        <w:t>125.</w:t>
      </w:r>
      <w:r>
        <w:rPr>
          <w:szCs w:val="24"/>
        </w:rPr>
        <w:tab/>
        <w:t>С начала 1990</w:t>
      </w:r>
      <w:r>
        <w:rPr>
          <w:szCs w:val="24"/>
        </w:rPr>
        <w:noBreakHyphen/>
        <w:t>х</w:t>
      </w:r>
      <w:r>
        <w:rPr>
          <w:szCs w:val="24"/>
          <w:lang w:val="en-GB"/>
        </w:rPr>
        <w:t> </w:t>
      </w:r>
      <w:r>
        <w:rPr>
          <w:szCs w:val="24"/>
        </w:rPr>
        <w:t>годов разница в размерах оплаты труда существенным образом не изменилась.  Согласно статистике заработной платы заработная плата женщин соответствует в среднем 84% заработной платы мужчин.  Если произвести корректировку этих статистических данных путем разнесения мужчин и женщин по возрастным группам, уровню образования, продолжительности рабочего дня, секторам и профессиональным группам, то разница в оплате труда сократится, и заработная плата женщин составит 92% от заработной платы мужчин.  Принадлежность к той или иной профессиональной группе является самым важным фактором, влияющим на разницу в оплате труда.  (Все расчеты основаны на ставках заработной платы, соответствующих занятости в течение полного рабочего дня.)</w:t>
      </w:r>
    </w:p>
    <w:p w:rsidR="00000000" w:rsidRDefault="00000000">
      <w:pPr>
        <w:rPr>
          <w:szCs w:val="24"/>
        </w:rPr>
      </w:pPr>
    </w:p>
    <w:p w:rsidR="00000000" w:rsidRDefault="00000000">
      <w:pPr>
        <w:jc w:val="center"/>
        <w:rPr>
          <w:b/>
          <w:bCs/>
        </w:rPr>
      </w:pPr>
      <w:r>
        <w:rPr>
          <w:b/>
          <w:bCs/>
        </w:rPr>
        <w:t>Таблица 7.1</w:t>
      </w:r>
    </w:p>
    <w:p w:rsidR="00000000" w:rsidRDefault="00000000">
      <w:pPr>
        <w:spacing w:line="216" w:lineRule="auto"/>
        <w:jc w:val="center"/>
        <w:rPr>
          <w:b/>
          <w:bCs/>
        </w:rPr>
      </w:pPr>
    </w:p>
    <w:p w:rsidR="00000000" w:rsidRDefault="00000000">
      <w:pPr>
        <w:spacing w:line="240" w:lineRule="auto"/>
        <w:jc w:val="center"/>
        <w:rPr>
          <w:b/>
          <w:bCs/>
        </w:rPr>
      </w:pPr>
      <w:r>
        <w:rPr>
          <w:b/>
          <w:bCs/>
        </w:rPr>
        <w:t xml:space="preserve">Заработная плата женщин в виде процентной доли от </w:t>
      </w:r>
    </w:p>
    <w:p w:rsidR="00000000" w:rsidRDefault="00000000">
      <w:pPr>
        <w:spacing w:line="240" w:lineRule="auto"/>
        <w:jc w:val="center"/>
        <w:rPr>
          <w:b/>
          <w:bCs/>
        </w:rPr>
      </w:pPr>
      <w:r>
        <w:rPr>
          <w:b/>
          <w:bCs/>
        </w:rPr>
        <w:t>заработной платы мужчин, 1992–2004 годы</w:t>
      </w:r>
    </w:p>
    <w:p w:rsidR="00000000" w:rsidRDefault="00000000">
      <w:pPr>
        <w:rPr>
          <w:b/>
          <w:bCs/>
        </w:r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726"/>
        <w:gridCol w:w="712"/>
        <w:gridCol w:w="848"/>
        <w:gridCol w:w="712"/>
        <w:gridCol w:w="848"/>
        <w:gridCol w:w="715"/>
        <w:gridCol w:w="861"/>
        <w:gridCol w:w="666"/>
        <w:gridCol w:w="716"/>
        <w:gridCol w:w="666"/>
        <w:gridCol w:w="717"/>
        <w:gridCol w:w="666"/>
        <w:gridCol w:w="717"/>
      </w:tblGrid>
      <w:tr w:rsidR="00000000">
        <w:tblPrEx>
          <w:tblCellMar>
            <w:top w:w="0" w:type="dxa"/>
            <w:bottom w:w="0" w:type="dxa"/>
          </w:tblCellMar>
        </w:tblPrEx>
        <w:trPr>
          <w:cantSplit/>
          <w:tblHeader/>
        </w:trPr>
        <w:tc>
          <w:tcPr>
            <w:tcW w:w="736" w:type="dxa"/>
            <w:tcBorders>
              <w:left w:val="single" w:sz="4" w:space="0" w:color="auto"/>
              <w:bottom w:val="nil"/>
              <w:right w:val="single" w:sz="4" w:space="0" w:color="auto"/>
            </w:tcBorders>
            <w:vAlign w:val="center"/>
          </w:tcPr>
          <w:p w:rsidR="00000000" w:rsidRDefault="00000000">
            <w:pPr>
              <w:spacing w:after="120" w:line="240" w:lineRule="auto"/>
              <w:jc w:val="center"/>
              <w:rPr>
                <w:b/>
                <w:bCs/>
                <w:sz w:val="20"/>
              </w:rPr>
            </w:pPr>
            <w:r>
              <w:rPr>
                <w:b/>
                <w:bCs/>
                <w:sz w:val="20"/>
              </w:rPr>
              <w:t>Год</w:t>
            </w:r>
          </w:p>
        </w:tc>
        <w:tc>
          <w:tcPr>
            <w:tcW w:w="1472" w:type="dxa"/>
            <w:gridSpan w:val="2"/>
            <w:tcBorders>
              <w:left w:val="single" w:sz="4" w:space="0" w:color="auto"/>
              <w:right w:val="single" w:sz="4" w:space="0" w:color="auto"/>
            </w:tcBorders>
            <w:vAlign w:val="center"/>
          </w:tcPr>
          <w:p w:rsidR="00000000" w:rsidRDefault="00000000">
            <w:pPr>
              <w:spacing w:after="120" w:line="240" w:lineRule="auto"/>
              <w:jc w:val="center"/>
              <w:rPr>
                <w:b/>
                <w:bCs/>
              </w:rPr>
            </w:pPr>
            <w:r>
              <w:rPr>
                <w:b/>
                <w:bCs/>
                <w:sz w:val="16"/>
              </w:rPr>
              <w:t>Первичные муниципалитеты</w:t>
            </w:r>
          </w:p>
        </w:tc>
        <w:tc>
          <w:tcPr>
            <w:tcW w:w="1472" w:type="dxa"/>
            <w:gridSpan w:val="2"/>
            <w:tcBorders>
              <w:left w:val="single" w:sz="4" w:space="0" w:color="auto"/>
              <w:right w:val="single" w:sz="4" w:space="0" w:color="auto"/>
            </w:tcBorders>
            <w:vAlign w:val="center"/>
          </w:tcPr>
          <w:p w:rsidR="00000000" w:rsidRDefault="00000000">
            <w:pPr>
              <w:spacing w:after="120" w:line="240" w:lineRule="auto"/>
              <w:jc w:val="center"/>
              <w:rPr>
                <w:b/>
                <w:bCs/>
              </w:rPr>
            </w:pPr>
            <w:r>
              <w:rPr>
                <w:b/>
                <w:bCs/>
                <w:sz w:val="16"/>
              </w:rPr>
              <w:t>Ленские муниципалитеты</w:t>
            </w:r>
          </w:p>
        </w:tc>
        <w:tc>
          <w:tcPr>
            <w:tcW w:w="1472" w:type="dxa"/>
            <w:gridSpan w:val="2"/>
            <w:tcBorders>
              <w:left w:val="single" w:sz="4" w:space="0" w:color="auto"/>
              <w:right w:val="single" w:sz="4" w:space="0" w:color="auto"/>
            </w:tcBorders>
            <w:vAlign w:val="center"/>
          </w:tcPr>
          <w:p w:rsidR="00000000" w:rsidRDefault="00000000">
            <w:pPr>
              <w:spacing w:after="120" w:line="240" w:lineRule="auto"/>
              <w:jc w:val="center"/>
              <w:rPr>
                <w:b/>
                <w:bCs/>
              </w:rPr>
            </w:pPr>
            <w:r>
              <w:rPr>
                <w:b/>
                <w:bCs/>
                <w:sz w:val="16"/>
              </w:rPr>
              <w:t>Государственный сектор</w:t>
            </w:r>
          </w:p>
        </w:tc>
        <w:tc>
          <w:tcPr>
            <w:tcW w:w="1472" w:type="dxa"/>
            <w:gridSpan w:val="2"/>
            <w:tcBorders>
              <w:left w:val="single" w:sz="4" w:space="0" w:color="auto"/>
              <w:right w:val="single" w:sz="4" w:space="0" w:color="auto"/>
            </w:tcBorders>
            <w:vAlign w:val="center"/>
          </w:tcPr>
          <w:p w:rsidR="00000000" w:rsidRDefault="00000000">
            <w:pPr>
              <w:spacing w:after="120" w:line="240" w:lineRule="auto"/>
              <w:jc w:val="center"/>
              <w:rPr>
                <w:b/>
                <w:bCs/>
              </w:rPr>
            </w:pPr>
            <w:r>
              <w:rPr>
                <w:b/>
                <w:bCs/>
                <w:sz w:val="16"/>
              </w:rPr>
              <w:t>Публичный сектор</w:t>
            </w:r>
          </w:p>
        </w:tc>
        <w:tc>
          <w:tcPr>
            <w:tcW w:w="1473" w:type="dxa"/>
            <w:gridSpan w:val="2"/>
            <w:tcBorders>
              <w:left w:val="single" w:sz="4" w:space="0" w:color="auto"/>
              <w:right w:val="single" w:sz="4" w:space="0" w:color="auto"/>
            </w:tcBorders>
            <w:vAlign w:val="center"/>
          </w:tcPr>
          <w:p w:rsidR="00000000" w:rsidRDefault="00000000">
            <w:pPr>
              <w:spacing w:after="120" w:line="240" w:lineRule="auto"/>
              <w:jc w:val="center"/>
              <w:rPr>
                <w:b/>
                <w:bCs/>
              </w:rPr>
            </w:pPr>
            <w:r>
              <w:rPr>
                <w:b/>
                <w:bCs/>
                <w:sz w:val="16"/>
              </w:rPr>
              <w:t>Частный сектор</w:t>
            </w:r>
          </w:p>
        </w:tc>
        <w:tc>
          <w:tcPr>
            <w:tcW w:w="1474" w:type="dxa"/>
            <w:gridSpan w:val="2"/>
            <w:tcBorders>
              <w:left w:val="single" w:sz="4" w:space="0" w:color="auto"/>
              <w:right w:val="single" w:sz="4" w:space="0" w:color="auto"/>
            </w:tcBorders>
            <w:vAlign w:val="center"/>
          </w:tcPr>
          <w:p w:rsidR="00000000" w:rsidRDefault="00000000">
            <w:pPr>
              <w:spacing w:after="120" w:line="240" w:lineRule="auto"/>
              <w:jc w:val="center"/>
              <w:rPr>
                <w:b/>
                <w:bCs/>
              </w:rPr>
            </w:pPr>
            <w:r>
              <w:rPr>
                <w:b/>
                <w:bCs/>
                <w:sz w:val="16"/>
              </w:rPr>
              <w:t>Все секторы</w:t>
            </w:r>
          </w:p>
        </w:tc>
      </w:tr>
      <w:tr w:rsidR="00000000">
        <w:tblPrEx>
          <w:tblCellMar>
            <w:top w:w="0" w:type="dxa"/>
            <w:bottom w:w="0" w:type="dxa"/>
          </w:tblCellMar>
        </w:tblPrEx>
        <w:trPr>
          <w:tblHeader/>
        </w:trPr>
        <w:tc>
          <w:tcPr>
            <w:tcW w:w="736" w:type="dxa"/>
            <w:tcBorders>
              <w:top w:val="nil"/>
              <w:left w:val="single" w:sz="4" w:space="0" w:color="auto"/>
              <w:bottom w:val="single" w:sz="4" w:space="0" w:color="auto"/>
              <w:right w:val="single" w:sz="4" w:space="0" w:color="auto"/>
            </w:tcBorders>
            <w:vAlign w:val="center"/>
          </w:tcPr>
          <w:p w:rsidR="00000000" w:rsidRDefault="00000000">
            <w:pPr>
              <w:spacing w:after="120" w:line="240" w:lineRule="auto"/>
              <w:jc w:val="center"/>
              <w:rPr>
                <w:b/>
                <w:bCs/>
              </w:rPr>
            </w:pP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До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После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До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После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До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После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До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После СВ</w:t>
            </w:r>
          </w:p>
        </w:tc>
        <w:tc>
          <w:tcPr>
            <w:tcW w:w="736"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До СВ</w:t>
            </w:r>
          </w:p>
        </w:tc>
        <w:tc>
          <w:tcPr>
            <w:tcW w:w="737"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После СВ</w:t>
            </w:r>
          </w:p>
        </w:tc>
        <w:tc>
          <w:tcPr>
            <w:tcW w:w="737"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До СВ</w:t>
            </w:r>
          </w:p>
        </w:tc>
        <w:tc>
          <w:tcPr>
            <w:tcW w:w="737" w:type="dxa"/>
            <w:tcBorders>
              <w:left w:val="single" w:sz="4" w:space="0" w:color="auto"/>
              <w:bottom w:val="single" w:sz="4" w:space="0" w:color="auto"/>
              <w:right w:val="single" w:sz="4" w:space="0" w:color="auto"/>
            </w:tcBorders>
            <w:vAlign w:val="center"/>
          </w:tcPr>
          <w:p w:rsidR="00000000" w:rsidRDefault="00000000">
            <w:pPr>
              <w:spacing w:after="120" w:line="240" w:lineRule="auto"/>
              <w:jc w:val="center"/>
              <w:rPr>
                <w:b/>
                <w:bCs/>
                <w:sz w:val="16"/>
              </w:rPr>
            </w:pPr>
            <w:r>
              <w:rPr>
                <w:b/>
                <w:bCs/>
                <w:sz w:val="16"/>
              </w:rPr>
              <w:t>После СВ</w:t>
            </w:r>
          </w:p>
        </w:tc>
      </w:tr>
      <w:tr w:rsidR="00000000">
        <w:tblPrEx>
          <w:tblCellMar>
            <w:top w:w="0" w:type="dxa"/>
            <w:bottom w:w="0" w:type="dxa"/>
          </w:tblCellMar>
        </w:tblPrEx>
        <w:tc>
          <w:tcPr>
            <w:tcW w:w="736" w:type="dxa"/>
            <w:tcBorders>
              <w:left w:val="single" w:sz="4" w:space="0" w:color="auto"/>
              <w:bottom w:val="nil"/>
              <w:right w:val="single" w:sz="4" w:space="0" w:color="auto"/>
            </w:tcBorders>
          </w:tcPr>
          <w:p w:rsidR="00000000" w:rsidRDefault="00000000">
            <w:pPr>
              <w:spacing w:after="120" w:line="240" w:lineRule="auto"/>
            </w:pPr>
            <w:r>
              <w:t>1992</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86</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75</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7"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rPr>
                <w:b/>
                <w:bCs/>
              </w:rPr>
            </w:pPr>
            <w:r>
              <w:t>1993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rPr>
                <w:b/>
                <w:bCs/>
              </w:rPr>
            </w:pPr>
            <w:r>
              <w:t>1994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86</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rPr>
                <w:b/>
                <w:bCs/>
              </w:rPr>
            </w:pPr>
            <w:r>
              <w:t>1995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87</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rPr>
                <w:b/>
                <w:bCs/>
              </w:rPr>
            </w:pPr>
            <w:r>
              <w:t>1996</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87</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91</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pPr>
            <w:r>
              <w:t>1997</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91</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93</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pPr>
            <w:r>
              <w:t>1998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89</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91</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pPr>
            <w:r>
              <w:t>1999</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r>
      <w:tr w:rsidR="00000000">
        <w:tblPrEx>
          <w:tblCellMar>
            <w:top w:w="0" w:type="dxa"/>
            <w:bottom w:w="0" w:type="dxa"/>
          </w:tblCellMar>
        </w:tblPrEx>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pPr>
            <w:r>
              <w:t>2000</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90</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93</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84</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95</w:t>
            </w:r>
          </w:p>
        </w:tc>
        <w:tc>
          <w:tcPr>
            <w:tcW w:w="736"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90</w:t>
            </w:r>
          </w:p>
        </w:tc>
        <w:tc>
          <w:tcPr>
            <w:tcW w:w="737"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82</w:t>
            </w:r>
          </w:p>
        </w:tc>
        <w:tc>
          <w:tcPr>
            <w:tcW w:w="737" w:type="dxa"/>
            <w:tcBorders>
              <w:top w:val="nil"/>
              <w:left w:val="single" w:sz="4" w:space="0" w:color="auto"/>
              <w:bottom w:val="single" w:sz="4" w:space="0" w:color="auto"/>
              <w:right w:val="single" w:sz="4" w:space="0" w:color="auto"/>
            </w:tcBorders>
          </w:tcPr>
          <w:p w:rsidR="00000000" w:rsidRDefault="00000000">
            <w:pPr>
              <w:spacing w:after="120" w:line="240" w:lineRule="auto"/>
              <w:jc w:val="center"/>
              <w:rPr>
                <w:sz w:val="20"/>
              </w:rPr>
            </w:pPr>
            <w:r>
              <w:rPr>
                <w:sz w:val="20"/>
              </w:rPr>
              <w:t>92</w:t>
            </w:r>
          </w:p>
        </w:tc>
      </w:tr>
      <w:tr w:rsidR="00000000">
        <w:tblPrEx>
          <w:tblCellMar>
            <w:top w:w="0" w:type="dxa"/>
            <w:bottom w:w="0" w:type="dxa"/>
          </w:tblCellMar>
        </w:tblPrEx>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pPr>
            <w:r>
              <w:t>2001</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99</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93</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96</w:t>
            </w:r>
          </w:p>
        </w:tc>
        <w:tc>
          <w:tcPr>
            <w:tcW w:w="736"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7"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7" w:type="dxa"/>
            <w:tcBorders>
              <w:top w:val="single" w:sz="4" w:space="0" w:color="auto"/>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pPr>
            <w:r>
              <w:t>2002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83</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r>
      <w:tr w:rsidR="00000000">
        <w:tblPrEx>
          <w:tblCellMar>
            <w:top w:w="0" w:type="dxa"/>
            <w:bottom w:w="0" w:type="dxa"/>
          </w:tblCellMar>
        </w:tblPrEx>
        <w:tc>
          <w:tcPr>
            <w:tcW w:w="736" w:type="dxa"/>
            <w:tcBorders>
              <w:top w:val="nil"/>
              <w:left w:val="single" w:sz="4" w:space="0" w:color="auto"/>
              <w:bottom w:val="nil"/>
              <w:right w:val="single" w:sz="4" w:space="0" w:color="auto"/>
            </w:tcBorders>
          </w:tcPr>
          <w:p w:rsidR="00000000" w:rsidRDefault="00000000">
            <w:pPr>
              <w:spacing w:after="120" w:line="240" w:lineRule="auto"/>
            </w:pPr>
            <w:r>
              <w:t>2003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98</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71</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93</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82</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96</w:t>
            </w:r>
          </w:p>
        </w:tc>
        <w:tc>
          <w:tcPr>
            <w:tcW w:w="736"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90</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bottom w:val="nil"/>
              <w:right w:val="single" w:sz="4" w:space="0" w:color="auto"/>
            </w:tcBorders>
          </w:tcPr>
          <w:p w:rsidR="00000000" w:rsidRDefault="00000000">
            <w:pPr>
              <w:spacing w:after="120" w:line="240" w:lineRule="auto"/>
              <w:jc w:val="center"/>
              <w:rPr>
                <w:sz w:val="20"/>
              </w:rPr>
            </w:pPr>
            <w:r>
              <w:rPr>
                <w:sz w:val="20"/>
              </w:rPr>
              <w:t>92</w:t>
            </w:r>
          </w:p>
        </w:tc>
      </w:tr>
      <w:tr w:rsidR="00000000">
        <w:tblPrEx>
          <w:tblCellMar>
            <w:top w:w="0" w:type="dxa"/>
            <w:bottom w:w="0" w:type="dxa"/>
          </w:tblCellMar>
        </w:tblPrEx>
        <w:tc>
          <w:tcPr>
            <w:tcW w:w="736" w:type="dxa"/>
            <w:tcBorders>
              <w:top w:val="nil"/>
              <w:left w:val="single" w:sz="4" w:space="0" w:color="auto"/>
              <w:right w:val="single" w:sz="4" w:space="0" w:color="auto"/>
            </w:tcBorders>
          </w:tcPr>
          <w:p w:rsidR="00000000" w:rsidRDefault="00000000">
            <w:pPr>
              <w:spacing w:after="120" w:line="240" w:lineRule="auto"/>
            </w:pPr>
            <w:r>
              <w:t>2004</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85</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83</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6"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85</w:t>
            </w:r>
          </w:p>
        </w:tc>
        <w:tc>
          <w:tcPr>
            <w:tcW w:w="737"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w:t>
            </w:r>
          </w:p>
        </w:tc>
        <w:tc>
          <w:tcPr>
            <w:tcW w:w="737"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84</w:t>
            </w:r>
          </w:p>
        </w:tc>
        <w:tc>
          <w:tcPr>
            <w:tcW w:w="737" w:type="dxa"/>
            <w:tcBorders>
              <w:top w:val="nil"/>
              <w:left w:val="single" w:sz="4" w:space="0" w:color="auto"/>
              <w:right w:val="single" w:sz="4" w:space="0" w:color="auto"/>
            </w:tcBorders>
          </w:tcPr>
          <w:p w:rsidR="00000000" w:rsidRDefault="00000000">
            <w:pPr>
              <w:spacing w:after="120" w:line="240" w:lineRule="auto"/>
              <w:jc w:val="center"/>
              <w:rPr>
                <w:sz w:val="20"/>
              </w:rPr>
            </w:pPr>
            <w:r>
              <w:rPr>
                <w:sz w:val="20"/>
              </w:rPr>
              <w:t>92</w:t>
            </w:r>
          </w:p>
        </w:tc>
      </w:tr>
    </w:tbl>
    <w:p w:rsidR="00000000" w:rsidRDefault="00000000">
      <w:pPr>
        <w:spacing w:line="240" w:lineRule="auto"/>
      </w:pPr>
    </w:p>
    <w:p w:rsidR="00000000" w:rsidRDefault="00000000">
      <w:pPr>
        <w:spacing w:line="240" w:lineRule="auto"/>
      </w:pPr>
      <w:proofErr w:type="spellStart"/>
      <w:r>
        <w:t>СВ</w:t>
      </w:r>
      <w:proofErr w:type="spellEnd"/>
      <w:r>
        <w:t xml:space="preserve">  =  стандартное взвешивание, то есть корректировка данных по возрастным группам, уровню образования, секторам, продолжительности рабочего дня (данные о заплате работников, занятых в течение неполного рабочего дня, приведены к эквиваленту, соответствующему занятости в течение полного рабочего дня) и профессиональным группам.</w:t>
      </w:r>
    </w:p>
    <w:p w:rsidR="00000000" w:rsidRDefault="00000000">
      <w:pPr>
        <w:spacing w:line="240" w:lineRule="auto"/>
      </w:pPr>
    </w:p>
    <w:p w:rsidR="00000000" w:rsidRDefault="00000000">
      <w:pPr>
        <w:spacing w:line="240" w:lineRule="auto"/>
      </w:pPr>
      <w:r>
        <w:rPr>
          <w:i/>
          <w:iCs/>
        </w:rPr>
        <w:t>Источник</w:t>
      </w:r>
      <w:r>
        <w:t>:  СУШ</w:t>
      </w:r>
    </w:p>
    <w:p w:rsidR="00000000" w:rsidRDefault="00000000">
      <w:pPr>
        <w:rPr>
          <w:b/>
          <w:bCs/>
          <w:i/>
          <w:iCs/>
          <w:lang w:val="en-US"/>
        </w:rPr>
      </w:pPr>
    </w:p>
    <w:p w:rsidR="00000000" w:rsidRDefault="00000000">
      <w:pPr>
        <w:rPr>
          <w:b/>
          <w:bCs/>
          <w:i/>
          <w:iCs/>
        </w:rPr>
      </w:pPr>
      <w:r>
        <w:rPr>
          <w:b/>
          <w:bCs/>
          <w:i/>
          <w:iCs/>
        </w:rPr>
        <w:t xml:space="preserve">Оценка трудовой деятельности </w:t>
      </w:r>
    </w:p>
    <w:p w:rsidR="00000000" w:rsidRDefault="00000000">
      <w:pPr>
        <w:rPr>
          <w:lang w:val="en-US"/>
        </w:rPr>
      </w:pPr>
    </w:p>
    <w:p w:rsidR="00000000" w:rsidRDefault="00000000">
      <w:r>
        <w:t>126.</w:t>
      </w:r>
      <w:r>
        <w:tab/>
        <w:t>Омбудсмен по вопросам равных возможностей (ОРВ) разработал быстрый и простой метод оценки требований к трудовой деятельности, названный "Шаги навстречу равному вознаграждению за труд".  Этот метод может быть использован для обзора ставок заработной платы с целью выявления необоснованной разницы в оплате труда между мужчинами и женщинами, как это предусмотрено Законом о равных возможностях.</w:t>
      </w:r>
    </w:p>
    <w:p w:rsidR="00000000" w:rsidRDefault="00000000">
      <w:pPr>
        <w:rPr>
          <w:b/>
          <w:bCs/>
          <w:i/>
          <w:iCs/>
        </w:rPr>
      </w:pPr>
    </w:p>
    <w:p w:rsidR="00000000" w:rsidRDefault="00000000">
      <w:pPr>
        <w:rPr>
          <w:b/>
          <w:bCs/>
          <w:i/>
          <w:iCs/>
        </w:rPr>
      </w:pPr>
      <w:r>
        <w:rPr>
          <w:b/>
          <w:bCs/>
          <w:i/>
          <w:iCs/>
        </w:rPr>
        <w:t>Ужесточение норм, закрепленных в Законе о равных возможностях</w:t>
      </w:r>
    </w:p>
    <w:p w:rsidR="00000000" w:rsidRDefault="00000000"/>
    <w:p w:rsidR="00000000" w:rsidRDefault="00000000">
      <w:r>
        <w:t>127.</w:t>
      </w:r>
      <w:r>
        <w:tab/>
        <w:t xml:space="preserve">1 января 2001 года вступила в силу поправка к Закону о равных возможностях, направленная на усиление и уточнение его положений, касающихся равного вознаграждения за равный труд.  (См. пункты 19 и 30 </w:t>
      </w:r>
      <w:r>
        <w:rPr>
          <w:i/>
          <w:iCs/>
        </w:rPr>
        <w:t>"Заключительных замечаний".</w:t>
      </w:r>
      <w:r>
        <w:t>)  Лишь после внесения поправки 2001 года появилась возможность утверждать, что данное положение применяется в настоящее время именно так, как это предполагалось законодательной властью при установлении данных норм в 1994 году.  По мнению Омбудсмена, эффект от усиления этих положений стал отчетливо проявляться прежде всего в последние два года.  Внесение поправок в эти положения оказалось успешным в том смысле, что благодаря этому были скорректированы ставки заработной платы как отдельных лиц, так и представителей многих профессиональных групп, подавляющее большинство в которых составляют женщины.</w:t>
      </w:r>
    </w:p>
    <w:p w:rsidR="00000000" w:rsidRDefault="00000000"/>
    <w:p w:rsidR="00000000" w:rsidRDefault="00000000">
      <w:r>
        <w:t>128.</w:t>
      </w:r>
      <w:r>
        <w:tab/>
        <w:t xml:space="preserve">После вступления поправки в силу Омбудсмен провел большое число инспекционных проверок с целью оценки соблюдения работодателями усиленных положений Закона о равных возможностях на основе обзора данных об оплате труда.  Кроме того, Омбудсмен провел несколько крупных просветительских инициатив в связи с этими инспекционными проверками. </w:t>
      </w:r>
    </w:p>
    <w:p w:rsidR="00000000" w:rsidRDefault="00000000"/>
    <w:p w:rsidR="00000000" w:rsidRDefault="00000000">
      <w:pPr>
        <w:keepNext/>
        <w:rPr>
          <w:b/>
          <w:bCs/>
          <w:i/>
          <w:iCs/>
        </w:rPr>
      </w:pPr>
      <w:r>
        <w:rPr>
          <w:b/>
          <w:bCs/>
          <w:i/>
          <w:iCs/>
        </w:rPr>
        <w:t>Разница в оплате труда в государственном и частном секторах</w:t>
      </w:r>
    </w:p>
    <w:p w:rsidR="00000000" w:rsidRDefault="00000000">
      <w:pPr>
        <w:keepNext/>
        <w:rPr>
          <w:lang w:val="en-US"/>
        </w:rPr>
      </w:pPr>
    </w:p>
    <w:p w:rsidR="00000000" w:rsidRDefault="00000000">
      <w:pPr>
        <w:keepNext/>
      </w:pPr>
      <w:r>
        <w:t>129.</w:t>
      </w:r>
      <w:r>
        <w:tab/>
        <w:t>Статистические данные, полученные после внесения изменений в методику подсчета, показывают, что величина разницы в оплате труда в государственном секторе варьируется в зависимости от того или иного обследуемого подсектора.  Наряду с незначительностью этой разницы на муниципальном уровне ее величина возрастает на ленском уровне вследствие сопоставления профессиональных групп, значительно отстоящих друг от друга, таких, как врачи и младшие медицинские сестры.  В ленских советах многие мужчины-служащие являются высокооплачиваемыми врачами, и их заработная плата сопоставляется с низкой заработной платой младших медицинских сестер, из которых практически все являются женщинами.  Разница в зарплате в государственном секторе примерно такая же, что и в частном секторе.  Разрыв в оплате труда между мужчинами и женщинами несколько больше в государственном секторе в целом, нежели в частном секторе.  При применении стандартного взвешивания получается противоположная картина:  в частном секторе разница в зарплате оказывается более значительной, чем в государственном секторе.</w:t>
      </w:r>
    </w:p>
    <w:p w:rsidR="00000000" w:rsidRDefault="00000000">
      <w:pPr>
        <w:rPr>
          <w:lang w:val="en-US"/>
        </w:rPr>
      </w:pPr>
    </w:p>
    <w:p w:rsidR="00000000" w:rsidRDefault="00000000">
      <w:r>
        <w:t>130.</w:t>
      </w:r>
      <w:r>
        <w:tab/>
        <w:t xml:space="preserve">Статистические данные свидетельствуют о том, что после корректировки с учетом заранее определенных факторов, влияющих на размеры заработной платы, в масштабах всего рынка труда сохраняется разница в заработной плате, равная в среднем 8%.  Вместе с тем эти остающиеся 8% не позволяют со всей определенностью утверждать, что речь в данном случае идет о дискриминации в оплате труда.  Определить это можно только с помощью обследования и анализа, обязательное проведение которых предусмотрено Законом о равных возможностях.  </w:t>
      </w:r>
    </w:p>
    <w:p w:rsidR="00000000" w:rsidRDefault="00000000">
      <w:pPr>
        <w:rPr>
          <w:b/>
          <w:bCs/>
          <w:i/>
          <w:iCs/>
          <w:lang w:val="en-US"/>
        </w:rPr>
      </w:pPr>
    </w:p>
    <w:p w:rsidR="00000000" w:rsidRDefault="00000000">
      <w:r>
        <w:rPr>
          <w:b/>
          <w:bCs/>
          <w:i/>
          <w:iCs/>
        </w:rPr>
        <w:t>Закон о равных возможностях</w:t>
      </w:r>
    </w:p>
    <w:p w:rsidR="00000000" w:rsidRDefault="00000000">
      <w:pPr>
        <w:rPr>
          <w:lang w:val="en-US"/>
        </w:rPr>
      </w:pPr>
    </w:p>
    <w:p w:rsidR="00000000" w:rsidRDefault="00000000">
      <w:pPr>
        <w:rPr>
          <w:lang w:val="en-US"/>
        </w:rPr>
      </w:pPr>
      <w:r>
        <w:t>131.</w:t>
      </w:r>
      <w:r>
        <w:tab/>
        <w:t>По просьбе Национального посреднического бюро (НПБ) СУШ провело исследование, стремясь определить, оказали ли поправки к законодательству сколь-либо заметное влияние на статистические данные за 2003 год.  Цель исследования заключалась в установлении того, сократилась ли разница в оплате труда между женщинами и мужчинами, выполняющими работу равной ценности, в результате изменений в Законе о равных возможностях.  Для обследования были отобраны группы из муниципалитетов, ленских советов и нескольких государственных учреждений.  Были сделаны следующие выводы:</w:t>
      </w:r>
    </w:p>
    <w:p w:rsidR="00000000" w:rsidRDefault="00000000">
      <w:pPr>
        <w:rPr>
          <w:lang w:val="en-US"/>
        </w:rPr>
      </w:pPr>
    </w:p>
    <w:p w:rsidR="00000000" w:rsidRDefault="00000000">
      <w:pPr>
        <w:numPr>
          <w:ilvl w:val="0"/>
          <w:numId w:val="5"/>
        </w:numPr>
        <w:tabs>
          <w:tab w:val="clear" w:pos="567"/>
          <w:tab w:val="clear" w:pos="1134"/>
          <w:tab w:val="clear" w:pos="1701"/>
          <w:tab w:val="num" w:pos="360"/>
          <w:tab w:val="left" w:pos="1122"/>
          <w:tab w:val="left" w:pos="1683"/>
        </w:tabs>
        <w:ind w:left="1122" w:hanging="561"/>
      </w:pPr>
      <w:r>
        <w:t xml:space="preserve">В целом никаких явных признаков дискриминации в оплате труда </w:t>
      </w:r>
      <w:r>
        <w:rPr>
          <w:i/>
          <w:iCs/>
        </w:rPr>
        <w:t xml:space="preserve">в рамках </w:t>
      </w:r>
      <w:r>
        <w:t xml:space="preserve">профессиональных групп в государственном секторе выявлено не было. </w:t>
      </w:r>
    </w:p>
    <w:p w:rsidR="00000000" w:rsidRDefault="00000000">
      <w:pPr>
        <w:tabs>
          <w:tab w:val="clear" w:pos="567"/>
          <w:tab w:val="clear" w:pos="1134"/>
          <w:tab w:val="clear" w:pos="1701"/>
          <w:tab w:val="left" w:pos="1122"/>
          <w:tab w:val="left" w:pos="1683"/>
        </w:tabs>
        <w:ind w:left="561"/>
      </w:pPr>
    </w:p>
    <w:p w:rsidR="00000000" w:rsidRDefault="00000000">
      <w:pPr>
        <w:numPr>
          <w:ilvl w:val="0"/>
          <w:numId w:val="5"/>
        </w:numPr>
        <w:tabs>
          <w:tab w:val="clear" w:pos="567"/>
          <w:tab w:val="clear" w:pos="1134"/>
          <w:tab w:val="clear" w:pos="1701"/>
          <w:tab w:val="num" w:pos="360"/>
          <w:tab w:val="left" w:pos="1122"/>
          <w:tab w:val="left" w:pos="1683"/>
        </w:tabs>
        <w:ind w:left="1122" w:hanging="561"/>
      </w:pPr>
      <w:r>
        <w:t>По существу, мужчины и женщины получают равное вознаграждение за выполнение одной и той же работы.</w:t>
      </w:r>
    </w:p>
    <w:p w:rsidR="00000000" w:rsidRDefault="00000000">
      <w:pPr>
        <w:tabs>
          <w:tab w:val="clear" w:pos="567"/>
          <w:tab w:val="clear" w:pos="1134"/>
          <w:tab w:val="clear" w:pos="1701"/>
          <w:tab w:val="left" w:pos="1122"/>
          <w:tab w:val="left" w:pos="1683"/>
        </w:tabs>
        <w:ind w:left="201"/>
      </w:pPr>
    </w:p>
    <w:p w:rsidR="00000000" w:rsidRDefault="00000000">
      <w:pPr>
        <w:numPr>
          <w:ilvl w:val="0"/>
          <w:numId w:val="5"/>
        </w:numPr>
        <w:tabs>
          <w:tab w:val="clear" w:pos="567"/>
          <w:tab w:val="clear" w:pos="1134"/>
          <w:tab w:val="clear" w:pos="1701"/>
          <w:tab w:val="left" w:pos="561"/>
          <w:tab w:val="num" w:pos="1122"/>
          <w:tab w:val="left" w:pos="1683"/>
        </w:tabs>
        <w:ind w:left="1122" w:hanging="561"/>
      </w:pPr>
      <w:r>
        <w:t xml:space="preserve">Различия в размерах заработной платы, которые обсуждались в рамках публичных дебатов и зачастую характеризовались как дискриминация в оплате труда, обнаруживаются главным образом при </w:t>
      </w:r>
      <w:r>
        <w:rPr>
          <w:i/>
          <w:iCs/>
        </w:rPr>
        <w:t>сопоставлении различных</w:t>
      </w:r>
      <w:r>
        <w:t xml:space="preserve"> видов трудовой деятельности.  К примеру, низкооплачиваемые профессиональные группы, в которых доминирующую роль играют женщины, сравнивались с высокооплачиваемыми профессиональными группами, в которых доминируют мужчины.  Для того, чтобы эти различия в оплате труда были сочтены дискриминационными по Закону о равных возможностях, эти виды трудовой деятельности должны быть сочтены имеющими равную ценность и должны выполняться для одного и того же работодателя.</w:t>
      </w:r>
    </w:p>
    <w:p w:rsidR="00000000" w:rsidRDefault="00000000">
      <w:pPr>
        <w:tabs>
          <w:tab w:val="clear" w:pos="567"/>
          <w:tab w:val="clear" w:pos="1134"/>
          <w:tab w:val="clear" w:pos="1701"/>
          <w:tab w:val="left" w:pos="561"/>
          <w:tab w:val="left" w:pos="1683"/>
        </w:tabs>
        <w:ind w:left="201"/>
      </w:pPr>
    </w:p>
    <w:p w:rsidR="00000000" w:rsidRDefault="00000000">
      <w:pPr>
        <w:numPr>
          <w:ilvl w:val="0"/>
          <w:numId w:val="5"/>
        </w:numPr>
        <w:tabs>
          <w:tab w:val="clear" w:pos="567"/>
          <w:tab w:val="clear" w:pos="1134"/>
          <w:tab w:val="clear" w:pos="1701"/>
          <w:tab w:val="left" w:pos="561"/>
          <w:tab w:val="num" w:pos="1122"/>
          <w:tab w:val="left" w:pos="1683"/>
        </w:tabs>
        <w:ind w:left="1122" w:hanging="561"/>
      </w:pPr>
      <w:r>
        <w:t xml:space="preserve">В статистических данных не содержится сведений, позволяющих провести оценки двух различных видов трудовой деятельности на предмет их равноценности.  </w:t>
      </w:r>
    </w:p>
    <w:p w:rsidR="00000000" w:rsidRDefault="00000000">
      <w:pPr>
        <w:tabs>
          <w:tab w:val="clear" w:pos="567"/>
          <w:tab w:val="clear" w:pos="1134"/>
          <w:tab w:val="clear" w:pos="1701"/>
          <w:tab w:val="left" w:pos="561"/>
          <w:tab w:val="left" w:pos="1683"/>
        </w:tabs>
        <w:ind w:left="201"/>
      </w:pPr>
    </w:p>
    <w:p w:rsidR="00000000" w:rsidRDefault="00000000">
      <w:pPr>
        <w:tabs>
          <w:tab w:val="clear" w:pos="567"/>
          <w:tab w:val="clear" w:pos="1134"/>
          <w:tab w:val="clear" w:pos="1701"/>
          <w:tab w:val="left" w:pos="561"/>
          <w:tab w:val="left" w:pos="1683"/>
        </w:tabs>
        <w:rPr>
          <w:b/>
          <w:bCs/>
          <w:i/>
          <w:iCs/>
        </w:rPr>
      </w:pPr>
      <w:r>
        <w:rPr>
          <w:b/>
          <w:bCs/>
          <w:i/>
          <w:iCs/>
        </w:rPr>
        <w:t>Роль Национального посреднического бюро</w:t>
      </w:r>
    </w:p>
    <w:p w:rsidR="00000000" w:rsidRDefault="00000000">
      <w:pPr>
        <w:tabs>
          <w:tab w:val="clear" w:pos="567"/>
          <w:tab w:val="clear" w:pos="1134"/>
          <w:tab w:val="clear" w:pos="1701"/>
          <w:tab w:val="left" w:pos="561"/>
          <w:tab w:val="left" w:pos="1683"/>
        </w:tabs>
        <w:rPr>
          <w:lang w:val="en-US"/>
        </w:rPr>
      </w:pPr>
    </w:p>
    <w:p w:rsidR="00000000" w:rsidRDefault="00000000">
      <w:pPr>
        <w:tabs>
          <w:tab w:val="clear" w:pos="567"/>
          <w:tab w:val="clear" w:pos="1134"/>
          <w:tab w:val="clear" w:pos="1701"/>
          <w:tab w:val="left" w:pos="561"/>
          <w:tab w:val="left" w:pos="1683"/>
        </w:tabs>
      </w:pPr>
      <w:r>
        <w:t>132.</w:t>
      </w:r>
      <w:r>
        <w:tab/>
        <w:t>Процесс формирования заработной платы является объектом пристального внимания социальных партнеров в ходе переговоров на рынке труда (трудовые/управленческие организации).  В данных ему указаниях относительно распределения ассигнований на 2003-2004 годы Национальному посредническому бюро было рекомендовано в этой связи уделять особое внимание - в рамках его контактов с партнерами - важному значению разработки коллективных договоров таким образом, чтобы эти договоры содействовали усилиям партнеров на местном рынке труда, направленным на достижение равенства в оплате труда между мужчинами и женщинами.  НПБ организовало также семинары по теме "Формирование заработной платы и гендерное равенство".  Целевой группой для этих семинаров, на которых охватывался в основном весь рынок труда, являлись социальные партнеры по рынку труда.</w:t>
      </w:r>
    </w:p>
    <w:p w:rsidR="00000000" w:rsidRDefault="00000000"/>
    <w:p w:rsidR="00000000" w:rsidRDefault="00000000">
      <w:pPr>
        <w:keepNext/>
        <w:rPr>
          <w:b/>
          <w:bCs/>
          <w:i/>
          <w:iCs/>
        </w:rPr>
      </w:pPr>
      <w:r>
        <w:rPr>
          <w:b/>
          <w:bCs/>
          <w:i/>
          <w:iCs/>
        </w:rPr>
        <w:t>Различия в оплате труда в зависимости от социальных структур</w:t>
      </w:r>
    </w:p>
    <w:p w:rsidR="00000000" w:rsidRDefault="00000000">
      <w:pPr>
        <w:keepNext/>
        <w:rPr>
          <w:b/>
          <w:bCs/>
          <w:i/>
          <w:iCs/>
        </w:rPr>
      </w:pPr>
    </w:p>
    <w:p w:rsidR="00000000" w:rsidRDefault="00000000">
      <w:pPr>
        <w:keepNext/>
      </w:pPr>
      <w:r>
        <w:t>133.</w:t>
      </w:r>
      <w:r>
        <w:tab/>
        <w:t xml:space="preserve">В целях сокращения структурных различий в оплате труда между женщинами и мужчинами следует повысить значимость трудовой деятельности женщин в государственном секторе.  В этой связи правительство предложило предусмотреть в бюджете на 2006 год выделение дополнительных ресурсов муниципальному сектору на несколько ближайших лет.  Заблаговременно до начала предстоящих переговоров по коллективным договорам будут проведены дискуссии со Шведской ассоциацией местных органов власти и регионов для уточнения условий, связанных с этими вопросами, включая сокращение разрыва в заработной плате между женщинами и мужчинами.  </w:t>
      </w:r>
    </w:p>
    <w:p w:rsidR="00000000" w:rsidRDefault="00000000"/>
    <w:p w:rsidR="00000000" w:rsidRDefault="00000000">
      <w:r>
        <w:rPr>
          <w:b/>
          <w:bCs/>
          <w:i/>
          <w:iCs/>
        </w:rPr>
        <w:t>План действий правительства по обеспечению равной оплаты труда</w:t>
      </w:r>
    </w:p>
    <w:p w:rsidR="00000000" w:rsidRDefault="00000000"/>
    <w:p w:rsidR="00000000" w:rsidRDefault="00000000">
      <w:r>
        <w:t>134.</w:t>
      </w:r>
      <w:r>
        <w:tab/>
        <w:t xml:space="preserve">В сотрудничестве с Левой партией и Партией охраны окружающей среды правительство представит весной 2006 года национальный план действий по ликвидации дискриминационных различий в оплате труда, обусловленных гендерными соображениями.  </w:t>
      </w:r>
    </w:p>
    <w:p w:rsidR="00000000" w:rsidRDefault="00000000"/>
    <w:p w:rsidR="00000000" w:rsidRDefault="00000000">
      <w:r>
        <w:t>135.</w:t>
      </w:r>
      <w:r>
        <w:tab/>
        <w:t xml:space="preserve">Этот </w:t>
      </w:r>
      <w:proofErr w:type="spellStart"/>
      <w:r>
        <w:t>широкохватный</w:t>
      </w:r>
      <w:proofErr w:type="spellEnd"/>
      <w:r>
        <w:t xml:space="preserve"> план затронет области, прямо или косвенно влияющие на размеры индивидуальной заработной платы.  Это означает, что в дополнение к областям, регулируемым Законом о равных возможностях, этот план будет охватывать такие области, как различные формы занятости, развитие профессиональных навыков и распределение оплачиваемой и неоплачиваемой работы.  Долгосрочная цель заключается в ликвидации любой гендерной дискриминации на рынке труда.  </w:t>
      </w:r>
    </w:p>
    <w:p w:rsidR="00000000" w:rsidRDefault="00000000"/>
    <w:p w:rsidR="00000000" w:rsidRDefault="00000000">
      <w:pPr>
        <w:jc w:val="center"/>
        <w:rPr>
          <w:b/>
          <w:bCs/>
        </w:rPr>
      </w:pPr>
      <w:r>
        <w:rPr>
          <w:b/>
          <w:bCs/>
        </w:rPr>
        <w:t>Таблица 7.2</w:t>
      </w:r>
    </w:p>
    <w:p w:rsidR="00000000" w:rsidRDefault="00000000">
      <w:pPr>
        <w:spacing w:line="216" w:lineRule="auto"/>
        <w:jc w:val="center"/>
        <w:rPr>
          <w:b/>
          <w:bCs/>
        </w:rPr>
      </w:pPr>
    </w:p>
    <w:p w:rsidR="00000000" w:rsidRDefault="00000000">
      <w:pPr>
        <w:jc w:val="center"/>
        <w:rPr>
          <w:b/>
          <w:bCs/>
        </w:rPr>
      </w:pPr>
      <w:r>
        <w:rPr>
          <w:b/>
          <w:bCs/>
        </w:rPr>
        <w:t>Размеры месячной заработной платы за ряд предыдущих лет</w:t>
      </w:r>
    </w:p>
    <w:p w:rsidR="00000000" w:rsidRDefault="00000000">
      <w:pPr>
        <w:rPr>
          <w:b/>
          <w:bCs/>
          <w:sz w:val="16"/>
        </w:rPr>
      </w:pPr>
    </w:p>
    <w:tbl>
      <w:tblPr>
        <w:tblW w:w="0" w:type="auto"/>
        <w:jc w:val="center"/>
        <w:tblInd w:w="46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46"/>
        <w:gridCol w:w="1974"/>
        <w:gridCol w:w="1975"/>
      </w:tblGrid>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p>
        </w:tc>
        <w:tc>
          <w:tcPr>
            <w:tcW w:w="1974" w:type="dxa"/>
            <w:tcBorders>
              <w:top w:val="single" w:sz="4" w:space="0" w:color="auto"/>
              <w:bottom w:val="single" w:sz="4" w:space="0" w:color="auto"/>
            </w:tcBorders>
          </w:tcPr>
          <w:p w:rsidR="00000000" w:rsidRDefault="00000000">
            <w:pPr>
              <w:spacing w:line="240" w:lineRule="auto"/>
              <w:jc w:val="center"/>
              <w:rPr>
                <w:b/>
                <w:bCs/>
              </w:rPr>
            </w:pPr>
            <w:r>
              <w:rPr>
                <w:b/>
                <w:bCs/>
              </w:rPr>
              <w:t>Мужчины</w:t>
            </w:r>
          </w:p>
        </w:tc>
        <w:tc>
          <w:tcPr>
            <w:tcW w:w="1975" w:type="dxa"/>
            <w:tcBorders>
              <w:top w:val="single" w:sz="4" w:space="0" w:color="auto"/>
              <w:bottom w:val="single" w:sz="4" w:space="0" w:color="auto"/>
            </w:tcBorders>
          </w:tcPr>
          <w:p w:rsidR="00000000" w:rsidRDefault="00000000">
            <w:pPr>
              <w:spacing w:line="240" w:lineRule="auto"/>
              <w:jc w:val="center"/>
              <w:rPr>
                <w:b/>
                <w:bCs/>
              </w:rPr>
            </w:pPr>
            <w:r>
              <w:rPr>
                <w:b/>
                <w:bCs/>
              </w:rPr>
              <w:t>Женщины</w:t>
            </w: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2001 год</w:t>
            </w:r>
          </w:p>
        </w:tc>
        <w:tc>
          <w:tcPr>
            <w:tcW w:w="1974" w:type="dxa"/>
            <w:tcBorders>
              <w:top w:val="single" w:sz="4" w:space="0" w:color="auto"/>
              <w:bottom w:val="single" w:sz="4" w:space="0" w:color="auto"/>
            </w:tcBorders>
          </w:tcPr>
          <w:p w:rsidR="00000000" w:rsidRDefault="00000000">
            <w:pPr>
              <w:spacing w:line="240" w:lineRule="auto"/>
              <w:jc w:val="center"/>
            </w:pPr>
          </w:p>
        </w:tc>
        <w:tc>
          <w:tcPr>
            <w:tcW w:w="1975" w:type="dxa"/>
            <w:tcBorders>
              <w:top w:val="single" w:sz="4" w:space="0" w:color="auto"/>
              <w:bottom w:val="single" w:sz="4" w:space="0" w:color="auto"/>
            </w:tcBorders>
          </w:tcPr>
          <w:p w:rsidR="00000000" w:rsidRDefault="00000000">
            <w:pPr>
              <w:spacing w:line="240" w:lineRule="auto"/>
              <w:jc w:val="center"/>
            </w:pP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 xml:space="preserve">    Частный сектор</w:t>
            </w:r>
          </w:p>
        </w:tc>
        <w:tc>
          <w:tcPr>
            <w:tcW w:w="1974" w:type="dxa"/>
            <w:tcBorders>
              <w:top w:val="single" w:sz="4" w:space="0" w:color="auto"/>
              <w:bottom w:val="single" w:sz="4" w:space="0" w:color="auto"/>
            </w:tcBorders>
          </w:tcPr>
          <w:p w:rsidR="00000000" w:rsidRDefault="00000000">
            <w:pPr>
              <w:spacing w:line="240" w:lineRule="auto"/>
              <w:jc w:val="center"/>
            </w:pPr>
            <w:r>
              <w:t>23 578</w:t>
            </w:r>
          </w:p>
        </w:tc>
        <w:tc>
          <w:tcPr>
            <w:tcW w:w="1975" w:type="dxa"/>
            <w:tcBorders>
              <w:top w:val="single" w:sz="4" w:space="0" w:color="auto"/>
              <w:bottom w:val="single" w:sz="4" w:space="0" w:color="auto"/>
            </w:tcBorders>
          </w:tcPr>
          <w:p w:rsidR="00000000" w:rsidRDefault="00000000">
            <w:pPr>
              <w:spacing w:line="240" w:lineRule="auto"/>
              <w:jc w:val="center"/>
            </w:pPr>
            <w:r>
              <w:t>19 785</w:t>
            </w: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 xml:space="preserve">    Государственный сектор</w:t>
            </w:r>
          </w:p>
        </w:tc>
        <w:tc>
          <w:tcPr>
            <w:tcW w:w="1974" w:type="dxa"/>
            <w:tcBorders>
              <w:top w:val="single" w:sz="4" w:space="0" w:color="auto"/>
              <w:bottom w:val="single" w:sz="4" w:space="0" w:color="auto"/>
            </w:tcBorders>
          </w:tcPr>
          <w:p w:rsidR="00000000" w:rsidRDefault="00000000">
            <w:pPr>
              <w:spacing w:line="240" w:lineRule="auto"/>
              <w:jc w:val="center"/>
            </w:pPr>
            <w:r>
              <w:t>22 574</w:t>
            </w:r>
          </w:p>
        </w:tc>
        <w:tc>
          <w:tcPr>
            <w:tcW w:w="1975" w:type="dxa"/>
            <w:tcBorders>
              <w:top w:val="single" w:sz="4" w:space="0" w:color="auto"/>
              <w:bottom w:val="single" w:sz="4" w:space="0" w:color="auto"/>
            </w:tcBorders>
          </w:tcPr>
          <w:p w:rsidR="00000000" w:rsidRDefault="00000000">
            <w:pPr>
              <w:spacing w:line="240" w:lineRule="auto"/>
              <w:jc w:val="center"/>
            </w:pPr>
            <w:r>
              <w:t>18 602</w:t>
            </w: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2002 год</w:t>
            </w:r>
          </w:p>
        </w:tc>
        <w:tc>
          <w:tcPr>
            <w:tcW w:w="1974" w:type="dxa"/>
            <w:tcBorders>
              <w:top w:val="single" w:sz="4" w:space="0" w:color="auto"/>
              <w:bottom w:val="single" w:sz="4" w:space="0" w:color="auto"/>
            </w:tcBorders>
          </w:tcPr>
          <w:p w:rsidR="00000000" w:rsidRDefault="00000000">
            <w:pPr>
              <w:spacing w:line="240" w:lineRule="auto"/>
              <w:jc w:val="center"/>
            </w:pPr>
          </w:p>
        </w:tc>
        <w:tc>
          <w:tcPr>
            <w:tcW w:w="1975" w:type="dxa"/>
            <w:tcBorders>
              <w:top w:val="single" w:sz="4" w:space="0" w:color="auto"/>
              <w:bottom w:val="single" w:sz="4" w:space="0" w:color="auto"/>
            </w:tcBorders>
          </w:tcPr>
          <w:p w:rsidR="00000000" w:rsidRDefault="00000000">
            <w:pPr>
              <w:spacing w:line="240" w:lineRule="auto"/>
              <w:jc w:val="center"/>
            </w:pP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 xml:space="preserve">    Частный сектор</w:t>
            </w:r>
          </w:p>
        </w:tc>
        <w:tc>
          <w:tcPr>
            <w:tcW w:w="1974" w:type="dxa"/>
            <w:tcBorders>
              <w:top w:val="single" w:sz="4" w:space="0" w:color="auto"/>
              <w:bottom w:val="single" w:sz="4" w:space="0" w:color="auto"/>
            </w:tcBorders>
          </w:tcPr>
          <w:p w:rsidR="00000000" w:rsidRDefault="00000000">
            <w:pPr>
              <w:spacing w:line="240" w:lineRule="auto"/>
              <w:jc w:val="center"/>
            </w:pPr>
            <w:r>
              <w:t>24 265</w:t>
            </w:r>
          </w:p>
        </w:tc>
        <w:tc>
          <w:tcPr>
            <w:tcW w:w="1975" w:type="dxa"/>
            <w:tcBorders>
              <w:top w:val="single" w:sz="4" w:space="0" w:color="auto"/>
              <w:bottom w:val="single" w:sz="4" w:space="0" w:color="auto"/>
            </w:tcBorders>
          </w:tcPr>
          <w:p w:rsidR="00000000" w:rsidRDefault="00000000">
            <w:pPr>
              <w:spacing w:line="240" w:lineRule="auto"/>
              <w:jc w:val="center"/>
            </w:pPr>
            <w:r>
              <w:t>20 605</w:t>
            </w: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 xml:space="preserve">    Государственный сектор</w:t>
            </w:r>
          </w:p>
        </w:tc>
        <w:tc>
          <w:tcPr>
            <w:tcW w:w="1974" w:type="dxa"/>
            <w:tcBorders>
              <w:top w:val="single" w:sz="4" w:space="0" w:color="auto"/>
              <w:bottom w:val="single" w:sz="4" w:space="0" w:color="auto"/>
            </w:tcBorders>
          </w:tcPr>
          <w:p w:rsidR="00000000" w:rsidRDefault="00000000">
            <w:pPr>
              <w:spacing w:line="240" w:lineRule="auto"/>
              <w:jc w:val="center"/>
            </w:pPr>
            <w:r>
              <w:t>23 520</w:t>
            </w:r>
          </w:p>
        </w:tc>
        <w:tc>
          <w:tcPr>
            <w:tcW w:w="1975" w:type="dxa"/>
            <w:tcBorders>
              <w:top w:val="single" w:sz="4" w:space="0" w:color="auto"/>
              <w:bottom w:val="single" w:sz="4" w:space="0" w:color="auto"/>
            </w:tcBorders>
          </w:tcPr>
          <w:p w:rsidR="00000000" w:rsidRDefault="00000000">
            <w:pPr>
              <w:spacing w:line="240" w:lineRule="auto"/>
              <w:jc w:val="center"/>
            </w:pPr>
            <w:r>
              <w:t>19 404</w:t>
            </w: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2003 год</w:t>
            </w:r>
          </w:p>
        </w:tc>
        <w:tc>
          <w:tcPr>
            <w:tcW w:w="1974" w:type="dxa"/>
            <w:tcBorders>
              <w:top w:val="single" w:sz="4" w:space="0" w:color="auto"/>
              <w:bottom w:val="single" w:sz="4" w:space="0" w:color="auto"/>
            </w:tcBorders>
          </w:tcPr>
          <w:p w:rsidR="00000000" w:rsidRDefault="00000000">
            <w:pPr>
              <w:spacing w:line="240" w:lineRule="auto"/>
              <w:jc w:val="center"/>
              <w:rPr>
                <w:b/>
                <w:bCs/>
              </w:rPr>
            </w:pPr>
          </w:p>
        </w:tc>
        <w:tc>
          <w:tcPr>
            <w:tcW w:w="1975" w:type="dxa"/>
            <w:tcBorders>
              <w:top w:val="single" w:sz="4" w:space="0" w:color="auto"/>
              <w:bottom w:val="single" w:sz="4" w:space="0" w:color="auto"/>
            </w:tcBorders>
          </w:tcPr>
          <w:p w:rsidR="00000000" w:rsidRDefault="00000000">
            <w:pPr>
              <w:spacing w:line="240" w:lineRule="auto"/>
              <w:jc w:val="center"/>
              <w:rPr>
                <w:b/>
                <w:bCs/>
              </w:rPr>
            </w:pPr>
          </w:p>
        </w:tc>
      </w:tr>
      <w:tr w:rsidR="00000000">
        <w:tblPrEx>
          <w:tblCellMar>
            <w:top w:w="0" w:type="dxa"/>
            <w:bottom w:w="0" w:type="dxa"/>
          </w:tblCellMar>
        </w:tblPrEx>
        <w:trPr>
          <w:jc w:val="center"/>
        </w:trPr>
        <w:tc>
          <w:tcPr>
            <w:tcW w:w="3146" w:type="dxa"/>
            <w:tcBorders>
              <w:top w:val="single" w:sz="4" w:space="0" w:color="auto"/>
              <w:bottom w:val="single" w:sz="4" w:space="0" w:color="auto"/>
            </w:tcBorders>
          </w:tcPr>
          <w:p w:rsidR="00000000" w:rsidRDefault="00000000">
            <w:pPr>
              <w:spacing w:line="240" w:lineRule="auto"/>
            </w:pPr>
            <w:r>
              <w:t xml:space="preserve">    Частный сектор</w:t>
            </w:r>
          </w:p>
        </w:tc>
        <w:tc>
          <w:tcPr>
            <w:tcW w:w="1974" w:type="dxa"/>
            <w:tcBorders>
              <w:top w:val="single" w:sz="4" w:space="0" w:color="auto"/>
              <w:bottom w:val="single" w:sz="4" w:space="0" w:color="auto"/>
            </w:tcBorders>
          </w:tcPr>
          <w:p w:rsidR="00000000" w:rsidRDefault="00000000">
            <w:pPr>
              <w:spacing w:line="240" w:lineRule="auto"/>
              <w:jc w:val="center"/>
            </w:pPr>
            <w:r>
              <w:t>24 980</w:t>
            </w:r>
          </w:p>
        </w:tc>
        <w:tc>
          <w:tcPr>
            <w:tcW w:w="1975" w:type="dxa"/>
            <w:tcBorders>
              <w:top w:val="single" w:sz="4" w:space="0" w:color="auto"/>
              <w:bottom w:val="single" w:sz="4" w:space="0" w:color="auto"/>
            </w:tcBorders>
          </w:tcPr>
          <w:p w:rsidR="00000000" w:rsidRDefault="00000000">
            <w:pPr>
              <w:spacing w:line="240" w:lineRule="auto"/>
              <w:jc w:val="center"/>
            </w:pPr>
            <w:r>
              <w:t>21 319</w:t>
            </w:r>
          </w:p>
        </w:tc>
      </w:tr>
      <w:tr w:rsidR="00000000">
        <w:tblPrEx>
          <w:tblCellMar>
            <w:top w:w="0" w:type="dxa"/>
            <w:bottom w:w="0" w:type="dxa"/>
          </w:tblCellMar>
        </w:tblPrEx>
        <w:trPr>
          <w:jc w:val="center"/>
        </w:trPr>
        <w:tc>
          <w:tcPr>
            <w:tcW w:w="3146" w:type="dxa"/>
            <w:tcBorders>
              <w:top w:val="single" w:sz="4" w:space="0" w:color="auto"/>
            </w:tcBorders>
          </w:tcPr>
          <w:p w:rsidR="00000000" w:rsidRDefault="00000000">
            <w:pPr>
              <w:spacing w:line="240" w:lineRule="auto"/>
            </w:pPr>
            <w:r>
              <w:t xml:space="preserve">    Государственный сектор</w:t>
            </w:r>
          </w:p>
        </w:tc>
        <w:tc>
          <w:tcPr>
            <w:tcW w:w="1974" w:type="dxa"/>
            <w:tcBorders>
              <w:top w:val="single" w:sz="4" w:space="0" w:color="auto"/>
            </w:tcBorders>
          </w:tcPr>
          <w:p w:rsidR="00000000" w:rsidRDefault="00000000">
            <w:pPr>
              <w:spacing w:line="240" w:lineRule="auto"/>
              <w:jc w:val="center"/>
            </w:pPr>
            <w:r>
              <w:t>24 404</w:t>
            </w:r>
          </w:p>
        </w:tc>
        <w:tc>
          <w:tcPr>
            <w:tcW w:w="1975" w:type="dxa"/>
            <w:tcBorders>
              <w:top w:val="single" w:sz="4" w:space="0" w:color="auto"/>
            </w:tcBorders>
          </w:tcPr>
          <w:p w:rsidR="00000000" w:rsidRDefault="00000000">
            <w:pPr>
              <w:spacing w:line="240" w:lineRule="auto"/>
              <w:jc w:val="center"/>
            </w:pPr>
            <w:r>
              <w:t>20 234</w:t>
            </w:r>
          </w:p>
        </w:tc>
      </w:tr>
    </w:tbl>
    <w:p w:rsidR="00000000" w:rsidRDefault="00000000">
      <w:pPr>
        <w:spacing w:line="216" w:lineRule="auto"/>
        <w:rPr>
          <w:b/>
          <w:bCs/>
          <w:sz w:val="16"/>
        </w:rPr>
      </w:pPr>
    </w:p>
    <w:p w:rsidR="00000000" w:rsidRDefault="00000000">
      <w:r>
        <w:rPr>
          <w:i/>
          <w:iCs/>
        </w:rPr>
        <w:tab/>
      </w:r>
      <w:r>
        <w:rPr>
          <w:i/>
          <w:iCs/>
        </w:rPr>
        <w:tab/>
        <w:t>Источник</w:t>
      </w:r>
      <w:r>
        <w:t>:  СУШ, Статистика структур окладов и заработной платы.</w:t>
      </w:r>
    </w:p>
    <w:p w:rsidR="00000000" w:rsidRDefault="00000000"/>
    <w:p w:rsidR="00000000" w:rsidRDefault="00000000">
      <w:pPr>
        <w:rPr>
          <w:i/>
          <w:iCs/>
        </w:rPr>
      </w:pPr>
      <w:r>
        <w:rPr>
          <w:i/>
          <w:iCs/>
        </w:rPr>
        <w:tab/>
        <w:t>Руководящий принцип 3</w:t>
      </w:r>
    </w:p>
    <w:p w:rsidR="00000000" w:rsidRDefault="00000000">
      <w:pPr>
        <w:rPr>
          <w:lang w:val="en-US"/>
        </w:rPr>
      </w:pPr>
    </w:p>
    <w:p w:rsidR="00000000" w:rsidRDefault="00000000">
      <w:r>
        <w:t>136.</w:t>
      </w:r>
      <w:r>
        <w:tab/>
        <w:t>Основными законами по вопросам условий труда в Швеции являются Закон об условиях труда (1977:1160), Указ об условиях труда (1977:1166) и примерно 120 постановлений, выпущенных Управлением по вопросам условий труда.</w:t>
      </w:r>
    </w:p>
    <w:p w:rsidR="00000000" w:rsidRDefault="00000000"/>
    <w:p w:rsidR="00000000" w:rsidRDefault="00000000">
      <w:r>
        <w:t>137.</w:t>
      </w:r>
      <w:r>
        <w:tab/>
        <w:t>Управление по вопросам условий труда является надзорным органом.  Оно наделено полномочиями получать доступ к конфиденциальной информации, документам и результатам проверок и выносить распоряжения о начале расследований, необходимых для выполнения надзорных функций.  Этот орган обладает правом доступа к местам работы с целью обеспечения надзора.  Управление по вопросам условий труда уполномочено выносить предписания или запреты предприятию, несущему ответственность за безопасность работников, которые необходимы для обеспечения соблюдения закона или постановлений, принятых в соответствии с законом.  При несоблюдении запретов и предписаний могут налагаться штрафы.  В случаях, подпадающих под действие Закона об условиях труда, правительство может распорядиться о возможности начисления дополнительных штрафов.</w:t>
      </w:r>
    </w:p>
    <w:p w:rsidR="00000000" w:rsidRDefault="00000000"/>
    <w:p w:rsidR="00000000" w:rsidRDefault="00000000">
      <w:r>
        <w:t>138.</w:t>
      </w:r>
      <w:r>
        <w:tab/>
        <w:t xml:space="preserve">Лица, которые преднамеренно нарушают запрет или предписание, могут быть приговорены к штрафу или тюремному заключению на срок до одного года при отсутствии ранее наложенного штрафа в связи с запретом или предписанием.  Некоторые положения закона предусматривают непосредственные уголовные наказания.  К числу других санкций относятся конфискация имущества или стоимости имущества и выплата пени.  </w:t>
      </w:r>
    </w:p>
    <w:p w:rsidR="00000000" w:rsidRDefault="00000000"/>
    <w:p w:rsidR="00000000" w:rsidRDefault="00000000">
      <w:r>
        <w:t>139.</w:t>
      </w:r>
      <w:r>
        <w:tab/>
        <w:t>Закон об условиях труда применяется к любой трудовой деятельности, в рамках которой работники по найму выполняют работу для своих работодателей, за исключением тех случаев, когда работники по найму в возрасте 18 лет и старше выполняют работу в домохозяйстве работодателя.  В последнем случае трудовая деятельность регулируется Законом о домашней прислуге (продолжительность рабочего времени и т.д.) (1970:943).</w:t>
      </w:r>
    </w:p>
    <w:p w:rsidR="00000000" w:rsidRDefault="00000000"/>
    <w:p w:rsidR="00000000" w:rsidRDefault="00000000">
      <w:r>
        <w:t>140.</w:t>
      </w:r>
      <w:r>
        <w:tab/>
        <w:t xml:space="preserve">Для целей основных положений Закона об условиях труда к лицам наемного труда приравниваются:  1)  лица, проходящие обучение, 2)  лица, содержащиеся в учреждении и выполняющие назначенную им работу,  и  3)  лица, проходящие службу в соответствии с Законом об обязательном прохождении службы в системе тотальной обороны (1994:1809), и другие лица, проходящие предусмотренную законом службу или участвующие в </w:t>
      </w:r>
    </w:p>
    <w:p w:rsidR="00000000" w:rsidRDefault="00000000">
      <w:r>
        <w:br w:type="page"/>
        <w:t>добровольной подготовке для деятельности в рамках системы тотальной обороны</w:t>
      </w:r>
      <w:r>
        <w:rPr>
          <w:rStyle w:val="FootnoteReference"/>
        </w:rPr>
        <w:footnoteReference w:id="6"/>
      </w:r>
    </w:p>
    <w:p w:rsidR="00000000" w:rsidRDefault="00000000"/>
    <w:p w:rsidR="00000000" w:rsidRDefault="00000000">
      <w:r>
        <w:t>141.</w:t>
      </w:r>
      <w:r>
        <w:tab/>
        <w:t>За период после представления последнего доклада сфера применения Закона об условиях труда была расширена с целью включения в нее работы на борту судна.  В принципе к работе на борту судна применяются те же самые нормативные положения об условиях труда, что и к работе на суше, за исключением тех случаев, когда применение закона оказывается невозможным или нецелесообразным в силу особых условий судоходства.  Контроль за условиями работы на борту судна обеспечивается Шведской морской администрацией в сотрудничестве с Управлением по вопросам условий труда.</w:t>
      </w:r>
    </w:p>
    <w:p w:rsidR="00000000" w:rsidRDefault="00000000"/>
    <w:p w:rsidR="00000000" w:rsidRDefault="00000000">
      <w:r>
        <w:t>142.</w:t>
      </w:r>
      <w:r>
        <w:tab/>
        <w:t>Согласно имеющимся данным, в период начиная со второй половины 1990</w:t>
      </w:r>
      <w:r>
        <w:noBreakHyphen/>
        <w:t>х годов и заканчивая двумя годами назад наблюдался рост числа несчастных случаев при выполнении профессиональных обязанностей с последующей утратой трудоспособности.  После 2003 года число несчастных случаев, согласно полученным сведениям, сократилось чуть более чем на 10%.  В настоящее время этот показатель соответствует уровням, отмечавшимся в середине 90</w:t>
      </w:r>
      <w:r>
        <w:noBreakHyphen/>
        <w:t>х годов.</w:t>
      </w:r>
    </w:p>
    <w:p w:rsidR="00000000" w:rsidRDefault="00000000">
      <w:pPr>
        <w:rPr>
          <w:lang w:val="en-US"/>
        </w:rPr>
      </w:pPr>
    </w:p>
    <w:p w:rsidR="00000000" w:rsidRDefault="00000000">
      <w:r>
        <w:t>143.</w:t>
      </w:r>
      <w:r>
        <w:tab/>
        <w:t>Количество несчастных случаев с летальным исходом среди работников остается относительно постоянным и составляет примерно 50 случаев в год начиная с конца 1990</w:t>
      </w:r>
      <w:r>
        <w:noBreakHyphen/>
        <w:t xml:space="preserve">х годов.  Если рассматривать этот показатель в долгосрочной перспективе, то можно говорить о резком сокращении числа несчастных случаев с летальным исходом.  </w:t>
      </w:r>
    </w:p>
    <w:p w:rsidR="00000000" w:rsidRDefault="00000000"/>
    <w:p w:rsidR="00000000" w:rsidRDefault="00000000">
      <w:r>
        <w:t>144.</w:t>
      </w:r>
      <w:r>
        <w:tab/>
        <w:t>Согласно имеющимся данным, в период, начиная со второй половины 1990</w:t>
      </w:r>
      <w:r>
        <w:noBreakHyphen/>
        <w:t>х годов и заканчивая двумя годами назад, наблюдалось резкое увеличение числа профессиональных заболеваний.  Начиная с 2003 года статистические данные указывают на быстрое снижение этого показателя.  Согласно имеющимся данным, по сравнению с 2003 годом число профессиональных заболеваний в 2005 году сократилось примерно на треть, однако достигнутый уровень все еще выше, чем в середине 1990</w:t>
      </w:r>
      <w:r>
        <w:noBreakHyphen/>
        <w:t>х годов.</w:t>
      </w:r>
    </w:p>
    <w:p w:rsidR="00000000" w:rsidRDefault="00000000"/>
    <w:p w:rsidR="00000000" w:rsidRDefault="00000000">
      <w:r>
        <w:t>145.</w:t>
      </w:r>
      <w:r>
        <w:tab/>
        <w:t>Наивысший относительный показатель частотности несчастных случаев на производстве отмечается в сталелитейной и металлургической промышленности, а также в отраслях по производству продуктов питания, напитков и табачных изделий.  Наивысший относительный показатель среди женщин приходится на лесоперерабатывающую отрасль, опережающую сталелитейную и металлургическую промышленность.  Согласно имеющимся данным, самое большое число профессиональных заболеваний в расчете на 1 000 работников отмечается в секторе добычи и переработки полезных ископаемых;  в случае женщин лидирующее место по числу профессиональных заболеваний, согласно статистике, занимает автомобильная промышленность (по данным за 2004 год).</w:t>
      </w:r>
    </w:p>
    <w:p w:rsidR="00000000" w:rsidRDefault="00000000"/>
    <w:p w:rsidR="00000000" w:rsidRDefault="00000000">
      <w:r>
        <w:t>146.</w:t>
      </w:r>
      <w:r>
        <w:tab/>
        <w:t>Начиная с 2002 года данные по профессиональному травматизму обрабатываются в соответствии с новыми процедурами, основанными на новых определениях и кодах, предусмотренных в новых согласованных на уровне ЕС классификациях.  В некоторых случаях это не позволяет проводить сопоставления с более ранними годами.</w:t>
      </w:r>
    </w:p>
    <w:p w:rsidR="00000000" w:rsidRDefault="00000000"/>
    <w:p w:rsidR="00000000" w:rsidRDefault="00000000">
      <w:r>
        <w:t>147.</w:t>
      </w:r>
      <w:r>
        <w:tab/>
        <w:t>Сведения о количестве отраженных в статистике несчастных случаев на производстве в 1996 году приведены в предыдущем докладе.  Данные за 2001-2004 годы отражены в таблице ниже (они охватывают всех работников по найму и самостоятельно занятых лиц):</w:t>
      </w:r>
    </w:p>
    <w:p w:rsidR="00000000" w:rsidRDefault="00000000"/>
    <w:tbl>
      <w:tblPr>
        <w:tblW w:w="8859"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0"/>
        <w:gridCol w:w="1202"/>
        <w:gridCol w:w="1202"/>
        <w:gridCol w:w="1202"/>
        <w:gridCol w:w="1203"/>
      </w:tblGrid>
      <w:tr w:rsidR="00000000">
        <w:tblPrEx>
          <w:tblCellMar>
            <w:top w:w="0" w:type="dxa"/>
            <w:bottom w:w="0" w:type="dxa"/>
          </w:tblCellMar>
        </w:tblPrEx>
        <w:trPr>
          <w:jc w:val="center"/>
        </w:trPr>
        <w:tc>
          <w:tcPr>
            <w:tcW w:w="4050" w:type="dxa"/>
          </w:tcPr>
          <w:p w:rsidR="00000000" w:rsidRDefault="00000000">
            <w:pPr>
              <w:rPr>
                <w:b/>
                <w:bCs/>
              </w:rPr>
            </w:pPr>
          </w:p>
        </w:tc>
        <w:tc>
          <w:tcPr>
            <w:tcW w:w="1202" w:type="dxa"/>
          </w:tcPr>
          <w:p w:rsidR="00000000" w:rsidRDefault="00000000">
            <w:pPr>
              <w:jc w:val="center"/>
              <w:rPr>
                <w:b/>
                <w:bCs/>
              </w:rPr>
            </w:pPr>
            <w:r>
              <w:rPr>
                <w:b/>
                <w:bCs/>
              </w:rPr>
              <w:t>2001</w:t>
            </w:r>
          </w:p>
        </w:tc>
        <w:tc>
          <w:tcPr>
            <w:tcW w:w="1202" w:type="dxa"/>
          </w:tcPr>
          <w:p w:rsidR="00000000" w:rsidRDefault="00000000">
            <w:pPr>
              <w:jc w:val="center"/>
              <w:rPr>
                <w:b/>
                <w:bCs/>
              </w:rPr>
            </w:pPr>
            <w:r>
              <w:rPr>
                <w:b/>
                <w:bCs/>
              </w:rPr>
              <w:t>2002</w:t>
            </w:r>
          </w:p>
        </w:tc>
        <w:tc>
          <w:tcPr>
            <w:tcW w:w="1202" w:type="dxa"/>
          </w:tcPr>
          <w:p w:rsidR="00000000" w:rsidRDefault="00000000">
            <w:pPr>
              <w:jc w:val="center"/>
              <w:rPr>
                <w:b/>
                <w:bCs/>
              </w:rPr>
            </w:pPr>
            <w:r>
              <w:rPr>
                <w:b/>
                <w:bCs/>
              </w:rPr>
              <w:t>2003</w:t>
            </w:r>
          </w:p>
        </w:tc>
        <w:tc>
          <w:tcPr>
            <w:tcW w:w="1203" w:type="dxa"/>
          </w:tcPr>
          <w:p w:rsidR="00000000" w:rsidRDefault="00000000">
            <w:pPr>
              <w:jc w:val="center"/>
              <w:rPr>
                <w:b/>
                <w:bCs/>
              </w:rPr>
            </w:pPr>
            <w:r>
              <w:rPr>
                <w:b/>
                <w:bCs/>
              </w:rPr>
              <w:t>2004</w:t>
            </w:r>
          </w:p>
        </w:tc>
      </w:tr>
      <w:tr w:rsidR="00000000">
        <w:tblPrEx>
          <w:tblCellMar>
            <w:top w:w="0" w:type="dxa"/>
            <w:bottom w:w="0" w:type="dxa"/>
          </w:tblCellMar>
        </w:tblPrEx>
        <w:trPr>
          <w:jc w:val="center"/>
        </w:trPr>
        <w:tc>
          <w:tcPr>
            <w:tcW w:w="4050" w:type="dxa"/>
          </w:tcPr>
          <w:p w:rsidR="00000000" w:rsidRDefault="00000000">
            <w:pPr>
              <w:spacing w:line="216" w:lineRule="auto"/>
            </w:pPr>
            <w:r>
              <w:t>Количество несчастных случаев на производстве</w:t>
            </w:r>
          </w:p>
        </w:tc>
        <w:tc>
          <w:tcPr>
            <w:tcW w:w="1202" w:type="dxa"/>
          </w:tcPr>
          <w:p w:rsidR="00000000" w:rsidRDefault="00000000">
            <w:pPr>
              <w:tabs>
                <w:tab w:val="clear" w:pos="567"/>
              </w:tabs>
              <w:spacing w:line="240" w:lineRule="auto"/>
              <w:ind w:right="4"/>
              <w:jc w:val="right"/>
            </w:pPr>
            <w:r>
              <w:t>37 461</w:t>
            </w:r>
          </w:p>
        </w:tc>
        <w:tc>
          <w:tcPr>
            <w:tcW w:w="1202" w:type="dxa"/>
          </w:tcPr>
          <w:p w:rsidR="00000000" w:rsidRDefault="00000000">
            <w:pPr>
              <w:spacing w:line="240" w:lineRule="auto"/>
              <w:jc w:val="right"/>
            </w:pPr>
            <w:r>
              <w:t>37 688</w:t>
            </w:r>
          </w:p>
        </w:tc>
        <w:tc>
          <w:tcPr>
            <w:tcW w:w="1202" w:type="dxa"/>
          </w:tcPr>
          <w:p w:rsidR="00000000" w:rsidRDefault="00000000">
            <w:pPr>
              <w:spacing w:line="240" w:lineRule="auto"/>
              <w:jc w:val="right"/>
            </w:pPr>
            <w:r>
              <w:t>34 592</w:t>
            </w:r>
          </w:p>
        </w:tc>
        <w:tc>
          <w:tcPr>
            <w:tcW w:w="1203" w:type="dxa"/>
          </w:tcPr>
          <w:p w:rsidR="00000000" w:rsidRDefault="00000000">
            <w:pPr>
              <w:spacing w:line="240" w:lineRule="auto"/>
              <w:jc w:val="right"/>
            </w:pPr>
            <w:r>
              <w:t>32 705</w:t>
            </w:r>
          </w:p>
        </w:tc>
      </w:tr>
      <w:tr w:rsidR="00000000">
        <w:tblPrEx>
          <w:tblCellMar>
            <w:top w:w="0" w:type="dxa"/>
            <w:bottom w:w="0" w:type="dxa"/>
          </w:tblCellMar>
        </w:tblPrEx>
        <w:trPr>
          <w:jc w:val="center"/>
        </w:trPr>
        <w:tc>
          <w:tcPr>
            <w:tcW w:w="4050" w:type="dxa"/>
          </w:tcPr>
          <w:p w:rsidR="00000000" w:rsidRDefault="00000000">
            <w:r>
              <w:t xml:space="preserve">Из них </w:t>
            </w:r>
            <w:r>
              <w:noBreakHyphen/>
              <w:t xml:space="preserve"> с летальным исходом</w:t>
            </w:r>
          </w:p>
        </w:tc>
        <w:tc>
          <w:tcPr>
            <w:tcW w:w="1202" w:type="dxa"/>
          </w:tcPr>
          <w:p w:rsidR="00000000" w:rsidRDefault="00000000">
            <w:pPr>
              <w:tabs>
                <w:tab w:val="clear" w:pos="567"/>
              </w:tabs>
              <w:ind w:right="4"/>
              <w:jc w:val="right"/>
            </w:pPr>
            <w:r>
              <w:t>56</w:t>
            </w:r>
          </w:p>
        </w:tc>
        <w:tc>
          <w:tcPr>
            <w:tcW w:w="1202" w:type="dxa"/>
          </w:tcPr>
          <w:p w:rsidR="00000000" w:rsidRDefault="00000000">
            <w:pPr>
              <w:jc w:val="right"/>
            </w:pPr>
            <w:r>
              <w:t>61</w:t>
            </w:r>
          </w:p>
        </w:tc>
        <w:tc>
          <w:tcPr>
            <w:tcW w:w="1202" w:type="dxa"/>
          </w:tcPr>
          <w:p w:rsidR="00000000" w:rsidRDefault="00000000">
            <w:pPr>
              <w:jc w:val="right"/>
            </w:pPr>
            <w:r>
              <w:t>56</w:t>
            </w:r>
          </w:p>
        </w:tc>
        <w:tc>
          <w:tcPr>
            <w:tcW w:w="1203" w:type="dxa"/>
          </w:tcPr>
          <w:p w:rsidR="00000000" w:rsidRDefault="00000000">
            <w:pPr>
              <w:jc w:val="right"/>
            </w:pPr>
            <w:r>
              <w:t>57</w:t>
            </w:r>
          </w:p>
        </w:tc>
      </w:tr>
      <w:tr w:rsidR="00000000">
        <w:tblPrEx>
          <w:tblCellMar>
            <w:top w:w="0" w:type="dxa"/>
            <w:bottom w:w="0" w:type="dxa"/>
          </w:tblCellMar>
        </w:tblPrEx>
        <w:trPr>
          <w:jc w:val="center"/>
        </w:trPr>
        <w:tc>
          <w:tcPr>
            <w:tcW w:w="4050" w:type="dxa"/>
          </w:tcPr>
          <w:p w:rsidR="00000000" w:rsidRDefault="00000000">
            <w:pPr>
              <w:spacing w:line="216" w:lineRule="auto"/>
            </w:pPr>
            <w:r>
              <w:t>Количество профессиональных заболеваний</w:t>
            </w:r>
          </w:p>
        </w:tc>
        <w:tc>
          <w:tcPr>
            <w:tcW w:w="1202" w:type="dxa"/>
          </w:tcPr>
          <w:p w:rsidR="00000000" w:rsidRDefault="00000000">
            <w:pPr>
              <w:tabs>
                <w:tab w:val="clear" w:pos="567"/>
              </w:tabs>
              <w:spacing w:line="240" w:lineRule="auto"/>
              <w:ind w:right="4"/>
              <w:jc w:val="right"/>
            </w:pPr>
            <w:r>
              <w:t>26 440</w:t>
            </w:r>
          </w:p>
        </w:tc>
        <w:tc>
          <w:tcPr>
            <w:tcW w:w="1202" w:type="dxa"/>
          </w:tcPr>
          <w:p w:rsidR="00000000" w:rsidRDefault="00000000">
            <w:pPr>
              <w:spacing w:line="240" w:lineRule="auto"/>
              <w:jc w:val="right"/>
            </w:pPr>
            <w:r>
              <w:t>22 339</w:t>
            </w:r>
          </w:p>
        </w:tc>
        <w:tc>
          <w:tcPr>
            <w:tcW w:w="1202" w:type="dxa"/>
          </w:tcPr>
          <w:p w:rsidR="00000000" w:rsidRDefault="00000000">
            <w:pPr>
              <w:spacing w:line="240" w:lineRule="auto"/>
              <w:jc w:val="right"/>
            </w:pPr>
            <w:r>
              <w:t>25 565</w:t>
            </w:r>
          </w:p>
        </w:tc>
        <w:tc>
          <w:tcPr>
            <w:tcW w:w="1203" w:type="dxa"/>
          </w:tcPr>
          <w:p w:rsidR="00000000" w:rsidRDefault="00000000">
            <w:pPr>
              <w:spacing w:line="240" w:lineRule="auto"/>
              <w:jc w:val="right"/>
            </w:pPr>
            <w:r>
              <w:t>20 787</w:t>
            </w:r>
          </w:p>
        </w:tc>
      </w:tr>
      <w:tr w:rsidR="00000000">
        <w:tblPrEx>
          <w:tblCellMar>
            <w:top w:w="0" w:type="dxa"/>
            <w:bottom w:w="0" w:type="dxa"/>
          </w:tblCellMar>
        </w:tblPrEx>
        <w:trPr>
          <w:jc w:val="center"/>
        </w:trPr>
        <w:tc>
          <w:tcPr>
            <w:tcW w:w="4050" w:type="dxa"/>
          </w:tcPr>
          <w:p w:rsidR="00000000" w:rsidRDefault="00000000">
            <w:pPr>
              <w:spacing w:line="216" w:lineRule="auto"/>
            </w:pPr>
            <w:r>
              <w:t>Общая численность работников по найму и самостоятельно занятых лиц</w:t>
            </w:r>
          </w:p>
        </w:tc>
        <w:tc>
          <w:tcPr>
            <w:tcW w:w="1202" w:type="dxa"/>
          </w:tcPr>
          <w:p w:rsidR="00000000" w:rsidRDefault="00000000">
            <w:pPr>
              <w:tabs>
                <w:tab w:val="clear" w:pos="567"/>
              </w:tabs>
              <w:spacing w:line="240" w:lineRule="auto"/>
              <w:ind w:right="4"/>
              <w:jc w:val="right"/>
            </w:pPr>
            <w:r>
              <w:t>4 101 867</w:t>
            </w:r>
          </w:p>
        </w:tc>
        <w:tc>
          <w:tcPr>
            <w:tcW w:w="1202" w:type="dxa"/>
          </w:tcPr>
          <w:p w:rsidR="00000000" w:rsidRDefault="00000000">
            <w:pPr>
              <w:spacing w:line="240" w:lineRule="auto"/>
              <w:jc w:val="right"/>
            </w:pPr>
            <w:r>
              <w:t>4 147 174</w:t>
            </w:r>
          </w:p>
        </w:tc>
        <w:tc>
          <w:tcPr>
            <w:tcW w:w="1202" w:type="dxa"/>
          </w:tcPr>
          <w:p w:rsidR="00000000" w:rsidRDefault="00000000">
            <w:pPr>
              <w:spacing w:line="240" w:lineRule="auto"/>
              <w:jc w:val="right"/>
            </w:pPr>
            <w:r>
              <w:t>4 169 566</w:t>
            </w:r>
          </w:p>
        </w:tc>
        <w:tc>
          <w:tcPr>
            <w:tcW w:w="1203" w:type="dxa"/>
          </w:tcPr>
          <w:p w:rsidR="00000000" w:rsidRDefault="00000000">
            <w:pPr>
              <w:spacing w:line="240" w:lineRule="auto"/>
              <w:jc w:val="right"/>
            </w:pPr>
            <w:r>
              <w:t>4 173 085</w:t>
            </w:r>
          </w:p>
        </w:tc>
      </w:tr>
    </w:tbl>
    <w:p w:rsidR="00000000" w:rsidRDefault="00000000"/>
    <w:p w:rsidR="00000000" w:rsidRDefault="00000000">
      <w:r>
        <w:t>148.</w:t>
      </w:r>
      <w:r>
        <w:tab/>
        <w:t xml:space="preserve">В окончательных статистических данных за 2005 год отражено 53 смертельных случая среди работников по найму и 14 </w:t>
      </w:r>
      <w:r>
        <w:noBreakHyphen/>
        <w:t xml:space="preserve"> среди самостоятельно занятых лиц.  На конец первого квартала 2006 года общее число несчастных случаев на производстве и профессиональных заболеваний составило, согласно полученным сведениям, 46 654  (среди работников по найму и самостоятельно занятых лиц).</w:t>
      </w:r>
    </w:p>
    <w:p w:rsidR="00000000" w:rsidRDefault="00000000"/>
    <w:p w:rsidR="00000000" w:rsidRDefault="00000000">
      <w:pPr>
        <w:rPr>
          <w:i/>
          <w:iCs/>
        </w:rPr>
      </w:pPr>
      <w:r>
        <w:rPr>
          <w:i/>
          <w:iCs/>
        </w:rPr>
        <w:tab/>
        <w:t>Руководящий принцип 4</w:t>
      </w:r>
    </w:p>
    <w:p w:rsidR="00000000" w:rsidRDefault="00000000">
      <w:pPr>
        <w:rPr>
          <w:u w:val="single"/>
        </w:rPr>
      </w:pPr>
    </w:p>
    <w:p w:rsidR="00000000" w:rsidRDefault="00000000">
      <w:r>
        <w:t>149.</w:t>
      </w:r>
      <w:r>
        <w:tab/>
        <w:t>См. информацию по пункту 3 руководящих принципов, касающихся статьи 6, в предыдущем и настоящем докладах Швеции.  В этой связи особого внимания заслуживает доклад, касающийся Конвенции № 111 МОТ, который был опубликован в ноябре 2004 года.</w:t>
      </w:r>
    </w:p>
    <w:p w:rsidR="00000000" w:rsidRDefault="00000000"/>
    <w:p w:rsidR="00000000" w:rsidRDefault="00000000">
      <w:r>
        <w:t>150.</w:t>
      </w:r>
      <w:r>
        <w:tab/>
        <w:t xml:space="preserve">В Законе об условиях труда (1977:1160) предусмотрено, что работодатели несут ответственность за адаптацию рабочего места с учетом индивидуальных физических и психологических особенностей работников.  Управление по вопросам условий труда несет общую ответственность за решение вопросов, связанных с утратой трудоспособности и условиями труда, и координирует, поддерживает и поощряет работу по этим вопросам по отношению к другим сторонам на местах.  Принимаемые им меры включают в себя разработку контрольных перечней для мониторинга вопросов утраты трудоспособности в соответствии с Законом об условиях труда, например в отношении доступности рабочего места и соблюдения требований к его адаптации.  </w:t>
      </w:r>
    </w:p>
    <w:p w:rsidR="00000000" w:rsidRDefault="00000000"/>
    <w:p w:rsidR="00000000" w:rsidRDefault="00000000">
      <w:r>
        <w:t>151.</w:t>
      </w:r>
      <w:r>
        <w:tab/>
        <w:t xml:space="preserve">Кроме того, следует отметить, что большое число правительственных учреждений участвуют в проекте регионального развития, направленном на поощрение разнообразия и защиту от дискриминации.  Агентству по вопросам административного развития было поручено возглавить и координировать осуществление этого проекта, обеспечивать методологическую поддержку и передачу знаний и принимать все последующие меры в связи с проектом.  Оценку проекта будет проводить Агентство по вопросам государственного управления. </w:t>
      </w:r>
    </w:p>
    <w:p w:rsidR="00000000" w:rsidRDefault="00000000"/>
    <w:p w:rsidR="00000000" w:rsidRDefault="00000000">
      <w:pPr>
        <w:rPr>
          <w:i/>
          <w:iCs/>
        </w:rPr>
      </w:pPr>
      <w:r>
        <w:rPr>
          <w:i/>
          <w:iCs/>
        </w:rPr>
        <w:tab/>
        <w:t>Руководящий принцип 5</w:t>
      </w:r>
    </w:p>
    <w:p w:rsidR="00000000" w:rsidRDefault="00000000"/>
    <w:p w:rsidR="00000000" w:rsidRDefault="00000000">
      <w:r>
        <w:t>152.</w:t>
      </w:r>
      <w:r>
        <w:tab/>
        <w:t>Если говорить о вопросах отдыха и разумного ограничения продолжительности рабочей недели, то некоторые поправки были внесены в Закон о продолжительности рабочего времени (1982:673) с целью более однозначного инкорпорирования Директивы ЕС о продолжительности рабочего времени (Директива 2003/88/ЕС Европейского парламента и Совета относительно некоторых аспектов организации рабочего времени) в национальное законодательство Швеции.</w:t>
      </w:r>
    </w:p>
    <w:p w:rsidR="00000000" w:rsidRDefault="00000000"/>
    <w:p w:rsidR="00000000" w:rsidRDefault="00000000">
      <w:r>
        <w:t>153.</w:t>
      </w:r>
      <w:r>
        <w:tab/>
        <w:t>Поправки к Закону о продолжительности рабочего времени (1982:673) вступили в силу 1 июля 2005 года (в течение расширенного переходного периода, заканчивающегося 1 января 2007 года, эти поправки применяются к действующим коллективным договорам).  Данные поправки охватывают следующие вопросы:</w:t>
      </w:r>
    </w:p>
    <w:p w:rsidR="00000000" w:rsidRDefault="00000000"/>
    <w:p w:rsidR="00000000" w:rsidRDefault="00000000">
      <w:pPr>
        <w:ind w:left="1134" w:hanging="1134"/>
      </w:pPr>
      <w:r>
        <w:tab/>
      </w:r>
      <w:r>
        <w:sym w:font="Symbol" w:char="F0B7"/>
      </w:r>
      <w:r>
        <w:tab/>
        <w:t>уточнения, касающиеся выполнения предусмотренного в директиве требования относительно максимальной 48-часовой рабочей недели, рассчитываемой в качестве среднего показателя за период в четыре недели (при сохранении нормированной 40-часовой рабочей недели в шведском законодательстве);</w:t>
      </w:r>
    </w:p>
    <w:p w:rsidR="00000000" w:rsidRDefault="00000000">
      <w:pPr>
        <w:ind w:left="1134" w:hanging="1134"/>
      </w:pPr>
    </w:p>
    <w:p w:rsidR="00000000" w:rsidRDefault="00000000">
      <w:pPr>
        <w:ind w:left="1134" w:hanging="1134"/>
      </w:pPr>
      <w:r>
        <w:tab/>
      </w:r>
      <w:r>
        <w:sym w:font="Symbol" w:char="F0B7"/>
      </w:r>
      <w:r>
        <w:tab/>
        <w:t>уточнения, касающиеся выполнения положения директивы о максимальном 8</w:t>
      </w:r>
      <w:r>
        <w:noBreakHyphen/>
        <w:t>часовом периоде работы в ночное время при возможном усредненном расчете в том случае, если работа не сопряжена с тяжелыми физическими или умственными нагрузками;</w:t>
      </w:r>
    </w:p>
    <w:p w:rsidR="00000000" w:rsidRDefault="00000000">
      <w:pPr>
        <w:ind w:left="1134" w:hanging="1134"/>
      </w:pPr>
    </w:p>
    <w:p w:rsidR="00000000" w:rsidRDefault="00000000">
      <w:pPr>
        <w:ind w:left="1134" w:hanging="1134"/>
      </w:pPr>
      <w:r>
        <w:tab/>
      </w:r>
      <w:r>
        <w:sym w:font="Symbol" w:char="F0B7"/>
      </w:r>
      <w:r>
        <w:tab/>
        <w:t>уточнения, касающиеся выполнения положения о том, что всем работникам, занятым в ночное время, предоставляется минимальный 11-часовой период дневного отдыха, при ограниченных отступлениях от этого положения, допускаемых в тех случаях, когда невозможность соблюдения этого положения обусловлена обстоятельствами, которые не могли быть заранее предусмотрены работодателем, и при условии, что работникам будет предоставлено эквивалентное компенсационное время;</w:t>
      </w:r>
    </w:p>
    <w:p w:rsidR="00000000" w:rsidRDefault="00000000">
      <w:pPr>
        <w:ind w:left="1134" w:hanging="1134"/>
      </w:pPr>
    </w:p>
    <w:p w:rsidR="00000000" w:rsidRDefault="00000000">
      <w:pPr>
        <w:ind w:left="1134" w:hanging="1134"/>
      </w:pPr>
      <w:r>
        <w:tab/>
      </w:r>
      <w:r>
        <w:sym w:font="Symbol" w:char="F0B7"/>
      </w:r>
      <w:r>
        <w:tab/>
        <w:t>отмена ранее существовавшего исключения из сферы действия закона в отношении работы, выполняемой работником у себя дома.  Таким образом, отныне закон применяется и к надомной работе.</w:t>
      </w:r>
    </w:p>
    <w:p w:rsidR="00000000" w:rsidRDefault="00000000">
      <w:pPr>
        <w:ind w:left="1134" w:hanging="1134"/>
      </w:pPr>
    </w:p>
    <w:p w:rsidR="00000000" w:rsidRDefault="00000000">
      <w:r>
        <w:t>154.</w:t>
      </w:r>
      <w:r>
        <w:tab/>
        <w:t>Отступления от новых нормативных положений о работе в ночное время в течение восьми часов и о предоставлении 11-часового отдыха в дневное время возможны в рамках коллективных договоров в той мере, в какой это не будет означать, что работники окажутся в менее благоприятном положении, чем они оказались бы при строгом соблюдении директивы.</w:t>
      </w:r>
    </w:p>
    <w:p w:rsidR="00000000" w:rsidRDefault="00000000"/>
    <w:p w:rsidR="00000000" w:rsidRDefault="00000000">
      <w:pPr>
        <w:ind w:left="1134" w:hanging="1134"/>
      </w:pPr>
      <w:r>
        <w:tab/>
        <w:t>С информацией по другим вопросам можно ознакомиться в предыдущих докладах.</w:t>
      </w:r>
    </w:p>
    <w:p w:rsidR="00000000" w:rsidRDefault="00000000">
      <w:pPr>
        <w:ind w:left="1134" w:hanging="1134"/>
      </w:pPr>
    </w:p>
    <w:p w:rsidR="00000000" w:rsidRDefault="00000000">
      <w:pPr>
        <w:ind w:left="1134" w:hanging="1134"/>
        <w:rPr>
          <w:i/>
          <w:iCs/>
        </w:rPr>
      </w:pPr>
      <w:r>
        <w:rPr>
          <w:i/>
          <w:iCs/>
        </w:rPr>
        <w:tab/>
        <w:t>Руководящий принцип 6</w:t>
      </w:r>
    </w:p>
    <w:p w:rsidR="00000000" w:rsidRDefault="00000000">
      <w:pPr>
        <w:rPr>
          <w:lang w:val="en-US"/>
        </w:rPr>
      </w:pPr>
    </w:p>
    <w:p w:rsidR="00000000" w:rsidRDefault="00000000">
      <w:r>
        <w:t>155.</w:t>
      </w:r>
      <w:r>
        <w:tab/>
        <w:t>Никаких существенно важных изменений помимо тех, которые упомянуты выше и в докладе об осуществлении Конвенции № 111 МОТ, опубликованном в ноябре 2004 года, за рассматриваемый период не произошло.</w:t>
      </w:r>
    </w:p>
    <w:p w:rsidR="00000000" w:rsidRDefault="00000000"/>
    <w:p w:rsidR="00000000" w:rsidRDefault="00000000">
      <w:r>
        <w:t>156.</w:t>
      </w:r>
      <w:r>
        <w:tab/>
        <w:t>Соответствующая информация приведена в докладе об осуществлении Конвенции МОТ № 111, опубликованном в ноябре 2004 года.</w:t>
      </w:r>
    </w:p>
    <w:p w:rsidR="00000000" w:rsidRDefault="00000000"/>
    <w:p w:rsidR="00000000" w:rsidRDefault="00000000">
      <w:r>
        <w:t>157.</w:t>
      </w:r>
      <w:r>
        <w:tab/>
        <w:t>В отношении предоставления отдыха работникам, занятым в доме работодателя, Закон о домашней прислуге (продолжительность рабочего времени и т.д.) (1970:943) предусматривает, что таким работникам еженедельно предоставляется как минимум 36</w:t>
      </w:r>
      <w:r>
        <w:noBreakHyphen/>
        <w:t xml:space="preserve">часовой непрерывный период отдыха.  По возможности, это время следует планировать на выходные дни.  Продолжительность рабочего времени для этих лиц, как правило, не должна превышать 40 часов в неделю.  Допускается усредненный расчет рабочего времени на протяжении четырех недель.  Дневной отдых должен иметь необходимую продолжительность и предоставляться, по возможности, в период между полуднем и 15 часами (см. пункты 20 и 31 </w:t>
      </w:r>
      <w:r>
        <w:rPr>
          <w:i/>
          <w:iCs/>
        </w:rPr>
        <w:t>Заключительных замечаний</w:t>
      </w:r>
      <w:r>
        <w:t>).</w:t>
      </w:r>
    </w:p>
    <w:p w:rsidR="00000000" w:rsidRDefault="00000000"/>
    <w:p w:rsidR="00000000" w:rsidRDefault="00000000">
      <w:r>
        <w:t>158.</w:t>
      </w:r>
      <w:r>
        <w:tab/>
        <w:t>В соответствии с законом работодатели обязаны также предотвращать причинение вреда здоровью и несчастные случаи на работе.  В свою очередь работники обязаны проявлять должную осмотрительность и иным образом содействовать предотвращению причинения вреда здоровью и несчастных случаев.</w:t>
      </w:r>
    </w:p>
    <w:p w:rsidR="00000000" w:rsidRDefault="00000000"/>
    <w:p w:rsidR="00000000" w:rsidRDefault="00000000">
      <w:r>
        <w:t>159.</w:t>
      </w:r>
      <w:r>
        <w:tab/>
        <w:t>С 1 июля 2001 года Закон о продолжительности рабочего времени (1982:673) в полной мере применяется к надомным работникам.  Ранее действовавшее исключение, в соответствии с которым этот закон не применялся к данной категории работников по найму, было отменено.</w:t>
      </w:r>
    </w:p>
    <w:p w:rsidR="00000000" w:rsidRDefault="00000000"/>
    <w:p w:rsidR="00000000" w:rsidRDefault="00000000">
      <w:r>
        <w:t>160.</w:t>
      </w:r>
      <w:r>
        <w:tab/>
        <w:t xml:space="preserve">Оговорка в пункте </w:t>
      </w:r>
      <w:proofErr w:type="spellStart"/>
      <w:r>
        <w:t>d</w:t>
      </w:r>
      <w:proofErr w:type="spellEnd"/>
      <w:r>
        <w:t xml:space="preserve">) статьи 7 в отношении права на вознаграждение за </w:t>
      </w:r>
      <w:proofErr w:type="spellStart"/>
      <w:r>
        <w:t>праздниные</w:t>
      </w:r>
      <w:proofErr w:type="spellEnd"/>
      <w:r>
        <w:t xml:space="preserve"> дни основывается на том факте, что данное положение Конвенции охватывает вопросы, которые не регулируются в Швеции в законодательном порядке.  Вместо этого они решаются в рамках коллективных договоров между организациями по трудоустройству и организациями работодателей.  По этой причине принятые решения в некоторых случаях могут противоречить положениям пункта d) статьи 7 (см. пункты 21 и 32 </w:t>
      </w:r>
      <w:r>
        <w:rPr>
          <w:i/>
          <w:iCs/>
        </w:rPr>
        <w:t>Заключительных замечаний</w:t>
      </w:r>
      <w:r>
        <w:t>).</w:t>
      </w:r>
    </w:p>
    <w:p w:rsidR="00000000" w:rsidRDefault="00000000"/>
    <w:p w:rsidR="00000000" w:rsidRDefault="00000000">
      <w:pPr>
        <w:rPr>
          <w:b/>
          <w:bCs/>
        </w:rPr>
      </w:pPr>
      <w:r>
        <w:rPr>
          <w:b/>
          <w:bCs/>
        </w:rPr>
        <w:t>Статья 8</w:t>
      </w:r>
    </w:p>
    <w:p w:rsidR="00000000" w:rsidRDefault="00000000">
      <w:pPr>
        <w:rPr>
          <w:b/>
          <w:bCs/>
        </w:rPr>
      </w:pPr>
    </w:p>
    <w:p w:rsidR="00000000" w:rsidRDefault="00000000">
      <w:pPr>
        <w:rPr>
          <w:i/>
          <w:iCs/>
        </w:rPr>
      </w:pPr>
      <w:r>
        <w:rPr>
          <w:i/>
          <w:iCs/>
        </w:rPr>
        <w:tab/>
        <w:t>Руководящий принцип 1</w:t>
      </w:r>
    </w:p>
    <w:p w:rsidR="00000000" w:rsidRDefault="00000000">
      <w:pPr>
        <w:rPr>
          <w:u w:val="single"/>
        </w:rPr>
      </w:pPr>
    </w:p>
    <w:p w:rsidR="00000000" w:rsidRDefault="00000000">
      <w:r>
        <w:t>161.</w:t>
      </w:r>
      <w:r>
        <w:tab/>
        <w:t>Швеция является государством - участником Пакта о гражданских и политических правах ООН, упомянутым в данном контексте, и ратифицировала:</w:t>
      </w:r>
    </w:p>
    <w:p w:rsidR="00000000" w:rsidRDefault="00000000"/>
    <w:p w:rsidR="00000000" w:rsidRDefault="00000000">
      <w:r>
        <w:tab/>
        <w:t>Конвенции МОТ:</w:t>
      </w:r>
    </w:p>
    <w:p w:rsidR="00000000" w:rsidRDefault="00000000"/>
    <w:p w:rsidR="00000000" w:rsidRDefault="00000000">
      <w:pPr>
        <w:ind w:left="567"/>
      </w:pPr>
      <w:r>
        <w:tab/>
        <w:t>-</w:t>
      </w:r>
      <w:r>
        <w:tab/>
        <w:t>№ 87 о свободе ассоциации и защите права на организацию, 1948 год</w:t>
      </w:r>
    </w:p>
    <w:p w:rsidR="00000000" w:rsidRDefault="00000000">
      <w:pPr>
        <w:ind w:left="1701" w:hanging="1134"/>
      </w:pPr>
      <w:r>
        <w:tab/>
        <w:t>-</w:t>
      </w:r>
      <w:r>
        <w:tab/>
        <w:t>№ 98 о праве на организацию и ведение коллективных переговоров, 1949 год</w:t>
      </w:r>
    </w:p>
    <w:p w:rsidR="00000000" w:rsidRDefault="00000000">
      <w:pPr>
        <w:ind w:left="567"/>
      </w:pPr>
      <w:r>
        <w:tab/>
        <w:t>-</w:t>
      </w:r>
      <w:r>
        <w:tab/>
        <w:t>№ 151 о трудовых отношениях на государственной службе, 1978 год.</w:t>
      </w:r>
    </w:p>
    <w:p w:rsidR="00000000" w:rsidRDefault="00000000"/>
    <w:p w:rsidR="00000000" w:rsidRDefault="00000000">
      <w:pPr>
        <w:ind w:left="567"/>
      </w:pPr>
      <w:r>
        <w:t>Кроме того, Швеция ратифицировала и другие конвенции, включая Конвенцию № 154 о коллективных переговорах, 1981 год.</w:t>
      </w:r>
    </w:p>
    <w:p w:rsidR="00000000" w:rsidRDefault="00000000"/>
    <w:p w:rsidR="00000000" w:rsidRDefault="00000000">
      <w:r>
        <w:t>162.</w:t>
      </w:r>
      <w:r>
        <w:tab/>
        <w:t>Никаких существенных изменений в соответствующие законы за отчетный период 2000</w:t>
      </w:r>
      <w:r>
        <w:noBreakHyphen/>
        <w:t>2006 годов вынесено не было.  Информация в отношении тех элементов, в которых такие изменения имели место, и в отношении некоторых соответствующих случаев в прецедентном праве содержится в докладе Швеции, посвященном вышеупомянутым конвенциям МОТ.  Представляющая интерес информация приведена также в предыдущих докладах об осуществлении данной статьи.  Помимо этого следует упомянуть о следующих моментах:</w:t>
      </w:r>
    </w:p>
    <w:p w:rsidR="00000000" w:rsidRDefault="00000000"/>
    <w:p w:rsidR="00000000" w:rsidRDefault="00000000">
      <w:pPr>
        <w:keepNext/>
        <w:rPr>
          <w:i/>
          <w:iCs/>
        </w:rPr>
      </w:pPr>
      <w:r>
        <w:rPr>
          <w:i/>
          <w:iCs/>
        </w:rPr>
        <w:tab/>
        <w:t>Руководящий принцип 2</w:t>
      </w:r>
    </w:p>
    <w:p w:rsidR="00000000" w:rsidRDefault="00000000">
      <w:pPr>
        <w:keepNext/>
      </w:pPr>
    </w:p>
    <w:p w:rsidR="00000000" w:rsidRDefault="00000000">
      <w:pPr>
        <w:keepNext/>
      </w:pPr>
      <w:r>
        <w:t>163.</w:t>
      </w:r>
      <w:r>
        <w:tab/>
        <w:t xml:space="preserve">"Негативная" свобода ассоциации регулируется в Швеции на основе применения Европейской конвенции о защите прав человека и основных свобод в качестве элемента внутреннего законодательства в соответствии с Законом о Европейской конвенции о защите прав человека и основных свобод (1994:1219).  </w:t>
      </w:r>
    </w:p>
    <w:p w:rsidR="00000000" w:rsidRDefault="00000000"/>
    <w:p w:rsidR="00000000" w:rsidRDefault="00000000">
      <w:r>
        <w:t>164.</w:t>
      </w:r>
      <w:r>
        <w:tab/>
        <w:t>Кроме того, рамки "негативной" свободы ассоциации были уточнены в постановлении, принятом в январе 2006 года Европейским судом по правам человека в Страсбурге (</w:t>
      </w:r>
      <w:r>
        <w:rPr>
          <w:i/>
          <w:iCs/>
        </w:rPr>
        <w:t>Серенсен против Дании</w:t>
      </w:r>
      <w:r>
        <w:t xml:space="preserve"> и </w:t>
      </w:r>
      <w:r>
        <w:rPr>
          <w:i/>
          <w:iCs/>
        </w:rPr>
        <w:t>Расмуссен против Дании</w:t>
      </w:r>
      <w:r>
        <w:t>, решение от 11 января 2006 года).</w:t>
      </w:r>
    </w:p>
    <w:p w:rsidR="00000000" w:rsidRDefault="00000000"/>
    <w:p w:rsidR="00000000" w:rsidRDefault="00000000">
      <w:r>
        <w:t>165.</w:t>
      </w:r>
      <w:r>
        <w:tab/>
        <w:t>Следует отметить укрепление статуса профессиональных союзов за счет внесения поправки в Закон об участии работников в принятии решений по трудовым вопросам (1976:580) с целью приведения законодательства в соответствие с Директивой 2002/14/ЕС Европейского парламента и Совета, учреждающей общие рамки для информирования и консультаций работников в Европейском сообществе.  Новые нормативные положения вступили в силу 1 июля 2005 года.</w:t>
      </w:r>
    </w:p>
    <w:p w:rsidR="00000000" w:rsidRDefault="00000000"/>
    <w:p w:rsidR="00000000" w:rsidRDefault="00000000">
      <w:r>
        <w:t>166.</w:t>
      </w:r>
      <w:r>
        <w:tab/>
        <w:t>К Закону об участии работников в принятии решений по трудовым вопросам было добавлено новое юридически обязательное положение, в соответствии с которым работодатели, не связанные коллективным договором, обязаны на регулярной основе информировать профессиональные союзы, членами которых являются их работники, о развитии бизнеса с точки зрения производства и финансов, а также о положениях, определяющих политику в сфере людских ресурсов.</w:t>
      </w:r>
    </w:p>
    <w:p w:rsidR="00000000" w:rsidRDefault="00000000"/>
    <w:p w:rsidR="00000000" w:rsidRDefault="00000000">
      <w:r>
        <w:t>167.</w:t>
      </w:r>
      <w:r>
        <w:tab/>
        <w:t>Обязанность представлять информацию выполняется по отношению к местному профсоюзу, если таковой имеется, и действует в отношении всех работодателей, подпадающих под действие Закона об участии работников в принятии решений по трудовым вопросам, вне зависимости от количества работников.</w:t>
      </w:r>
    </w:p>
    <w:p w:rsidR="00000000" w:rsidRDefault="00000000"/>
    <w:p w:rsidR="00000000" w:rsidRDefault="00000000">
      <w:r>
        <w:t>168.</w:t>
      </w:r>
      <w:r>
        <w:tab/>
        <w:t xml:space="preserve">Представители профсоюзов, которым представляется информация в соответствии с новым положением, имеют право на освобождение от работы в течение разумного периода времени для получения информации.  </w:t>
      </w:r>
    </w:p>
    <w:p w:rsidR="00000000" w:rsidRDefault="00000000"/>
    <w:p w:rsidR="00000000" w:rsidRDefault="00000000">
      <w:r>
        <w:t>169.</w:t>
      </w:r>
      <w:r>
        <w:tab/>
        <w:t>Новые положения содержатся в разделах 19, 19 а) и 20 Закона об участии работников в принятии решений по трудовым вопросам.</w:t>
      </w:r>
    </w:p>
    <w:p w:rsidR="00000000" w:rsidRDefault="00000000"/>
    <w:p w:rsidR="00000000" w:rsidRDefault="00000000">
      <w:pPr>
        <w:keepNext/>
        <w:rPr>
          <w:i/>
          <w:iCs/>
        </w:rPr>
      </w:pPr>
      <w:r>
        <w:rPr>
          <w:i/>
          <w:iCs/>
        </w:rPr>
        <w:tab/>
        <w:t>Руководящий принцип 3</w:t>
      </w:r>
    </w:p>
    <w:p w:rsidR="00000000" w:rsidRDefault="00000000">
      <w:pPr>
        <w:keepNext/>
      </w:pPr>
    </w:p>
    <w:p w:rsidR="00000000" w:rsidRDefault="00000000">
      <w:pPr>
        <w:keepNext/>
      </w:pPr>
      <w:r>
        <w:t>170.</w:t>
      </w:r>
      <w:r>
        <w:tab/>
        <w:t>В соответствии со статьей 27 главы 2 Правительственного акта (одного из законов, составляющих Конституцию Швеции), любой профессиональный союз или работодатель или ассоциация работодателей обладает правом на принятие мер воздействия в рамках трудовых взаимоотношений, если иное не предусмотрено в законодательном акте или договоре.</w:t>
      </w:r>
    </w:p>
    <w:p w:rsidR="00000000" w:rsidRDefault="00000000"/>
    <w:p w:rsidR="00000000" w:rsidRDefault="00000000">
      <w:r>
        <w:t>171.</w:t>
      </w:r>
      <w:r>
        <w:tab/>
        <w:t>В соответствии с разделом 41 Закона об участии работников в принятии решений по трудовым вопросам, в отношении сторон коллективного договора действует обязательство об обеспечении трудовой стабильности.  Обязательство относительно разрешения трудовых конфликтов мирным способом (в первую очередь) влечет за собой "мораторий на забастовку" в отношении как работодателей, так и работников, желающих принять меру производственного воздействия в рамках трудовых взаимоотношений, чтобы:</w:t>
      </w:r>
    </w:p>
    <w:p w:rsidR="00000000" w:rsidRDefault="00000000"/>
    <w:p w:rsidR="00000000" w:rsidRDefault="00000000">
      <w:pPr>
        <w:ind w:left="1134" w:hanging="567"/>
      </w:pPr>
      <w:r>
        <w:t>1.</w:t>
      </w:r>
      <w:r>
        <w:tab/>
        <w:t>оказать давление в споре относительно действительности, существования или верного толкования коллективного договора или в споре по правовым вопросам;</w:t>
      </w:r>
    </w:p>
    <w:p w:rsidR="00000000" w:rsidRDefault="00000000">
      <w:pPr>
        <w:ind w:left="1134" w:hanging="567"/>
      </w:pPr>
    </w:p>
    <w:p w:rsidR="00000000" w:rsidRDefault="00000000">
      <w:pPr>
        <w:ind w:left="1134" w:hanging="567"/>
      </w:pPr>
      <w:r>
        <w:t>2.</w:t>
      </w:r>
      <w:r>
        <w:tab/>
        <w:t>внести поправку в уже действующий коллективный договор;</w:t>
      </w:r>
    </w:p>
    <w:p w:rsidR="00000000" w:rsidRDefault="00000000">
      <w:pPr>
        <w:ind w:left="1134" w:hanging="567"/>
      </w:pPr>
    </w:p>
    <w:p w:rsidR="00000000" w:rsidRDefault="00000000">
      <w:pPr>
        <w:ind w:left="1134" w:hanging="567"/>
      </w:pPr>
      <w:r>
        <w:t>3.</w:t>
      </w:r>
      <w:r>
        <w:tab/>
        <w:t>принять положение, которое должно вступить в силу по завершении действия договора;  или</w:t>
      </w:r>
    </w:p>
    <w:p w:rsidR="00000000" w:rsidRDefault="00000000">
      <w:pPr>
        <w:ind w:left="1134" w:hanging="567"/>
      </w:pPr>
    </w:p>
    <w:p w:rsidR="00000000" w:rsidRDefault="00000000">
      <w:pPr>
        <w:ind w:left="1134" w:hanging="567"/>
      </w:pPr>
      <w:r>
        <w:t>4.</w:t>
      </w:r>
      <w:r>
        <w:tab/>
        <w:t>оказать помощь тем, кто не имеет права на принятие мер воздействия в рамках трудовых взаимоотношений.</w:t>
      </w:r>
    </w:p>
    <w:p w:rsidR="00000000" w:rsidRDefault="00000000">
      <w:pPr>
        <w:ind w:left="1134" w:hanging="567"/>
      </w:pPr>
    </w:p>
    <w:p w:rsidR="00000000" w:rsidRDefault="00000000">
      <w:r>
        <w:t>172.</w:t>
      </w:r>
      <w:r>
        <w:tab/>
        <w:t>В соответствии с первым пунктом раздела 42 Закона об участии работников в принятии решений по трудовым вопросам ассоциации работодателей и профсоюзы не могут договариваться об осуществлении незаконной меры воздействия в рамках трудовых отношений или иным образом способствовать ее осуществлению.  Однако в третьем пункте этого раздела предусмотрено, что обязательство относительно урегулирования споров мирными средствами применяется только к тем трудовым отношениям, которые напрямую регулируются Законом об участии работников в принятии решений по трудовым вопросам.</w:t>
      </w:r>
    </w:p>
    <w:p w:rsidR="00000000" w:rsidRDefault="00000000"/>
    <w:p w:rsidR="00000000" w:rsidRDefault="00000000">
      <w:r>
        <w:t>173.</w:t>
      </w:r>
      <w:r>
        <w:tab/>
        <w:t>В разделе 25 а) Закона об участии работников в принятии решений по трудовым вопросам установлено, что коллективный договор, считающийся недействительным по иностранному праву на том основании, что он был заключен после принятия меры воздействия в рамках трудовых взаимоотношений, тем не менее сохраняет свою силу в Швеции, если упомянутая мера воздействия была принята в соответствии с Законом об участии работников в принятии решений по трудовым вопросам.</w:t>
      </w:r>
    </w:p>
    <w:p w:rsidR="00000000" w:rsidRDefault="00000000"/>
    <w:p w:rsidR="00000000" w:rsidRDefault="00000000">
      <w:r>
        <w:t>174.</w:t>
      </w:r>
      <w:r>
        <w:tab/>
        <w:t>В разделе 31 а) Закона об участии работников в принятии решений по трудовым вопросам установлено, что последующие коллективные договоры имеют преимущественную силу над ранее заключенными договорами, не являющимися объектами непосредственного применения данного закона.</w:t>
      </w:r>
    </w:p>
    <w:p w:rsidR="00000000" w:rsidRDefault="00000000"/>
    <w:p w:rsidR="00000000" w:rsidRDefault="00000000">
      <w:r>
        <w:t>175.</w:t>
      </w:r>
      <w:r>
        <w:tab/>
        <w:t>Согласно результатам подготовительных работ вопрос о том, имеет ли Закон об участии работников в принятии решений по трудовым вопросам прямое применение или нет, зависит от того, является ли связь трудовых взаимоотношений со шведским законодательством доминирующей, как, например, в тех случаях, когда:</w:t>
      </w:r>
    </w:p>
    <w:p w:rsidR="00000000" w:rsidRDefault="00000000"/>
    <w:p w:rsidR="00000000" w:rsidRDefault="00000000">
      <w:pPr>
        <w:numPr>
          <w:ilvl w:val="0"/>
          <w:numId w:val="6"/>
        </w:numPr>
        <w:tabs>
          <w:tab w:val="clear" w:pos="927"/>
        </w:tabs>
        <w:ind w:left="1134" w:hanging="567"/>
      </w:pPr>
      <w:r>
        <w:t>место работы постоянно находится в Швеции;</w:t>
      </w:r>
    </w:p>
    <w:p w:rsidR="00000000" w:rsidRDefault="00000000">
      <w:pPr>
        <w:ind w:left="1134" w:hanging="567"/>
      </w:pPr>
    </w:p>
    <w:p w:rsidR="00000000" w:rsidRDefault="00000000">
      <w:pPr>
        <w:numPr>
          <w:ilvl w:val="0"/>
          <w:numId w:val="6"/>
        </w:numPr>
        <w:tabs>
          <w:tab w:val="clear" w:pos="927"/>
        </w:tabs>
        <w:ind w:left="1134" w:hanging="567"/>
      </w:pPr>
      <w:r>
        <w:t>место работы находится за рубежом, но работодатель и работники являются шведскими гражданами.</w:t>
      </w:r>
    </w:p>
    <w:p w:rsidR="00000000" w:rsidRDefault="00000000"/>
    <w:p w:rsidR="00000000" w:rsidRDefault="00000000">
      <w:r>
        <w:t>176.</w:t>
      </w:r>
      <w:r>
        <w:tab/>
        <w:t>Право на принятие меры воздействия в рамках трудовых взаимоотношений не означает, что работодатель или работник имеют право совершать действия в нарушение уголовного законодательства или других нормативных положений.  Такие уголовные деяния, как вандализм или нападение, являются незаконными, даже если они совершены в контексте забастовки или локаута.</w:t>
      </w:r>
    </w:p>
    <w:p w:rsidR="00000000" w:rsidRDefault="00000000"/>
    <w:p w:rsidR="00000000" w:rsidRDefault="00000000">
      <w:r>
        <w:t>177.</w:t>
      </w:r>
      <w:r>
        <w:tab/>
        <w:t>Таким образом, забастовка или другая мера воздействия в рамках трудовых взаимоотношений не может быть использована в тех случаях, когда стороны связаны обязательством о разрешении споров мирными средствами.  В соответствии с отдельными нормативными положениями стороны также обязаны предоставлять заблаговременное уведомление о планируемой мере воздействия в рамках трудовых взаимоотношений.</w:t>
      </w:r>
    </w:p>
    <w:p w:rsidR="00000000" w:rsidRDefault="00000000"/>
    <w:p w:rsidR="00000000" w:rsidRDefault="00000000">
      <w:r>
        <w:t>178.</w:t>
      </w:r>
      <w:r>
        <w:tab/>
        <w:t>В Правительственном постановлении 1999/2000:32 о формировании заработной платы в случае занятости в течение полного рабочего дня правительство предложило создать новое правительственное учреждение </w:t>
      </w:r>
      <w:r>
        <w:noBreakHyphen/>
        <w:t xml:space="preserve"> Национальное посредническое бюро </w:t>
      </w:r>
      <w:r>
        <w:noBreakHyphen/>
        <w:t xml:space="preserve"> и внести ряд изменений в положения, касающиеся формирования заработной платы.  Предложения, сформулированные в этом постановлении, были реализованы, и краткая информация по ним приведена ниже.</w:t>
      </w:r>
    </w:p>
    <w:p w:rsidR="00000000" w:rsidRDefault="00000000"/>
    <w:p w:rsidR="00000000" w:rsidRDefault="00000000">
      <w:r>
        <w:t>179.</w:t>
      </w:r>
      <w:r>
        <w:tab/>
        <w:t>Национальное посредническое бюро было учреждено 1 июня 2000 года и наделено более широким мандатом, чем его предшественник </w:t>
      </w:r>
      <w:r>
        <w:noBreakHyphen/>
        <w:t xml:space="preserve"> Бюро национального мирового посредника.  Основные задачи Национального посреднического бюро заключаются в выполнении посреднических функций в трудовых спорах и в содействии эффективному процессу формирования заработной платы.  Задача этого учреждения заключается в обеспечении такого процесса формирования заработной платы, который поддерживал бы экономическое равновесие и спокойствие на рынке труда.  В своей деятельности Бюро руководствуется положениями указа (2000:258), содержащего руководящие принципы для Национального посреднического бюро, и разделами 46-49, 51-53 и 62 Закона об участии работников в принятии решений по трудовым вопросам (1976:580).  Принятие заблаговременных мер является одним из компонентов усилий по решению задачи оказания содействия эффективному процессу формирования заработной платы.  Среди прочего, Национальное посредническое бюро организует переговоры с социальными партнерами или иным образом собирает информацию о предстоящих или текущих переговорах и консультируется с партнерами относительно национальных экономических условий для переговоров.  Аналитическая и информационная работа Национального посреднического бюро также нацелена на обеспечение риксдага и правительства материалами о тенденциях в формировании заработной платы и на информирование общественности.  Национальное посредническое бюро отвечает за подготовку ежегодного доклада о формировании заработной платы, а Национальный институт экономических исследований выпускает ежегодный доклад об экономических условиях для целей формирования заработной платы.</w:t>
      </w:r>
    </w:p>
    <w:p w:rsidR="00000000" w:rsidRDefault="00000000"/>
    <w:p w:rsidR="00000000" w:rsidRDefault="00000000">
      <w:r>
        <w:t>180.</w:t>
      </w:r>
      <w:r>
        <w:tab/>
        <w:t xml:space="preserve">Начиная с 1 января 2001 года ответственность за подготовку официальной статистики заработной платы перешла от Статистического управления Швеции к Национальному посредническому бюро.  С 1 июня 2000 года были введены в действие некоторые поправки к Закону об участии работников в принятии решений по трудовым вопросам (1976:580) и Закону о тайне (1980:100) в отношении положений о заключении коллективных договоров и принятии мер воздействия в рамках трудовых взаимоотношений.  Национальное посредническое бюро было наделено следующими полномочиями.  С согласия сторон, ведущих переговоры по коллективному договору, Национальное посредническое бюро может назначить одного или нескольких руководителей переговоров или посредников.  Если существует риск принятия меры воздействия в рамках трудовых взаимоотношений или если осуществление такой меры уже начато, Бюро уполномочено назначить посредника без согласия сторон, если только стороны не связаны соглашением о порядке урегулирования споров, содержащим правила использования посреднических услуг и т.д., которое зарегистрировано в Национальном посредническом бюро.  </w:t>
      </w:r>
    </w:p>
    <w:p w:rsidR="00000000" w:rsidRDefault="00000000"/>
    <w:p w:rsidR="00000000" w:rsidRDefault="00000000">
      <w:r>
        <w:t>181.</w:t>
      </w:r>
      <w:r>
        <w:tab/>
        <w:t xml:space="preserve">Период для направления предусмотренного законом предварительного уведомления до принятия меры воздействия в рамках трудовых взаимоотношений был увеличен с семи календарных до семи рабочих дней.  Со стороны, которая не уведомила Национальное посредническое бюро, может быть взыскан штраф в пользу государства в размере от 30 000 шведских крон до 100 000 шведских крон.  При условии, что это будет содействовать благоприятному разрешению спора, Национальное посредническое бюро может по просьбе посредника принять решение, обязывающее одну из сторон отложить осуществление указанной в уведомлении меры воздействия на срок не более 14 дней.  По каждому эпизоду посредничества распоряжение о такой отсрочке может быть принято только один раз.  Со стороны, которая осуществляет меру воздействия в рамках трудовых взаимоотношений, противоречащую такому распоряжению Бюро, может быть взыскан более значительный штраф в пользу государства в размере от 300 000 шведских крон до 1 000 000 шведских крон.  Цель, скрывающаяся за этими изменениями, заключалась в оказании содействия процессам формирования заработной платы при сохранении экономического равновесия, позволяющего сочетать более высокую реальную заработную плату с низким уровнем безработицы и ценовой стабильностью, не ограничивая при этом имеющиеся в распоряжении социальных партнеров различные возможные варианты решений и их ответственность за разработку коллективных договоров.  Тенденции в изменении стоимости труда и их последствия для макроэкономического развития были более однозначно выдвинуты на передний план за счет повышения качества статистики заработной платы и проведения на более регулярной основе анализа механизма формирования заработной платы.  Достигаемое таким образом улучшение входных данных повышает риск того, что различные группы на рынке труда будут </w:t>
      </w:r>
      <w:r>
        <w:noBreakHyphen/>
        <w:t xml:space="preserve"> соревнуясь друг с другом </w:t>
      </w:r>
      <w:r>
        <w:noBreakHyphen/>
        <w:t xml:space="preserve"> добиваться повышения уровня заработной платы таким образом, что в конечном итоге придут к результату, менее выгодному для всех.</w:t>
      </w:r>
    </w:p>
    <w:p w:rsidR="00000000" w:rsidRDefault="00000000"/>
    <w:p w:rsidR="00000000" w:rsidRDefault="00000000">
      <w:r>
        <w:t>182.</w:t>
      </w:r>
      <w:r>
        <w:tab/>
        <w:t xml:space="preserve">Были сформулированы разъяснения в отношении разделения ответственности между социальными партнерами и государством.  Социальные партнеры несут основную ответственность за формирование заработной платы, в то время как государство несет главную ответственность за состояние экономики в добавление к ответственности партнеров за формирование заработной платы.  Упомянутая главная ответственность за состояние экономики предполагает, в частности, обеспечение гарантиями законных интересов всех граждан в отношении эффективного формирования заработной платы.  По существу, никаких изменений в разделение ответственности между социальными партнерами и государствами внесено не было.  Было подчеркнуто преимущество коллективных договоров в плане регулирования порядка разрешения споров и начала мер воздействия в рамках трудовых взаимоотношений.  Применительно к случаям, когда достижение договоренностей невозможно, закон был усилен за счет положений, усложняющих процедуру, предшествующую принятию мер воздействия в рамках трудовых взаимоотношений, и предусматривающих более действенную систему разрешения споров.  </w:t>
      </w:r>
    </w:p>
    <w:p w:rsidR="00000000" w:rsidRDefault="00000000"/>
    <w:p w:rsidR="00000000" w:rsidRDefault="00000000">
      <w:r>
        <w:t>183.</w:t>
      </w:r>
      <w:r>
        <w:tab/>
        <w:t>Кроме того, была принята норма, согласно которой работник по найму не имеет права использовать меру воздействия в рамках трудовых взаимоотношений или участвовать в ней, если ее цель состоит в заключении коллективного договора с компанией, в которой либо нет работников по найму, либо работниками по найму являются только единственный владелец или владельцы предприятия или члены их семей.  Эта же норма применяется в том случае, если целью меры воздействия в рамках трудовых взаимоотношений является оказание поддержки другому лицу, намеревающемуся заключить коллективный договор с такой компанией.  Эта норма не исключает возможности участия работника по найму в блокировании найма, которое направлено против такой компании, и решение по которому было надлежащим образом принято профессиональным союзом.</w:t>
      </w:r>
    </w:p>
    <w:p w:rsidR="00000000" w:rsidRDefault="00000000"/>
    <w:p w:rsidR="00000000" w:rsidRDefault="00000000">
      <w:r>
        <w:t>184.</w:t>
      </w:r>
      <w:r>
        <w:tab/>
        <w:t>В разделе 4 Закона об участии работников в принятии решений по трудовым вопросам предусмотрено также, что коллективные договоры могут предусматривать более значительные обязательства по обеспечению трудовой стабильности, чем закрепленные в разделах 41, 41 а), 41 </w:t>
      </w:r>
      <w:r>
        <w:rPr>
          <w:lang w:val="en-US"/>
        </w:rPr>
        <w:t>b</w:t>
      </w:r>
      <w:r>
        <w:t>) и 44, а также более значительную ответственность за ущерб, чем предусмотренные данным законом.</w:t>
      </w:r>
    </w:p>
    <w:p w:rsidR="00000000" w:rsidRDefault="00000000"/>
    <w:p w:rsidR="00000000" w:rsidRDefault="00000000">
      <w:pPr>
        <w:rPr>
          <w:b/>
          <w:bCs/>
          <w:i/>
          <w:iCs/>
        </w:rPr>
      </w:pPr>
      <w:r>
        <w:rPr>
          <w:b/>
          <w:bCs/>
          <w:i/>
          <w:iCs/>
        </w:rPr>
        <w:t>Статистика</w:t>
      </w:r>
    </w:p>
    <w:p w:rsidR="00000000" w:rsidRDefault="00000000">
      <w:pPr>
        <w:rPr>
          <w:b/>
          <w:bCs/>
          <w:i/>
          <w:iCs/>
        </w:rPr>
      </w:pPr>
    </w:p>
    <w:p w:rsidR="00000000" w:rsidRDefault="00000000">
      <w:r>
        <w:tab/>
        <w:t>Количество споров, в отношении которых было предписано использовать посреднические услуги, отражено в таблице 8.1.</w:t>
      </w:r>
    </w:p>
    <w:p w:rsidR="00000000" w:rsidRDefault="00000000"/>
    <w:p w:rsidR="00000000" w:rsidRDefault="00000000">
      <w:r>
        <w:t>185.</w:t>
      </w:r>
      <w:r>
        <w:tab/>
        <w:t xml:space="preserve">В таблице 8.2 приведены данные о количестве споров, в которых использование посреднических услуг было предписано без согласия партнеров, что происходит только в исключительных случаях.  За рассматриваемый период Национальное посредническое бюро ни разу не назначало руководителя переговоров.  По мнению Национального посреднического бюро, это объясняется тем, что партнеры обращались с просьбами о предоставлении только посредников, а не руководителей переговоров.  Причиной этого вполне естественно может быть и то, что привлечение руководителей переговоров является еще не опробованным на практике механизмом и что Национальное посредническое бюро не пропагандировало направление руководителей переговоров </w:t>
      </w:r>
      <w:proofErr w:type="spellStart"/>
      <w:r>
        <w:t>сколь-либо</w:t>
      </w:r>
      <w:proofErr w:type="spellEnd"/>
      <w:r>
        <w:t xml:space="preserve"> значительным образом.  Национальное посредническое бюро принимало решение об отсрочке начала указанной в уведомлении меры воздействия лишь в двух случаях, из которых один приходится на рассматриваемый период.</w:t>
      </w:r>
    </w:p>
    <w:p w:rsidR="00000000" w:rsidRDefault="00000000"/>
    <w:p w:rsidR="00000000" w:rsidRDefault="00000000">
      <w:pPr>
        <w:tabs>
          <w:tab w:val="clear" w:pos="1701"/>
        </w:tabs>
        <w:spacing w:line="240" w:lineRule="auto"/>
        <w:jc w:val="center"/>
        <w:rPr>
          <w:b/>
          <w:bCs/>
        </w:rPr>
      </w:pPr>
      <w:r>
        <w:rPr>
          <w:b/>
          <w:bCs/>
        </w:rPr>
        <w:t>Таблица 8.1</w:t>
      </w:r>
    </w:p>
    <w:p w:rsidR="00000000" w:rsidRDefault="00000000">
      <w:pPr>
        <w:tabs>
          <w:tab w:val="clear" w:pos="1701"/>
        </w:tabs>
        <w:spacing w:line="240" w:lineRule="auto"/>
        <w:jc w:val="center"/>
        <w:rPr>
          <w:b/>
          <w:bCs/>
        </w:rPr>
      </w:pPr>
    </w:p>
    <w:p w:rsidR="00000000" w:rsidRDefault="00000000">
      <w:pPr>
        <w:tabs>
          <w:tab w:val="clear" w:pos="1701"/>
        </w:tabs>
        <w:spacing w:line="240" w:lineRule="auto"/>
        <w:jc w:val="center"/>
        <w:rPr>
          <w:b/>
          <w:bCs/>
        </w:rPr>
      </w:pPr>
      <w:r>
        <w:rPr>
          <w:b/>
          <w:bCs/>
        </w:rPr>
        <w:t xml:space="preserve">Количество споров, в которых было предписано использовать </w:t>
      </w:r>
    </w:p>
    <w:p w:rsidR="00000000" w:rsidRDefault="00000000">
      <w:pPr>
        <w:tabs>
          <w:tab w:val="clear" w:pos="1701"/>
        </w:tabs>
        <w:spacing w:line="240" w:lineRule="auto"/>
        <w:jc w:val="center"/>
        <w:rPr>
          <w:b/>
          <w:bCs/>
        </w:rPr>
      </w:pPr>
      <w:r>
        <w:rPr>
          <w:b/>
          <w:bCs/>
        </w:rPr>
        <w:t xml:space="preserve">посредничество, и количество поданных уведомлений </w:t>
      </w:r>
    </w:p>
    <w:p w:rsidR="00000000" w:rsidRDefault="00000000">
      <w:pPr>
        <w:tabs>
          <w:tab w:val="clear" w:pos="1701"/>
        </w:tabs>
        <w:spacing w:line="240" w:lineRule="auto"/>
        <w:jc w:val="center"/>
        <w:rPr>
          <w:b/>
          <w:bCs/>
        </w:rPr>
      </w:pPr>
      <w:r>
        <w:rPr>
          <w:b/>
          <w:bCs/>
        </w:rPr>
        <w:t>о мерах воздействия в рамках этих споров</w:t>
      </w:r>
    </w:p>
    <w:p w:rsidR="00000000" w:rsidRDefault="00000000">
      <w:pPr>
        <w:ind w:left="1701" w:hanging="1701"/>
        <w:rPr>
          <w:b/>
          <w:bCs/>
        </w:rPr>
      </w:pPr>
    </w:p>
    <w:tbl>
      <w:tblPr>
        <w:tblW w:w="0" w:type="auto"/>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901"/>
        <w:gridCol w:w="1591"/>
        <w:gridCol w:w="2324"/>
        <w:gridCol w:w="2967"/>
        <w:gridCol w:w="1493"/>
      </w:tblGrid>
      <w:tr w:rsidR="00000000">
        <w:tblPrEx>
          <w:tblCellMar>
            <w:top w:w="0" w:type="dxa"/>
            <w:bottom w:w="0" w:type="dxa"/>
          </w:tblCellMar>
        </w:tblPrEx>
        <w:trPr>
          <w:jc w:val="center"/>
        </w:trPr>
        <w:tc>
          <w:tcPr>
            <w:tcW w:w="901" w:type="dxa"/>
            <w:tcBorders>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rPr>
                <w:b/>
                <w:bCs/>
                <w:sz w:val="22"/>
              </w:rPr>
            </w:pPr>
            <w:r>
              <w:rPr>
                <w:b/>
                <w:bCs/>
                <w:sz w:val="22"/>
              </w:rPr>
              <w:t>Год</w:t>
            </w:r>
          </w:p>
        </w:tc>
        <w:tc>
          <w:tcPr>
            <w:tcW w:w="1591" w:type="dxa"/>
            <w:tcBorders>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rPr>
                <w:b/>
                <w:bCs/>
                <w:sz w:val="22"/>
              </w:rPr>
            </w:pPr>
            <w:r>
              <w:rPr>
                <w:b/>
                <w:bCs/>
                <w:sz w:val="22"/>
              </w:rPr>
              <w:t xml:space="preserve">Количество споров с </w:t>
            </w:r>
            <w:proofErr w:type="spellStart"/>
            <w:r>
              <w:rPr>
                <w:b/>
                <w:bCs/>
                <w:sz w:val="22"/>
              </w:rPr>
              <w:t>пред-писанным</w:t>
            </w:r>
            <w:proofErr w:type="spellEnd"/>
            <w:r>
              <w:rPr>
                <w:b/>
                <w:bCs/>
                <w:sz w:val="22"/>
              </w:rPr>
              <w:t xml:space="preserve"> </w:t>
            </w:r>
            <w:proofErr w:type="spellStart"/>
            <w:r>
              <w:rPr>
                <w:b/>
                <w:bCs/>
                <w:sz w:val="22"/>
              </w:rPr>
              <w:t>по-средничеством</w:t>
            </w:r>
            <w:proofErr w:type="spellEnd"/>
          </w:p>
        </w:tc>
        <w:tc>
          <w:tcPr>
            <w:tcW w:w="2324" w:type="dxa"/>
            <w:tcBorders>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rPr>
                <w:b/>
                <w:bCs/>
                <w:sz w:val="22"/>
              </w:rPr>
            </w:pPr>
            <w:r>
              <w:rPr>
                <w:b/>
                <w:bCs/>
                <w:sz w:val="22"/>
              </w:rPr>
              <w:t>Количество уведомлений о мерах воздействия в рамках споров с предписанным посредничеством</w:t>
            </w:r>
          </w:p>
        </w:tc>
        <w:tc>
          <w:tcPr>
            <w:tcW w:w="2967" w:type="dxa"/>
            <w:tcBorders>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rPr>
                <w:b/>
                <w:bCs/>
                <w:sz w:val="22"/>
              </w:rPr>
            </w:pPr>
            <w:r>
              <w:rPr>
                <w:b/>
                <w:bCs/>
                <w:sz w:val="22"/>
              </w:rPr>
              <w:t xml:space="preserve">Количество мер воздействия, предпринятых в соответствии с предварительным </w:t>
            </w:r>
            <w:proofErr w:type="spellStart"/>
            <w:r>
              <w:rPr>
                <w:b/>
                <w:bCs/>
                <w:sz w:val="22"/>
              </w:rPr>
              <w:t>уведом-лением</w:t>
            </w:r>
            <w:proofErr w:type="spellEnd"/>
            <w:r>
              <w:rPr>
                <w:b/>
                <w:bCs/>
                <w:sz w:val="22"/>
              </w:rPr>
              <w:t xml:space="preserve"> в рамках споров с предписанным посредничеством</w:t>
            </w:r>
          </w:p>
        </w:tc>
        <w:tc>
          <w:tcPr>
            <w:tcW w:w="1493" w:type="dxa"/>
            <w:tcBorders>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rPr>
                <w:b/>
                <w:bCs/>
                <w:sz w:val="22"/>
              </w:rPr>
            </w:pPr>
            <w:r>
              <w:rPr>
                <w:b/>
                <w:bCs/>
                <w:sz w:val="22"/>
              </w:rPr>
              <w:t>Количество потерянных рабочих дней</w:t>
            </w:r>
          </w:p>
        </w:tc>
      </w:tr>
      <w:tr w:rsidR="00000000">
        <w:tblPrEx>
          <w:tblCellMar>
            <w:top w:w="0" w:type="dxa"/>
            <w:bottom w:w="0" w:type="dxa"/>
          </w:tblCellMar>
        </w:tblPrEx>
        <w:trPr>
          <w:jc w:val="center"/>
        </w:trPr>
        <w:tc>
          <w:tcPr>
            <w:tcW w:w="90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pPr>
            <w:r>
              <w:t>2001</w:t>
            </w:r>
          </w:p>
        </w:tc>
        <w:tc>
          <w:tcPr>
            <w:tcW w:w="15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889"/>
              </w:tabs>
              <w:spacing w:line="240" w:lineRule="auto"/>
              <w:jc w:val="center"/>
            </w:pPr>
            <w:r>
              <w:t>20</w:t>
            </w:r>
          </w:p>
        </w:tc>
        <w:tc>
          <w:tcPr>
            <w:tcW w:w="23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166"/>
              </w:tabs>
              <w:spacing w:line="240" w:lineRule="auto"/>
              <w:jc w:val="center"/>
            </w:pPr>
            <w:r>
              <w:t>14</w:t>
            </w:r>
          </w:p>
        </w:tc>
        <w:tc>
          <w:tcPr>
            <w:tcW w:w="29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497"/>
              </w:tabs>
              <w:spacing w:line="240" w:lineRule="auto"/>
              <w:jc w:val="center"/>
            </w:pPr>
            <w:r>
              <w:t>5</w:t>
            </w:r>
          </w:p>
        </w:tc>
        <w:tc>
          <w:tcPr>
            <w:tcW w:w="149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067"/>
              </w:tabs>
              <w:spacing w:line="240" w:lineRule="auto"/>
              <w:ind w:right="342"/>
              <w:jc w:val="right"/>
            </w:pPr>
            <w:r>
              <w:t>11</w:t>
            </w:r>
            <w:r>
              <w:rPr>
                <w:lang w:val="en-US"/>
              </w:rPr>
              <w:t> </w:t>
            </w:r>
            <w:r>
              <w:t>098</w:t>
            </w:r>
          </w:p>
        </w:tc>
      </w:tr>
      <w:tr w:rsidR="00000000">
        <w:tblPrEx>
          <w:tblCellMar>
            <w:top w:w="0" w:type="dxa"/>
            <w:bottom w:w="0" w:type="dxa"/>
          </w:tblCellMar>
        </w:tblPrEx>
        <w:trPr>
          <w:jc w:val="center"/>
        </w:trPr>
        <w:tc>
          <w:tcPr>
            <w:tcW w:w="90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pPr>
            <w:r>
              <w:t>2002</w:t>
            </w:r>
          </w:p>
        </w:tc>
        <w:tc>
          <w:tcPr>
            <w:tcW w:w="15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889"/>
              </w:tabs>
              <w:spacing w:line="240" w:lineRule="auto"/>
              <w:jc w:val="center"/>
            </w:pPr>
            <w:r>
              <w:t>6</w:t>
            </w:r>
          </w:p>
        </w:tc>
        <w:tc>
          <w:tcPr>
            <w:tcW w:w="23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166"/>
              </w:tabs>
              <w:spacing w:line="240" w:lineRule="auto"/>
              <w:jc w:val="center"/>
            </w:pPr>
            <w:r>
              <w:t>6</w:t>
            </w:r>
          </w:p>
        </w:tc>
        <w:tc>
          <w:tcPr>
            <w:tcW w:w="29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497"/>
              </w:tabs>
              <w:spacing w:line="240" w:lineRule="auto"/>
              <w:jc w:val="center"/>
            </w:pPr>
            <w:r>
              <w:t>2</w:t>
            </w:r>
          </w:p>
        </w:tc>
        <w:tc>
          <w:tcPr>
            <w:tcW w:w="149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067"/>
              </w:tabs>
              <w:spacing w:line="240" w:lineRule="auto"/>
              <w:ind w:right="342"/>
              <w:jc w:val="right"/>
            </w:pPr>
            <w:r>
              <w:t>838</w:t>
            </w:r>
          </w:p>
        </w:tc>
      </w:tr>
      <w:tr w:rsidR="00000000">
        <w:tblPrEx>
          <w:tblCellMar>
            <w:top w:w="0" w:type="dxa"/>
            <w:bottom w:w="0" w:type="dxa"/>
          </w:tblCellMar>
        </w:tblPrEx>
        <w:trPr>
          <w:jc w:val="center"/>
        </w:trPr>
        <w:tc>
          <w:tcPr>
            <w:tcW w:w="90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pPr>
            <w:r>
              <w:t>2003</w:t>
            </w:r>
          </w:p>
        </w:tc>
        <w:tc>
          <w:tcPr>
            <w:tcW w:w="15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889"/>
              </w:tabs>
              <w:spacing w:line="240" w:lineRule="auto"/>
              <w:jc w:val="center"/>
            </w:pPr>
            <w:r>
              <w:t>6</w:t>
            </w:r>
          </w:p>
        </w:tc>
        <w:tc>
          <w:tcPr>
            <w:tcW w:w="23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166"/>
              </w:tabs>
              <w:spacing w:line="240" w:lineRule="auto"/>
              <w:jc w:val="center"/>
            </w:pPr>
            <w:r>
              <w:t>3</w:t>
            </w:r>
          </w:p>
        </w:tc>
        <w:tc>
          <w:tcPr>
            <w:tcW w:w="29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497"/>
              </w:tabs>
              <w:spacing w:line="240" w:lineRule="auto"/>
              <w:jc w:val="center"/>
            </w:pPr>
            <w:r>
              <w:t>1</w:t>
            </w:r>
          </w:p>
        </w:tc>
        <w:tc>
          <w:tcPr>
            <w:tcW w:w="149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247"/>
              </w:tabs>
              <w:spacing w:line="240" w:lineRule="auto"/>
              <w:ind w:right="342"/>
              <w:jc w:val="right"/>
            </w:pPr>
            <w:r>
              <w:t>627</w:t>
            </w:r>
            <w:r>
              <w:rPr>
                <w:lang w:val="en-US"/>
              </w:rPr>
              <w:t> </w:t>
            </w:r>
            <w:r>
              <w:t>541</w:t>
            </w:r>
          </w:p>
        </w:tc>
      </w:tr>
      <w:tr w:rsidR="00000000">
        <w:tblPrEx>
          <w:tblCellMar>
            <w:top w:w="0" w:type="dxa"/>
            <w:bottom w:w="0" w:type="dxa"/>
          </w:tblCellMar>
        </w:tblPrEx>
        <w:trPr>
          <w:jc w:val="center"/>
        </w:trPr>
        <w:tc>
          <w:tcPr>
            <w:tcW w:w="90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701"/>
                <w:tab w:val="left" w:pos="1624"/>
              </w:tabs>
              <w:spacing w:line="240" w:lineRule="auto"/>
              <w:jc w:val="center"/>
            </w:pPr>
            <w:r>
              <w:t>2004</w:t>
            </w:r>
          </w:p>
        </w:tc>
        <w:tc>
          <w:tcPr>
            <w:tcW w:w="15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889"/>
              </w:tabs>
              <w:spacing w:line="240" w:lineRule="auto"/>
              <w:jc w:val="center"/>
            </w:pPr>
            <w:r>
              <w:t>24</w:t>
            </w:r>
          </w:p>
        </w:tc>
        <w:tc>
          <w:tcPr>
            <w:tcW w:w="23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166"/>
              </w:tabs>
              <w:spacing w:line="240" w:lineRule="auto"/>
              <w:jc w:val="center"/>
            </w:pPr>
            <w:r>
              <w:t>15</w:t>
            </w:r>
          </w:p>
        </w:tc>
        <w:tc>
          <w:tcPr>
            <w:tcW w:w="29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497"/>
              </w:tabs>
              <w:spacing w:line="240" w:lineRule="auto"/>
              <w:jc w:val="center"/>
            </w:pPr>
            <w:r>
              <w:t>4</w:t>
            </w:r>
          </w:p>
        </w:tc>
        <w:tc>
          <w:tcPr>
            <w:tcW w:w="149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right" w:pos="1067"/>
              </w:tabs>
              <w:spacing w:line="240" w:lineRule="auto"/>
              <w:ind w:right="342"/>
              <w:jc w:val="right"/>
            </w:pPr>
            <w:r>
              <w:t>15 282</w:t>
            </w:r>
          </w:p>
        </w:tc>
      </w:tr>
      <w:tr w:rsidR="00000000">
        <w:tblPrEx>
          <w:tblCellMar>
            <w:top w:w="0" w:type="dxa"/>
            <w:bottom w:w="0" w:type="dxa"/>
          </w:tblCellMar>
        </w:tblPrEx>
        <w:trPr>
          <w:cantSplit/>
          <w:trHeight w:val="481"/>
          <w:jc w:val="center"/>
        </w:trPr>
        <w:tc>
          <w:tcPr>
            <w:tcW w:w="9276" w:type="dxa"/>
            <w:gridSpan w:val="5"/>
            <w:tcBorders>
              <w:top w:val="single" w:sz="4" w:space="0" w:color="auto"/>
              <w:left w:val="nil"/>
              <w:bottom w:val="nil"/>
              <w:right w:val="nil"/>
            </w:tcBorders>
            <w:vAlign w:val="center"/>
          </w:tcPr>
          <w:p w:rsidR="00000000" w:rsidRDefault="00000000">
            <w:pPr>
              <w:tabs>
                <w:tab w:val="clear" w:pos="567"/>
                <w:tab w:val="clear" w:pos="1134"/>
                <w:tab w:val="clear" w:pos="1701"/>
                <w:tab w:val="right" w:pos="1067"/>
              </w:tabs>
              <w:spacing w:line="240" w:lineRule="auto"/>
              <w:rPr>
                <w:i/>
                <w:iCs/>
                <w:sz w:val="16"/>
              </w:rPr>
            </w:pPr>
          </w:p>
          <w:p w:rsidR="00000000" w:rsidRDefault="00000000">
            <w:pPr>
              <w:tabs>
                <w:tab w:val="clear" w:pos="567"/>
                <w:tab w:val="clear" w:pos="1134"/>
                <w:tab w:val="clear" w:pos="1701"/>
                <w:tab w:val="right" w:pos="1067"/>
              </w:tabs>
              <w:spacing w:line="240" w:lineRule="auto"/>
            </w:pPr>
            <w:r>
              <w:rPr>
                <w:i/>
                <w:iCs/>
              </w:rPr>
              <w:t>Источник</w:t>
            </w:r>
            <w:r>
              <w:t>:  Национальное посредническое бюро.</w:t>
            </w:r>
          </w:p>
        </w:tc>
      </w:tr>
    </w:tbl>
    <w:p w:rsidR="00000000" w:rsidRDefault="00000000">
      <w:pPr>
        <w:rPr>
          <w:b/>
          <w:bCs/>
          <w:i/>
          <w:iCs/>
        </w:rPr>
      </w:pPr>
    </w:p>
    <w:p w:rsidR="00000000" w:rsidRDefault="00000000">
      <w:pPr>
        <w:jc w:val="center"/>
        <w:rPr>
          <w:b/>
          <w:bCs/>
        </w:rPr>
      </w:pPr>
      <w:r>
        <w:rPr>
          <w:b/>
          <w:bCs/>
        </w:rPr>
        <w:t>Таблица 8.2</w:t>
      </w:r>
    </w:p>
    <w:p w:rsidR="00000000" w:rsidRDefault="00000000">
      <w:pPr>
        <w:rPr>
          <w:b/>
          <w:bCs/>
        </w:rPr>
      </w:pPr>
    </w:p>
    <w:tbl>
      <w:tblPr>
        <w:tblW w:w="0" w:type="auto"/>
        <w:jc w:val="center"/>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6"/>
        <w:gridCol w:w="2684"/>
        <w:gridCol w:w="2684"/>
      </w:tblGrid>
      <w:tr w:rsidR="00000000">
        <w:tblPrEx>
          <w:tblCellMar>
            <w:top w:w="0" w:type="dxa"/>
            <w:bottom w:w="0" w:type="dxa"/>
          </w:tblCellMar>
        </w:tblPrEx>
        <w:trPr>
          <w:jc w:val="center"/>
        </w:trPr>
        <w:tc>
          <w:tcPr>
            <w:tcW w:w="1266" w:type="dxa"/>
            <w:vAlign w:val="center"/>
          </w:tcPr>
          <w:p w:rsidR="00000000" w:rsidRDefault="00000000">
            <w:pPr>
              <w:spacing w:line="240" w:lineRule="auto"/>
              <w:jc w:val="center"/>
              <w:rPr>
                <w:b/>
                <w:bCs/>
                <w:sz w:val="22"/>
              </w:rPr>
            </w:pPr>
            <w:r>
              <w:rPr>
                <w:b/>
                <w:bCs/>
                <w:sz w:val="22"/>
              </w:rPr>
              <w:t>Год</w:t>
            </w:r>
          </w:p>
        </w:tc>
        <w:tc>
          <w:tcPr>
            <w:tcW w:w="2684" w:type="dxa"/>
            <w:vAlign w:val="center"/>
          </w:tcPr>
          <w:p w:rsidR="00000000" w:rsidRDefault="00000000">
            <w:pPr>
              <w:spacing w:line="240" w:lineRule="auto"/>
              <w:jc w:val="center"/>
              <w:rPr>
                <w:b/>
                <w:bCs/>
                <w:sz w:val="22"/>
              </w:rPr>
            </w:pPr>
            <w:r>
              <w:rPr>
                <w:b/>
                <w:bCs/>
                <w:sz w:val="22"/>
              </w:rPr>
              <w:t>Количество споров с предписанным посредничеством</w:t>
            </w:r>
          </w:p>
        </w:tc>
        <w:tc>
          <w:tcPr>
            <w:tcW w:w="2684" w:type="dxa"/>
            <w:vAlign w:val="center"/>
          </w:tcPr>
          <w:p w:rsidR="00000000" w:rsidRDefault="00000000">
            <w:pPr>
              <w:spacing w:line="240" w:lineRule="auto"/>
              <w:jc w:val="center"/>
              <w:rPr>
                <w:b/>
                <w:bCs/>
                <w:sz w:val="22"/>
              </w:rPr>
            </w:pPr>
            <w:r>
              <w:rPr>
                <w:b/>
                <w:bCs/>
                <w:sz w:val="22"/>
              </w:rPr>
              <w:t xml:space="preserve">Количество споров с предписанным посредничеством без </w:t>
            </w:r>
          </w:p>
          <w:p w:rsidR="00000000" w:rsidRDefault="00000000">
            <w:pPr>
              <w:spacing w:line="240" w:lineRule="auto"/>
              <w:jc w:val="center"/>
              <w:rPr>
                <w:b/>
                <w:bCs/>
                <w:sz w:val="22"/>
              </w:rPr>
            </w:pPr>
            <w:r>
              <w:rPr>
                <w:b/>
                <w:bCs/>
                <w:sz w:val="22"/>
              </w:rPr>
              <w:t>согласия сторон</w:t>
            </w:r>
          </w:p>
        </w:tc>
      </w:tr>
      <w:tr w:rsidR="00000000">
        <w:tblPrEx>
          <w:tblCellMar>
            <w:top w:w="0" w:type="dxa"/>
            <w:bottom w:w="0" w:type="dxa"/>
          </w:tblCellMar>
        </w:tblPrEx>
        <w:trPr>
          <w:jc w:val="center"/>
        </w:trPr>
        <w:tc>
          <w:tcPr>
            <w:tcW w:w="1266" w:type="dxa"/>
          </w:tcPr>
          <w:p w:rsidR="00000000" w:rsidRDefault="00000000">
            <w:pPr>
              <w:spacing w:line="240" w:lineRule="auto"/>
              <w:jc w:val="center"/>
            </w:pPr>
            <w:r>
              <w:t>2000</w:t>
            </w:r>
          </w:p>
        </w:tc>
        <w:tc>
          <w:tcPr>
            <w:tcW w:w="2684" w:type="dxa"/>
          </w:tcPr>
          <w:p w:rsidR="00000000" w:rsidRDefault="00000000">
            <w:pPr>
              <w:spacing w:line="240" w:lineRule="auto"/>
              <w:jc w:val="center"/>
            </w:pPr>
            <w:r>
              <w:t>12</w:t>
            </w:r>
          </w:p>
        </w:tc>
        <w:tc>
          <w:tcPr>
            <w:tcW w:w="2684" w:type="dxa"/>
          </w:tcPr>
          <w:p w:rsidR="00000000" w:rsidRDefault="00000000">
            <w:pPr>
              <w:spacing w:line="240" w:lineRule="auto"/>
              <w:jc w:val="center"/>
            </w:pPr>
            <w:r>
              <w:t>0</w:t>
            </w:r>
          </w:p>
        </w:tc>
      </w:tr>
      <w:tr w:rsidR="00000000">
        <w:tblPrEx>
          <w:tblCellMar>
            <w:top w:w="0" w:type="dxa"/>
            <w:bottom w:w="0" w:type="dxa"/>
          </w:tblCellMar>
        </w:tblPrEx>
        <w:trPr>
          <w:jc w:val="center"/>
        </w:trPr>
        <w:tc>
          <w:tcPr>
            <w:tcW w:w="1266" w:type="dxa"/>
          </w:tcPr>
          <w:p w:rsidR="00000000" w:rsidRDefault="00000000">
            <w:pPr>
              <w:spacing w:line="240" w:lineRule="auto"/>
              <w:jc w:val="center"/>
            </w:pPr>
            <w:r>
              <w:t>2001</w:t>
            </w:r>
          </w:p>
        </w:tc>
        <w:tc>
          <w:tcPr>
            <w:tcW w:w="2684" w:type="dxa"/>
          </w:tcPr>
          <w:p w:rsidR="00000000" w:rsidRDefault="00000000">
            <w:pPr>
              <w:spacing w:line="240" w:lineRule="auto"/>
              <w:jc w:val="center"/>
            </w:pPr>
            <w:r>
              <w:t>20</w:t>
            </w:r>
          </w:p>
        </w:tc>
        <w:tc>
          <w:tcPr>
            <w:tcW w:w="2684" w:type="dxa"/>
          </w:tcPr>
          <w:p w:rsidR="00000000" w:rsidRDefault="00000000">
            <w:pPr>
              <w:spacing w:line="240" w:lineRule="auto"/>
              <w:jc w:val="center"/>
            </w:pPr>
            <w:r>
              <w:t>2</w:t>
            </w:r>
          </w:p>
        </w:tc>
      </w:tr>
      <w:tr w:rsidR="00000000">
        <w:tblPrEx>
          <w:tblCellMar>
            <w:top w:w="0" w:type="dxa"/>
            <w:bottom w:w="0" w:type="dxa"/>
          </w:tblCellMar>
        </w:tblPrEx>
        <w:trPr>
          <w:jc w:val="center"/>
        </w:trPr>
        <w:tc>
          <w:tcPr>
            <w:tcW w:w="1266" w:type="dxa"/>
          </w:tcPr>
          <w:p w:rsidR="00000000" w:rsidRDefault="00000000">
            <w:pPr>
              <w:spacing w:line="240" w:lineRule="auto"/>
              <w:jc w:val="center"/>
            </w:pPr>
            <w:r>
              <w:t>2002</w:t>
            </w:r>
          </w:p>
        </w:tc>
        <w:tc>
          <w:tcPr>
            <w:tcW w:w="2684" w:type="dxa"/>
          </w:tcPr>
          <w:p w:rsidR="00000000" w:rsidRDefault="00000000">
            <w:pPr>
              <w:spacing w:line="240" w:lineRule="auto"/>
              <w:jc w:val="center"/>
            </w:pPr>
            <w:r>
              <w:t xml:space="preserve">  6</w:t>
            </w:r>
          </w:p>
        </w:tc>
        <w:tc>
          <w:tcPr>
            <w:tcW w:w="2684" w:type="dxa"/>
          </w:tcPr>
          <w:p w:rsidR="00000000" w:rsidRDefault="00000000">
            <w:pPr>
              <w:spacing w:line="240" w:lineRule="auto"/>
              <w:jc w:val="center"/>
            </w:pPr>
            <w:r>
              <w:t>1</w:t>
            </w:r>
          </w:p>
        </w:tc>
      </w:tr>
      <w:tr w:rsidR="00000000">
        <w:tblPrEx>
          <w:tblCellMar>
            <w:top w:w="0" w:type="dxa"/>
            <w:bottom w:w="0" w:type="dxa"/>
          </w:tblCellMar>
        </w:tblPrEx>
        <w:trPr>
          <w:jc w:val="center"/>
        </w:trPr>
        <w:tc>
          <w:tcPr>
            <w:tcW w:w="1266" w:type="dxa"/>
          </w:tcPr>
          <w:p w:rsidR="00000000" w:rsidRDefault="00000000">
            <w:pPr>
              <w:spacing w:line="240" w:lineRule="auto"/>
              <w:jc w:val="center"/>
            </w:pPr>
            <w:r>
              <w:t>2003</w:t>
            </w:r>
          </w:p>
        </w:tc>
        <w:tc>
          <w:tcPr>
            <w:tcW w:w="2684" w:type="dxa"/>
          </w:tcPr>
          <w:p w:rsidR="00000000" w:rsidRDefault="00000000">
            <w:pPr>
              <w:spacing w:line="240" w:lineRule="auto"/>
              <w:jc w:val="center"/>
            </w:pPr>
            <w:r>
              <w:t xml:space="preserve">  6</w:t>
            </w:r>
          </w:p>
        </w:tc>
        <w:tc>
          <w:tcPr>
            <w:tcW w:w="2684" w:type="dxa"/>
          </w:tcPr>
          <w:p w:rsidR="00000000" w:rsidRDefault="00000000">
            <w:pPr>
              <w:spacing w:line="240" w:lineRule="auto"/>
              <w:jc w:val="center"/>
            </w:pPr>
            <w:r>
              <w:t>0</w:t>
            </w:r>
          </w:p>
        </w:tc>
      </w:tr>
      <w:tr w:rsidR="00000000">
        <w:tblPrEx>
          <w:tblCellMar>
            <w:top w:w="0" w:type="dxa"/>
            <w:bottom w:w="0" w:type="dxa"/>
          </w:tblCellMar>
        </w:tblPrEx>
        <w:trPr>
          <w:jc w:val="center"/>
        </w:trPr>
        <w:tc>
          <w:tcPr>
            <w:tcW w:w="1266" w:type="dxa"/>
          </w:tcPr>
          <w:p w:rsidR="00000000" w:rsidRDefault="00000000">
            <w:pPr>
              <w:spacing w:line="240" w:lineRule="auto"/>
              <w:jc w:val="center"/>
            </w:pPr>
            <w:r>
              <w:t>2004</w:t>
            </w:r>
          </w:p>
        </w:tc>
        <w:tc>
          <w:tcPr>
            <w:tcW w:w="2684" w:type="dxa"/>
          </w:tcPr>
          <w:p w:rsidR="00000000" w:rsidRDefault="00000000">
            <w:pPr>
              <w:spacing w:line="240" w:lineRule="auto"/>
              <w:jc w:val="center"/>
            </w:pPr>
            <w:r>
              <w:t>24</w:t>
            </w:r>
          </w:p>
        </w:tc>
        <w:tc>
          <w:tcPr>
            <w:tcW w:w="2684" w:type="dxa"/>
          </w:tcPr>
          <w:p w:rsidR="00000000" w:rsidRDefault="00000000">
            <w:pPr>
              <w:spacing w:line="240" w:lineRule="auto"/>
              <w:jc w:val="center"/>
            </w:pPr>
            <w:r>
              <w:t>0</w:t>
            </w:r>
          </w:p>
        </w:tc>
      </w:tr>
    </w:tbl>
    <w:p w:rsidR="00000000" w:rsidRDefault="00000000">
      <w:pPr>
        <w:rPr>
          <w:b/>
          <w:bCs/>
        </w:rPr>
      </w:pPr>
    </w:p>
    <w:p w:rsidR="00000000" w:rsidRDefault="00000000">
      <w:r>
        <w:t>186.</w:t>
      </w:r>
      <w:r>
        <w:tab/>
        <w:t xml:space="preserve">Разделы 23-29 Закона о занятости в государственном секторе (1994:260) регулируют вопросы принятия мер воздействия в рамках трудовых взаимоотношений в государственном секторе.  В разделах 23-24 содержатся специальные нормы, накладывающие определенные ограничения на </w:t>
      </w:r>
      <w:r>
        <w:rPr>
          <w:i/>
          <w:iCs/>
        </w:rPr>
        <w:t xml:space="preserve">право применять меры воздействия в рамках трудовых взаимоотношений.  </w:t>
      </w:r>
      <w:r>
        <w:t>Хотя поправок в правовые нормы, содержащиеся в этих разделах, за рассматриваемый период не вносилось, просьба обратить внимание на приведенную ниже информацию о "базовом договоре" и "исключенной категории".</w:t>
      </w:r>
    </w:p>
    <w:p w:rsidR="00000000" w:rsidRDefault="00000000"/>
    <w:p w:rsidR="00000000" w:rsidRDefault="00000000">
      <w:r>
        <w:t>187.</w:t>
      </w:r>
      <w:r>
        <w:tab/>
        <w:t>Согласно данным Шведского агентства государственных работодателей, государство является работодателем примерно для 240 000 человек.</w:t>
      </w:r>
    </w:p>
    <w:p w:rsidR="00000000" w:rsidRDefault="00000000"/>
    <w:p w:rsidR="00000000" w:rsidRDefault="00000000">
      <w:r>
        <w:t>188.</w:t>
      </w:r>
      <w:r>
        <w:tab/>
        <w:t>Согласно данным Шведской ассоциации местных органов власти и регионов, муниципалитеты обеспечивают занятость примерно 827 000 человек, а ленские советы - 250 000 человека.  (Данные по состоянию на 1 ноября 2005 года.)</w:t>
      </w:r>
    </w:p>
    <w:p w:rsidR="00000000" w:rsidRDefault="00000000"/>
    <w:p w:rsidR="00000000" w:rsidRDefault="00000000">
      <w:pPr>
        <w:rPr>
          <w:i/>
          <w:iCs/>
        </w:rPr>
      </w:pPr>
      <w:r>
        <w:rPr>
          <w:i/>
          <w:iCs/>
        </w:rPr>
        <w:t>Дела, находящиеся в настоящее время на рассмотрении Трудового суда, - обращения к Европейскому суду</w:t>
      </w:r>
    </w:p>
    <w:p w:rsidR="00000000" w:rsidRDefault="00000000"/>
    <w:p w:rsidR="00000000" w:rsidRDefault="00000000">
      <w:pPr>
        <w:rPr>
          <w:b/>
          <w:bCs/>
        </w:rPr>
      </w:pPr>
      <w:r>
        <w:t>189.</w:t>
      </w:r>
      <w:r>
        <w:tab/>
        <w:t>На рассмотрении Трудового суда в настоящее время находится дело о принятии одним из шведских профсоюзов меры воздействия в рамках трудовых взаимоотношений против одной из латвийских компаний с целью добиться заключения шведского коллективного договора.  Против той же компании в знак солидарности выступил еще одни профсоюз Швеции.  Данная компания является посредником при наборе временной рабочей силы для компаний, действующих в Швеции, и имеет коллективный договор с латвийским профсоюзом.  Трудовой суд просил Европейский суд вынести предварительное заключение по вопросам права, в частности в отношении того, согласуются ли шведские нормативные положения о мере воздействия в рамках трудовых взаимоотношений с положениями о свободном перемещении услуг, включенными в Договор об учреждении Европейского союза (Дело Европейского суда С-341/05).</w:t>
      </w:r>
    </w:p>
    <w:p w:rsidR="00000000" w:rsidRDefault="00000000"/>
    <w:p w:rsidR="00000000" w:rsidRDefault="00000000">
      <w:pPr>
        <w:rPr>
          <w:i/>
          <w:iCs/>
        </w:rPr>
      </w:pPr>
      <w:r>
        <w:rPr>
          <w:i/>
          <w:iCs/>
        </w:rPr>
        <w:tab/>
        <w:t>Руководящий принцип 4</w:t>
      </w:r>
    </w:p>
    <w:p w:rsidR="00000000" w:rsidRDefault="00000000"/>
    <w:p w:rsidR="00000000" w:rsidRDefault="00000000">
      <w:r>
        <w:t>190.</w:t>
      </w:r>
      <w:r>
        <w:tab/>
        <w:t xml:space="preserve">Никаких специальных ограничений для служащих вооруженных сил, полиции или государственной администрации в отношении </w:t>
      </w:r>
      <w:r>
        <w:rPr>
          <w:i/>
          <w:iCs/>
        </w:rPr>
        <w:t>права на организацию</w:t>
      </w:r>
      <w:r>
        <w:t xml:space="preserve"> не предусмотрено.</w:t>
      </w:r>
    </w:p>
    <w:p w:rsidR="00000000" w:rsidRDefault="00000000"/>
    <w:p w:rsidR="00000000" w:rsidRDefault="00000000">
      <w:r>
        <w:t>191.</w:t>
      </w:r>
      <w:r>
        <w:tab/>
        <w:t xml:space="preserve">Упомянутый выше Закон о занятости в государственном секторе применяется также к конкретно оговоренным категориям в отношении </w:t>
      </w:r>
      <w:r>
        <w:rPr>
          <w:i/>
          <w:iCs/>
        </w:rPr>
        <w:t>права на забастовку</w:t>
      </w:r>
      <w:r>
        <w:t>.</w:t>
      </w:r>
    </w:p>
    <w:p w:rsidR="00000000" w:rsidRDefault="00000000"/>
    <w:p w:rsidR="00000000" w:rsidRDefault="00000000">
      <w:r>
        <w:t>192.</w:t>
      </w:r>
      <w:r>
        <w:tab/>
        <w:t xml:space="preserve">В этом контексте следует отметить, что 13 июня 2000 года вступил в силу "Базовый договор" о поправках к Базовому договору от 24 июня 1993 года, заключенный Шведским агентством государственных работодателей (представляющим интересы государства как работодателя) и секторальными отделами </w:t>
      </w:r>
      <w:proofErr w:type="spellStart"/>
      <w:r>
        <w:t>СПГС</w:t>
      </w:r>
      <w:proofErr w:type="spellEnd"/>
      <w:r>
        <w:t xml:space="preserve"> (</w:t>
      </w:r>
      <w:proofErr w:type="spellStart"/>
      <w:r>
        <w:t>СПГС</w:t>
      </w:r>
      <w:proofErr w:type="spellEnd"/>
      <w:r>
        <w:t xml:space="preserve">:  Совет по переговорам с государственными служащими) в рамках сектора государственных переговоров, с одной стороны, и </w:t>
      </w:r>
      <w:proofErr w:type="spellStart"/>
      <w:r>
        <w:t>САКО</w:t>
      </w:r>
      <w:proofErr w:type="spellEnd"/>
      <w:r>
        <w:t xml:space="preserve"> и профсоюзами, относящимися к </w:t>
      </w:r>
      <w:proofErr w:type="spellStart"/>
      <w:r>
        <w:t>САКО</w:t>
      </w:r>
      <w:proofErr w:type="spellEnd"/>
      <w:r>
        <w:t>, - с другой.  В тот же день Агентство государственных работодателей заключило новый Базовый договор с Профессиональным союзом работников сферы услуг и связи (</w:t>
      </w:r>
      <w:proofErr w:type="spellStart"/>
      <w:r>
        <w:t>СЕКО</w:t>
      </w:r>
      <w:proofErr w:type="spellEnd"/>
      <w:r>
        <w:t>).</w:t>
      </w:r>
    </w:p>
    <w:p w:rsidR="00000000" w:rsidRDefault="00000000"/>
    <w:p w:rsidR="00000000" w:rsidRDefault="00000000">
      <w:r>
        <w:t>193.</w:t>
      </w:r>
      <w:r>
        <w:tab/>
        <w:t>Эти договоры идентичны друг другу.  Правительство утвердило эти договоры и относящиеся к ним протоколы переговоров 31 августа 2001 года.</w:t>
      </w:r>
    </w:p>
    <w:p w:rsidR="00000000" w:rsidRDefault="00000000"/>
    <w:p w:rsidR="00000000" w:rsidRDefault="00000000">
      <w:r>
        <w:t>194.</w:t>
      </w:r>
      <w:r>
        <w:tab/>
        <w:t>22 февраля 2001 года было достигнуто соглашение о новой редакции приложения 2 к основным договорам (речь идет о так называемой "исключенной категории").  Правительство утвердило это соглашение 29 марта 2001 года.</w:t>
      </w:r>
    </w:p>
    <w:p w:rsidR="00000000" w:rsidRDefault="00000000"/>
    <w:p w:rsidR="00000000" w:rsidRDefault="00000000">
      <w:r>
        <w:t>195.</w:t>
      </w:r>
      <w:r>
        <w:tab/>
        <w:t>В Базовом договоре содержится специальный раздел С, посвященный мерам воздействия в рамках трудовых взаимоотношений и т.д.  В нем, среди прочего, предусмотрено, что те области и функции, в отношении которых право на принятие мер воздействия в рамках трудовых взаимоотношений должно использоваться с особой осмотрительностью, могут быть оговорены заранее.  Стороны договариваются, что примерами таких областей или функций являются, например, национальная безопасность, поддержание правопорядка, уход за больными или лицами, помещенными в учреждения социального обеспечения, и другими нуждающимися в помощи лицами, а также осуществление выплат, необходимых для обеспечения финансовой безопасности отдельных лиц.  Стороны соглашаются также избегать мер воздействия, позволяющих предположить, что их использование приведет к серьезному сбою в экономической деятельности или в работе системы государственного снабжения.  Кроме того, стороны договариваются не допускать мер воздействия, которые могут привести к неприемлемым последствиям с гуманитарной точки зрения, например мер воздействия в школах для инвалидов.  В главе 3 содержатся нормы, направленные на предотвращение мер воздействия в рамках трудовых отношений, способных поставить под угрозу общественные интересы, в соответствии с которыми сторонам предписывается обращаться с подобными вопросами в специальный орган - Совет по делам государственной службы.</w:t>
      </w:r>
    </w:p>
    <w:p w:rsidR="00000000" w:rsidRDefault="00000000"/>
    <w:p w:rsidR="00000000" w:rsidRDefault="00000000">
      <w:r>
        <w:t>196.</w:t>
      </w:r>
      <w:r>
        <w:tab/>
        <w:t>Если одна из сторон полагает, что мера воздействия вполне может привести к чрезмерному нарушению важных социальных функций, по ее просьбе проводятся переговоры между сторонами с целью недопущения, ограничения или отмены такой меры.  Если другая сторона отказывается вести переговоры или если на переговорах не удается достичь договоренности, сторона, инициировавшая переговоры, должна обратиться с данным вопросом в Совет по делам государственной службы, который определяет, действительно ли данная мера воздействия носит такой характер.</w:t>
      </w:r>
    </w:p>
    <w:p w:rsidR="00000000" w:rsidRDefault="00000000"/>
    <w:p w:rsidR="00000000" w:rsidRDefault="00000000">
      <w:r>
        <w:t>197.</w:t>
      </w:r>
      <w:r>
        <w:tab/>
        <w:t>В главе 4 того же раздела содержатся также нормы в отношении "исключенной категории", к которой, согласно предоставленной информации, относится примерно 10 000 работников.  "Исключенной категорией" называют специальное приложение, содержащее перечень должностей, служащие на которых не имеют права участвовать в мерах воздействия в рамках трудовых взаимоотношений.  (Это положение не распространяется, однако, на служащих, которые находятся в разрешенном отпуске и которые могут в течение этого отпуска работать на должности, которая не указана в данном приложении.)  Права на использование мер воздействия в рамках трудовых взаимоотношений не имеет и персонал, который необходим служащим, относящимся к исключенной категории, для выполнения ими своих функций.</w:t>
      </w:r>
    </w:p>
    <w:p w:rsidR="00000000" w:rsidRDefault="00000000"/>
    <w:p w:rsidR="00000000" w:rsidRDefault="00000000">
      <w:r>
        <w:t>198.</w:t>
      </w:r>
      <w:r>
        <w:tab/>
        <w:t>К исключенной категории относятся сотрудники правительственных учреждений, некоторые высокопоставленные судьи, некоторые высокопоставленные офицеры вооруженных сил, сотрудники некоторых государственных спасательных служб, главы центральных правительственных учреждений и другие.</w:t>
      </w:r>
    </w:p>
    <w:p w:rsidR="00000000" w:rsidRDefault="00000000"/>
    <w:p w:rsidR="00000000" w:rsidRDefault="00000000">
      <w:r>
        <w:rPr>
          <w:b/>
          <w:bCs/>
        </w:rPr>
        <w:t>Статья 9</w:t>
      </w:r>
    </w:p>
    <w:p w:rsidR="00000000" w:rsidRDefault="00000000"/>
    <w:p w:rsidR="00000000" w:rsidRDefault="00000000">
      <w:pPr>
        <w:rPr>
          <w:i/>
          <w:iCs/>
        </w:rPr>
      </w:pPr>
      <w:r>
        <w:rPr>
          <w:i/>
          <w:iCs/>
        </w:rPr>
        <w:tab/>
        <w:t>Руководящий принцип 1</w:t>
      </w:r>
    </w:p>
    <w:p w:rsidR="00000000" w:rsidRDefault="00000000"/>
    <w:p w:rsidR="00000000" w:rsidRDefault="00000000">
      <w:r>
        <w:t>199.</w:t>
      </w:r>
      <w:r>
        <w:tab/>
        <w:t>Швеция является участником конвенций МОТ, указанных в пункте 1 руководящих принципов по статье 9.</w:t>
      </w:r>
    </w:p>
    <w:p w:rsidR="00000000" w:rsidRDefault="00000000"/>
    <w:p w:rsidR="00000000" w:rsidRDefault="00000000">
      <w:pPr>
        <w:rPr>
          <w:i/>
          <w:iCs/>
        </w:rPr>
      </w:pPr>
      <w:r>
        <w:rPr>
          <w:i/>
          <w:iCs/>
        </w:rPr>
        <w:tab/>
        <w:t>Руководящий принцип 2</w:t>
      </w:r>
    </w:p>
    <w:p w:rsidR="00000000" w:rsidRDefault="00000000"/>
    <w:p w:rsidR="00000000" w:rsidRDefault="00000000">
      <w:r>
        <w:t>200.</w:t>
      </w:r>
      <w:r>
        <w:tab/>
        <w:t>В Швеции существуют все формы социального обеспечения, упомянутые в пункте 1 руководящих принципов по статье 9.</w:t>
      </w:r>
    </w:p>
    <w:p w:rsidR="00000000" w:rsidRDefault="00000000"/>
    <w:p w:rsidR="00000000" w:rsidRDefault="00000000">
      <w:pPr>
        <w:rPr>
          <w:i/>
          <w:iCs/>
        </w:rPr>
      </w:pPr>
      <w:r>
        <w:rPr>
          <w:i/>
          <w:iCs/>
        </w:rPr>
        <w:tab/>
        <w:t>Руководящие принципы 3 и 7</w:t>
      </w:r>
    </w:p>
    <w:p w:rsidR="00000000" w:rsidRDefault="00000000"/>
    <w:p w:rsidR="00000000" w:rsidRDefault="00000000">
      <w:r>
        <w:t>201.</w:t>
      </w:r>
      <w:r>
        <w:tab/>
        <w:t>Национальная система социального страхования охватывает всех лиц, вне зависимости от гражданства, которые проживают или работают в Швеции.  Социальное страхование является общим и обязательным и предусматривает предоставление страховых льгот по месту жительства и по месту работы.  Лица, считающиеся постоянно живущими в Швеции, страхуются для получения льгот по месту жительства.  Для получения статуса резидента необходимо фактически проживать в Швеции с предположительным периодом дальнейшего пребывания в стране в течение более чем одного года.  Лица, работающие в Швеции, также страхуются для получения льгот социального страхования по месту работы.  Правовые положения, регулирующие условия предоставления права на социальное страхование, содержатся в Законе о социальном страховании (1999:799), вступившем в силу в 2001 году.</w:t>
      </w:r>
    </w:p>
    <w:p w:rsidR="00000000" w:rsidRDefault="00000000"/>
    <w:p w:rsidR="00000000" w:rsidRDefault="00000000">
      <w:r>
        <w:t>202.</w:t>
      </w:r>
      <w:r>
        <w:tab/>
        <w:t>Начиная с 1 января 2005 года деятельностью системы социального страхования руководит государственное учреждение - Управление социального страхования.  Оно заменило бывший Национальный совет по социальному страхованию и 21 региональное бюро социального страхования.  Данное структурное преобразование было проведено с целью содействовать более эффективному рассмотрению страховых случаев при строгом соблюдении положений закона.</w:t>
      </w:r>
    </w:p>
    <w:p w:rsidR="00000000" w:rsidRDefault="00000000"/>
    <w:p w:rsidR="00000000" w:rsidRDefault="00000000">
      <w:r>
        <w:t>203.</w:t>
      </w:r>
      <w:r>
        <w:tab/>
        <w:t>Система социального страхования финансируется за счет подоходного налога и вкладов работодателей и работников в фонд социального обеспечения.  Страхование по безработице финансируется главным образом за счет взносов работодателей.</w:t>
      </w:r>
    </w:p>
    <w:p w:rsidR="00000000" w:rsidRDefault="00000000"/>
    <w:p w:rsidR="00000000" w:rsidRDefault="00000000">
      <w:pPr>
        <w:rPr>
          <w:b/>
          <w:bCs/>
          <w:i/>
          <w:iCs/>
        </w:rPr>
      </w:pPr>
      <w:r>
        <w:rPr>
          <w:b/>
          <w:bCs/>
          <w:i/>
          <w:iCs/>
        </w:rPr>
        <w:t>Медицинское обслуживание</w:t>
      </w:r>
    </w:p>
    <w:p w:rsidR="00000000" w:rsidRDefault="00000000">
      <w:pPr>
        <w:rPr>
          <w:b/>
          <w:bCs/>
          <w:i/>
          <w:iCs/>
        </w:rPr>
      </w:pPr>
    </w:p>
    <w:p w:rsidR="00000000" w:rsidRDefault="00000000">
      <w:r>
        <w:t>204.</w:t>
      </w:r>
      <w:r>
        <w:tab/>
        <w:t>Соответствующая информация приведена в последнем докладе Швеции в соответствии с Конвенцией № 102 МОТ (ограничения на прямые затраты на медикаменты и медицинское обслуживание).</w:t>
      </w:r>
    </w:p>
    <w:p w:rsidR="00000000" w:rsidRDefault="00000000"/>
    <w:p w:rsidR="00000000" w:rsidRDefault="00000000">
      <w:r>
        <w:t>205.</w:t>
      </w:r>
      <w:r>
        <w:tab/>
        <w:t>Начиная с 1997 года действовала традиционная гарантия записи на прием к врачу, в соответствии с которой учреждения первичного медицинского обслуживания оказывают помощь либо путем предоставления справки по телефону, либо путем записи к врачу в день обращения к ним за помощью.  Если требуется посещение врача на дому, то такая помощь должна быть предоставлена в течение не более чем 7 дней, а в случае направления к специалисту пациент должен быть записан на прием в период, не превышающий 90 дней.  Государство и Шведская ассоциация местных органов власти и регионов договорились расширить рамки этой гарантии.  Новая расширенная гарантия медицинского обслуживания вступила в силу 1 ноября 2005 года.  Новая гарантия охватывает также любое запланированное медицинское обслуживание и влечет за собой обязательство со стороны ленских советов предоставить лечение в течение 90 дней с даты принятия решения о плане лечения.  Если ленский совет не может обеспечить соблюдение этих сроков, пациентам оказывается содействие в поиске возможности получить медицинское обслуживание в другом ленском совете в пределах гарантированного периода времени.  Если лечение проводится другим ленским советом в рамках гарантии медицинского обслуживания, это не влечет каких-либо дополнительных расходов со стороны пациента.</w:t>
      </w:r>
    </w:p>
    <w:p w:rsidR="00000000" w:rsidRDefault="00000000">
      <w:pPr>
        <w:spacing w:line="240" w:lineRule="auto"/>
      </w:pPr>
    </w:p>
    <w:p w:rsidR="00000000" w:rsidRDefault="00000000">
      <w:pPr>
        <w:spacing w:line="240" w:lineRule="auto"/>
        <w:rPr>
          <w:b/>
          <w:bCs/>
          <w:i/>
          <w:iCs/>
        </w:rPr>
      </w:pPr>
      <w:r>
        <w:rPr>
          <w:b/>
          <w:bCs/>
          <w:i/>
          <w:iCs/>
        </w:rPr>
        <w:t>Денежные пособия по болезни</w:t>
      </w:r>
    </w:p>
    <w:p w:rsidR="00000000" w:rsidRDefault="00000000">
      <w:pPr>
        <w:spacing w:line="240" w:lineRule="auto"/>
        <w:rPr>
          <w:b/>
          <w:bCs/>
          <w:i/>
          <w:iCs/>
        </w:rPr>
      </w:pPr>
    </w:p>
    <w:p w:rsidR="00000000" w:rsidRDefault="00000000">
      <w:r>
        <w:t>206.</w:t>
      </w:r>
      <w:r>
        <w:tab/>
        <w:t>Соответствующая информация приведена в последнем докладе Швеции в соответствии с Конвенцией № 102 МОТ и в четвертом периодическом докладе.</w:t>
      </w:r>
    </w:p>
    <w:p w:rsidR="00000000" w:rsidRDefault="00000000"/>
    <w:p w:rsidR="00000000" w:rsidRDefault="00000000">
      <w:r>
        <w:t>207.</w:t>
      </w:r>
      <w:r>
        <w:tab/>
        <w:t xml:space="preserve">С 1 января 2005 года размеры денежного пособия по болезни увеличились с </w:t>
      </w:r>
      <w:proofErr w:type="spellStart"/>
      <w:r>
        <w:t>77,6%</w:t>
      </w:r>
      <w:proofErr w:type="spellEnd"/>
      <w:r>
        <w:t xml:space="preserve"> до </w:t>
      </w:r>
      <w:proofErr w:type="spellStart"/>
      <w:r>
        <w:t>80%</w:t>
      </w:r>
      <w:proofErr w:type="spellEnd"/>
      <w:r>
        <w:t xml:space="preserve"> от размеров установленного необходимого заработка.  В то же время период, в течение которого пособие по болезни выплачивает работодатель, сократился с 21 дня до 14 дней.  Управление социального страхования выплачивает пособия по болезни лицам, не имеющим работодателя.</w:t>
      </w:r>
    </w:p>
    <w:p w:rsidR="00000000" w:rsidRDefault="00000000"/>
    <w:p w:rsidR="00000000" w:rsidRDefault="00000000">
      <w:r>
        <w:t>208.</w:t>
      </w:r>
      <w:r>
        <w:tab/>
        <w:t xml:space="preserve">В целях создания более значительных финансовых стимулов и сокращения числа случаев отсутствия на работе по болезни работодатель платит также в виде сбора на страхование по болезни (15% пособия по болезни) часть расходов на работников, получающих 100-процентное пособие по болезни от Управления социального страхования по истечении периода выплаты этого пособия предприятием.  Такая схема направлена, в частности, на стимулирование профилактических инициатив и оздоровительных мер.  К отдельным группам применяются нормы, касающиеся ограничения прямых расходов.  </w:t>
      </w:r>
    </w:p>
    <w:p w:rsidR="00000000" w:rsidRDefault="00000000"/>
    <w:p w:rsidR="00000000" w:rsidRDefault="00000000">
      <w:r>
        <w:t>209.</w:t>
      </w:r>
      <w:r>
        <w:tab/>
        <w:t>В случае безработных пособия по болезни корректируются с целью приравнивания его к пособию по безработице.  До июля 2003 года застрахованные лица могли получать более значительные страховые пособия по болезни, чем по безработице.</w:t>
      </w:r>
    </w:p>
    <w:p w:rsidR="00000000" w:rsidRDefault="00000000"/>
    <w:p w:rsidR="00000000" w:rsidRDefault="00000000">
      <w:r>
        <w:t>210.</w:t>
      </w:r>
      <w:r>
        <w:tab/>
        <w:t>Начиная с 1 июля 2006 года пороговый уровень дохода для получения страховки по болезни был увеличен с 7,5 до 10 ценовых базовых сумм.  Ценовая базовая сумма на 2006 год была установлена в размере 39 700 шведских крон.</w:t>
      </w:r>
    </w:p>
    <w:p w:rsidR="00000000" w:rsidRDefault="00000000"/>
    <w:p w:rsidR="00000000" w:rsidRDefault="00000000">
      <w:pPr>
        <w:rPr>
          <w:b/>
          <w:bCs/>
          <w:i/>
          <w:iCs/>
        </w:rPr>
      </w:pPr>
      <w:r>
        <w:rPr>
          <w:b/>
          <w:bCs/>
          <w:i/>
          <w:iCs/>
        </w:rPr>
        <w:t>Родительские пособия</w:t>
      </w:r>
    </w:p>
    <w:p w:rsidR="00000000" w:rsidRDefault="00000000">
      <w:pPr>
        <w:rPr>
          <w:b/>
          <w:bCs/>
          <w:i/>
          <w:iCs/>
        </w:rPr>
      </w:pPr>
    </w:p>
    <w:p w:rsidR="00000000" w:rsidRDefault="00000000">
      <w:r>
        <w:t>211.</w:t>
      </w:r>
      <w:r>
        <w:tab/>
        <w:t>Соответствующая информация приведена в последнем докладе, представленном Швецией по Конвенции № 102 МОТ, и в ее четвертом периодическом докладе.</w:t>
      </w:r>
    </w:p>
    <w:p w:rsidR="00000000" w:rsidRDefault="00000000"/>
    <w:p w:rsidR="00000000" w:rsidRDefault="00000000">
      <w:r>
        <w:t>212.</w:t>
      </w:r>
      <w:r>
        <w:tab/>
        <w:t>Период предоставления родительского пособия был продлен в случае ухода за детьми, родившимися 1 января 2002 года или позднее, на 30 дней и составил в общей сложности 480 дней, из которых 60 дней зарезервированы за каждым из родителей, если они имеют совместную опеку.  Родители могут также сделать выбор в пользу получения одной восьмой родительского пособия.  До внесения этого изменения для ухода за ребенком родители могли получать полную ставку, три четверти, половину или одну четверть родительского пособия.  Базовый уровень (ранее называвшийся "гарантированным уровнем") родительского пособия составляет в настоящее время 180 шведских крон в день в течение первоначального периода выплаты пособия.  Помимо этого периода в течение дополнительных 90 дней выплачивается пособие в размере 60 крон ("минимальный уровень").  С 1 июля 2006 года минимальный уровень будет увеличен до 180 шведских крон в день.</w:t>
      </w:r>
    </w:p>
    <w:p w:rsidR="00000000" w:rsidRDefault="00000000"/>
    <w:p w:rsidR="00000000" w:rsidRDefault="00000000">
      <w:r>
        <w:t>213.</w:t>
      </w:r>
      <w:r>
        <w:tab/>
        <w:t xml:space="preserve">Право на временное родительское пособие было предоставлено также родителям тяжелобольных детей в возрасте до 18 лет.  Это пособие может выплачиваться в течение неограниченного числа дней. </w:t>
      </w:r>
    </w:p>
    <w:p w:rsidR="00000000" w:rsidRDefault="00000000"/>
    <w:p w:rsidR="00000000" w:rsidRDefault="00000000">
      <w:r>
        <w:t>214.</w:t>
      </w:r>
      <w:r>
        <w:tab/>
        <w:t>Временное родительское пособие, которое может выплачиваться в течение 10 дней отцу новорожденного, в настоящее время разрешается предоставлять в определенных случаях и другому лицу.</w:t>
      </w:r>
    </w:p>
    <w:p w:rsidR="00000000" w:rsidRDefault="00000000"/>
    <w:p w:rsidR="00000000" w:rsidRDefault="00000000">
      <w:r>
        <w:t>215.</w:t>
      </w:r>
      <w:r>
        <w:tab/>
        <w:t>Родители некоторых детей-инвалидов имеют право на 10 "контактных" дней на одного ребенка в год до достижения ребенком возраста 16 лет.</w:t>
      </w:r>
    </w:p>
    <w:p w:rsidR="00000000" w:rsidRDefault="00000000"/>
    <w:p w:rsidR="00000000" w:rsidRDefault="00000000">
      <w:r>
        <w:t>216.</w:t>
      </w:r>
      <w:r>
        <w:tab/>
        <w:t>С 1 июля 2006 года пороговый уровень дохода для получения родительской страховки будет увеличен с 7,5 до 10 ценовых базовых сумм.</w:t>
      </w:r>
    </w:p>
    <w:p w:rsidR="00000000" w:rsidRDefault="00000000"/>
    <w:p w:rsidR="00000000" w:rsidRDefault="00000000">
      <w:pPr>
        <w:rPr>
          <w:b/>
          <w:bCs/>
          <w:i/>
          <w:iCs/>
        </w:rPr>
      </w:pPr>
      <w:r>
        <w:rPr>
          <w:b/>
          <w:bCs/>
          <w:i/>
          <w:iCs/>
        </w:rPr>
        <w:t xml:space="preserve">Пособия при выходе на пенсию, в связи с утратой трудоспособности </w:t>
      </w:r>
    </w:p>
    <w:p w:rsidR="00000000" w:rsidRDefault="00000000">
      <w:pPr>
        <w:rPr>
          <w:b/>
          <w:bCs/>
          <w:i/>
          <w:iCs/>
        </w:rPr>
      </w:pPr>
      <w:r>
        <w:rPr>
          <w:b/>
          <w:bCs/>
          <w:i/>
          <w:iCs/>
        </w:rPr>
        <w:t>и по случаю потери кормильца</w:t>
      </w:r>
    </w:p>
    <w:p w:rsidR="00000000" w:rsidRDefault="00000000">
      <w:pPr>
        <w:rPr>
          <w:b/>
          <w:bCs/>
          <w:i/>
          <w:iCs/>
        </w:rPr>
      </w:pPr>
    </w:p>
    <w:p w:rsidR="00000000" w:rsidRDefault="00000000">
      <w:r>
        <w:t>217.</w:t>
      </w:r>
      <w:r>
        <w:tab/>
        <w:t>С 1 января 2003 года система пенсионного обеспечения в связи с прекращением трудовой деятельности, по случаю потери кормильца и в связи с утратой трудоспособности были изменены.  Пенсии в связи с утратой трудоспособности и пособия по инвалидности были упразднены и заменены компенсацией за утрату трудоспособности и компенсацией в связи с болезнью.  Отныне эти пособия являются схемами социального страхования и не относятся к системе пенсионного обеспечения.  Более подробное описание этих схем приведено в последнем докладе Швеции по Конвенции № 128 МОТ.</w:t>
      </w:r>
    </w:p>
    <w:p w:rsidR="00000000" w:rsidRDefault="00000000"/>
    <w:p w:rsidR="00000000" w:rsidRDefault="00000000">
      <w:r>
        <w:t>218.</w:t>
      </w:r>
      <w:r>
        <w:tab/>
        <w:t>Требование относительно засчитываемого в счет пенсии заработка начиная с минимального 16-летнего возраста применительно к лицам, родившимся в 1938 году или позднее, было отменено.  Отныне при определении размеров пенсии учитывается вся сумма заработанных в течение жизни средств, дающих право на получение пенсии.</w:t>
      </w:r>
    </w:p>
    <w:p w:rsidR="00000000" w:rsidRDefault="00000000"/>
    <w:p w:rsidR="00000000" w:rsidRDefault="00000000">
      <w:r>
        <w:t>219.</w:t>
      </w:r>
      <w:r>
        <w:tab/>
        <w:t>Были усовершенствованы нормы, позволяющие приемным родителям засчитывать в счет пенсии средства за период раннего детства.</w:t>
      </w:r>
    </w:p>
    <w:p w:rsidR="00000000" w:rsidRDefault="00000000"/>
    <w:p w:rsidR="00000000" w:rsidRDefault="00000000">
      <w:r>
        <w:t>220.</w:t>
      </w:r>
      <w:r>
        <w:tab/>
        <w:t>Переходная пенсия и гарантированная пенсия лицам, потерявшим кормильца после 2005 года, выплачиваются в течение 12 месяцев вместо прежних 10 месяцев.  Как и ранее эти пособия могут выплачиваться в течение более длительного периода, если лицо, потерявшее кормильца, имеет ребенка в возрасте до 12 лет.</w:t>
      </w:r>
    </w:p>
    <w:p w:rsidR="00000000" w:rsidRDefault="00000000"/>
    <w:p w:rsidR="00000000" w:rsidRDefault="00000000">
      <w:r>
        <w:t>221.</w:t>
      </w:r>
      <w:r>
        <w:tab/>
        <w:t xml:space="preserve">Были реформированы нормы, регулирующие предоставление надбавки на жилье лицам преклонного возраста и другим.  Надбавка на жилье выплачивается застрахованным лицам, которые проживают в Швеции и получают в полном объеме пособия в связи с выходом на пенсию, компенсацию по болезни или компенсацию в связи с утратой трудоспособности, пенсию вдовы, специальную пенсию лица, потерявшего кормильца, или надбавку за жену.  Размеры этого пособия зависят от расходов на жилье и дохода заявителя.  Для лиц старше 65 лет надбавка на жилье является максимальной и составляет </w:t>
      </w:r>
      <w:proofErr w:type="spellStart"/>
      <w:r>
        <w:t>91%</w:t>
      </w:r>
      <w:proofErr w:type="spellEnd"/>
      <w:r>
        <w:t xml:space="preserve"> от доли ежемесячных затрат на жилье, не превышающей 4 850 шведских крон, в случае лиц, не состоящих в браке, и 2 425 шведских крон в случае лиц, состоящих в браке.  Аналогичные суммы для других лиц, имеющих право на получение надбавки на жилье, составляет 4 500 шведских крон и 2 250 шведских крон соответственно.  Расходы на жилье, приходящиеся на каждого из супругов, рассчитываются как половина от совместных расходов на жилье.  На основе данных о расходах заявителя на жилье устанавливается максимально возможная надбавка на жилье.  Из этой суммы вычитается определенная часть доходов заявителя и оставшаяся сумма выплачивается в качестве надбавки на жилье.  </w:t>
      </w:r>
    </w:p>
    <w:p w:rsidR="00000000" w:rsidRDefault="00000000"/>
    <w:p w:rsidR="00000000" w:rsidRDefault="00000000">
      <w:r>
        <w:t>222.</w:t>
      </w:r>
      <w:r>
        <w:tab/>
        <w:t xml:space="preserve">Помощь на содержание для престарелых является новым типом пособий в рамках социального страхования, введенным в 2003 году с целью гарантировать приемлемый уровень жизни для лиц, чьи основные потребности в содержании не обеспечиваются другими пособиями в рамках национальной пенсионной системы или другими средствами.  Она предоставляется лицам, проживающим в Швеции и достигшим возраста 65 лет или старше.  Помощь на содержание для престарелых основывается полностью на результатах проверки на нуждаемость и рассчитывается, исходя из доходов заявителя.  Помощь предоставляется до достижения приемлемого уровня жизни, каковым считается уровень, эквивалентный 1,294 ценовой базовой суммы для лиц, не состоящих в браке, и 1,084 базовой суммы для лиц, состоящих в браке или проживающих совместно.  Компенсация предоставляется при разумных расходах на жилье.  Разумными расходами на жилье считаются расходы, не превышающие 6 050 шведских крон в месяц в случае лиц, не состоящих в браке, и 3 025 шведских крон в месяц на каждого из лиц, состоящих в браке или проживающих совместно.  Расходы на жилье каждого из супругов рассчитываются как половина от их совместных расходов на жилье.  Ценовая базовая сумма на 2006 год была установлена в размере 39 700 шведских крон.  </w:t>
      </w:r>
    </w:p>
    <w:p w:rsidR="00000000" w:rsidRDefault="00000000"/>
    <w:p w:rsidR="00000000" w:rsidRDefault="00000000">
      <w:pPr>
        <w:rPr>
          <w:b/>
          <w:bCs/>
          <w:i/>
          <w:iCs/>
        </w:rPr>
      </w:pPr>
      <w:r>
        <w:rPr>
          <w:b/>
          <w:bCs/>
          <w:i/>
          <w:iCs/>
        </w:rPr>
        <w:t>Другие льготы в связи с инвалидностью</w:t>
      </w:r>
    </w:p>
    <w:p w:rsidR="00000000" w:rsidRDefault="00000000">
      <w:pPr>
        <w:rPr>
          <w:b/>
          <w:bCs/>
          <w:i/>
          <w:iCs/>
        </w:rPr>
      </w:pPr>
    </w:p>
    <w:p w:rsidR="00000000" w:rsidRDefault="00000000">
      <w:r>
        <w:t>223.</w:t>
      </w:r>
      <w:r>
        <w:tab/>
        <w:t xml:space="preserve">Ранее представленная информация содержится в последнем докладе Швеции об осуществлении Конвенции № 102 МОТ и ее четвертом периодическом докладе.  </w:t>
      </w:r>
    </w:p>
    <w:p w:rsidR="00000000" w:rsidRDefault="00000000"/>
    <w:p w:rsidR="00000000" w:rsidRDefault="00000000">
      <w:r>
        <w:t>224.</w:t>
      </w:r>
      <w:r>
        <w:tab/>
        <w:t>Пособия по инвалидности выплачиваются начиная с июля месяца того года, когда застрахованное лицо достигает 19</w:t>
      </w:r>
      <w:r>
        <w:noBreakHyphen/>
        <w:t xml:space="preserve">летнего возраста.  Раньше это пособие выплачивалось с начала того года, в котором лицу исполнилось 16 лет.  Основная причина этого изменения заключается в том, чтобы обеспечить молодым инвалидам доступ к программам обучения и профессиональной ориентации и не допустить социальной изоляции в раннем возрасте.  </w:t>
      </w:r>
    </w:p>
    <w:p w:rsidR="00000000" w:rsidRDefault="00000000"/>
    <w:p w:rsidR="00000000" w:rsidRDefault="00000000">
      <w:pPr>
        <w:rPr>
          <w:b/>
          <w:bCs/>
          <w:i/>
          <w:iCs/>
        </w:rPr>
      </w:pPr>
      <w:r>
        <w:rPr>
          <w:b/>
          <w:bCs/>
          <w:i/>
          <w:iCs/>
        </w:rPr>
        <w:t>Пособие в связи с производственной травмой</w:t>
      </w:r>
    </w:p>
    <w:p w:rsidR="00000000" w:rsidRDefault="00000000">
      <w:pPr>
        <w:rPr>
          <w:b/>
          <w:bCs/>
          <w:i/>
          <w:iCs/>
        </w:rPr>
      </w:pPr>
    </w:p>
    <w:p w:rsidR="00000000" w:rsidRDefault="00000000">
      <w:r>
        <w:t>225.</w:t>
      </w:r>
      <w:r>
        <w:tab/>
        <w:t xml:space="preserve">Ранее представленная информация содержится в последнем докладе Швеции об осуществлении Конвенции № 121 МОТ и в ее четвертом периодическом докладе.  </w:t>
      </w:r>
    </w:p>
    <w:p w:rsidR="00000000" w:rsidRDefault="00000000"/>
    <w:p w:rsidR="00000000" w:rsidRDefault="00000000">
      <w:r>
        <w:t>226.</w:t>
      </w:r>
      <w:r>
        <w:tab/>
        <w:t xml:space="preserve">В 2002 году была изменена норма о бремени </w:t>
      </w:r>
      <w:proofErr w:type="spellStart"/>
      <w:r>
        <w:t>доказывания</w:t>
      </w:r>
      <w:proofErr w:type="spellEnd"/>
      <w:r>
        <w:t xml:space="preserve"> при страховании от производственной травмы, которая применяется к случаям производственного травматизма, имевшим место после 1 июля 2002 года.  В настоящее время оценка производится в соответствии с единообразным требованием о предоставлении доказательств.  Производственная травма считается возникшей в результате несчастного случая или другого вредоносного воздействия, если на это указывает доказательство, имеющее преимущественное значение.  При проведении оценки производственных травм осуществляется общая оценка различных не зависящих друг от друга условий.  В прошлом оценка проводилась в два этапа:  определение </w:t>
      </w:r>
      <w:proofErr w:type="spellStart"/>
      <w:r>
        <w:t>травмоопасности</w:t>
      </w:r>
      <w:proofErr w:type="spellEnd"/>
      <w:r>
        <w:t xml:space="preserve"> производства и корреляция.</w:t>
      </w:r>
    </w:p>
    <w:p w:rsidR="00000000" w:rsidRDefault="00000000"/>
    <w:p w:rsidR="00000000" w:rsidRDefault="00000000">
      <w:r>
        <w:t>227.</w:t>
      </w:r>
      <w:r>
        <w:tab/>
        <w:t>Была введена специальная компенсационная выплата в связи с производственной травмой, предназначенная для компенсации потери дохода в период ожидания в рамках системы страхования по болезни.  Она предоставляется лицам, пользующимся компенсацией за потерю дохода в связи с производственной травмой и позволяет компенсировать потерю дохода в течение двухдневного периода ожидания.  Если застрахованному лицу приходится ждать более двух дней, то специальная компенсационная выплата в связи с производственной травмой может предоставляться в течение дополнительных дней.  Специальная компенсационная выплата в связи с производственной травмой представляет собой сумму, соответствующую 80% действующего на основании принятого решения ежегодного базового пособия, разделенную на 365.  Правила перерасчета ежегодного пособия в связи с производственной травмой были изменены.  В настоящее время при расчете этого пособия используется индекс, позволяющий учесть изменения в общем объеме дохода.</w:t>
      </w:r>
    </w:p>
    <w:p w:rsidR="00000000" w:rsidRDefault="00000000"/>
    <w:p w:rsidR="00000000" w:rsidRDefault="00000000">
      <w:pPr>
        <w:keepNext/>
        <w:rPr>
          <w:b/>
          <w:bCs/>
          <w:i/>
          <w:iCs/>
        </w:rPr>
      </w:pPr>
      <w:r>
        <w:rPr>
          <w:b/>
          <w:bCs/>
          <w:i/>
          <w:iCs/>
        </w:rPr>
        <w:t>Пособие по безработице</w:t>
      </w:r>
    </w:p>
    <w:p w:rsidR="00000000" w:rsidRDefault="00000000">
      <w:pPr>
        <w:keepNext/>
        <w:rPr>
          <w:b/>
          <w:bCs/>
          <w:i/>
          <w:iCs/>
        </w:rPr>
      </w:pPr>
    </w:p>
    <w:p w:rsidR="00000000" w:rsidRDefault="00000000">
      <w:pPr>
        <w:keepNext/>
      </w:pPr>
      <w:r>
        <w:t>228.</w:t>
      </w:r>
      <w:r>
        <w:tab/>
        <w:t>Страхованием на случай безработицы занимается 37 фондов страхования на случай безработицы, из которых 36 связаны с конкретным сектором рынка труда и открыты для любого лица, занятого в этом секторе.  Один из таких фондов, приступивший к деятельности 1 января 1998 года, имеет более широкий охват и открыт для любых лиц во всех секторах рынка труда.  Этот новый страховой фонд занимается также предоставлением базового пособия лицам, которые не являются членами какого-либо фонда страхования на случай безработицы.  Страховые выплаты по безработице включают в себя связанную с доходом компенсацию и основное пособие.</w:t>
      </w:r>
    </w:p>
    <w:p w:rsidR="00000000" w:rsidRDefault="00000000"/>
    <w:p w:rsidR="00000000" w:rsidRDefault="00000000">
      <w:r>
        <w:t>229.</w:t>
      </w:r>
      <w:r>
        <w:tab/>
        <w:t>Для получения права на связанную с доходом компенсацию необходимо быть членом фонда страхования на случай безработицы в течение как минимум 12 месяцев и удовлетворять общим условиям (например, быть зарегистрированным в Службе трудоустройства в качестве лица, ищущего работу, быть безработным, вести активный поиск работы и быть готовым к поступлению на приемлемую работу, если таковая будет предложена) и удовлетворять условию занятости.  Удовлетворяющим условию занятости считается лицо, которое в течение, как минимум, шести из предшествующих 12 месяцев занималось приносящей доход трудовой деятельностью при занятости не менее 70 часов в месяц или проработало не менее 450 часов в течение непрерывного шестимесячного периода при ежемесячной занятости не менее 45 часов.  Связанная с доходом компенсация выплачивается в размере 80% от обычного дохода застрахованного лица, предшествовавшего потере работы.  Максимальная выплата составляет 730 шведских крон в день в течение первых 100 дней получения компенсации и 680 шведских крон на протяжении оставшегося срока (со 101-ого по 300-й день).</w:t>
      </w:r>
    </w:p>
    <w:p w:rsidR="00000000" w:rsidRDefault="00000000"/>
    <w:p w:rsidR="00000000" w:rsidRDefault="00000000">
      <w:r>
        <w:t>230.</w:t>
      </w:r>
      <w:r>
        <w:tab/>
        <w:t>Основное пособие не зависит от предыдущего заработка и выплачивается лицам, которые удовлетворяют общим условиям и условию занятости или завершили академическое обучение в определенном объеме, но не удовлетворяют условию членства, т.е. не являются членами фонда страхования на случай безработицы или же являются его членами в течение недостаточно долгого периода.  Основное пособие составляет 320 шведских крон в день и пропорционально снижается, если работа, на основе которой рассчитана сумма компенсации, была связана с занятостью в течение неполного рабочего дня.</w:t>
      </w:r>
    </w:p>
    <w:p w:rsidR="00000000" w:rsidRDefault="00000000"/>
    <w:p w:rsidR="00000000" w:rsidRDefault="00000000">
      <w:r>
        <w:t>231.</w:t>
      </w:r>
      <w:r>
        <w:tab/>
        <w:t>С 1 августа 2000 года в масштабах всей страны начала действовать так называемая "гарантия трудовой деятельности".  Эта схема представляет собой программу по реализации политики на рынке труда, ориентированную на лиц, подверженных риску долгосрочной безработицы.  Безработный участвует в организуемых мероприятиях, занимающих полный рабочий день, при соответствующей поддержке, что позволяет обеспечить его занятость в течение коротких или более продолжительных периодов времени, а также в других программах по реализации политики на рынке труда.  "Гарантия трудовой деятельности" предоставляется безработному до тех пор, пока он вновь не закрепится на рынке труда.  Выплачиваемое пособие, равное пособию по безработице, гарантирует финансовую безопасность лицам, которые исчерпали возможности для получения пособия по безработице.</w:t>
      </w:r>
    </w:p>
    <w:p w:rsidR="00000000" w:rsidRDefault="00000000"/>
    <w:p w:rsidR="00000000" w:rsidRDefault="00000000">
      <w:r>
        <w:t>232.</w:t>
      </w:r>
      <w:r>
        <w:tab/>
        <w:t>За период с февраля 2001 года в систему страхования на случай безработицы были внесены следующие значительные изменения:</w:t>
      </w:r>
    </w:p>
    <w:p w:rsidR="00000000" w:rsidRDefault="00000000"/>
    <w:p w:rsidR="00000000" w:rsidRDefault="00000000">
      <w:pPr>
        <w:numPr>
          <w:ilvl w:val="0"/>
          <w:numId w:val="7"/>
        </w:numPr>
        <w:tabs>
          <w:tab w:val="clear" w:pos="567"/>
          <w:tab w:val="clear" w:pos="720"/>
        </w:tabs>
        <w:ind w:left="1134" w:hanging="573"/>
      </w:pPr>
      <w:r>
        <w:t>Было отменено требование относительно переквалификации.  Участие в программах по реализации политики на рынке труда отныне не дает права еще на один срок получения пособия по безработице (см. выше информацию о гарантии трудовой деятельности).</w:t>
      </w:r>
    </w:p>
    <w:p w:rsidR="00000000" w:rsidRDefault="00000000">
      <w:pPr>
        <w:tabs>
          <w:tab w:val="clear" w:pos="567"/>
        </w:tabs>
        <w:ind w:left="201"/>
      </w:pPr>
    </w:p>
    <w:p w:rsidR="00000000" w:rsidRDefault="00000000">
      <w:pPr>
        <w:numPr>
          <w:ilvl w:val="0"/>
          <w:numId w:val="7"/>
        </w:numPr>
        <w:tabs>
          <w:tab w:val="clear" w:pos="567"/>
          <w:tab w:val="clear" w:pos="720"/>
        </w:tabs>
        <w:ind w:left="1134" w:hanging="573"/>
      </w:pPr>
      <w:r>
        <w:t>Максимальный срок предоставления пособия по безработице составляет 300 дней для всех лиц независимо от возраста.</w:t>
      </w:r>
    </w:p>
    <w:p w:rsidR="00000000" w:rsidRDefault="00000000">
      <w:pPr>
        <w:tabs>
          <w:tab w:val="clear" w:pos="567"/>
        </w:tabs>
        <w:ind w:left="201"/>
      </w:pPr>
    </w:p>
    <w:p w:rsidR="00000000" w:rsidRDefault="00000000">
      <w:pPr>
        <w:numPr>
          <w:ilvl w:val="0"/>
          <w:numId w:val="7"/>
        </w:numPr>
        <w:tabs>
          <w:tab w:val="clear" w:pos="567"/>
          <w:tab w:val="clear" w:pos="720"/>
        </w:tabs>
        <w:ind w:left="1134" w:hanging="573"/>
      </w:pPr>
      <w:r>
        <w:t xml:space="preserve">Было введено положение о возможном продленном периоде выплаты пособия на срок до 300 дней </w:t>
      </w:r>
      <w:r>
        <w:rPr>
          <w:u w:val="single"/>
        </w:rPr>
        <w:t>без</w:t>
      </w:r>
      <w:r>
        <w:t xml:space="preserve"> обязательного соблюдения нового условия о занятости.  Продления предоставляются в том случае, если заявитель не пользуется "гарантией трудовой занятости".</w:t>
      </w:r>
    </w:p>
    <w:p w:rsidR="00000000" w:rsidRDefault="00000000">
      <w:pPr>
        <w:tabs>
          <w:tab w:val="clear" w:pos="567"/>
        </w:tabs>
      </w:pPr>
    </w:p>
    <w:p w:rsidR="00000000" w:rsidRDefault="00000000">
      <w:pPr>
        <w:numPr>
          <w:ilvl w:val="0"/>
          <w:numId w:val="7"/>
        </w:numPr>
        <w:tabs>
          <w:tab w:val="clear" w:pos="567"/>
          <w:tab w:val="clear" w:pos="720"/>
        </w:tabs>
        <w:ind w:left="1134" w:hanging="573"/>
      </w:pPr>
      <w:r>
        <w:t>Увеличены размеры максимального пособия, выплачиваемого в течение первых 100 дней.</w:t>
      </w:r>
    </w:p>
    <w:p w:rsidR="00000000" w:rsidRDefault="00000000">
      <w:pPr>
        <w:tabs>
          <w:tab w:val="clear" w:pos="567"/>
        </w:tabs>
      </w:pPr>
    </w:p>
    <w:p w:rsidR="00000000" w:rsidRDefault="00000000">
      <w:pPr>
        <w:numPr>
          <w:ilvl w:val="0"/>
          <w:numId w:val="7"/>
        </w:numPr>
        <w:tabs>
          <w:tab w:val="clear" w:pos="567"/>
          <w:tab w:val="clear" w:pos="720"/>
        </w:tabs>
        <w:ind w:left="1134" w:hanging="573"/>
      </w:pPr>
      <w:r>
        <w:t xml:space="preserve">Отклонение предложения о приемлемой занятости или участие в программе по реализации политики на рынке труда ведет к сокращению пособия на 25% в первый раз и на 50% во второй раз.  После отклонения третьего предложения выплата пособия полностью прекращается.  </w:t>
      </w:r>
    </w:p>
    <w:p w:rsidR="00000000" w:rsidRDefault="00000000">
      <w:pPr>
        <w:tabs>
          <w:tab w:val="clear" w:pos="567"/>
        </w:tabs>
      </w:pPr>
    </w:p>
    <w:p w:rsidR="00000000" w:rsidRDefault="00000000">
      <w:pPr>
        <w:rPr>
          <w:b/>
          <w:bCs/>
          <w:i/>
          <w:iCs/>
        </w:rPr>
      </w:pPr>
      <w:r>
        <w:rPr>
          <w:b/>
          <w:bCs/>
          <w:i/>
          <w:iCs/>
        </w:rPr>
        <w:t>Семейное пособие</w:t>
      </w:r>
    </w:p>
    <w:p w:rsidR="00000000" w:rsidRDefault="00000000">
      <w:pPr>
        <w:rPr>
          <w:b/>
          <w:bCs/>
          <w:i/>
          <w:iCs/>
        </w:rPr>
      </w:pPr>
    </w:p>
    <w:p w:rsidR="00000000" w:rsidRDefault="00000000">
      <w:r>
        <w:t>233.</w:t>
      </w:r>
      <w:r>
        <w:tab/>
        <w:t xml:space="preserve">Ранее представленная информация содержится в последнем докладе Швеции об осуществлении Конвенции № 102 МОТ и в ее четвертом периодическом докладе.  См. также содержащийся в добавлении </w:t>
      </w:r>
      <w:proofErr w:type="spellStart"/>
      <w:r>
        <w:t>фактологический</w:t>
      </w:r>
      <w:proofErr w:type="spellEnd"/>
      <w:r>
        <w:t xml:space="preserve"> бюллетень о политике Швеции по вопросам семьи.</w:t>
      </w:r>
    </w:p>
    <w:p w:rsidR="00000000" w:rsidRDefault="00000000"/>
    <w:p w:rsidR="00000000" w:rsidRDefault="00000000">
      <w:r>
        <w:t>234.</w:t>
      </w:r>
      <w:r>
        <w:tab/>
        <w:t>Единое пособие на ребенка составляет в настоящее время 12 600 шведских крон на ребенка в год плюс дополнительное пособие на последующих детей:  1 200 шведских крон в год на второго ребенка, 4 248 шведских крон в год на третьего ребенка, 10 320 шведских крон в год на четвертого ребенка и 12 600 шведских крон в год на пятого и каждого последующего ребенка.</w:t>
      </w:r>
    </w:p>
    <w:p w:rsidR="00000000" w:rsidRDefault="00000000"/>
    <w:p w:rsidR="00000000" w:rsidRDefault="00000000">
      <w:r>
        <w:t>235.</w:t>
      </w:r>
      <w:r>
        <w:tab/>
        <w:t>Помощь на содержание составляет 1 273 шведские кроны в месяц.  После внесения поправки в Шведский кодекс прав и обязанностей детей и родителей, родители имеют право на продление срока предоставления помощи на содержание детей в возрасте от 18 до 21 года, если они продолжают посещать школу.</w:t>
      </w:r>
    </w:p>
    <w:p w:rsidR="00000000" w:rsidRDefault="00000000"/>
    <w:p w:rsidR="00000000" w:rsidRDefault="00000000">
      <w:r>
        <w:t>236.</w:t>
      </w:r>
      <w:r>
        <w:tab/>
        <w:t>В определенных случаях один из родителей имеет право на получение пособия по уходу за детьми-инвалидами в течение периода, заканчивающегося в последний день месяца июня того года, в котором ребенку исполняется 19 лет.  Ранее это пособие выплачивалось до достижения 16-летнего возраста.  Это изменение было внесено одновременно с соответствующим изменением в отношении пособия по инвалидности.</w:t>
      </w:r>
    </w:p>
    <w:p w:rsidR="00000000" w:rsidRDefault="00000000"/>
    <w:p w:rsidR="00000000" w:rsidRDefault="00000000">
      <w:r>
        <w:t>237.</w:t>
      </w:r>
      <w:r>
        <w:tab/>
        <w:t>Была введена новая форма пособия на жилье, названная "пособием на поддержание контактов с детьми ", которое предоставляется тем родителям, дети которых проживают в их доме периодически в силу условий опеки или договоренностей о свиданиях с детьми.  Это пособие выплачивается на ежемесячной основе и составляет 300 шведских крон на одного ребенка, 375 шведских крон на двух детей и 450 шведских крон на трех и более детей.  Специальное пособие на детей, проживающих в доме, составляет в настоящее время 950 шведских крон в месяц на одного ребенка, 1 325 шведских крон на двух детей и 1 750 шведских крон на трех и более детей.</w:t>
      </w:r>
    </w:p>
    <w:p w:rsidR="00000000" w:rsidRDefault="00000000"/>
    <w:p w:rsidR="00000000" w:rsidRDefault="00000000">
      <w:pPr>
        <w:rPr>
          <w:i/>
          <w:iCs/>
        </w:rPr>
      </w:pPr>
      <w:r>
        <w:rPr>
          <w:i/>
          <w:iCs/>
        </w:rPr>
        <w:tab/>
        <w:t>Руководящий принцип 4</w:t>
      </w:r>
    </w:p>
    <w:p w:rsidR="00000000" w:rsidRDefault="00000000">
      <w:pPr>
        <w:rPr>
          <w:u w:val="single"/>
        </w:rPr>
      </w:pPr>
    </w:p>
    <w:p w:rsidR="00000000" w:rsidRDefault="00000000">
      <w:r>
        <w:t>238.</w:t>
      </w:r>
      <w:r>
        <w:tab/>
        <w:t xml:space="preserve">В данном случае Швеция приводит статистические данные, представленные ЕСССЗ.  Согласно этим данным, расходы Швеции на социальное обеспечение в 2003 году составили 815,7 млрд. шведских крон, что соответствует 32% ВНП.  В 1994 году эти расходы исчислялись в 597,4 млрд. шведских крон, или </w:t>
      </w:r>
      <w:proofErr w:type="spellStart"/>
      <w:r>
        <w:t>36%</w:t>
      </w:r>
      <w:proofErr w:type="spellEnd"/>
      <w:r>
        <w:t xml:space="preserve"> ВНП.  Согласно последнему докладу Швеции, в 1996 году эти показатели составили 606,7 млрд. шведских крон или </w:t>
      </w:r>
      <w:proofErr w:type="spellStart"/>
      <w:r>
        <w:t>33%</w:t>
      </w:r>
      <w:proofErr w:type="spellEnd"/>
      <w:r>
        <w:t xml:space="preserve"> ВНП.</w:t>
      </w:r>
    </w:p>
    <w:p w:rsidR="00000000" w:rsidRDefault="00000000"/>
    <w:p w:rsidR="00000000" w:rsidRDefault="00000000">
      <w:r>
        <w:t>239.</w:t>
      </w:r>
      <w:r>
        <w:tab/>
        <w:t xml:space="preserve">Объем расходов на социальное обеспечение, выраженный в ценах 2004 года, возрос за период с 1994 года по 2004 год на 146 млрд. шведских крон.  Это соответствует реальному росту на </w:t>
      </w:r>
      <w:proofErr w:type="spellStart"/>
      <w:r>
        <w:t>22%</w:t>
      </w:r>
      <w:proofErr w:type="spellEnd"/>
      <w:r>
        <w:t>.  Поскольку ВНП увеличивался опережающими темпами, процентная доля средств, расходуемых на социальное обеспечение, сократилась.</w:t>
      </w:r>
    </w:p>
    <w:p w:rsidR="00000000" w:rsidRDefault="00000000"/>
    <w:p w:rsidR="00000000" w:rsidRDefault="00000000">
      <w:r>
        <w:t>240.</w:t>
      </w:r>
      <w:r>
        <w:tab/>
        <w:t>Рост затрат обусловлен главным образом увеличением числа лиц, получающих компенсацию по болезни и компенсацию в связи с утратой трудоспособности (ранее называвшуюся пенсией по инвалидности), в 2004 году по сравнению с 1994 годом.  Аналогичным образом увеличились и расходы на выплату денежного пособия по болезни.  Кроме того, более значительными стали расходы на выплату пенсий по старости вследствие увеличения числа лиц, получающих пенсии выше базового уровня (т.е. пенсии, рассчитанные с учетом дохода).  Увеличение объема помощи лицам, имеющим инвалидность, также было связано со значительными затратами.  К факторам, повлиявшим на рост расходов на медицинское обслуживание, могут быть отнесены увеличивающаяся стоимость фармацевтической продукции и технологий, а также старение населения.  Вместе с тем снижение уровня безработицы привело к сокращению расходов на участие в программах по реализации политики на рынке труда и на выплату компенсации при отсутствии занятости.</w:t>
      </w:r>
    </w:p>
    <w:p w:rsidR="00000000" w:rsidRDefault="00000000"/>
    <w:p w:rsidR="00000000" w:rsidRDefault="00000000">
      <w:pPr>
        <w:rPr>
          <w:i/>
          <w:iCs/>
        </w:rPr>
      </w:pPr>
      <w:r>
        <w:rPr>
          <w:i/>
          <w:iCs/>
        </w:rPr>
        <w:tab/>
        <w:t>Руководящий принцип 5</w:t>
      </w:r>
    </w:p>
    <w:p w:rsidR="00000000" w:rsidRDefault="00000000">
      <w:pPr>
        <w:rPr>
          <w:u w:val="single"/>
        </w:rPr>
      </w:pPr>
    </w:p>
    <w:p w:rsidR="00000000" w:rsidRDefault="00000000">
      <w:r>
        <w:t>241.</w:t>
      </w:r>
      <w:r>
        <w:tab/>
        <w:t>Ранее представленная информация по данному вопросу содержится в четвертом периодическом докладе Швеции.</w:t>
      </w:r>
    </w:p>
    <w:p w:rsidR="00000000" w:rsidRDefault="00000000"/>
    <w:p w:rsidR="00000000" w:rsidRDefault="00000000">
      <w:pPr>
        <w:rPr>
          <w:i/>
          <w:iCs/>
        </w:rPr>
      </w:pPr>
      <w:r>
        <w:rPr>
          <w:i/>
          <w:iCs/>
        </w:rPr>
        <w:tab/>
        <w:t>Руководящий принцип 6</w:t>
      </w:r>
    </w:p>
    <w:p w:rsidR="00000000" w:rsidRDefault="00000000">
      <w:pPr>
        <w:rPr>
          <w:u w:val="single"/>
        </w:rPr>
      </w:pPr>
    </w:p>
    <w:p w:rsidR="00000000" w:rsidRDefault="00000000">
      <w:r>
        <w:t>242.</w:t>
      </w:r>
      <w:r>
        <w:tab/>
        <w:t>Для того чтобы какое-то лицо могло рассматриваться в качестве резидента для целей социального страхования, оно, как правило, должно обладать постоянным видом на жительство.  В Законе о приеме лиц, ищущих убежище, и других лиц (1994:137) предусмотрена специальная льгота для тех, кто ожидает предоставления вида на жительство.  Информация, касающаяся других аспектов, содержится в четвертом периодическом докладе Швеции.</w:t>
      </w:r>
    </w:p>
    <w:p w:rsidR="00000000" w:rsidRDefault="00000000"/>
    <w:p w:rsidR="00000000" w:rsidRDefault="00000000">
      <w:pPr>
        <w:rPr>
          <w:b/>
          <w:bCs/>
          <w:i/>
          <w:iCs/>
        </w:rPr>
      </w:pPr>
      <w:r>
        <w:rPr>
          <w:b/>
          <w:bCs/>
          <w:i/>
          <w:iCs/>
        </w:rPr>
        <w:t>Экономическая помощь</w:t>
      </w:r>
    </w:p>
    <w:p w:rsidR="00000000" w:rsidRDefault="00000000">
      <w:pPr>
        <w:rPr>
          <w:b/>
          <w:bCs/>
          <w:i/>
          <w:iCs/>
        </w:rPr>
      </w:pPr>
    </w:p>
    <w:p w:rsidR="00000000" w:rsidRDefault="00000000">
      <w:r>
        <w:t>243.</w:t>
      </w:r>
      <w:r>
        <w:tab/>
        <w:t>Экономическая помощь является последней "страховочной сеткой" в системе социального обеспечения и выполняет исключительно важную функцию, направленную на уменьшение экономической изоляции отдельных лиц и семей.  Она призвана дополнять схемы социального страхования и обеспечивать содействие в тех случаях, когда общие формы социальной защиты оказываются неадекватными или не могут быть предоставлены.  Цель экономической помощи заключается в предоставлении временной, краткосрочной поддержки в тех случаях, когда отдельные лица не могут обеспечить себя с помощью других средств, таких, как занятость или получение вспомоществования в рамках общей системы социальной политики.  Экономическая помощь является единственным компонентом системы, которая полностью зависит от потребностей конкретного домохозяйства в поддержке.  Экономическая помощь регулируется Законом о социальных службах (2001:453), а ответственность за управление программой и обеспечение ее финансирования несут муниципальные социальные службы.  Национальный совет по вопросам здравоохранения и благосостояния разрабатывает вспомогательные документы и руководящие принципы для рассмотрения обращений за помощью.  Размеры предоставляемых пособий в рамках экономической помощи основаны на общей национальной норме, устанавливаемой правительством.  Помимо основного пособия муниципалитеты могут предоставлять помощь, опираясь на индивидуальную оценку в отношении других разумных расходов и жизненных потребностей по иным аспектам.</w:t>
      </w:r>
    </w:p>
    <w:p w:rsidR="00000000" w:rsidRDefault="00000000"/>
    <w:p w:rsidR="00000000" w:rsidRDefault="00000000">
      <w:r>
        <w:t>244.</w:t>
      </w:r>
      <w:r>
        <w:tab/>
        <w:t xml:space="preserve">В соответствии с Законом о медико-санитарном обслуживании (1982:763) каждый </w:t>
      </w:r>
      <w:proofErr w:type="spellStart"/>
      <w:r>
        <w:t>ленский</w:t>
      </w:r>
      <w:proofErr w:type="spellEnd"/>
      <w:r>
        <w:t xml:space="preserve"> совет предоставляет надлежащие медико-санитарные услуги лицам, проживающим в пределах его административных границ.  Ленский совет предоставляет также срочные, но не запланированные медико-санитарные услуги лицам, проживающим в данном лене, но не являющимися его постоянными жителями.  Это обязательство действует в отношении как лиц, ищущих убежища, так и других иностранцев, которые находятся в стране по различным причинам, не имея вида на жительство.  Медико-санитарное обслуживание лиц, ищущих убежища, и других лиц регулируется специальным соглашением между государством и Шведской ассоциацией местных органов власти и регионов.  Положения этого соглашения выходят за рамки обязательств </w:t>
      </w:r>
      <w:proofErr w:type="spellStart"/>
      <w:r>
        <w:t>ленских</w:t>
      </w:r>
      <w:proofErr w:type="spellEnd"/>
      <w:r>
        <w:t xml:space="preserve"> советов по Закону о медико-санитарном обслуживании.  Затраты </w:t>
      </w:r>
      <w:proofErr w:type="spellStart"/>
      <w:r>
        <w:t>ленских</w:t>
      </w:r>
      <w:proofErr w:type="spellEnd"/>
      <w:r>
        <w:t xml:space="preserve"> советов компенсируются государством.</w:t>
      </w:r>
    </w:p>
    <w:p w:rsidR="00000000" w:rsidRDefault="00000000"/>
    <w:p w:rsidR="00000000" w:rsidRDefault="00000000">
      <w:r>
        <w:t>245.</w:t>
      </w:r>
      <w:r>
        <w:tab/>
        <w:t>В соответствии с вышеупомянутым соглашением несовершеннолетним, ищущим убежища, и несовершеннолетним, которых скрывают для недопущения исполнения приказа о депортации или высылке ("скрываемые дети"), предоставляются те же медико-санитарные и зубоврачебные услуги, что и несовершеннолетним, постоянно живущим в Швеции.</w:t>
      </w:r>
    </w:p>
    <w:p w:rsidR="00000000" w:rsidRDefault="00000000"/>
    <w:p w:rsidR="00000000" w:rsidRDefault="00000000">
      <w:r>
        <w:t>246.</w:t>
      </w:r>
      <w:r>
        <w:tab/>
        <w:t>Между потребностями в экономической помощи и тенденциями в динамике занятости существует тесная связь.  В феврале 2005 года правительство назначило Комитет по вопросам перехода от социальной помощи к трудовой деятельности (</w:t>
      </w:r>
      <w:r>
        <w:rPr>
          <w:lang w:val="en-US"/>
        </w:rPr>
        <w:t>S </w:t>
      </w:r>
      <w:r>
        <w:t>2005:10).  Комитет должен представить рекомендации относительно мер, направленных на содействие переходу от социальной помощи к самообеспечению на основе занятости.  В своей деятельности Комитет руководствуется общими установками относительно необходимости эффективного использования государственных ресурсов и создания однозначных стимулов для отдельных лиц и общества к незамедлительному выходу на рынок труда.  Комитет представит свой окончательный доклад к 1 ноября 2006 года (ToR 2005:10).</w:t>
      </w:r>
    </w:p>
    <w:p w:rsidR="00000000" w:rsidRDefault="00000000"/>
    <w:p w:rsidR="00000000" w:rsidRDefault="00000000">
      <w:r>
        <w:t>247.</w:t>
      </w:r>
      <w:r>
        <w:tab/>
        <w:t>Комитет по вопросам выселения и бездомности среди семей с детьми представил свой доклад (</w:t>
      </w:r>
      <w:proofErr w:type="spellStart"/>
      <w:r>
        <w:rPr>
          <w:lang w:val="en-US"/>
        </w:rPr>
        <w:t>SOU</w:t>
      </w:r>
      <w:proofErr w:type="spellEnd"/>
      <w:r>
        <w:rPr>
          <w:lang w:val="en-US"/>
        </w:rPr>
        <w:t> </w:t>
      </w:r>
      <w:r>
        <w:t>2005:88) в октябре 2005 года.  По оценке Комитета, в 2004 году из своих домов было выселено в общей сложности не менее 1 000 детей.  Он отметил многогранность этой проблемы и в этой связи обратился с настоятельной просьбой к социальным службам разрабатывать инициативы и совершенствовать политику в области жилищного обеспечения.  В настоящее время правительственные учреждения занимаются подготовкой доклада о принятии дальнейших мер.</w:t>
      </w:r>
    </w:p>
    <w:p w:rsidR="00000000" w:rsidRDefault="00000000"/>
    <w:p w:rsidR="00000000" w:rsidRDefault="00000000">
      <w:pPr>
        <w:rPr>
          <w:i/>
          <w:iCs/>
        </w:rPr>
      </w:pPr>
      <w:r>
        <w:rPr>
          <w:i/>
          <w:iCs/>
        </w:rPr>
        <w:t>Руководящий принцип 8</w:t>
      </w:r>
    </w:p>
    <w:p w:rsidR="00000000" w:rsidRDefault="00000000"/>
    <w:p w:rsidR="00000000" w:rsidRDefault="00000000">
      <w:r>
        <w:t>248.</w:t>
      </w:r>
      <w:r>
        <w:tab/>
        <w:t>Для лиц, желающих работать и/или жить в других странах, большое значение имеет наличие двустороннего или многостороннего законодательства в области социальной защиты.  С точки зрения Швеции, наиболее важным для подавляющего большинства таких лиц является законодательство ЕС в этой области.  Швеция также заключила конвенции по вопросам социальной защиты примерно с 20 странами.  После представления четвертого периодического доклада Швеции конвенции с Чили, Канадой, странами Северной Европы, Турцией и Соединенными Штатами были заключены заново в результате повторных переговоров в связи с изменениями во внутреннем праве.  Кроме того, Швеция и Сербия и Черногория достигли договоренности о дальнейшем применении в отношениях между этими странами прежней конвенции о социальной защите, которая была заключена Швецией и Югославией.</w:t>
      </w:r>
    </w:p>
    <w:p w:rsidR="00000000" w:rsidRDefault="00000000"/>
    <w:p w:rsidR="00000000" w:rsidRDefault="00000000">
      <w:pPr>
        <w:rPr>
          <w:b/>
          <w:bCs/>
        </w:rPr>
      </w:pPr>
      <w:r>
        <w:rPr>
          <w:b/>
          <w:bCs/>
        </w:rPr>
        <w:t>Статья 10</w:t>
      </w:r>
    </w:p>
    <w:p w:rsidR="00000000" w:rsidRDefault="00000000">
      <w:pPr>
        <w:rPr>
          <w:b/>
          <w:bCs/>
        </w:rPr>
      </w:pPr>
    </w:p>
    <w:p w:rsidR="00000000" w:rsidRDefault="00000000">
      <w:pPr>
        <w:rPr>
          <w:i/>
          <w:iCs/>
        </w:rPr>
      </w:pPr>
      <w:r>
        <w:rPr>
          <w:i/>
          <w:iCs/>
        </w:rPr>
        <w:tab/>
        <w:t>Руководящий принцип 1</w:t>
      </w:r>
    </w:p>
    <w:p w:rsidR="00000000" w:rsidRDefault="00000000"/>
    <w:p w:rsidR="00000000" w:rsidRDefault="00000000">
      <w:r>
        <w:t>249.</w:t>
      </w:r>
      <w:r>
        <w:tab/>
        <w:t>Соответствующая информация приведена в предыдущих докладах.  Швеция не ратифицировала Конвенцию № 103 МОТ об охране материнства.  Четвертый доклад Швеции Комитету Объединенных Наций по правам ребенка будет представлен в начале 2007 года.</w:t>
      </w:r>
    </w:p>
    <w:p w:rsidR="00000000" w:rsidRDefault="00000000"/>
    <w:p w:rsidR="00000000" w:rsidRDefault="00000000">
      <w:pPr>
        <w:rPr>
          <w:i/>
          <w:iCs/>
        </w:rPr>
      </w:pPr>
      <w:r>
        <w:rPr>
          <w:i/>
          <w:iCs/>
        </w:rPr>
        <w:tab/>
        <w:t>Руководящий принцип 2</w:t>
      </w:r>
    </w:p>
    <w:p w:rsidR="00000000" w:rsidRDefault="00000000"/>
    <w:p w:rsidR="00000000" w:rsidRDefault="00000000">
      <w:r>
        <w:t>250.</w:t>
      </w:r>
      <w:r>
        <w:tab/>
        <w:t>Соответствующая информация приведена в пункте 152 четвертого доклада.</w:t>
      </w:r>
    </w:p>
    <w:p w:rsidR="00000000" w:rsidRDefault="00000000"/>
    <w:p w:rsidR="00000000" w:rsidRDefault="00000000">
      <w:pPr>
        <w:rPr>
          <w:i/>
          <w:iCs/>
        </w:rPr>
      </w:pPr>
      <w:r>
        <w:rPr>
          <w:i/>
          <w:iCs/>
        </w:rPr>
        <w:tab/>
        <w:t>Руководящий принцип 3</w:t>
      </w:r>
    </w:p>
    <w:p w:rsidR="00000000" w:rsidRDefault="00000000"/>
    <w:p w:rsidR="00000000" w:rsidRDefault="00000000">
      <w:r>
        <w:t>251.</w:t>
      </w:r>
      <w:r>
        <w:tab/>
        <w:t>Соответствующая информация приведена в пункте 153 четвертого доклада.</w:t>
      </w:r>
    </w:p>
    <w:p w:rsidR="00000000" w:rsidRDefault="00000000"/>
    <w:p w:rsidR="00000000" w:rsidRDefault="00000000">
      <w:pPr>
        <w:rPr>
          <w:i/>
          <w:iCs/>
        </w:rPr>
      </w:pPr>
      <w:r>
        <w:rPr>
          <w:i/>
          <w:iCs/>
        </w:rPr>
        <w:tab/>
        <w:t>Руководящий принцип 4</w:t>
      </w:r>
    </w:p>
    <w:p w:rsidR="00000000" w:rsidRDefault="00000000"/>
    <w:p w:rsidR="00000000" w:rsidRDefault="00000000">
      <w:r>
        <w:t>252.</w:t>
      </w:r>
      <w:r>
        <w:tab/>
        <w:t>Соответствующая информация приведена в пунктах 154-158 четвертого доклада.</w:t>
      </w:r>
    </w:p>
    <w:p w:rsidR="00000000" w:rsidRDefault="00000000"/>
    <w:p w:rsidR="00000000" w:rsidRDefault="00000000">
      <w:r>
        <w:t>253.</w:t>
      </w:r>
      <w:r>
        <w:tab/>
        <w:t>См. четвертый доклад Швеции и информацию по руководящим принципам, касающимся статьи 9, выше.</w:t>
      </w:r>
    </w:p>
    <w:p w:rsidR="00000000" w:rsidRDefault="00000000"/>
    <w:p w:rsidR="00000000" w:rsidRDefault="00000000">
      <w:pPr>
        <w:rPr>
          <w:i/>
          <w:iCs/>
        </w:rPr>
      </w:pPr>
      <w:r>
        <w:rPr>
          <w:i/>
          <w:iCs/>
        </w:rPr>
        <w:tab/>
        <w:t>Руководящий принцип 5</w:t>
      </w:r>
    </w:p>
    <w:p w:rsidR="00000000" w:rsidRDefault="00000000"/>
    <w:p w:rsidR="00000000" w:rsidRDefault="00000000">
      <w:r>
        <w:t>254.</w:t>
      </w:r>
      <w:r>
        <w:tab/>
        <w:t>См. четвертый доклад Швеции и информацию по руководящим принципам, касающимся статьи 9, выше.</w:t>
      </w:r>
    </w:p>
    <w:p w:rsidR="00000000" w:rsidRDefault="00000000"/>
    <w:p w:rsidR="00000000" w:rsidRDefault="00000000">
      <w:pPr>
        <w:rPr>
          <w:i/>
          <w:iCs/>
        </w:rPr>
      </w:pPr>
      <w:r>
        <w:rPr>
          <w:i/>
          <w:iCs/>
        </w:rPr>
        <w:tab/>
        <w:t>Руководящий принцип 6</w:t>
      </w:r>
    </w:p>
    <w:p w:rsidR="00000000" w:rsidRDefault="00000000"/>
    <w:p w:rsidR="00000000" w:rsidRDefault="00000000">
      <w:r>
        <w:t>255.</w:t>
      </w:r>
      <w:r>
        <w:tab/>
        <w:t>Соответствующая информация по всем вопросам в рамках пункта 6 приведена в предыдущих докладах и в докладах Швеции Комитету ООН по правам ребенка.  Швеция проводит последовательную работу по усилению защиты прав уязвимых и оказавшихся в неблагоприятном положении детей.  Эта работа осуществляется в рамках системы социального обслуживания и частично в рамках правовой системы.  Изменения, произошедшие за период после представления последнего доклада, вкратце изложены ниже.</w:t>
      </w:r>
    </w:p>
    <w:p w:rsidR="00000000" w:rsidRDefault="00000000"/>
    <w:p w:rsidR="00000000" w:rsidRDefault="00000000">
      <w:pPr>
        <w:rPr>
          <w:b/>
          <w:bCs/>
          <w:i/>
          <w:iCs/>
        </w:rPr>
      </w:pPr>
      <w:r>
        <w:rPr>
          <w:b/>
          <w:bCs/>
          <w:i/>
          <w:iCs/>
        </w:rPr>
        <w:t>Дети-инвалиды</w:t>
      </w:r>
    </w:p>
    <w:p w:rsidR="00000000" w:rsidRDefault="00000000">
      <w:pPr>
        <w:rPr>
          <w:b/>
          <w:bCs/>
          <w:i/>
          <w:iCs/>
        </w:rPr>
      </w:pPr>
    </w:p>
    <w:p w:rsidR="00000000" w:rsidRDefault="00000000">
      <w:r>
        <w:t>256.</w:t>
      </w:r>
      <w:r>
        <w:tab/>
        <w:t>Проводимая Швецией политика в области инвалидности основывается на том, что дети-инвалиды прежде всего должны иметь право быть детьми.  Кроме того, дети-инвалиды имеют особые потребности, удовлетворение которых позволяет компенсировать их инвалидность.  Детям и подросткам, являющимся инвалидами, должны предоставляться необходимые возможности, с тем чтобы они могли расти в своем доме в кругу семьи.  Родители и дети/подростки могут получить такие виды поддержки, как предоставление отдыха и реабилитации для людей, ухаживающих за инвалидами, предоставление сопровождения, оказание персональной помощи и организация краткосрочных пребываний вне дома.  Эти виды помощи позволяют отдохнуть родителям и предоставляют детям-инвалидам возможность "освободиться" на время от родительской опеки.  Поддержка оказывается в рамках Закона о социальных службах или может предоставляться в соответствии с Законом об обеспечении поддержки и обслуживания для лиц с определенными функциональными недостатками, если ребенок подпадает под действие этого закона.  Дополнительная информация приведена в докладе Швеции Комитету по правам ребенка.</w:t>
      </w:r>
    </w:p>
    <w:p w:rsidR="00000000" w:rsidRDefault="00000000"/>
    <w:p w:rsidR="00000000" w:rsidRDefault="00000000">
      <w:r>
        <w:rPr>
          <w:b/>
          <w:bCs/>
          <w:i/>
          <w:iCs/>
        </w:rPr>
        <w:t>Социальные службы</w:t>
      </w:r>
    </w:p>
    <w:p w:rsidR="00000000" w:rsidRDefault="00000000"/>
    <w:p w:rsidR="00000000" w:rsidRDefault="00000000">
      <w:r>
        <w:t>257.</w:t>
      </w:r>
      <w:r>
        <w:tab/>
        <w:t>1 июля 2003 года были введены в действие новые положения, направленные на усиление социальной поддержки детям, входящим в группы риска.  Положения об обязанностях государственных учреждений и их сотрудников, деятельность которых связана с детьми, были расширены и распространяются теперь также на учреждения, относящиеся к Службе тюрем и пробации, и на отделы судебной психиатрии, относящиеся к Национальному совету судебной медицины.  В целях более широкого ознакомления с положениями об обязательном представлении отчетности в социальные службы и повышения осведомленности об этой обязанности среди всех лиц, кого это касается, положения об обязательном представлении отчетности были включены в законы, регулирующие работу учреждений и проведение деятельности, в рамках которых происходят регулярные контакты с детьми.</w:t>
      </w:r>
    </w:p>
    <w:p w:rsidR="00000000" w:rsidRDefault="00000000"/>
    <w:p w:rsidR="00000000" w:rsidRDefault="00000000">
      <w:r>
        <w:t>258.</w:t>
      </w:r>
      <w:r>
        <w:tab/>
        <w:t>В соответствующие законы было одновременно внесено положение об обязанности полиции, санитарно-медицинских служб, дошкольных и школьных учебных учреждений и центров ухода за детьми школьного возраста сотрудничать по просьбе социальных служб в оказании помощи детям и подросткам, находящимся в опасности или в уязвимом положении.</w:t>
      </w:r>
    </w:p>
    <w:p w:rsidR="00000000" w:rsidRDefault="00000000"/>
    <w:p w:rsidR="00000000" w:rsidRDefault="00000000">
      <w:r>
        <w:t>259.</w:t>
      </w:r>
      <w:r>
        <w:tab/>
        <w:t>1 июля 2003 года в закон "Забота о молодежи" (1990:52) были внесены поправки в целях более активной защиты интересов детей.  Так, в него было внесено положение, гласящее, что при принятии решений согласно этому закону следует в первую очередь руководствоваться защитой наилучших интересов молодежи, что следует выяснять мнение подростков и учитывать их пожелания, исходя из их возраста и степени зрелости.  Также было дано разъяснение, что как физическое, так и психическое насилие могут наносить ущерб здоровью и развитию ребенка.</w:t>
      </w:r>
    </w:p>
    <w:p w:rsidR="00000000" w:rsidRDefault="00000000"/>
    <w:p w:rsidR="00000000" w:rsidRDefault="00000000">
      <w:r>
        <w:t>260.</w:t>
      </w:r>
      <w:r>
        <w:tab/>
        <w:t>Правительство уполномочило парламентский комитет подготовить предложения о национальном плане действий по социальной заботе о детях и молодежи.  Комитет представил свое предложение правительству в октябре 2005 года (</w:t>
      </w:r>
      <w:r>
        <w:rPr>
          <w:lang w:val="en-US"/>
        </w:rPr>
        <w:t>SOU </w:t>
      </w:r>
      <w:r>
        <w:t>2005:81).  Правительство намерено внести законопроект на рассмотрение риксдага до конца 2006 года.</w:t>
      </w:r>
    </w:p>
    <w:p w:rsidR="00000000" w:rsidRDefault="00000000"/>
    <w:p w:rsidR="00000000" w:rsidRDefault="00000000">
      <w:pPr>
        <w:rPr>
          <w:b/>
          <w:bCs/>
          <w:i/>
          <w:iCs/>
        </w:rPr>
      </w:pPr>
      <w:r>
        <w:rPr>
          <w:b/>
          <w:bCs/>
          <w:i/>
          <w:iCs/>
        </w:rPr>
        <w:t>Правовая система</w:t>
      </w:r>
    </w:p>
    <w:p w:rsidR="00000000" w:rsidRDefault="00000000">
      <w:pPr>
        <w:rPr>
          <w:b/>
          <w:bCs/>
          <w:i/>
          <w:iCs/>
        </w:rPr>
      </w:pPr>
    </w:p>
    <w:p w:rsidR="00000000" w:rsidRDefault="00000000">
      <w:pPr>
        <w:rPr>
          <w:b/>
          <w:bCs/>
        </w:rPr>
      </w:pPr>
      <w:r>
        <w:rPr>
          <w:b/>
          <w:bCs/>
        </w:rPr>
        <w:tab/>
        <w:t>Жестокое обращение с ребенком</w:t>
      </w:r>
    </w:p>
    <w:p w:rsidR="00000000" w:rsidRDefault="00000000">
      <w:pPr>
        <w:rPr>
          <w:i/>
          <w:iCs/>
        </w:rPr>
      </w:pPr>
    </w:p>
    <w:p w:rsidR="00000000" w:rsidRDefault="00000000">
      <w:r>
        <w:t>261.</w:t>
      </w:r>
      <w:r>
        <w:tab/>
        <w:t xml:space="preserve">1 июля 2003 года были утверждены особые основания для ужесточения наказания за уголовные преступления.  Согласно им при вынесении решения следует считать отягчающим то обстоятельство, что преступление способно нанести ущерб чувству безопасности ребенка и его доверию к близкому человеку.  </w:t>
      </w:r>
    </w:p>
    <w:p w:rsidR="00000000" w:rsidRDefault="00000000"/>
    <w:p w:rsidR="00000000" w:rsidRDefault="00000000">
      <w:r>
        <w:t>262.</w:t>
      </w:r>
      <w:r>
        <w:tab/>
        <w:t>Уже вступил в силу новый закон о грубом нарушении личной неприкосновенности.  В 2006 году правительство планирует приступить к пересмотру этого закона.  В настоящее время министерство юстиции рассматривает детальные направления такого пересмотра.</w:t>
      </w:r>
    </w:p>
    <w:p w:rsidR="00000000" w:rsidRDefault="00000000"/>
    <w:p w:rsidR="00000000" w:rsidRDefault="00000000">
      <w:pPr>
        <w:rPr>
          <w:b/>
          <w:bCs/>
        </w:rPr>
      </w:pPr>
      <w:r>
        <w:rPr>
          <w:b/>
          <w:bCs/>
        </w:rPr>
        <w:tab/>
        <w:t>Реформа законодательства о половых преступлениях</w:t>
      </w:r>
    </w:p>
    <w:p w:rsidR="00000000" w:rsidRDefault="00000000">
      <w:pPr>
        <w:rPr>
          <w:i/>
          <w:iCs/>
        </w:rPr>
      </w:pPr>
    </w:p>
    <w:p w:rsidR="00000000" w:rsidRDefault="00000000">
      <w:r>
        <w:t>263.</w:t>
      </w:r>
      <w:r>
        <w:tab/>
        <w:t>О содержании нового Закона о половых преступлениях, который вступил в силу 1 апреля 2005 года говорится выше в разделе относительно статьи 3.  Особого упоминания заслуживают следующие аспекты.</w:t>
      </w:r>
    </w:p>
    <w:p w:rsidR="00000000" w:rsidRDefault="00000000"/>
    <w:p w:rsidR="00000000" w:rsidRDefault="00000000">
      <w:r>
        <w:t>264.</w:t>
      </w:r>
      <w:r>
        <w:tab/>
        <w:t xml:space="preserve">Одной из целей реформы было добиться дальнейшего усиления защиты несовершеннолетних от сексуальной эксплуатации.  С тем, чтобы подчеркнуть тяжесть половых преступлений против несовершеннолетних в закон были внесены специальные положения об уголовном наказании, в том числе в связи с изнасилованием и растлением ребенка.  Сфера охвата таких преступлений была расширена путем отмены критерия принуждения.  </w:t>
      </w:r>
    </w:p>
    <w:p w:rsidR="00000000" w:rsidRDefault="00000000"/>
    <w:p w:rsidR="00000000" w:rsidRDefault="00000000">
      <w:r>
        <w:t>265.</w:t>
      </w:r>
      <w:r>
        <w:tab/>
        <w:t>Были усилены положения, запрещающие сексуальную эксплуатацию детей за материальное вознаграждение, в том числе путем расширения номенклатуры таких преступлений через включение в перечень преступных деяний оказание сексуальных услуг детьми за вознаграждение в обстоятельствах, которые не могут быть четко классифицированы как проституция.  В этот закон было добавлено специальное положение об уголовном наказании за эксплуатацию несовершеннолетних в качестве моделей для порнографической продукции, благодаря чему удалось добиться дальнейшего усиления защиты несовершеннолетних от такого рода эксплуатации.  Обычное наказание за подобное преступление - штраф или лишение свободы на срок до двух лет.  Более тяжкие преступления влекут за собой наказание в виде лишения свободы на срок от шести месяцев до шести лет.</w:t>
      </w:r>
    </w:p>
    <w:p w:rsidR="00000000" w:rsidRDefault="00000000"/>
    <w:p w:rsidR="00000000" w:rsidRDefault="00000000">
      <w:r>
        <w:t>266.</w:t>
      </w:r>
      <w:r>
        <w:tab/>
        <w:t>В целях дальнейшего расширения возможностей детей добиваться возмещения ущерба срок исковой давности по определенного рода половым преступлениям против несовершеннолетних был увеличен, и в настоящее время его отсчет начинается лишь с даты, когда ребенок достигает или достиг бы возраста 18 лет.</w:t>
      </w:r>
    </w:p>
    <w:p w:rsidR="00000000" w:rsidRDefault="00000000"/>
    <w:p w:rsidR="00000000" w:rsidRDefault="00000000">
      <w:pPr>
        <w:rPr>
          <w:b/>
          <w:bCs/>
        </w:rPr>
      </w:pPr>
      <w:r>
        <w:rPr>
          <w:i/>
          <w:iCs/>
        </w:rPr>
        <w:tab/>
      </w:r>
      <w:r>
        <w:rPr>
          <w:b/>
          <w:bCs/>
        </w:rPr>
        <w:t>Торговля людьми</w:t>
      </w:r>
    </w:p>
    <w:p w:rsidR="00000000" w:rsidRDefault="00000000"/>
    <w:p w:rsidR="00000000" w:rsidRDefault="00000000">
      <w:r>
        <w:t>267.</w:t>
      </w:r>
      <w:r>
        <w:tab/>
        <w:t>Как уже отмечалось выше в материале по статье 3, 1 июля 2002 года были приняты положения, запрещающие торговлю людьми в целях сексуальной эксплуатации.  Отчет об этом законодательстве был также дан в третьем докладе Швеции Комитету Организации Объединенных Наций по правам ребенка за 2002 год (пункты 9.3.3-4).</w:t>
      </w:r>
    </w:p>
    <w:p w:rsidR="00000000" w:rsidRDefault="00000000"/>
    <w:p w:rsidR="00000000" w:rsidRDefault="00000000">
      <w:r>
        <w:t>268.</w:t>
      </w:r>
      <w:r>
        <w:tab/>
        <w:t>Кроме того, правительство поручило одному из своих комитетов подготовить обзор о картине преступности по категории торговли людьми, дать оценку масштабам таких преступлений, проанализировать поправки к законодательству, которое может потребовать от Швеции присоединение к Конвенции Советом Европы о борьбе с торговлей людьми, а также проанализировать, обеспечивает ли уголовное законодательство Швеции достаточную защиту от вступления в брак в несовершеннолетнем возрасте или вступления в брак по принуждению.</w:t>
      </w:r>
    </w:p>
    <w:p w:rsidR="00000000" w:rsidRDefault="00000000"/>
    <w:p w:rsidR="00000000" w:rsidRDefault="00000000">
      <w:pPr>
        <w:rPr>
          <w:b/>
          <w:bCs/>
        </w:rPr>
      </w:pPr>
      <w:r>
        <w:rPr>
          <w:i/>
          <w:iCs/>
        </w:rPr>
        <w:tab/>
      </w:r>
      <w:r>
        <w:rPr>
          <w:b/>
          <w:bCs/>
        </w:rPr>
        <w:t>Детская порнография</w:t>
      </w:r>
    </w:p>
    <w:p w:rsidR="00000000" w:rsidRDefault="00000000"/>
    <w:p w:rsidR="00000000" w:rsidRDefault="00000000">
      <w:r>
        <w:t>269.</w:t>
      </w:r>
      <w:r>
        <w:tab/>
        <w:t>Новый Закон о половых преступлениях, вступивший в силу 1 апреля 2005 года, предусматривает усиление максимального наказания за тяжкие преступления по категории детская порнография от четырех до шести лет тюремного заключения.  В августе 2005 года правительство постановило провести обзор положений, касающихся отображения несовершеннолетних в порнографических материалах, и соответствующего законодательства.  Цель обзора состояла в том, чтобы содействовать более эффективной борьбе с детской порнографией и усилить правовой статус детей в связи с преступлениями по категории детская порнография, в частности по следующим аспектам.  Обзор предусматривает рассмотрение целесообразности признания окончательного возрастного лимита в 18 лет для определения понятия "ребенок".  Правительству также предстоит рассмотреть вопрос о том, следует ли такого рода преступления ограничить уголовно наказуемыми формами преступлений или же уголовное преследование следует распространить и на другие формы участия в детской порнографии.  Необходимость поправок будет рассматриваться на основе сложившейся практики в отношении классификации преступлений и наказаний за преступления по категории детской порнографии.  Ожидается также внесение ясности в вопрос, можно ли детей, фигурирующих в материалах порнографического содержания, считать пострадавшей стороной в связи с преступлениями по категории детской порнографии и тем самым наделить их правом на получение финансовой компенсации.</w:t>
      </w:r>
    </w:p>
    <w:p w:rsidR="00000000" w:rsidRDefault="00000000"/>
    <w:p w:rsidR="00000000" w:rsidRDefault="00000000">
      <w:pPr>
        <w:rPr>
          <w:b/>
          <w:bCs/>
        </w:rPr>
      </w:pPr>
      <w:r>
        <w:rPr>
          <w:i/>
          <w:iCs/>
        </w:rPr>
        <w:tab/>
      </w:r>
      <w:r>
        <w:rPr>
          <w:b/>
          <w:bCs/>
        </w:rPr>
        <w:t>Вовлечение детей в сексуальную эксплуатацию</w:t>
      </w:r>
    </w:p>
    <w:p w:rsidR="00000000" w:rsidRDefault="00000000"/>
    <w:p w:rsidR="00000000" w:rsidRDefault="00000000">
      <w:r>
        <w:t>270.</w:t>
      </w:r>
      <w:r>
        <w:tab/>
        <w:t>Технический прогресс, среди прочего, влечет за собой рост опасностей, подстерегающих детей и молодежь.  Взрослые и иные лица, достигшие возраста уголовной дееспособности, ищут через Интернет контактов с детьми в сексуальных целях (вовлечение в сексуальную эксплуатацию).  В этой связи правительство недавно приняло решение поручить Национальному совету по профилактике преступности (НСПП) и Генеральному прокурору проработать этот вопрос.  НСПП было поручено подготовить научное обследование по вопросам характера и сферы охвата такого явления в детальной форме и выявить как исторически сложившиеся, так и нынешние меры борьбы с этим явлением.  НСПП также рассмотрит другие меры по предупреждению вовлечения детей.  По итогам обследования НСПП и проведенной дискуссии Генеральный прокурор проанализирует применимость к этому явлению уголовного законодательства, а также инструментов, имеющихся в распоряжении правоохранительных ведомств для борьбы с вовлечением детей в противоправную деятельность.  Генеральному прокурору предстоит также рассмотреть вопрос о том, достаточно ли хорошо действующее законодательство защищает детей от вовлечения в сексуальную эксплуатацию и, в случае отрицательного ответа на этот вопрос, предложить необходимые поправки к законодательству и подготовит проект положений.</w:t>
      </w:r>
    </w:p>
    <w:p w:rsidR="00000000" w:rsidRDefault="00000000"/>
    <w:p w:rsidR="00000000" w:rsidRDefault="00000000">
      <w:r>
        <w:t>271.</w:t>
      </w:r>
      <w:r>
        <w:tab/>
        <w:t>Соответствующая информация содержится в первом и втором докладах (пункты 585-592) относительно применения Конвенции Организации Объединенных Наций по правам ребенка.</w:t>
      </w:r>
    </w:p>
    <w:p w:rsidR="00000000" w:rsidRDefault="00000000"/>
    <w:p w:rsidR="00000000" w:rsidRDefault="00000000">
      <w:r>
        <w:t>272.</w:t>
      </w:r>
      <w:r>
        <w:tab/>
        <w:t>Имеются статистические данные по детям в возрасте 16-19 лет.  В прошлом году трудовой деятельностью занимались около 22 000 детей этой возрастной группы.  Подавляющее большинство работали во время летних школьных каникул.  Статистические сведения о детях в возрасте моложе 16 лет отсутствуют.  Также следует указать, что, хотя дети в возрасте 13-16 лет и занимаются оплачиваемым трудом, они это делают исключительно в период школьных каникул, поскольку посещение школы является обязательным для детей этой возрастной группы.</w:t>
      </w:r>
    </w:p>
    <w:p w:rsidR="00000000" w:rsidRDefault="00000000"/>
    <w:p w:rsidR="00000000" w:rsidRDefault="00000000">
      <w:r>
        <w:t>273.</w:t>
      </w:r>
      <w:r>
        <w:tab/>
        <w:t>По данному вопросу статистические данные отсутствуют.</w:t>
      </w:r>
    </w:p>
    <w:p w:rsidR="00000000" w:rsidRDefault="00000000"/>
    <w:p w:rsidR="00000000" w:rsidRDefault="00000000">
      <w:r>
        <w:t>274.</w:t>
      </w:r>
      <w:r>
        <w:tab/>
        <w:t>Несовершеннолетние лица, претендующие на получение убежища, имеют право на образование, обслуживание в дошкольных и школьных учреждениях наравне с детьми, постоянно проживающими в Швеции.</w:t>
      </w:r>
    </w:p>
    <w:p w:rsidR="00000000" w:rsidRDefault="00000000"/>
    <w:p w:rsidR="00000000" w:rsidRDefault="00000000">
      <w:r>
        <w:t>275.</w:t>
      </w:r>
      <w:r>
        <w:tab/>
        <w:t>В заключительных замечаниях к третьему докладу Швеции в 2002 году по статье 38 Комитет Организации Объединенных Наций по правам ребенка рекомендовал Швеции гарантировать право на образование всем детям, в том числе тем, которые не обладают постоянным видом на жительство, и "детям-нелегалам", т.е. детям и подросткам, находящимся на нелегальном положении усилиями тех, кто стремится помешать исполнению решений о депортации или высылке из страны.</w:t>
      </w:r>
    </w:p>
    <w:p w:rsidR="00000000" w:rsidRDefault="00000000"/>
    <w:p w:rsidR="00000000" w:rsidRDefault="00000000">
      <w:r>
        <w:t>276.</w:t>
      </w:r>
      <w:r>
        <w:tab/>
        <w:t>Согласно действующему законодательству муниципалитеты Швеции могут принимать детей, чьи просьбы об убежище были отклонены и которые находятся на нелегальном положении во избежание исполнения решений о депортации или высылки из страны, на учебу в школы с обязательным или средним образованием, однако они не обязаны гарантировать таким детям получение образования.  В начале 2006 года правительство учредило комитет, которому было поручено изучить условия регулирования права "детей-нелегалов" на образование и на посещение дошкольных и школьных детских учреждений.  До опубликования выводов комитета муниципалитетам были выделены дополнительные ассигнования для принятия таких детей в школы.</w:t>
      </w:r>
    </w:p>
    <w:p w:rsidR="00000000" w:rsidRDefault="00000000"/>
    <w:p w:rsidR="00000000" w:rsidRDefault="00000000">
      <w:pPr>
        <w:rPr>
          <w:b/>
          <w:bCs/>
          <w:i/>
          <w:iCs/>
        </w:rPr>
      </w:pPr>
      <w:r>
        <w:rPr>
          <w:b/>
          <w:bCs/>
          <w:i/>
          <w:iCs/>
        </w:rPr>
        <w:t>Повышение информированности государственных служащих и судейского</w:t>
      </w:r>
    </w:p>
    <w:p w:rsidR="00000000" w:rsidRDefault="00000000">
      <w:r>
        <w:rPr>
          <w:b/>
          <w:bCs/>
          <w:i/>
          <w:iCs/>
        </w:rPr>
        <w:t>корпуса в вопросах прав человека</w:t>
      </w:r>
    </w:p>
    <w:p w:rsidR="00000000" w:rsidRDefault="00000000"/>
    <w:p w:rsidR="00000000" w:rsidRDefault="00000000">
      <w:r>
        <w:t xml:space="preserve">(См. пункт 35, </w:t>
      </w:r>
      <w:r>
        <w:rPr>
          <w:i/>
          <w:iCs/>
        </w:rPr>
        <w:t>Заключительные замечания</w:t>
      </w:r>
      <w:r>
        <w:t>)</w:t>
      </w:r>
    </w:p>
    <w:p w:rsidR="00000000" w:rsidRDefault="00000000"/>
    <w:p w:rsidR="00000000" w:rsidRDefault="00000000">
      <w:pPr>
        <w:rPr>
          <w:b/>
          <w:bCs/>
        </w:rPr>
      </w:pPr>
      <w:r>
        <w:rPr>
          <w:i/>
          <w:iCs/>
        </w:rPr>
        <w:tab/>
      </w:r>
      <w:r>
        <w:rPr>
          <w:b/>
          <w:bCs/>
        </w:rPr>
        <w:t>Политика в вопросах детей обеспечивает реализацию прав детей</w:t>
      </w:r>
    </w:p>
    <w:p w:rsidR="00000000" w:rsidRDefault="00000000"/>
    <w:p w:rsidR="00000000" w:rsidRDefault="00000000">
      <w:r>
        <w:t>277.</w:t>
      </w:r>
      <w:r>
        <w:tab/>
        <w:t>Что касается прав детей, то усилия Швеции в направлении осуществления Международного пакта об экономических, социальных и культурных правах органически связаны с усилиями по осуществлению прав ребенка согласно Конвенции Организации Объединенных Наций о правах ребенка (</w:t>
      </w:r>
      <w:proofErr w:type="spellStart"/>
      <w:r>
        <w:t>КПР</w:t>
      </w:r>
      <w:proofErr w:type="spellEnd"/>
      <w:r>
        <w:t xml:space="preserve"> ООН).  Эти усилия предпринимаются в рамках национальной стратегии по выполнению </w:t>
      </w:r>
      <w:proofErr w:type="spellStart"/>
      <w:r>
        <w:t>КПР</w:t>
      </w:r>
      <w:proofErr w:type="spellEnd"/>
      <w:r>
        <w:t> ООН согласно законопроекту правительства, внесенному в риксдаг в 1998 году и единогласно принятому риксдагом в марте 1999</w:t>
      </w:r>
      <w:r>
        <w:rPr>
          <w:lang w:val="en-US"/>
        </w:rPr>
        <w:t> </w:t>
      </w:r>
      <w:r>
        <w:t>года.</w:t>
      </w:r>
    </w:p>
    <w:p w:rsidR="00000000" w:rsidRDefault="00000000"/>
    <w:p w:rsidR="00000000" w:rsidRDefault="00000000">
      <w:r>
        <w:t>278.</w:t>
      </w:r>
      <w:r>
        <w:tab/>
        <w:t>Принимаемые в рамках общей политики социального обеспечения инициативы создают ту базу, которая позволяет добиваться реализации прав ребенка.  Такие инициативы, направленные на гарантирование девочкам и мальчикам равных условий счастливого детства, включают доступ к высококачественным программам дошкольного образования, школам и учреждениям по уходу за детьми школьного возраста, учреждениям охраны материнства и детства на равноправной гендерной основе.  На родителях лежит основная коллективная ответственность за воспитание и развитие детей.  Задача государства </w:t>
      </w:r>
      <w:r>
        <w:noBreakHyphen/>
        <w:t xml:space="preserve"> оказывать родителям поддержку и дополнять их усилия, что гарантирует каждому ребенку благополучное и безопасное детство.  Это предусматривает выполнение различных программ, благодаря которым оба родителя участвуют в обеспечении счастливого детства ребенка и несут за него ответственность.</w:t>
      </w:r>
    </w:p>
    <w:p w:rsidR="00000000" w:rsidRDefault="00000000"/>
    <w:p w:rsidR="00000000" w:rsidRDefault="00000000">
      <w:r>
        <w:t>279.</w:t>
      </w:r>
      <w:r>
        <w:tab/>
        <w:t>Помимо общей политики социального обеспечения, принимаются отдельные инициативы в таких областях, как социальное планирование и организация работы транспорта, политика в области обеспечения продовольствием и потребления, природоохранная политика, политика здравоохранения, культурная политика и политика в области СМИ, которые имеют большое значение для улучшения условий жизни детей и молодежи.  В силу межотраслевого характера политики защиты интересов детей инициативы в интересах детей и молодежи реализуются по широкому кругу программных направлений.  Причем все инициативы направлены на то, чтобы содействовать достижению целей политики в области детей.  Для придания стройного и транспарентного характера инициативам, принимаемым в Швеции для реализации прав ребенка и улучшения условий жизни детей и молодежи по различным аспектам, был определен круг из шести целевых направлений такой работы:</w:t>
      </w:r>
    </w:p>
    <w:p w:rsidR="00000000" w:rsidRDefault="00000000"/>
    <w:p w:rsidR="00000000" w:rsidRDefault="00000000">
      <w:pPr>
        <w:numPr>
          <w:ilvl w:val="0"/>
          <w:numId w:val="8"/>
        </w:numPr>
        <w:tabs>
          <w:tab w:val="clear" w:pos="567"/>
          <w:tab w:val="num" w:pos="1134"/>
        </w:tabs>
        <w:spacing w:line="360" w:lineRule="auto"/>
        <w:ind w:left="1134"/>
      </w:pPr>
      <w:r>
        <w:t>право ребенка на хорошие условия жизни;</w:t>
      </w:r>
    </w:p>
    <w:p w:rsidR="00000000" w:rsidRDefault="00000000">
      <w:pPr>
        <w:numPr>
          <w:ilvl w:val="0"/>
          <w:numId w:val="8"/>
        </w:numPr>
        <w:tabs>
          <w:tab w:val="clear" w:pos="567"/>
          <w:tab w:val="num" w:pos="1134"/>
        </w:tabs>
        <w:spacing w:line="360" w:lineRule="auto"/>
        <w:ind w:left="1134"/>
      </w:pPr>
      <w:r>
        <w:t>право ребенка на безопасное детство;</w:t>
      </w:r>
    </w:p>
    <w:p w:rsidR="00000000" w:rsidRDefault="00000000">
      <w:pPr>
        <w:numPr>
          <w:ilvl w:val="0"/>
          <w:numId w:val="8"/>
        </w:numPr>
        <w:tabs>
          <w:tab w:val="clear" w:pos="567"/>
          <w:tab w:val="num" w:pos="1134"/>
        </w:tabs>
        <w:spacing w:line="360" w:lineRule="auto"/>
        <w:ind w:left="1134"/>
      </w:pPr>
      <w:r>
        <w:t>право ребенка на здоровье;</w:t>
      </w:r>
    </w:p>
    <w:p w:rsidR="00000000" w:rsidRDefault="00000000">
      <w:pPr>
        <w:numPr>
          <w:ilvl w:val="0"/>
          <w:numId w:val="8"/>
        </w:numPr>
        <w:tabs>
          <w:tab w:val="clear" w:pos="567"/>
          <w:tab w:val="num" w:pos="1134"/>
        </w:tabs>
        <w:spacing w:line="360" w:lineRule="auto"/>
        <w:ind w:left="1134"/>
      </w:pPr>
      <w:r>
        <w:t>право ребенка на образование;</w:t>
      </w:r>
    </w:p>
    <w:p w:rsidR="00000000" w:rsidRDefault="00000000">
      <w:pPr>
        <w:numPr>
          <w:ilvl w:val="0"/>
          <w:numId w:val="8"/>
        </w:numPr>
        <w:tabs>
          <w:tab w:val="clear" w:pos="567"/>
          <w:tab w:val="num" w:pos="1134"/>
        </w:tabs>
        <w:spacing w:line="360" w:lineRule="auto"/>
        <w:ind w:left="1134"/>
      </w:pPr>
      <w:r>
        <w:t>право ребенка на участие и влияние;</w:t>
      </w:r>
    </w:p>
    <w:p w:rsidR="00000000" w:rsidRDefault="00000000">
      <w:pPr>
        <w:numPr>
          <w:ilvl w:val="0"/>
          <w:numId w:val="8"/>
        </w:numPr>
        <w:tabs>
          <w:tab w:val="clear" w:pos="567"/>
          <w:tab w:val="num" w:pos="1134"/>
        </w:tabs>
        <w:ind w:left="1134"/>
      </w:pPr>
      <w:r>
        <w:t>право ребенка на защиту и поддержку со стороны общества.</w:t>
      </w:r>
    </w:p>
    <w:p w:rsidR="00000000" w:rsidRDefault="00000000">
      <w:pPr>
        <w:tabs>
          <w:tab w:val="clear" w:pos="567"/>
        </w:tabs>
      </w:pPr>
    </w:p>
    <w:p w:rsidR="00000000" w:rsidRDefault="00000000">
      <w:pPr>
        <w:keepNext/>
        <w:rPr>
          <w:b/>
          <w:bCs/>
        </w:rPr>
      </w:pPr>
      <w:r>
        <w:rPr>
          <w:b/>
          <w:bCs/>
        </w:rPr>
        <w:tab/>
        <w:t xml:space="preserve">Степень владения правительственными ведомствами </w:t>
      </w:r>
    </w:p>
    <w:p w:rsidR="00000000" w:rsidRDefault="00000000">
      <w:pPr>
        <w:keepNext/>
        <w:rPr>
          <w:b/>
          <w:bCs/>
        </w:rPr>
      </w:pPr>
      <w:r>
        <w:rPr>
          <w:b/>
          <w:bCs/>
        </w:rPr>
        <w:tab/>
        <w:t>вопросами прав ребенка</w:t>
      </w:r>
    </w:p>
    <w:p w:rsidR="00000000" w:rsidRDefault="00000000">
      <w:pPr>
        <w:keepNext/>
        <w:rPr>
          <w:i/>
          <w:iCs/>
        </w:rPr>
      </w:pPr>
    </w:p>
    <w:p w:rsidR="00000000" w:rsidRDefault="00000000">
      <w:r>
        <w:t>280.</w:t>
      </w:r>
      <w:r>
        <w:tab/>
        <w:t xml:space="preserve">Правительственным ведомствам вменено в обязанность осуществлять координирующую функцию, которая предусматривает координацию, мониторинг и принятие мер по включению проблематики детей во все решения правительства, которые затрагивают права и интересы ребенка и молодежи.  Во всех министерствах назначены координаторы по вопросам КПР ООН в качестве составной части работы по совершенствованию и развитию усилий в целях реализации </w:t>
      </w:r>
      <w:proofErr w:type="spellStart"/>
      <w:r>
        <w:t>КПР</w:t>
      </w:r>
      <w:proofErr w:type="spellEnd"/>
      <w:r>
        <w:t> ООН в рамках правительственных ведомств.</w:t>
      </w:r>
    </w:p>
    <w:p w:rsidR="00000000" w:rsidRDefault="00000000"/>
    <w:p w:rsidR="00000000" w:rsidRDefault="00000000">
      <w:pPr>
        <w:keepNext/>
        <w:rPr>
          <w:b/>
          <w:bCs/>
        </w:rPr>
      </w:pPr>
      <w:r>
        <w:rPr>
          <w:b/>
          <w:bCs/>
        </w:rPr>
        <w:tab/>
        <w:t xml:space="preserve">Мандат </w:t>
      </w:r>
      <w:proofErr w:type="spellStart"/>
      <w:r>
        <w:rPr>
          <w:b/>
          <w:bCs/>
        </w:rPr>
        <w:t>омбудсмена</w:t>
      </w:r>
      <w:proofErr w:type="spellEnd"/>
      <w:r>
        <w:rPr>
          <w:b/>
          <w:bCs/>
        </w:rPr>
        <w:t xml:space="preserve"> по вопросам детей в деле повышения осведомленности </w:t>
      </w:r>
    </w:p>
    <w:p w:rsidR="00000000" w:rsidRDefault="00000000">
      <w:pPr>
        <w:keepNext/>
        <w:rPr>
          <w:b/>
          <w:bCs/>
        </w:rPr>
      </w:pPr>
      <w:r>
        <w:rPr>
          <w:i/>
          <w:iCs/>
        </w:rPr>
        <w:tab/>
      </w:r>
      <w:r>
        <w:rPr>
          <w:b/>
          <w:bCs/>
        </w:rPr>
        <w:t>о правах ребенка</w:t>
      </w:r>
    </w:p>
    <w:p w:rsidR="00000000" w:rsidRDefault="00000000">
      <w:pPr>
        <w:keepNext/>
        <w:rPr>
          <w:i/>
          <w:iCs/>
        </w:rPr>
      </w:pPr>
    </w:p>
    <w:p w:rsidR="00000000" w:rsidRDefault="00000000">
      <w:r>
        <w:t>281.</w:t>
      </w:r>
      <w:r>
        <w:tab/>
        <w:t xml:space="preserve">Роль омбудсмена заключается в том, чтобы формировать общественное мнение о правах ребенка и участвовать в общественной дискуссии.  Омбудсмен по вопросам детей активно участвует в стимулировании усилий по выполнению КПР ООН с участием муниципалитетов, </w:t>
      </w:r>
      <w:proofErr w:type="spellStart"/>
      <w:r>
        <w:t>ленских</w:t>
      </w:r>
      <w:proofErr w:type="spellEnd"/>
      <w:r>
        <w:t xml:space="preserve"> советов и правительственных ведомств, и в ходе этих усилий он обеспечивает методологическую поддержку, демонстрирует положительный опыт, стимулирует передачу знаний и постоянно отслеживает, анализирует и оценивает ход выполнения </w:t>
      </w:r>
      <w:proofErr w:type="spellStart"/>
      <w:r>
        <w:t>КПР</w:t>
      </w:r>
      <w:proofErr w:type="spellEnd"/>
      <w:r>
        <w:t> ООН.</w:t>
      </w:r>
    </w:p>
    <w:p w:rsidR="00000000" w:rsidRDefault="00000000"/>
    <w:p w:rsidR="00000000" w:rsidRDefault="00000000">
      <w:pPr>
        <w:rPr>
          <w:b/>
          <w:bCs/>
        </w:rPr>
      </w:pPr>
      <w:r>
        <w:rPr>
          <w:i/>
          <w:iCs/>
        </w:rPr>
        <w:tab/>
      </w:r>
      <w:r>
        <w:rPr>
          <w:b/>
          <w:bCs/>
        </w:rPr>
        <w:t>Центры экспертизы по вопросам детей</w:t>
      </w:r>
    </w:p>
    <w:p w:rsidR="00000000" w:rsidRDefault="00000000">
      <w:pPr>
        <w:rPr>
          <w:i/>
          <w:iCs/>
        </w:rPr>
      </w:pPr>
    </w:p>
    <w:p w:rsidR="00000000" w:rsidRDefault="00000000">
      <w:r>
        <w:t>282.</w:t>
      </w:r>
      <w:r>
        <w:tab/>
        <w:t>3 февраля 2005 года правительство поручило Региональному управлению государственной прокуратуры вместе с Национальным управлением полиции, Национальным управлением здравоохранения и социального обеспечения и Национальным управлением судебной медицины проработать вопрос о создании центров экспертизы по вопросам детей.  Под "центрами экспертизы по вопросам детей" понимаются механизмы, в рамках которых различные ведомства объединяют свои усилия для проведения расследований по делам детей, которые, как предполагается, могли стать жертвами серьезных преступлений, таких, как половое и физическое насилие.</w:t>
      </w:r>
    </w:p>
    <w:p w:rsidR="00000000" w:rsidRDefault="00000000"/>
    <w:p w:rsidR="00000000" w:rsidRDefault="00000000">
      <w:r>
        <w:t>283.</w:t>
      </w:r>
      <w:r>
        <w:tab/>
        <w:t>В этой связи главная цель состоит в том, чтобы расследования, проводимые в связи с такими предполагаемыми преступлениями проводились в щадящем для детей режиме.  Детей следует избавить от необходимости посещать различные ведомства и многократно подвергаться дознанию, проводимому различными лицами и в различных целях.  Еще одна заключается в том, чтобы повысить качество расследований.</w:t>
      </w:r>
    </w:p>
    <w:p w:rsidR="00000000" w:rsidRDefault="00000000"/>
    <w:p w:rsidR="00000000" w:rsidRDefault="00000000">
      <w:r>
        <w:t>284.</w:t>
      </w:r>
      <w:r>
        <w:tab/>
        <w:t>Пилотные проекты в рамках центра экспертизы по вопросам детей выполнялись на протяжении всего 2006 года в Стокгольме, Гётеборге, Мальмё, Линчёпинге, Умео и Сундевалле.  Промежуточный экспертный доклад будет опубликован 15 июня 2006 года, а заключительный - 1 марта 2008 года.</w:t>
      </w:r>
    </w:p>
    <w:p w:rsidR="00000000" w:rsidRDefault="00000000"/>
    <w:p w:rsidR="00000000" w:rsidRDefault="00000000">
      <w:r>
        <w:t>285.</w:t>
      </w:r>
      <w:r>
        <w:tab/>
        <w:t xml:space="preserve">Факультет социологии права в Лундском университете проведет оценку программы под руководством профессора Карстена </w:t>
      </w:r>
      <w:proofErr w:type="spellStart"/>
      <w:r>
        <w:t>Острёма</w:t>
      </w:r>
      <w:proofErr w:type="spellEnd"/>
      <w:r>
        <w:t xml:space="preserve">.  </w:t>
      </w:r>
    </w:p>
    <w:p w:rsidR="00000000" w:rsidRDefault="00000000"/>
    <w:p w:rsidR="00000000" w:rsidRDefault="00000000">
      <w:pPr>
        <w:rPr>
          <w:b/>
          <w:bCs/>
        </w:rPr>
      </w:pPr>
      <w:r>
        <w:rPr>
          <w:b/>
          <w:bCs/>
        </w:rPr>
        <w:tab/>
        <w:t>Центр по правам ребенка</w:t>
      </w:r>
    </w:p>
    <w:p w:rsidR="00000000" w:rsidRDefault="00000000">
      <w:pPr>
        <w:rPr>
          <w:i/>
          <w:iCs/>
        </w:rPr>
      </w:pPr>
    </w:p>
    <w:p w:rsidR="00000000" w:rsidRDefault="00000000">
      <w:r>
        <w:t>286.</w:t>
      </w:r>
      <w:r>
        <w:tab/>
        <w:t xml:space="preserve">В марте 2006 года правительство поручило Университету Оребро выйти с конкретным предложением о создании и деятельности центра по развитию методики и навыков, а также передаче этих знаний в интересах укрепления прав ребенка.  Такой центр планируется открыть осенью 2006 года.  </w:t>
      </w:r>
    </w:p>
    <w:p w:rsidR="00000000" w:rsidRDefault="00000000"/>
    <w:p w:rsidR="00000000" w:rsidRDefault="00000000">
      <w:pPr>
        <w:rPr>
          <w:b/>
          <w:bCs/>
        </w:rPr>
      </w:pPr>
      <w:r>
        <w:rPr>
          <w:i/>
          <w:iCs/>
        </w:rPr>
        <w:tab/>
      </w:r>
      <w:r>
        <w:rPr>
          <w:b/>
          <w:bCs/>
        </w:rPr>
        <w:t>Руководство по выполнению КПР ООН</w:t>
      </w:r>
    </w:p>
    <w:p w:rsidR="00000000" w:rsidRDefault="00000000">
      <w:pPr>
        <w:rPr>
          <w:i/>
          <w:iCs/>
        </w:rPr>
      </w:pPr>
    </w:p>
    <w:p w:rsidR="00000000" w:rsidRDefault="00000000">
      <w:r>
        <w:t>287.</w:t>
      </w:r>
      <w:r>
        <w:tab/>
        <w:t xml:space="preserve">В декабре 2005 года правительство приняло решение ассигновать 1 млн. шведских крон, с тем чтобы ЮНИСЕФ-Швеция мог оплатить выпуск руководства по выполнению КПР ООН на шведском языке.  </w:t>
      </w:r>
    </w:p>
    <w:p w:rsidR="00000000" w:rsidRDefault="00000000"/>
    <w:p w:rsidR="00000000" w:rsidRDefault="00000000">
      <w:pPr>
        <w:keepNext/>
        <w:rPr>
          <w:b/>
          <w:bCs/>
        </w:rPr>
      </w:pPr>
      <w:r>
        <w:rPr>
          <w:i/>
          <w:iCs/>
        </w:rPr>
        <w:tab/>
      </w:r>
      <w:r>
        <w:rPr>
          <w:b/>
          <w:bCs/>
        </w:rPr>
        <w:t>Осведомленность органов местного самоуправления и других ведомств</w:t>
      </w:r>
    </w:p>
    <w:p w:rsidR="00000000" w:rsidRDefault="00000000">
      <w:pPr>
        <w:keepNext/>
        <w:rPr>
          <w:i/>
          <w:iCs/>
        </w:rPr>
      </w:pPr>
      <w:r>
        <w:rPr>
          <w:b/>
          <w:bCs/>
        </w:rPr>
        <w:tab/>
        <w:t>о правах ребенка</w:t>
      </w:r>
    </w:p>
    <w:p w:rsidR="00000000" w:rsidRDefault="00000000">
      <w:pPr>
        <w:keepNext/>
        <w:rPr>
          <w:i/>
          <w:iCs/>
        </w:rPr>
      </w:pPr>
    </w:p>
    <w:p w:rsidR="00000000" w:rsidRDefault="00000000">
      <w:pPr>
        <w:keepNext/>
      </w:pPr>
      <w:r>
        <w:t>288.</w:t>
      </w:r>
      <w:r>
        <w:tab/>
        <w:t xml:space="preserve">С тем чтобы обратить особое внимание на усилия по выполнению КПР ООН и поддержку местных инициатив по развитию правительство одобрило проект под названием "Швеция для детей", который выполняется с весны 2006 года.  Целевая аудитория этого проекта включает лиц, ответственных за принятие решений, и должностных лиц на уровне муниципалитетов, а цель состоит в повышении осведомленности и понимания проблематики КПР ООН, а также распространении эффективных методов обеспечения прав ребенка в рамках мероприятий на уровне муниципалитетов.  </w:t>
      </w:r>
    </w:p>
    <w:p w:rsidR="00000000" w:rsidRDefault="00000000"/>
    <w:p w:rsidR="00000000" w:rsidRDefault="00000000">
      <w:pPr>
        <w:rPr>
          <w:b/>
          <w:bCs/>
        </w:rPr>
      </w:pPr>
      <w:r>
        <w:rPr>
          <w:i/>
          <w:iCs/>
        </w:rPr>
        <w:tab/>
      </w:r>
      <w:r>
        <w:rPr>
          <w:b/>
          <w:bCs/>
        </w:rPr>
        <w:t>Права ребенка на высшее образование</w:t>
      </w:r>
    </w:p>
    <w:p w:rsidR="00000000" w:rsidRDefault="00000000">
      <w:pPr>
        <w:rPr>
          <w:i/>
          <w:iCs/>
        </w:rPr>
      </w:pPr>
    </w:p>
    <w:p w:rsidR="00000000" w:rsidRDefault="00000000">
      <w:r>
        <w:t>289.</w:t>
      </w:r>
      <w:r>
        <w:tab/>
        <w:t xml:space="preserve">В 2004 году всем высшим учебным заведениям Швеции было предписано отчитаться об усилиях, предпринимаемых для отражения тематики КПР ООН в учебных программах, в рамках которых очевидна актуальность понимания такой тематики.  Правительство планирует организовать в 2006 году ряд региональных конференций в поддержку усилий учебных заведений по выполнению КПР ООН и содействию обмену знаниями между колледжами и университетами.  </w:t>
      </w:r>
    </w:p>
    <w:p w:rsidR="00000000" w:rsidRDefault="00000000"/>
    <w:p w:rsidR="00000000" w:rsidRDefault="00000000">
      <w:pPr>
        <w:rPr>
          <w:b/>
          <w:bCs/>
        </w:rPr>
      </w:pPr>
      <w:r>
        <w:rPr>
          <w:i/>
          <w:iCs/>
        </w:rPr>
        <w:tab/>
      </w:r>
      <w:r>
        <w:rPr>
          <w:b/>
          <w:bCs/>
        </w:rPr>
        <w:t>Права ребенка и составление и выполнение бюджета</w:t>
      </w:r>
    </w:p>
    <w:p w:rsidR="00000000" w:rsidRDefault="00000000">
      <w:pPr>
        <w:rPr>
          <w:i/>
          <w:iCs/>
        </w:rPr>
      </w:pPr>
    </w:p>
    <w:p w:rsidR="00000000" w:rsidRDefault="00000000">
      <w:r>
        <w:t>290.</w:t>
      </w:r>
      <w:r>
        <w:tab/>
        <w:t xml:space="preserve">Актуализация тематики прав ребенка в рамках подготовки и принятия государственного бюджета является жизненно важным компонентом демонстрации тех последствий, которые политические решения имеют для девочек и мальчиков.  Правительство позаботилось о том, чтобы повысить осведомленность об инициативах в интересах детей и молодежи, нашедших отражение в государственном бюджете, выступив с двумя правительственными сообщениями, которые были представлены риксдагу и рассмотрены им.  </w:t>
      </w:r>
    </w:p>
    <w:p w:rsidR="00000000" w:rsidRDefault="00000000"/>
    <w:p w:rsidR="00000000" w:rsidRDefault="00000000">
      <w:pPr>
        <w:rPr>
          <w:b/>
          <w:bCs/>
          <w:i/>
          <w:iCs/>
        </w:rPr>
      </w:pPr>
      <w:r>
        <w:rPr>
          <w:b/>
          <w:bCs/>
          <w:i/>
          <w:iCs/>
        </w:rPr>
        <w:t>Политика Швеции в вопросах молодежи</w:t>
      </w:r>
    </w:p>
    <w:p w:rsidR="00000000" w:rsidRDefault="00000000">
      <w:pPr>
        <w:rPr>
          <w:b/>
          <w:bCs/>
          <w:i/>
          <w:iCs/>
        </w:rPr>
      </w:pPr>
    </w:p>
    <w:p w:rsidR="00000000" w:rsidRDefault="00000000">
      <w:r>
        <w:t>291.</w:t>
      </w:r>
      <w:r>
        <w:tab/>
        <w:t>Политика Швеции в вопросах молодежи базируется, в частности, на критерии наличия прав;  речь идет о принципе, согласно которому молодежь обладает теми же правами на благополучные условия существования, что и все другие граждане.  "Благополучные условия жизни" предполагают условия, при которых права человека применительно к молодежи защищены и соблюдаются, а самой молодежи гарантируется социальная и экономическая безопасность, хорошее здоровье и возможности для развития.  Не менее важным представляется и тот фактор, что благополучные условия жизни также включают право на доступ к возможностям определять свою собственную жизнь, влиять на жизнь своего ближайшего окружения и социальное развитие в целом.  Конвенция Организации Объединенных Наций по правам ребенка представляет собой ключевой отправной пункт для всех государственных начинаний, которые затрагивают детей и молодежь в возрасте до 18 лет и, таким образом, для национальной политики в делах молодежи.  Бюджетный законопроект, представленный весной 2006 года, предусматривает значительные инвестиции в мероприятия по делам молодежи, в том числе ассигнование 6,57 млрд. шведских крон на инициативы в интересах молодежи в 2006</w:t>
      </w:r>
      <w:r>
        <w:noBreakHyphen/>
        <w:t xml:space="preserve">2008 годах.  Швеция инвестирует средства в программы, направленные на улучшение жизни молодежи в плане трудоустройства, образования, жилья, здравоохранения и безопасности, влияния и наличия возможностей, а также культуры и досуга.  </w:t>
      </w:r>
    </w:p>
    <w:p w:rsidR="00000000" w:rsidRDefault="00000000"/>
    <w:p w:rsidR="00000000" w:rsidRDefault="00000000">
      <w:pPr>
        <w:rPr>
          <w:b/>
          <w:bCs/>
        </w:rPr>
      </w:pPr>
      <w:r>
        <w:rPr>
          <w:b/>
          <w:bCs/>
        </w:rPr>
        <w:t>Статья 11</w:t>
      </w:r>
    </w:p>
    <w:p w:rsidR="00000000" w:rsidRDefault="00000000">
      <w:pPr>
        <w:rPr>
          <w:b/>
          <w:bCs/>
        </w:rPr>
      </w:pPr>
    </w:p>
    <w:p w:rsidR="00000000" w:rsidRDefault="00000000">
      <w:pPr>
        <w:rPr>
          <w:i/>
          <w:iCs/>
        </w:rPr>
      </w:pPr>
      <w:r>
        <w:rPr>
          <w:i/>
          <w:iCs/>
        </w:rPr>
        <w:tab/>
        <w:t>Принцип 1</w:t>
      </w:r>
    </w:p>
    <w:p w:rsidR="00000000" w:rsidRDefault="00000000">
      <w:pPr>
        <w:rPr>
          <w:u w:val="single"/>
        </w:rPr>
      </w:pPr>
    </w:p>
    <w:p w:rsidR="00000000" w:rsidRDefault="00000000">
      <w:r>
        <w:t>292.</w:t>
      </w:r>
      <w:r>
        <w:tab/>
        <w:t>Глубокий экономический спад, поразивший страну в первой половине 1990</w:t>
      </w:r>
      <w:r>
        <w:noBreakHyphen/>
        <w:t>х годов, нанес финансовый ущерб ряду групп населения Швеции.  Финансовое положение большинства семей после 1997 года улучшилось.  Доля бедного населения (лица с доходом, сопоставимым с абсолютной чертой бедности) в Швеции выросла после экономического кризиса с 5% в 1991 году до 11% в период 1996</w:t>
      </w:r>
      <w:r>
        <w:noBreakHyphen/>
        <w:t>1997 годов, но затем в 2003 году вновь понизилась до 6%.  Доля крайне бедного населения невелика и составляет 2%, причем она остается в целом стабильной в течение определенного периода времени.  Структура распределения доходов, демонстрирующая степень неравенства между домашними хозяйствами с низким и высоким доходом, в 1990</w:t>
      </w:r>
      <w:r>
        <w:noBreakHyphen/>
        <w:t xml:space="preserve">х годах усилилась.  Наибольший разрыв в доходах был зарегистрирован в 2000 году, но затем вплоть до 2003 года включительно он снижался.  </w:t>
      </w:r>
    </w:p>
    <w:p w:rsidR="00000000" w:rsidRDefault="00000000"/>
    <w:p w:rsidR="00000000" w:rsidRDefault="00000000">
      <w:r>
        <w:t>293.</w:t>
      </w:r>
      <w:r>
        <w:tab/>
        <w:t>За период 1991-2002 годов разрыв в доходах между женщинами и мужчинами сократился.  Среди прочего, это объясняется тем, что женщины стали более активно выходить на рынок оплачиваемого труда, чем в начале 1990</w:t>
      </w:r>
      <w:r>
        <w:noBreakHyphen/>
        <w:t xml:space="preserve">х годов, произошло выравнивание структуры занятости женщин и мужчин, а процент семей, где как женщина, так и мужчина работают полный рабочий день, вырос.  Средний доход женщин от оплачиваемого труда вырос за период 1991-2002 годов с 64% до 68% от среднего дохода мужчин.  Средний доход женщин, занятых полный рабочий день, вырос с чуть более 81% до чуть более 84% от среднего дохода мужчин, занятых оплачиваемым трудом.  </w:t>
      </w:r>
    </w:p>
    <w:p w:rsidR="00000000" w:rsidRDefault="00000000"/>
    <w:p w:rsidR="00000000" w:rsidRDefault="00000000">
      <w:r>
        <w:t>294.</w:t>
      </w:r>
      <w:r>
        <w:tab/>
        <w:t>Прибыль на вложенный капитал, в первую очередь в виде дохода от продажи акций и паевых фондов, оказала значительное влияние на распределение доходов домашних хозяйств в 1990</w:t>
      </w:r>
      <w:r>
        <w:noBreakHyphen/>
        <w:t>х </w:t>
      </w:r>
      <w:r>
        <w:noBreakHyphen/>
        <w:t xml:space="preserve"> начале 2000</w:t>
      </w:r>
      <w:r>
        <w:noBreakHyphen/>
        <w:t>х годов.  Развитие событий с начала 1990</w:t>
      </w:r>
      <w:r>
        <w:noBreakHyphen/>
        <w:t>х годов показывает, что по мере роста прибыли на вложенный капитал возрастает также разрыв в доходах.  Это объясняется тем, что финансовые активы весьма неравномерно распределены между домашними хозяйствами, и их изменения в первую очередь затрагивают домашние хозяйства с наиболее высоким уровнем дохода.</w:t>
      </w:r>
    </w:p>
    <w:p w:rsidR="00000000" w:rsidRDefault="00000000"/>
    <w:p w:rsidR="00000000" w:rsidRDefault="00000000">
      <w:r>
        <w:t>295.</w:t>
      </w:r>
      <w:r>
        <w:tab/>
        <w:t>Современное положение с бедностью в Швеции, по всей вероятности, носит менее серьезные формы, чем во многих других странах.  Отличительной особенностью бедности в Швеции является то, что на уровне индивидов она связана со степенью их вовлеченности в рынок труда.  Лица трудоспособного возраста, не получающие существенных доходов от оплачиваемого труда, которые к тому же фактически не имеют доходов от пенсий, пособий по безработице или пособий по медицинскому страхованию, составляют группу риска, и им грозит опасность стать жертвами долгосрочной нищеты.  Данные, полученные от статистического управления ЕС "Евростат", свидетельствуют о том, что среди 15 государств </w:t>
      </w:r>
      <w:r>
        <w:noBreakHyphen/>
        <w:t xml:space="preserve"> членов ЕС на 2001 год Швеция имела средний уровень дохода ниже медианного для ЕС уровня.  Греция имела самый низкий средний доход, а Люксембург </w:t>
      </w:r>
      <w:r>
        <w:noBreakHyphen/>
        <w:t xml:space="preserve"> наиболее высокий, причем с большим отрывом от остальных.  Тем не менее разрыв в доходах среди населения Швеции </w:t>
      </w:r>
      <w:r>
        <w:noBreakHyphen/>
        <w:t xml:space="preserve"> один из наиболее низких.  Самый низкий разрыв в доходах отмечается в Словении, далее идут Швеция и Венгрия, а также Дания и Чешская Республика.  Наиболее заметный разрыв в доходах отмечается в Португалии.</w:t>
      </w:r>
    </w:p>
    <w:p w:rsidR="00000000" w:rsidRDefault="00000000"/>
    <w:p w:rsidR="00000000" w:rsidRDefault="00000000">
      <w:pPr>
        <w:keepNext/>
        <w:rPr>
          <w:b/>
          <w:bCs/>
        </w:rPr>
      </w:pPr>
      <w:r>
        <w:rPr>
          <w:b/>
          <w:bCs/>
        </w:rPr>
        <w:tab/>
        <w:t>Уровень и условия жизни населения в целом</w:t>
      </w:r>
    </w:p>
    <w:p w:rsidR="00000000" w:rsidRDefault="00000000">
      <w:pPr>
        <w:keepNext/>
        <w:rPr>
          <w:b/>
          <w:bCs/>
        </w:rPr>
      </w:pPr>
    </w:p>
    <w:p w:rsidR="00000000" w:rsidRDefault="00000000">
      <w:pPr>
        <w:keepNext/>
      </w:pPr>
      <w:r>
        <w:t>296.</w:t>
      </w:r>
      <w:r>
        <w:tab/>
        <w:t>Материальный уровень домашних хозяйств в период 1995</w:t>
      </w:r>
      <w:r>
        <w:noBreakHyphen/>
        <w:t>2004 годов вырос на 26%, а в период 1991</w:t>
      </w:r>
      <w:r>
        <w:noBreakHyphen/>
        <w:t>2004 годов </w:t>
      </w:r>
      <w:r>
        <w:noBreakHyphen/>
        <w:t xml:space="preserve"> на 15%.  Наиболее благоприятная тенденция наблюдалась среди супружеских пар с детьми, чей располагаемый доход с учетом отчислений на социальную поддержку вырос в период 1995</w:t>
      </w:r>
      <w:r>
        <w:noBreakHyphen/>
        <w:t>2004 годов на 30%.  Супружеские пары в возрасте 45</w:t>
      </w:r>
      <w:r>
        <w:noBreakHyphen/>
        <w:t>64 лет, проживающие вместе, но без детей, имеют самый высокий уровень материального положения.  Домашние хозяйства из пенсионеров старшего возраста и матерей-одиночек с детьми характеризуются наиболее низким уровнем материального положения.  Доля материально неблагополучных домашних хозяйств с доходом ниже 60% от среднего составляет 9%.  Отмечается приостановка тенденций к увеличению разрыва в доходах, и сам разрыв в доходах в настоящее время сократился по сравнению с 2000 годом, когда он был наиболее заметным.</w:t>
      </w:r>
    </w:p>
    <w:p w:rsidR="00000000" w:rsidRDefault="00000000"/>
    <w:p w:rsidR="00000000" w:rsidRDefault="00000000">
      <w:r>
        <w:t>297.</w:t>
      </w:r>
      <w:r>
        <w:tab/>
        <w:t>За период 1991</w:t>
      </w:r>
      <w:r>
        <w:noBreakHyphen/>
        <w:t>2004 годов коэффициент Джини вырос на 13%.  Разрыв в основном увеличивался во второй половине 1990</w:t>
      </w:r>
      <w:r>
        <w:noBreakHyphen/>
        <w:t xml:space="preserve">х годов.  После этого распределение доходов относительно стабилизировалось.  Увеличение разрыва в доходах в основном объясняется ростом доходов зажиточных семей и отдельных лиц.  Доля дохода, приходящаяся на тех, кто характеризуется наиболее высоким уровнем материального положения, несколько выросла с 1991 года.  Доля общего дохода, приходящаяся на наиболее зажиточные </w:t>
      </w:r>
      <w:proofErr w:type="spellStart"/>
      <w:r>
        <w:t>10%</w:t>
      </w:r>
      <w:proofErr w:type="spellEnd"/>
      <w:r>
        <w:t> </w:t>
      </w:r>
      <w:proofErr w:type="spellStart"/>
      <w:r>
        <w:t>аселения</w:t>
      </w:r>
      <w:proofErr w:type="spellEnd"/>
      <w:r>
        <w:t>, выросла с 20% в 1991 году до 22% в 2004 году.</w:t>
      </w:r>
    </w:p>
    <w:p w:rsidR="00000000" w:rsidRDefault="00000000"/>
    <w:p w:rsidR="00000000" w:rsidRDefault="00000000">
      <w:r>
        <w:t>298.</w:t>
      </w:r>
      <w:r>
        <w:tab/>
        <w:t>В приводимых ниже таблицах показан располагаемый доход шведских домашних хозяйств и коэффициент Джини за период 1991</w:t>
      </w:r>
      <w:r>
        <w:noBreakHyphen/>
        <w:t>2003 годов.  В первой таблице показаны тенденции, в том числе в прибыли на вложенный капитал, а во второй таблице - тенденции без прибыли на вложенный капитал.</w:t>
      </w:r>
    </w:p>
    <w:p w:rsidR="00000000" w:rsidRDefault="00000000"/>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Таблица 11.1</w:t>
      </w:r>
    </w:p>
    <w:p w:rsidR="00000000" w:rsidRDefault="00000000">
      <w:pPr>
        <w:pStyle w:val="RKnormal"/>
        <w:tabs>
          <w:tab w:val="left" w:pos="709"/>
        </w:tabs>
        <w:spacing w:line="240" w:lineRule="auto"/>
        <w:jc w:val="center"/>
        <w:rPr>
          <w:rFonts w:ascii="Times New Roman" w:hAnsi="Times New Roman"/>
          <w:b/>
          <w:bCs/>
          <w:szCs w:val="24"/>
          <w:lang w:val="ru-RU"/>
        </w:rPr>
      </w:pP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 xml:space="preserve">Располагаемый доход с учетом прибыли на вложенный капитал </w:t>
      </w: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 xml:space="preserve">на единицу потребления в 1991 и 1996–2003 годах для всех лиц. </w:t>
      </w: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 xml:space="preserve">Медиант в тысячах шведских крон на единицу </w:t>
      </w: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потребления в ценах 2003 года.</w:t>
      </w:r>
    </w:p>
    <w:p w:rsidR="00000000" w:rsidRDefault="00000000">
      <w:pPr>
        <w:pStyle w:val="RKnormal"/>
        <w:spacing w:line="240" w:lineRule="auto"/>
        <w:rPr>
          <w:rFonts w:ascii="Times New Roman" w:hAnsi="Times New Roman"/>
          <w:b/>
          <w:bCs/>
          <w:szCs w:val="24"/>
          <w:lang w:val="ru-RU"/>
        </w:rPr>
      </w:pPr>
    </w:p>
    <w:tbl>
      <w:tblPr>
        <w:tblW w:w="0" w:type="auto"/>
        <w:jc w:val="center"/>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5"/>
        <w:gridCol w:w="1885"/>
        <w:gridCol w:w="1885"/>
        <w:gridCol w:w="1886"/>
      </w:tblGrid>
      <w:tr w:rsidR="00000000">
        <w:tblPrEx>
          <w:tblCellMar>
            <w:top w:w="0" w:type="dxa"/>
            <w:bottom w:w="0" w:type="dxa"/>
          </w:tblCellMar>
        </w:tblPrEx>
        <w:trPr>
          <w:tblHeader/>
          <w:jc w:val="center"/>
        </w:trPr>
        <w:tc>
          <w:tcPr>
            <w:tcW w:w="1885"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Год</w:t>
            </w:r>
          </w:p>
        </w:tc>
        <w:tc>
          <w:tcPr>
            <w:tcW w:w="1885"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Медиант</w:t>
            </w:r>
          </w:p>
        </w:tc>
        <w:tc>
          <w:tcPr>
            <w:tcW w:w="1885"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 xml:space="preserve">Коэффициент </w:t>
            </w:r>
            <w:proofErr w:type="spellStart"/>
            <w:r>
              <w:rPr>
                <w:rFonts w:ascii="Times New Roman" w:hAnsi="Times New Roman"/>
                <w:b/>
                <w:bCs/>
                <w:szCs w:val="24"/>
                <w:lang w:val="ru-RU"/>
              </w:rPr>
              <w:t>Джини</w:t>
            </w:r>
            <w:proofErr w:type="spellEnd"/>
          </w:p>
        </w:tc>
        <w:tc>
          <w:tcPr>
            <w:tcW w:w="1886"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 xml:space="preserve">Верхние </w:t>
            </w:r>
            <w:proofErr w:type="spellStart"/>
            <w:r>
              <w:rPr>
                <w:rFonts w:ascii="Times New Roman" w:hAnsi="Times New Roman"/>
                <w:b/>
                <w:bCs/>
                <w:szCs w:val="24"/>
                <w:lang w:val="ru-RU"/>
              </w:rPr>
              <w:t>5%</w:t>
            </w:r>
            <w:proofErr w:type="spellEnd"/>
          </w:p>
        </w:tc>
      </w:tr>
      <w:tr w:rsidR="00000000">
        <w:tblPrEx>
          <w:tblCellMar>
            <w:top w:w="0" w:type="dxa"/>
            <w:bottom w:w="0" w:type="dxa"/>
          </w:tblCellMar>
        </w:tblPrEx>
        <w:trPr>
          <w:jc w:val="center"/>
        </w:trPr>
        <w:tc>
          <w:tcPr>
            <w:tcW w:w="1885"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1996</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1997</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1998</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1999</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2000</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2001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2002</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2003</w:t>
            </w:r>
          </w:p>
        </w:tc>
        <w:tc>
          <w:tcPr>
            <w:tcW w:w="1885"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143,9</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132,9</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139,4</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140,8</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149,9</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165,3</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162,4</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165,5</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165,5</w:t>
            </w:r>
          </w:p>
        </w:tc>
        <w:tc>
          <w:tcPr>
            <w:tcW w:w="1885"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0,230</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0,238</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0,254</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0,242</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0,261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0,295</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0,263</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0,258</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0,254</w:t>
            </w:r>
          </w:p>
        </w:tc>
        <w:tc>
          <w:tcPr>
            <w:tcW w:w="1886"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355,4</w:t>
            </w:r>
          </w:p>
          <w:p w:rsidR="00000000" w:rsidRDefault="00000000">
            <w:pPr>
              <w:pStyle w:val="RKnormal"/>
              <w:tabs>
                <w:tab w:val="clear" w:pos="2835"/>
                <w:tab w:val="left" w:pos="1134"/>
                <w:tab w:val="left" w:pos="2552"/>
                <w:tab w:val="left" w:pos="4536"/>
              </w:tabs>
              <w:spacing w:line="288" w:lineRule="auto"/>
              <w:jc w:val="center"/>
              <w:rPr>
                <w:rFonts w:ascii="Times New Roman" w:hAnsi="Times New Roman"/>
                <w:szCs w:val="24"/>
                <w:lang w:val="ru-RU"/>
              </w:rPr>
            </w:pPr>
            <w:r>
              <w:rPr>
                <w:rFonts w:ascii="Times New Roman" w:hAnsi="Times New Roman"/>
                <w:szCs w:val="24"/>
                <w:lang w:val="ru-RU"/>
              </w:rPr>
              <w:t>334,5</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400,1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366,5</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431,2</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586,1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475,3</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460,3</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450,7</w:t>
            </w:r>
          </w:p>
        </w:tc>
      </w:tr>
    </w:tbl>
    <w:p w:rsidR="00000000" w:rsidRDefault="00000000">
      <w:pPr>
        <w:pStyle w:val="RKnormal"/>
        <w:spacing w:line="240" w:lineRule="auto"/>
        <w:rPr>
          <w:rFonts w:ascii="Times New Roman" w:hAnsi="Times New Roman"/>
          <w:b/>
          <w:bCs/>
          <w:szCs w:val="24"/>
          <w:lang w:val="ru-RU"/>
        </w:rPr>
      </w:pPr>
    </w:p>
    <w:p w:rsidR="00000000" w:rsidRDefault="00000000">
      <w:pPr>
        <w:pStyle w:val="RKnormal"/>
        <w:tabs>
          <w:tab w:val="left" w:pos="851"/>
        </w:tabs>
        <w:spacing w:line="288" w:lineRule="auto"/>
        <w:rPr>
          <w:rFonts w:ascii="Times New Roman" w:hAnsi="Times New Roman"/>
          <w:szCs w:val="24"/>
          <w:lang w:val="ru-RU"/>
        </w:rPr>
      </w:pPr>
      <w:r>
        <w:rPr>
          <w:rFonts w:ascii="Times New Roman" w:hAnsi="Times New Roman"/>
          <w:i/>
          <w:iCs/>
          <w:szCs w:val="24"/>
          <w:lang w:val="ru-RU"/>
        </w:rPr>
        <w:tab/>
        <w:t>Источник</w:t>
      </w:r>
      <w:r>
        <w:rPr>
          <w:rFonts w:ascii="Times New Roman" w:hAnsi="Times New Roman"/>
          <w:szCs w:val="24"/>
          <w:lang w:val="ru-RU"/>
        </w:rPr>
        <w:t>:  Статистическое управление Швеции</w:t>
      </w:r>
    </w:p>
    <w:p w:rsidR="00000000" w:rsidRDefault="00000000">
      <w:pPr>
        <w:pStyle w:val="RKnormal"/>
        <w:spacing w:line="288" w:lineRule="auto"/>
        <w:rPr>
          <w:rFonts w:ascii="Times New Roman" w:hAnsi="Times New Roman"/>
          <w:szCs w:val="24"/>
          <w:lang w:val="ru-RU"/>
        </w:rPr>
      </w:pP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Таблица 11.2</w:t>
      </w:r>
    </w:p>
    <w:p w:rsidR="00000000" w:rsidRDefault="00000000">
      <w:pPr>
        <w:pStyle w:val="RKnormal"/>
        <w:tabs>
          <w:tab w:val="left" w:pos="709"/>
        </w:tabs>
        <w:spacing w:line="240" w:lineRule="auto"/>
        <w:jc w:val="center"/>
        <w:rPr>
          <w:rFonts w:ascii="Times New Roman" w:hAnsi="Times New Roman"/>
          <w:b/>
          <w:bCs/>
          <w:szCs w:val="24"/>
          <w:lang w:val="ru-RU"/>
        </w:rPr>
      </w:pP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 xml:space="preserve">Располагаемый доход без учета прибыли на вложенный капитал </w:t>
      </w: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на единицу потребления в 1991 и 1996–2003 годах для всех лиц.</w:t>
      </w: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 xml:space="preserve">Медиант в тысячах шведских крон на единицу </w:t>
      </w:r>
    </w:p>
    <w:p w:rsidR="00000000" w:rsidRDefault="00000000">
      <w:pPr>
        <w:pStyle w:val="RKnormal"/>
        <w:tabs>
          <w:tab w:val="left" w:pos="709"/>
        </w:tabs>
        <w:spacing w:line="240" w:lineRule="auto"/>
        <w:jc w:val="center"/>
        <w:rPr>
          <w:rFonts w:ascii="Times New Roman" w:hAnsi="Times New Roman"/>
          <w:b/>
          <w:bCs/>
          <w:szCs w:val="24"/>
          <w:lang w:val="ru-RU"/>
        </w:rPr>
      </w:pPr>
      <w:r>
        <w:rPr>
          <w:rFonts w:ascii="Times New Roman" w:hAnsi="Times New Roman"/>
          <w:b/>
          <w:bCs/>
          <w:szCs w:val="24"/>
          <w:lang w:val="ru-RU"/>
        </w:rPr>
        <w:t>потребления в ценах 2003 года.</w:t>
      </w:r>
    </w:p>
    <w:p w:rsidR="00000000" w:rsidRDefault="00000000">
      <w:pPr>
        <w:pStyle w:val="RKnormal"/>
        <w:tabs>
          <w:tab w:val="clear" w:pos="2835"/>
          <w:tab w:val="left" w:pos="709"/>
          <w:tab w:val="left" w:pos="2268"/>
        </w:tabs>
        <w:spacing w:line="240" w:lineRule="auto"/>
        <w:rPr>
          <w:rFonts w:ascii="Times New Roman" w:hAnsi="Times New Roman"/>
          <w:b/>
          <w:bCs/>
          <w:szCs w:val="24"/>
          <w:lang w:val="ru-RU"/>
        </w:rPr>
      </w:pPr>
    </w:p>
    <w:tbl>
      <w:tblPr>
        <w:tblW w:w="0" w:type="auto"/>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gridCol w:w="1998"/>
        <w:gridCol w:w="1998"/>
        <w:gridCol w:w="1999"/>
      </w:tblGrid>
      <w:tr w:rsidR="00000000">
        <w:tblPrEx>
          <w:tblCellMar>
            <w:top w:w="0" w:type="dxa"/>
            <w:bottom w:w="0" w:type="dxa"/>
          </w:tblCellMar>
        </w:tblPrEx>
        <w:trPr>
          <w:jc w:val="center"/>
        </w:trPr>
        <w:tc>
          <w:tcPr>
            <w:tcW w:w="1998"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Год</w:t>
            </w:r>
          </w:p>
        </w:tc>
        <w:tc>
          <w:tcPr>
            <w:tcW w:w="1998"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Медиант</w:t>
            </w:r>
          </w:p>
        </w:tc>
        <w:tc>
          <w:tcPr>
            <w:tcW w:w="1998"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 xml:space="preserve">Коэффициент </w:t>
            </w:r>
            <w:proofErr w:type="spellStart"/>
            <w:r>
              <w:rPr>
                <w:rFonts w:ascii="Times New Roman" w:hAnsi="Times New Roman"/>
                <w:b/>
                <w:bCs/>
                <w:szCs w:val="24"/>
                <w:lang w:val="ru-RU"/>
              </w:rPr>
              <w:t>Джини</w:t>
            </w:r>
            <w:proofErr w:type="spellEnd"/>
          </w:p>
        </w:tc>
        <w:tc>
          <w:tcPr>
            <w:tcW w:w="1999" w:type="dxa"/>
            <w:vAlign w:val="center"/>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b/>
                <w:bCs/>
                <w:szCs w:val="24"/>
                <w:lang w:val="ru-RU"/>
              </w:rPr>
              <w:t xml:space="preserve">Верхние </w:t>
            </w:r>
            <w:proofErr w:type="spellStart"/>
            <w:r>
              <w:rPr>
                <w:rFonts w:ascii="Times New Roman" w:hAnsi="Times New Roman"/>
                <w:b/>
                <w:bCs/>
                <w:szCs w:val="24"/>
                <w:lang w:val="ru-RU"/>
              </w:rPr>
              <w:t>5%</w:t>
            </w:r>
            <w:proofErr w:type="spellEnd"/>
          </w:p>
        </w:tc>
      </w:tr>
      <w:tr w:rsidR="00000000">
        <w:tblPrEx>
          <w:tblCellMar>
            <w:top w:w="0" w:type="dxa"/>
            <w:bottom w:w="0" w:type="dxa"/>
          </w:tblCellMar>
        </w:tblPrEx>
        <w:trPr>
          <w:jc w:val="center"/>
        </w:trPr>
        <w:tc>
          <w:tcPr>
            <w:tcW w:w="1998"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1996</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1997</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1998</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1999</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2000</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2001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2002</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2003</w:t>
            </w:r>
          </w:p>
        </w:tc>
        <w:tc>
          <w:tcPr>
            <w:tcW w:w="1998" w:type="dxa"/>
          </w:tcPr>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139,2</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127,9</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131,8</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135,4</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140,2</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149,9</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154,7</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158,3</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158,6</w:t>
            </w:r>
          </w:p>
        </w:tc>
        <w:tc>
          <w:tcPr>
            <w:tcW w:w="1998"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0,213</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0,221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0,225</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0,227</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0,230</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0,244</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0,239</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0,239</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0,234</w:t>
            </w:r>
          </w:p>
        </w:tc>
        <w:tc>
          <w:tcPr>
            <w:tcW w:w="1999" w:type="dxa"/>
          </w:tcPr>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297,2</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280,7</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300,8</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315,6</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325,1</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381,0</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375,8</w:t>
            </w:r>
          </w:p>
          <w:p w:rsidR="00000000" w:rsidRDefault="00000000">
            <w:pPr>
              <w:pStyle w:val="RKnormal"/>
              <w:spacing w:line="240" w:lineRule="auto"/>
              <w:jc w:val="center"/>
              <w:rPr>
                <w:rFonts w:ascii="Times New Roman" w:hAnsi="Times New Roman"/>
                <w:szCs w:val="24"/>
                <w:lang w:val="ru-RU"/>
              </w:rPr>
            </w:pPr>
            <w:r>
              <w:rPr>
                <w:rFonts w:ascii="Times New Roman" w:hAnsi="Times New Roman"/>
                <w:szCs w:val="24"/>
                <w:lang w:val="ru-RU"/>
              </w:rPr>
              <w:t>376,1</w:t>
            </w:r>
          </w:p>
          <w:p w:rsidR="00000000" w:rsidRDefault="00000000">
            <w:pPr>
              <w:pStyle w:val="RKnormal"/>
              <w:spacing w:line="240" w:lineRule="auto"/>
              <w:jc w:val="center"/>
              <w:rPr>
                <w:rFonts w:ascii="Times New Roman" w:hAnsi="Times New Roman"/>
                <w:b/>
                <w:bCs/>
                <w:szCs w:val="24"/>
                <w:lang w:val="ru-RU"/>
              </w:rPr>
            </w:pPr>
            <w:r>
              <w:rPr>
                <w:rFonts w:ascii="Times New Roman" w:hAnsi="Times New Roman"/>
                <w:szCs w:val="24"/>
                <w:lang w:val="ru-RU"/>
              </w:rPr>
              <w:t>368,2</w:t>
            </w:r>
          </w:p>
        </w:tc>
      </w:tr>
    </w:tbl>
    <w:p w:rsidR="00000000" w:rsidRDefault="00000000">
      <w:pPr>
        <w:pStyle w:val="RKnormal"/>
        <w:spacing w:line="288" w:lineRule="auto"/>
        <w:rPr>
          <w:rFonts w:ascii="Times New Roman" w:hAnsi="Times New Roman"/>
          <w:b/>
          <w:bCs/>
          <w:szCs w:val="24"/>
          <w:lang w:val="ru-RU"/>
        </w:rPr>
      </w:pPr>
    </w:p>
    <w:p w:rsidR="00000000" w:rsidRDefault="00000000">
      <w:pPr>
        <w:pStyle w:val="RKnormal"/>
        <w:tabs>
          <w:tab w:val="left" w:pos="709"/>
        </w:tabs>
        <w:spacing w:line="288" w:lineRule="auto"/>
        <w:rPr>
          <w:rFonts w:ascii="Times New Roman" w:hAnsi="Times New Roman"/>
          <w:szCs w:val="24"/>
          <w:lang w:val="ru-RU"/>
        </w:rPr>
      </w:pPr>
      <w:r>
        <w:rPr>
          <w:rFonts w:ascii="Times New Roman" w:hAnsi="Times New Roman"/>
          <w:i/>
          <w:iCs/>
          <w:szCs w:val="24"/>
          <w:lang w:val="ru-RU"/>
        </w:rPr>
        <w:tab/>
        <w:t>Источник</w:t>
      </w:r>
      <w:r>
        <w:rPr>
          <w:rFonts w:ascii="Times New Roman" w:hAnsi="Times New Roman"/>
          <w:szCs w:val="24"/>
          <w:lang w:val="ru-RU"/>
        </w:rPr>
        <w:t>:  Статистическое управление Швеции.</w:t>
      </w:r>
    </w:p>
    <w:p w:rsidR="00000000" w:rsidRDefault="00000000">
      <w:pPr>
        <w:pStyle w:val="RKnormal"/>
        <w:spacing w:line="288" w:lineRule="auto"/>
        <w:rPr>
          <w:rFonts w:ascii="Times New Roman" w:hAnsi="Times New Roman"/>
          <w:szCs w:val="24"/>
          <w:lang w:val="ru-RU"/>
        </w:rPr>
      </w:pPr>
    </w:p>
    <w:p w:rsidR="00000000" w:rsidRDefault="00000000">
      <w:pPr>
        <w:pStyle w:val="RKnormal"/>
        <w:tabs>
          <w:tab w:val="left" w:pos="748"/>
        </w:tabs>
        <w:spacing w:line="288" w:lineRule="auto"/>
        <w:rPr>
          <w:rFonts w:ascii="Times New Roman" w:hAnsi="Times New Roman"/>
          <w:szCs w:val="24"/>
          <w:lang w:val="ru-RU"/>
        </w:rPr>
      </w:pPr>
      <w:r>
        <w:rPr>
          <w:rFonts w:ascii="Times New Roman" w:hAnsi="Times New Roman"/>
          <w:szCs w:val="24"/>
          <w:lang w:val="ru-RU"/>
        </w:rPr>
        <w:t>299.</w:t>
      </w:r>
      <w:r>
        <w:rPr>
          <w:rFonts w:ascii="Times New Roman" w:hAnsi="Times New Roman"/>
          <w:szCs w:val="24"/>
          <w:lang w:val="ru-RU"/>
        </w:rPr>
        <w:tab/>
        <w:t xml:space="preserve">Снизились показатели бедности среди семей с детьми.  В 1997 году чуть более 15% всех семей с детьми относились к категории бедных при сопоставлении с абсолютной чертой бедности (в пересчете на постоянную покупательную способность), определяемой Национальным управлением здравоохранения и социального обеспечения.  (См. ниже раздел </w:t>
      </w:r>
      <w:r>
        <w:rPr>
          <w:rFonts w:ascii="Times New Roman" w:hAnsi="Times New Roman"/>
          <w:i/>
          <w:iCs/>
          <w:szCs w:val="24"/>
          <w:lang w:val="ru-RU"/>
        </w:rPr>
        <w:t>Статистика бедности в Швеции</w:t>
      </w:r>
      <w:r>
        <w:rPr>
          <w:rFonts w:ascii="Times New Roman" w:hAnsi="Times New Roman"/>
          <w:szCs w:val="24"/>
          <w:lang w:val="ru-RU"/>
        </w:rPr>
        <w:t>).  За прошедший период этот показатель сократился вдвое;  от силы чуть более 7% всех детей проживают в семьях, страдающих от бедности.  Экономический кризис 1990</w:t>
      </w:r>
      <w:r>
        <w:rPr>
          <w:rFonts w:ascii="Times New Roman" w:hAnsi="Times New Roman"/>
          <w:szCs w:val="24"/>
          <w:lang w:val="ru-RU"/>
        </w:rPr>
        <w:noBreakHyphen/>
        <w:t>х годов больнее всего ударил по детям и семьям с детьми.  Вслед за экономическим подъемом был проведен ряд реформ для улучшения положения детей и семей с детьми.  Дети родителей-одиночек, дети в многодетных семьях, дети родителей-иностранцев и дети родителей, имеющих только обязательное школьное образование, входят в группу, которой грозит серьезная опасность быть отнесенными к категории материально обделенных семей.</w:t>
      </w:r>
    </w:p>
    <w:p w:rsidR="00000000" w:rsidRDefault="00000000">
      <w:pPr>
        <w:pStyle w:val="RKnormal"/>
        <w:tabs>
          <w:tab w:val="left" w:pos="748"/>
        </w:tabs>
        <w:spacing w:line="288" w:lineRule="auto"/>
        <w:rPr>
          <w:rFonts w:ascii="Times New Roman" w:hAnsi="Times New Roman"/>
          <w:szCs w:val="24"/>
          <w:lang w:val="ru-RU"/>
        </w:rPr>
      </w:pPr>
    </w:p>
    <w:p w:rsidR="00000000" w:rsidRDefault="00000000">
      <w:r>
        <w:t>300.</w:t>
      </w:r>
      <w:r>
        <w:tab/>
        <w:t>В 2002 году была введена максимальная ставка сбора по уходу за ребенком, которая понизила сбор за посещение дошкольных учреждений в среднем на 12 000 шведских крон в год для семьи с двумя детьми.</w:t>
      </w:r>
    </w:p>
    <w:p w:rsidR="00000000" w:rsidRDefault="00000000"/>
    <w:p w:rsidR="00000000" w:rsidRDefault="00000000">
      <w:r>
        <w:t>301.</w:t>
      </w:r>
      <w:r>
        <w:tab/>
        <w:t xml:space="preserve">Пособие на ребенка неоднократно повышалось и увеличилось с 750 шведских крон в 1994 году до 1 050 шведских крон в настоящее время.  Это пособие сейчас находится на наивысшем номинальном и реальном уровне с момента внедрения.  Повышено также дополнительное пособие на второго ребенка и других детей.  1 октября 2005 года было введено дополнительное пособие на второго ребенка в семье, а с 2006 года была повышена материальная помощь на содержание ребенка.  </w:t>
      </w:r>
    </w:p>
    <w:p w:rsidR="00000000" w:rsidRDefault="00000000"/>
    <w:p w:rsidR="00000000" w:rsidRDefault="00000000">
      <w:r>
        <w:t>302.</w:t>
      </w:r>
      <w:r>
        <w:tab/>
        <w:t>Период страхования родительского отпуска в 2002 году был увеличен до 480 дней.  Из них 60 дней резервируются для каждого из родителей и не могут быть переданы другому родителю.  Максимальный уровень пособия на родительский отпуск с 1 июля 2006 года был увеличен до 10 ставок базовых расходов, что примерно эквивалентно 33 000 шведских крон в месяц.  Повышены также временное пособие родителям и материальная помощь по беременности.  Минимальное пособие родителям было увеличено с 60 до 180 шведских крон в день.  Кроме того, были расширены возможности выплаты временного родительское пособия на неограниченное число дней в целях ухода за больным ребенком.</w:t>
      </w:r>
    </w:p>
    <w:p w:rsidR="00000000" w:rsidRDefault="00000000"/>
    <w:p w:rsidR="00000000" w:rsidRDefault="00000000">
      <w:r>
        <w:t>303.</w:t>
      </w:r>
      <w:r>
        <w:tab/>
        <w:t xml:space="preserve">Эти реформы привели, среди прочего, к улучшению материального положения семей с детьми.  С 1995 года уровень материального положения супружеских пар, проживающих с детьми, вырос на </w:t>
      </w:r>
      <w:proofErr w:type="spellStart"/>
      <w:r>
        <w:t>30%</w:t>
      </w:r>
      <w:proofErr w:type="spellEnd"/>
      <w:r>
        <w:t>.</w:t>
      </w:r>
    </w:p>
    <w:p w:rsidR="00000000" w:rsidRDefault="00000000"/>
    <w:p w:rsidR="00000000" w:rsidRDefault="00000000">
      <w:pPr>
        <w:rPr>
          <w:b/>
          <w:bCs/>
          <w:i/>
          <w:iCs/>
        </w:rPr>
      </w:pPr>
      <w:r>
        <w:rPr>
          <w:b/>
          <w:bCs/>
          <w:i/>
          <w:iCs/>
        </w:rPr>
        <w:t>Уровень и условия жизни лиц пожилого возраста</w:t>
      </w:r>
    </w:p>
    <w:p w:rsidR="00000000" w:rsidRDefault="00000000">
      <w:pPr>
        <w:rPr>
          <w:b/>
          <w:bCs/>
          <w:i/>
          <w:iCs/>
        </w:rPr>
      </w:pPr>
    </w:p>
    <w:p w:rsidR="00000000" w:rsidRDefault="00000000">
      <w:r>
        <w:t>304.</w:t>
      </w:r>
      <w:r>
        <w:tab/>
        <w:t>Бедность реже встречалась среди лиц пожилого возраста в 2003 году, чем в 1990 </w:t>
      </w:r>
      <w:r>
        <w:noBreakHyphen/>
      </w:r>
      <w:proofErr w:type="spellStart"/>
      <w:r>
        <w:t>х</w:t>
      </w:r>
      <w:proofErr w:type="spellEnd"/>
      <w:r>
        <w:t xml:space="preserve"> годах, несмотря на то, что многие лица пожилого возраста имеют ограниченные финансовые возможности.  Однако лица в возрастной группе старше 65 лет - это те, кто в отличие от многих молодых людей чаще располагают финансовыми активами.  Вместе с тем не следует забывать о том, что чистые активы лиц пожилого возраста в немалой степени состоят из собственного капитала.  </w:t>
      </w:r>
    </w:p>
    <w:p w:rsidR="00000000" w:rsidRDefault="00000000"/>
    <w:p w:rsidR="00000000" w:rsidRDefault="00000000">
      <w:r>
        <w:t>305.</w:t>
      </w:r>
      <w:r>
        <w:tab/>
        <w:t xml:space="preserve">Данные Статистического управления Швеции за 2002 год (финансы домашних хозяйств) показывают, что </w:t>
      </w:r>
      <w:proofErr w:type="spellStart"/>
      <w:r>
        <w:t>медианный</w:t>
      </w:r>
      <w:proofErr w:type="spellEnd"/>
      <w:r>
        <w:t xml:space="preserve"> располагаемый доход женщин в возрасте старше 65 лет составлял примерно 104 000 шведских крон на женщину-одиночку и 78 000 шведских крон на женщину, проживающую совместно с супругом.  Во всех возрастных группах женщины-одиночки располагают более высоким уровнем дохода.  Одно из объяснений того, что совместно проживающие женщины имеют более низкий располагаемый доход по сравнению с доходом женщин-одиночек, заключается в том, что у женщин-одиночек более высокие пенсии, формируемые за счет отчислений от доходов.  Доход от переводов в пользу совместно проживающих женщин во многих случаях также ниже.  Однако мужчины-одиночки имеют более низкий предполагаемый доход, чем совместно проживающие с супругой мужчины.  </w:t>
      </w:r>
      <w:proofErr w:type="spellStart"/>
      <w:r>
        <w:t>Медианный</w:t>
      </w:r>
      <w:proofErr w:type="spellEnd"/>
      <w:r>
        <w:t xml:space="preserve"> уровень дохода составляет 114 000 шведских крон в месяц на мужчину-одиночку и 125 000 шведских крон на проживающего совместно с супругой мужчину.  Разница в доходах совместно проживающих/замужних женщин и мужчин выше, чем для одиноких.</w:t>
      </w:r>
    </w:p>
    <w:p w:rsidR="00000000" w:rsidRDefault="00000000"/>
    <w:p w:rsidR="00000000" w:rsidRDefault="00000000">
      <w:r>
        <w:t>306.</w:t>
      </w:r>
      <w:r>
        <w:tab/>
        <w:t xml:space="preserve">Принят ряд мер для создания в Швеции более благоприятных условий жизни для лиц пожилого возраста.  С 2002 года проводится индексация пенсий, формирующихся за счет отчислений от дохода.  С этого момента пенсии, формирующиеся за счет отчислений от доходов, выросли на </w:t>
      </w:r>
      <w:proofErr w:type="spellStart"/>
      <w:r>
        <w:t>3,5%</w:t>
      </w:r>
      <w:proofErr w:type="spellEnd"/>
      <w:r>
        <w:t xml:space="preserve"> сверх уровня инфляции.  Дотация на жилье пенсионерам неоднократно увеличивалась.  Она выросла с </w:t>
      </w:r>
      <w:proofErr w:type="spellStart"/>
      <w:r>
        <w:t>85%</w:t>
      </w:r>
      <w:proofErr w:type="spellEnd"/>
      <w:r>
        <w:t xml:space="preserve"> от стоимости жилья в 1995 году до </w:t>
      </w:r>
      <w:proofErr w:type="spellStart"/>
      <w:r>
        <w:t>93%</w:t>
      </w:r>
      <w:proofErr w:type="spellEnd"/>
      <w:r>
        <w:t xml:space="preserve"> в 2005 году.  Пособие по уходу за престарелыми, не получающими пенсию или получающими недостаточно высокую пенсию, было введено в 2004 году.  В 2003 году была отменена проверка на предмет нуждаемости для целей получения пенсии в связи с потерей кормильца. </w:t>
      </w:r>
    </w:p>
    <w:p w:rsidR="00000000" w:rsidRDefault="00000000"/>
    <w:p w:rsidR="00000000" w:rsidRDefault="00000000">
      <w:r>
        <w:t>307.</w:t>
      </w:r>
      <w:r>
        <w:tab/>
        <w:t xml:space="preserve">В 2002 году был введен лимит на доплату из собственных средств со стороны лиц пожилого возраста за стоматологический уход.  Эта система вступает в силу в календарном году, когда пациент достигает возраста 65 лет.  В ходе одного раунда стоматологического ухода сумма, которую пациент может израсходовать на эти цели из собственного дохода, ограничивается 7 700 шведских крон и покрывает такие операции, как установка коронок, мостов, </w:t>
      </w:r>
      <w:proofErr w:type="spellStart"/>
      <w:r>
        <w:t>имплантантов</w:t>
      </w:r>
      <w:proofErr w:type="spellEnd"/>
      <w:r>
        <w:t xml:space="preserve"> и протезов.</w:t>
      </w:r>
    </w:p>
    <w:p w:rsidR="00000000" w:rsidRDefault="00000000"/>
    <w:p w:rsidR="00000000" w:rsidRDefault="00000000">
      <w:r>
        <w:t>308.</w:t>
      </w:r>
      <w:r>
        <w:tab/>
        <w:t xml:space="preserve">В 2002 году была введена максимальная ставка сбора за уход за престарелыми и инвалидами до нижнего предела системы ухода за лицами пожилого возраста. </w:t>
      </w:r>
    </w:p>
    <w:p w:rsidR="00000000" w:rsidRDefault="00000000"/>
    <w:p w:rsidR="00000000" w:rsidRDefault="00000000">
      <w:r>
        <w:t>309.</w:t>
      </w:r>
      <w:r>
        <w:tab/>
        <w:t xml:space="preserve">С 1995 года уровень материального положения пенсионеров вырос на </w:t>
      </w:r>
      <w:proofErr w:type="spellStart"/>
      <w:r>
        <w:t>18%</w:t>
      </w:r>
      <w:proofErr w:type="spellEnd"/>
      <w:r>
        <w:t>.</w:t>
      </w:r>
    </w:p>
    <w:p w:rsidR="00000000" w:rsidRDefault="00000000">
      <w:pPr>
        <w:rPr>
          <w:b/>
          <w:bCs/>
          <w:i/>
          <w:iCs/>
        </w:rPr>
      </w:pPr>
    </w:p>
    <w:p w:rsidR="00000000" w:rsidRDefault="00000000">
      <w:pPr>
        <w:rPr>
          <w:b/>
          <w:bCs/>
        </w:rPr>
      </w:pPr>
      <w:r>
        <w:rPr>
          <w:b/>
          <w:bCs/>
          <w:i/>
          <w:iCs/>
        </w:rPr>
        <w:t>Инвалиды</w:t>
      </w:r>
    </w:p>
    <w:p w:rsidR="00000000" w:rsidRDefault="00000000"/>
    <w:p w:rsidR="00000000" w:rsidRDefault="00000000">
      <w:pPr>
        <w:rPr>
          <w:sz w:val="22"/>
        </w:rPr>
      </w:pPr>
      <w:r>
        <w:t>310.</w:t>
      </w:r>
      <w:r>
        <w:tab/>
        <w:t xml:space="preserve">Число лиц, получающих помощь по </w:t>
      </w:r>
      <w:proofErr w:type="spellStart"/>
      <w:r>
        <w:t>ЛСС</w:t>
      </w:r>
      <w:proofErr w:type="spellEnd"/>
      <w:r>
        <w:t xml:space="preserve"> (Закон о поддержке и обслуживании лиц с определенными функциональными недостатками (1993:387)) при наличии индивидуального плана и личного представителя на период 1999-2004 годов, показано в таблице ниже.</w:t>
      </w:r>
    </w:p>
    <w:p w:rsidR="00000000" w:rsidRDefault="00000000">
      <w:pPr>
        <w:rPr>
          <w:sz w:val="22"/>
        </w:rPr>
      </w:pPr>
    </w:p>
    <w:p w:rsidR="00000000" w:rsidRDefault="00000000">
      <w:pPr>
        <w:jc w:val="center"/>
        <w:rPr>
          <w:b/>
          <w:bCs/>
          <w:sz w:val="22"/>
        </w:rPr>
      </w:pPr>
      <w:r>
        <w:rPr>
          <w:b/>
          <w:bCs/>
          <w:sz w:val="22"/>
        </w:rPr>
        <w:br w:type="page"/>
        <w:t>Таблица 11.3</w:t>
      </w:r>
    </w:p>
    <w:p w:rsidR="00000000" w:rsidRDefault="00000000">
      <w:pPr>
        <w:jc w:val="center"/>
        <w:rPr>
          <w:b/>
          <w:bCs/>
          <w:sz w:val="22"/>
        </w:rPr>
      </w:pPr>
    </w:p>
    <w:p w:rsidR="00000000" w:rsidRDefault="00000000">
      <w:pPr>
        <w:jc w:val="center"/>
        <w:rPr>
          <w:b/>
          <w:bCs/>
          <w:sz w:val="22"/>
        </w:rPr>
      </w:pPr>
      <w:r>
        <w:rPr>
          <w:b/>
          <w:bCs/>
          <w:sz w:val="22"/>
        </w:rPr>
        <w:t xml:space="preserve">Помощь согласно Закону о поддержке и обслуживании лиц </w:t>
      </w:r>
    </w:p>
    <w:p w:rsidR="00000000" w:rsidRDefault="00000000">
      <w:pPr>
        <w:jc w:val="center"/>
        <w:rPr>
          <w:b/>
          <w:bCs/>
          <w:sz w:val="22"/>
        </w:rPr>
      </w:pPr>
      <w:r>
        <w:rPr>
          <w:b/>
          <w:bCs/>
          <w:sz w:val="22"/>
        </w:rPr>
        <w:t>с определенными функциональными недостатками</w:t>
      </w:r>
    </w:p>
    <w:p w:rsidR="00000000" w:rsidRDefault="00000000">
      <w:pPr>
        <w:rPr>
          <w:b/>
          <w:bCs/>
          <w:sz w:val="22"/>
        </w:rPr>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97"/>
        <w:gridCol w:w="936"/>
        <w:gridCol w:w="930"/>
        <w:gridCol w:w="930"/>
        <w:gridCol w:w="930"/>
        <w:gridCol w:w="1627"/>
      </w:tblGrid>
      <w:tr w:rsidR="00000000">
        <w:tblPrEx>
          <w:tblCellMar>
            <w:top w:w="0" w:type="dxa"/>
            <w:bottom w:w="0" w:type="dxa"/>
          </w:tblCellMar>
        </w:tblPrEx>
        <w:trPr>
          <w:cantSplit/>
        </w:trPr>
        <w:tc>
          <w:tcPr>
            <w:tcW w:w="2167" w:type="pct"/>
            <w:vMerge w:val="restart"/>
            <w:vAlign w:val="center"/>
          </w:tcPr>
          <w:p w:rsidR="00000000" w:rsidRDefault="00000000">
            <w:pPr>
              <w:jc w:val="center"/>
              <w:rPr>
                <w:b/>
                <w:bCs/>
                <w:sz w:val="22"/>
                <w:szCs w:val="24"/>
              </w:rPr>
            </w:pPr>
            <w:r>
              <w:rPr>
                <w:b/>
                <w:bCs/>
                <w:sz w:val="22"/>
                <w:szCs w:val="24"/>
              </w:rPr>
              <w:t>Вид помощи</w:t>
            </w:r>
          </w:p>
        </w:tc>
        <w:tc>
          <w:tcPr>
            <w:tcW w:w="495" w:type="pct"/>
            <w:vMerge w:val="restart"/>
            <w:vAlign w:val="center"/>
          </w:tcPr>
          <w:p w:rsidR="00000000" w:rsidRDefault="00000000">
            <w:pPr>
              <w:ind w:right="113"/>
              <w:jc w:val="center"/>
              <w:rPr>
                <w:b/>
                <w:bCs/>
                <w:sz w:val="22"/>
                <w:szCs w:val="24"/>
              </w:rPr>
            </w:pPr>
            <w:r>
              <w:rPr>
                <w:b/>
                <w:bCs/>
                <w:sz w:val="22"/>
                <w:szCs w:val="24"/>
              </w:rPr>
              <w:t>1999</w:t>
            </w:r>
          </w:p>
        </w:tc>
        <w:tc>
          <w:tcPr>
            <w:tcW w:w="492" w:type="pct"/>
            <w:vMerge w:val="restart"/>
            <w:vAlign w:val="center"/>
          </w:tcPr>
          <w:p w:rsidR="00000000" w:rsidRDefault="00000000">
            <w:pPr>
              <w:ind w:right="113"/>
              <w:jc w:val="center"/>
              <w:rPr>
                <w:b/>
                <w:bCs/>
                <w:sz w:val="22"/>
                <w:szCs w:val="24"/>
              </w:rPr>
            </w:pPr>
            <w:r>
              <w:rPr>
                <w:b/>
                <w:bCs/>
                <w:sz w:val="22"/>
                <w:szCs w:val="24"/>
              </w:rPr>
              <w:t>2002</w:t>
            </w:r>
          </w:p>
        </w:tc>
        <w:tc>
          <w:tcPr>
            <w:tcW w:w="492" w:type="pct"/>
            <w:vMerge w:val="restart"/>
            <w:vAlign w:val="center"/>
          </w:tcPr>
          <w:p w:rsidR="00000000" w:rsidRDefault="00000000">
            <w:pPr>
              <w:ind w:right="113"/>
              <w:jc w:val="center"/>
              <w:rPr>
                <w:b/>
                <w:bCs/>
                <w:sz w:val="22"/>
                <w:szCs w:val="24"/>
              </w:rPr>
            </w:pPr>
            <w:r>
              <w:rPr>
                <w:b/>
                <w:bCs/>
                <w:sz w:val="22"/>
                <w:szCs w:val="24"/>
              </w:rPr>
              <w:t>2003</w:t>
            </w:r>
          </w:p>
        </w:tc>
        <w:tc>
          <w:tcPr>
            <w:tcW w:w="492" w:type="pct"/>
            <w:vMerge w:val="restart"/>
            <w:vAlign w:val="center"/>
          </w:tcPr>
          <w:p w:rsidR="00000000" w:rsidRDefault="00000000">
            <w:pPr>
              <w:ind w:right="113"/>
              <w:jc w:val="center"/>
              <w:rPr>
                <w:b/>
                <w:bCs/>
                <w:sz w:val="22"/>
                <w:szCs w:val="24"/>
              </w:rPr>
            </w:pPr>
            <w:r>
              <w:rPr>
                <w:b/>
                <w:bCs/>
                <w:sz w:val="22"/>
                <w:szCs w:val="24"/>
              </w:rPr>
              <w:t>2004</w:t>
            </w:r>
          </w:p>
        </w:tc>
        <w:tc>
          <w:tcPr>
            <w:tcW w:w="861" w:type="pct"/>
          </w:tcPr>
          <w:p w:rsidR="00000000" w:rsidRDefault="00000000">
            <w:pPr>
              <w:jc w:val="center"/>
              <w:rPr>
                <w:b/>
                <w:bCs/>
                <w:sz w:val="22"/>
                <w:szCs w:val="24"/>
              </w:rPr>
            </w:pPr>
            <w:r>
              <w:rPr>
                <w:b/>
                <w:bCs/>
                <w:sz w:val="22"/>
                <w:szCs w:val="24"/>
              </w:rPr>
              <w:t>Изменения</w:t>
            </w:r>
          </w:p>
        </w:tc>
      </w:tr>
      <w:tr w:rsidR="00000000">
        <w:tblPrEx>
          <w:tblCellMar>
            <w:top w:w="0" w:type="dxa"/>
            <w:bottom w:w="0" w:type="dxa"/>
          </w:tblCellMar>
        </w:tblPrEx>
        <w:trPr>
          <w:cantSplit/>
        </w:trPr>
        <w:tc>
          <w:tcPr>
            <w:tcW w:w="2167" w:type="pct"/>
            <w:vMerge/>
          </w:tcPr>
          <w:p w:rsidR="00000000" w:rsidRDefault="00000000">
            <w:pPr>
              <w:rPr>
                <w:b/>
                <w:bCs/>
                <w:sz w:val="22"/>
                <w:szCs w:val="24"/>
              </w:rPr>
            </w:pPr>
          </w:p>
        </w:tc>
        <w:tc>
          <w:tcPr>
            <w:tcW w:w="495" w:type="pct"/>
            <w:vMerge/>
          </w:tcPr>
          <w:p w:rsidR="00000000" w:rsidRDefault="00000000">
            <w:pPr>
              <w:ind w:right="113"/>
              <w:jc w:val="right"/>
              <w:rPr>
                <w:b/>
                <w:bCs/>
                <w:sz w:val="22"/>
                <w:szCs w:val="24"/>
              </w:rPr>
            </w:pPr>
          </w:p>
        </w:tc>
        <w:tc>
          <w:tcPr>
            <w:tcW w:w="492" w:type="pct"/>
            <w:vMerge/>
          </w:tcPr>
          <w:p w:rsidR="00000000" w:rsidRDefault="00000000">
            <w:pPr>
              <w:ind w:right="113"/>
              <w:jc w:val="right"/>
              <w:rPr>
                <w:b/>
                <w:bCs/>
                <w:sz w:val="22"/>
                <w:szCs w:val="24"/>
              </w:rPr>
            </w:pPr>
          </w:p>
        </w:tc>
        <w:tc>
          <w:tcPr>
            <w:tcW w:w="492" w:type="pct"/>
            <w:vMerge/>
          </w:tcPr>
          <w:p w:rsidR="00000000" w:rsidRDefault="00000000">
            <w:pPr>
              <w:ind w:right="113"/>
              <w:jc w:val="right"/>
              <w:rPr>
                <w:b/>
                <w:bCs/>
                <w:sz w:val="22"/>
                <w:szCs w:val="24"/>
              </w:rPr>
            </w:pPr>
          </w:p>
        </w:tc>
        <w:tc>
          <w:tcPr>
            <w:tcW w:w="492" w:type="pct"/>
            <w:vMerge/>
          </w:tcPr>
          <w:p w:rsidR="00000000" w:rsidRDefault="00000000">
            <w:pPr>
              <w:ind w:right="113"/>
              <w:jc w:val="right"/>
              <w:rPr>
                <w:b/>
                <w:bCs/>
                <w:sz w:val="22"/>
                <w:szCs w:val="24"/>
              </w:rPr>
            </w:pPr>
          </w:p>
        </w:tc>
        <w:tc>
          <w:tcPr>
            <w:tcW w:w="861" w:type="pct"/>
          </w:tcPr>
          <w:p w:rsidR="00000000" w:rsidRDefault="00000000">
            <w:pPr>
              <w:jc w:val="center"/>
              <w:rPr>
                <w:b/>
                <w:bCs/>
                <w:sz w:val="22"/>
                <w:szCs w:val="24"/>
              </w:rPr>
            </w:pPr>
            <w:r>
              <w:rPr>
                <w:b/>
                <w:bCs/>
                <w:sz w:val="22"/>
                <w:szCs w:val="24"/>
              </w:rPr>
              <w:t>1999-2004</w:t>
            </w:r>
          </w:p>
        </w:tc>
      </w:tr>
      <w:tr w:rsidR="00000000">
        <w:tblPrEx>
          <w:tblCellMar>
            <w:top w:w="0" w:type="dxa"/>
            <w:bottom w:w="0" w:type="dxa"/>
          </w:tblCellMar>
        </w:tblPrEx>
        <w:tc>
          <w:tcPr>
            <w:tcW w:w="2167" w:type="pct"/>
          </w:tcPr>
          <w:p w:rsidR="00000000" w:rsidRDefault="00000000">
            <w:pPr>
              <w:rPr>
                <w:sz w:val="22"/>
                <w:szCs w:val="24"/>
              </w:rPr>
            </w:pPr>
            <w:r>
              <w:rPr>
                <w:sz w:val="22"/>
                <w:szCs w:val="24"/>
              </w:rPr>
              <w:t>Дневной уход</w:t>
            </w:r>
          </w:p>
        </w:tc>
        <w:tc>
          <w:tcPr>
            <w:tcW w:w="495" w:type="pct"/>
          </w:tcPr>
          <w:p w:rsidR="00000000" w:rsidRDefault="00000000">
            <w:pPr>
              <w:tabs>
                <w:tab w:val="clear" w:pos="567"/>
              </w:tabs>
              <w:ind w:right="151"/>
              <w:jc w:val="right"/>
              <w:rPr>
                <w:sz w:val="22"/>
                <w:szCs w:val="24"/>
              </w:rPr>
            </w:pPr>
            <w:r>
              <w:rPr>
                <w:sz w:val="22"/>
                <w:szCs w:val="24"/>
              </w:rPr>
              <w:t>19 800</w:t>
            </w:r>
          </w:p>
        </w:tc>
        <w:tc>
          <w:tcPr>
            <w:tcW w:w="492" w:type="pct"/>
          </w:tcPr>
          <w:p w:rsidR="00000000" w:rsidRDefault="00000000">
            <w:pPr>
              <w:tabs>
                <w:tab w:val="clear" w:pos="567"/>
              </w:tabs>
              <w:ind w:right="151"/>
              <w:jc w:val="right"/>
              <w:rPr>
                <w:sz w:val="22"/>
                <w:szCs w:val="24"/>
              </w:rPr>
            </w:pPr>
            <w:r>
              <w:rPr>
                <w:sz w:val="22"/>
                <w:szCs w:val="24"/>
              </w:rPr>
              <w:t>21 700</w:t>
            </w:r>
          </w:p>
        </w:tc>
        <w:tc>
          <w:tcPr>
            <w:tcW w:w="492" w:type="pct"/>
          </w:tcPr>
          <w:p w:rsidR="00000000" w:rsidRDefault="00000000">
            <w:pPr>
              <w:tabs>
                <w:tab w:val="clear" w:pos="567"/>
              </w:tabs>
              <w:ind w:right="113"/>
              <w:jc w:val="right"/>
              <w:rPr>
                <w:sz w:val="22"/>
                <w:szCs w:val="24"/>
              </w:rPr>
            </w:pPr>
            <w:r>
              <w:rPr>
                <w:sz w:val="22"/>
                <w:szCs w:val="24"/>
              </w:rPr>
              <w:t>23 200</w:t>
            </w:r>
          </w:p>
        </w:tc>
        <w:tc>
          <w:tcPr>
            <w:tcW w:w="492" w:type="pct"/>
          </w:tcPr>
          <w:p w:rsidR="00000000" w:rsidRDefault="00000000">
            <w:pPr>
              <w:tabs>
                <w:tab w:val="clear" w:pos="567"/>
              </w:tabs>
              <w:ind w:right="113"/>
              <w:jc w:val="right"/>
              <w:rPr>
                <w:sz w:val="22"/>
                <w:szCs w:val="24"/>
              </w:rPr>
            </w:pPr>
            <w:r>
              <w:rPr>
                <w:sz w:val="22"/>
                <w:szCs w:val="24"/>
              </w:rPr>
              <w:t>24 100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22%</w:t>
            </w:r>
            <w:proofErr w:type="spellEnd"/>
          </w:p>
        </w:tc>
      </w:tr>
      <w:tr w:rsidR="00000000">
        <w:tblPrEx>
          <w:tblCellMar>
            <w:top w:w="0" w:type="dxa"/>
            <w:bottom w:w="0" w:type="dxa"/>
          </w:tblCellMar>
        </w:tblPrEx>
        <w:tc>
          <w:tcPr>
            <w:tcW w:w="2167" w:type="pct"/>
          </w:tcPr>
          <w:p w:rsidR="00000000" w:rsidRDefault="00000000">
            <w:pPr>
              <w:rPr>
                <w:sz w:val="22"/>
                <w:szCs w:val="24"/>
              </w:rPr>
            </w:pPr>
            <w:r>
              <w:rPr>
                <w:sz w:val="22"/>
                <w:szCs w:val="24"/>
              </w:rPr>
              <w:t>Жилье для взрослого лица</w:t>
            </w:r>
          </w:p>
        </w:tc>
        <w:tc>
          <w:tcPr>
            <w:tcW w:w="495" w:type="pct"/>
          </w:tcPr>
          <w:p w:rsidR="00000000" w:rsidRDefault="00000000">
            <w:pPr>
              <w:tabs>
                <w:tab w:val="clear" w:pos="567"/>
              </w:tabs>
              <w:ind w:right="151"/>
              <w:jc w:val="right"/>
              <w:rPr>
                <w:sz w:val="22"/>
                <w:szCs w:val="24"/>
              </w:rPr>
            </w:pPr>
            <w:r>
              <w:rPr>
                <w:sz w:val="22"/>
                <w:szCs w:val="24"/>
              </w:rPr>
              <w:t>16 500</w:t>
            </w:r>
          </w:p>
        </w:tc>
        <w:tc>
          <w:tcPr>
            <w:tcW w:w="492" w:type="pct"/>
          </w:tcPr>
          <w:p w:rsidR="00000000" w:rsidRDefault="00000000">
            <w:pPr>
              <w:tabs>
                <w:tab w:val="clear" w:pos="567"/>
              </w:tabs>
              <w:ind w:right="151"/>
              <w:jc w:val="right"/>
              <w:rPr>
                <w:sz w:val="22"/>
                <w:szCs w:val="24"/>
              </w:rPr>
            </w:pPr>
            <w:r>
              <w:rPr>
                <w:sz w:val="22"/>
                <w:szCs w:val="24"/>
              </w:rPr>
              <w:t>18 000</w:t>
            </w:r>
          </w:p>
        </w:tc>
        <w:tc>
          <w:tcPr>
            <w:tcW w:w="492" w:type="pct"/>
          </w:tcPr>
          <w:p w:rsidR="00000000" w:rsidRDefault="00000000">
            <w:pPr>
              <w:tabs>
                <w:tab w:val="clear" w:pos="567"/>
              </w:tabs>
              <w:ind w:right="113"/>
              <w:jc w:val="right"/>
              <w:rPr>
                <w:sz w:val="22"/>
                <w:szCs w:val="24"/>
              </w:rPr>
            </w:pPr>
            <w:r>
              <w:rPr>
                <w:sz w:val="22"/>
                <w:szCs w:val="24"/>
              </w:rPr>
              <w:t>19 000</w:t>
            </w:r>
          </w:p>
        </w:tc>
        <w:tc>
          <w:tcPr>
            <w:tcW w:w="492" w:type="pct"/>
          </w:tcPr>
          <w:p w:rsidR="00000000" w:rsidRDefault="00000000">
            <w:pPr>
              <w:tabs>
                <w:tab w:val="clear" w:pos="567"/>
              </w:tabs>
              <w:ind w:right="113"/>
              <w:jc w:val="right"/>
              <w:rPr>
                <w:sz w:val="22"/>
                <w:szCs w:val="24"/>
              </w:rPr>
            </w:pPr>
            <w:r>
              <w:rPr>
                <w:sz w:val="22"/>
                <w:szCs w:val="24"/>
              </w:rPr>
              <w:t>19 800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20%</w:t>
            </w:r>
            <w:proofErr w:type="spellEnd"/>
          </w:p>
        </w:tc>
      </w:tr>
      <w:tr w:rsidR="00000000">
        <w:tblPrEx>
          <w:tblCellMar>
            <w:top w:w="0" w:type="dxa"/>
            <w:bottom w:w="0" w:type="dxa"/>
          </w:tblCellMar>
        </w:tblPrEx>
        <w:tc>
          <w:tcPr>
            <w:tcW w:w="2167" w:type="pct"/>
          </w:tcPr>
          <w:p w:rsidR="00000000" w:rsidRDefault="00000000">
            <w:pPr>
              <w:rPr>
                <w:sz w:val="22"/>
                <w:szCs w:val="24"/>
              </w:rPr>
            </w:pPr>
            <w:r>
              <w:rPr>
                <w:sz w:val="22"/>
                <w:szCs w:val="24"/>
              </w:rPr>
              <w:t>Контактное лицо</w:t>
            </w:r>
          </w:p>
        </w:tc>
        <w:tc>
          <w:tcPr>
            <w:tcW w:w="495" w:type="pct"/>
          </w:tcPr>
          <w:p w:rsidR="00000000" w:rsidRDefault="00000000">
            <w:pPr>
              <w:tabs>
                <w:tab w:val="clear" w:pos="567"/>
              </w:tabs>
              <w:ind w:right="151"/>
              <w:jc w:val="right"/>
              <w:rPr>
                <w:sz w:val="22"/>
                <w:szCs w:val="24"/>
              </w:rPr>
            </w:pPr>
            <w:r>
              <w:rPr>
                <w:sz w:val="22"/>
                <w:szCs w:val="24"/>
              </w:rPr>
              <w:t>13 400</w:t>
            </w:r>
          </w:p>
        </w:tc>
        <w:tc>
          <w:tcPr>
            <w:tcW w:w="492" w:type="pct"/>
          </w:tcPr>
          <w:p w:rsidR="00000000" w:rsidRDefault="00000000">
            <w:pPr>
              <w:tabs>
                <w:tab w:val="clear" w:pos="567"/>
              </w:tabs>
              <w:ind w:right="151"/>
              <w:jc w:val="right"/>
              <w:rPr>
                <w:sz w:val="22"/>
                <w:szCs w:val="24"/>
              </w:rPr>
            </w:pPr>
            <w:r>
              <w:rPr>
                <w:sz w:val="22"/>
                <w:szCs w:val="24"/>
              </w:rPr>
              <w:t>14 500</w:t>
            </w:r>
          </w:p>
        </w:tc>
        <w:tc>
          <w:tcPr>
            <w:tcW w:w="492" w:type="pct"/>
          </w:tcPr>
          <w:p w:rsidR="00000000" w:rsidRDefault="00000000">
            <w:pPr>
              <w:tabs>
                <w:tab w:val="clear" w:pos="567"/>
              </w:tabs>
              <w:ind w:right="113"/>
              <w:jc w:val="right"/>
              <w:rPr>
                <w:sz w:val="22"/>
                <w:szCs w:val="24"/>
              </w:rPr>
            </w:pPr>
            <w:r>
              <w:rPr>
                <w:sz w:val="22"/>
                <w:szCs w:val="24"/>
              </w:rPr>
              <w:t>15 200</w:t>
            </w:r>
          </w:p>
        </w:tc>
        <w:tc>
          <w:tcPr>
            <w:tcW w:w="492" w:type="pct"/>
          </w:tcPr>
          <w:p w:rsidR="00000000" w:rsidRDefault="00000000">
            <w:pPr>
              <w:tabs>
                <w:tab w:val="clear" w:pos="567"/>
              </w:tabs>
              <w:ind w:right="113"/>
              <w:jc w:val="right"/>
              <w:rPr>
                <w:sz w:val="22"/>
                <w:szCs w:val="24"/>
              </w:rPr>
            </w:pPr>
            <w:r>
              <w:rPr>
                <w:sz w:val="22"/>
                <w:szCs w:val="24"/>
              </w:rPr>
              <w:t>16 100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20%</w:t>
            </w:r>
            <w:proofErr w:type="spellEnd"/>
          </w:p>
        </w:tc>
      </w:tr>
      <w:tr w:rsidR="00000000">
        <w:tblPrEx>
          <w:tblCellMar>
            <w:top w:w="0" w:type="dxa"/>
            <w:bottom w:w="0" w:type="dxa"/>
          </w:tblCellMar>
        </w:tblPrEx>
        <w:tc>
          <w:tcPr>
            <w:tcW w:w="2167" w:type="pct"/>
          </w:tcPr>
          <w:p w:rsidR="00000000" w:rsidRDefault="00000000">
            <w:pPr>
              <w:rPr>
                <w:sz w:val="22"/>
                <w:szCs w:val="24"/>
              </w:rPr>
            </w:pPr>
            <w:r>
              <w:rPr>
                <w:sz w:val="22"/>
                <w:szCs w:val="24"/>
              </w:rPr>
              <w:t>Краткосрочное пребывание в учреждении</w:t>
            </w:r>
          </w:p>
        </w:tc>
        <w:tc>
          <w:tcPr>
            <w:tcW w:w="495" w:type="pct"/>
          </w:tcPr>
          <w:p w:rsidR="00000000" w:rsidRDefault="00000000">
            <w:pPr>
              <w:tabs>
                <w:tab w:val="clear" w:pos="567"/>
              </w:tabs>
              <w:ind w:right="151"/>
              <w:jc w:val="right"/>
              <w:rPr>
                <w:sz w:val="22"/>
                <w:szCs w:val="24"/>
              </w:rPr>
            </w:pPr>
            <w:r>
              <w:rPr>
                <w:sz w:val="22"/>
                <w:szCs w:val="24"/>
              </w:rPr>
              <w:t>9 400</w:t>
            </w:r>
          </w:p>
        </w:tc>
        <w:tc>
          <w:tcPr>
            <w:tcW w:w="492" w:type="pct"/>
          </w:tcPr>
          <w:p w:rsidR="00000000" w:rsidRDefault="00000000">
            <w:pPr>
              <w:tabs>
                <w:tab w:val="clear" w:pos="567"/>
              </w:tabs>
              <w:ind w:right="151"/>
              <w:jc w:val="right"/>
              <w:rPr>
                <w:sz w:val="22"/>
                <w:szCs w:val="24"/>
              </w:rPr>
            </w:pPr>
            <w:r>
              <w:rPr>
                <w:sz w:val="22"/>
                <w:szCs w:val="24"/>
              </w:rPr>
              <w:t>9 900</w:t>
            </w:r>
          </w:p>
        </w:tc>
        <w:tc>
          <w:tcPr>
            <w:tcW w:w="492" w:type="pct"/>
          </w:tcPr>
          <w:p w:rsidR="00000000" w:rsidRDefault="00000000">
            <w:pPr>
              <w:tabs>
                <w:tab w:val="clear" w:pos="567"/>
              </w:tabs>
              <w:ind w:right="113"/>
              <w:jc w:val="right"/>
              <w:rPr>
                <w:sz w:val="22"/>
                <w:szCs w:val="24"/>
              </w:rPr>
            </w:pPr>
            <w:r>
              <w:rPr>
                <w:sz w:val="22"/>
                <w:szCs w:val="24"/>
              </w:rPr>
              <w:t>10 400</w:t>
            </w:r>
          </w:p>
        </w:tc>
        <w:tc>
          <w:tcPr>
            <w:tcW w:w="492" w:type="pct"/>
          </w:tcPr>
          <w:p w:rsidR="00000000" w:rsidRDefault="00000000">
            <w:pPr>
              <w:tabs>
                <w:tab w:val="clear" w:pos="567"/>
              </w:tabs>
              <w:ind w:right="113"/>
              <w:jc w:val="right"/>
              <w:rPr>
                <w:sz w:val="22"/>
                <w:szCs w:val="24"/>
              </w:rPr>
            </w:pPr>
            <w:r>
              <w:rPr>
                <w:sz w:val="22"/>
                <w:szCs w:val="24"/>
              </w:rPr>
              <w:t>10 500</w:t>
            </w:r>
          </w:p>
        </w:tc>
        <w:tc>
          <w:tcPr>
            <w:tcW w:w="861" w:type="pct"/>
          </w:tcPr>
          <w:p w:rsidR="00000000" w:rsidRDefault="00000000">
            <w:pPr>
              <w:tabs>
                <w:tab w:val="clear" w:pos="1134"/>
              </w:tabs>
              <w:ind w:right="491"/>
              <w:jc w:val="right"/>
              <w:rPr>
                <w:sz w:val="22"/>
                <w:szCs w:val="24"/>
              </w:rPr>
            </w:pPr>
            <w:r>
              <w:rPr>
                <w:sz w:val="22"/>
                <w:szCs w:val="24"/>
              </w:rPr>
              <w:t>+12%</w:t>
            </w:r>
          </w:p>
        </w:tc>
      </w:tr>
      <w:tr w:rsidR="00000000">
        <w:tblPrEx>
          <w:tblCellMar>
            <w:top w:w="0" w:type="dxa"/>
            <w:bottom w:w="0" w:type="dxa"/>
          </w:tblCellMar>
        </w:tblPrEx>
        <w:tc>
          <w:tcPr>
            <w:tcW w:w="2167" w:type="pct"/>
          </w:tcPr>
          <w:p w:rsidR="00000000" w:rsidRDefault="00000000">
            <w:pPr>
              <w:rPr>
                <w:sz w:val="22"/>
                <w:szCs w:val="24"/>
              </w:rPr>
            </w:pPr>
            <w:r>
              <w:rPr>
                <w:sz w:val="22"/>
                <w:szCs w:val="24"/>
              </w:rPr>
              <w:t>Консультирование и поддержка</w:t>
            </w:r>
          </w:p>
        </w:tc>
        <w:tc>
          <w:tcPr>
            <w:tcW w:w="495" w:type="pct"/>
          </w:tcPr>
          <w:p w:rsidR="00000000" w:rsidRDefault="00000000">
            <w:pPr>
              <w:tabs>
                <w:tab w:val="clear" w:pos="567"/>
              </w:tabs>
              <w:ind w:right="151"/>
              <w:jc w:val="right"/>
              <w:rPr>
                <w:sz w:val="22"/>
                <w:szCs w:val="24"/>
              </w:rPr>
            </w:pPr>
            <w:r>
              <w:rPr>
                <w:sz w:val="22"/>
                <w:szCs w:val="24"/>
              </w:rPr>
              <w:t>18 600</w:t>
            </w:r>
          </w:p>
        </w:tc>
        <w:tc>
          <w:tcPr>
            <w:tcW w:w="492" w:type="pct"/>
          </w:tcPr>
          <w:p w:rsidR="00000000" w:rsidRDefault="00000000">
            <w:pPr>
              <w:tabs>
                <w:tab w:val="clear" w:pos="567"/>
              </w:tabs>
              <w:ind w:right="151"/>
              <w:jc w:val="right"/>
              <w:rPr>
                <w:sz w:val="22"/>
                <w:szCs w:val="24"/>
              </w:rPr>
            </w:pPr>
            <w:r>
              <w:rPr>
                <w:sz w:val="22"/>
                <w:szCs w:val="24"/>
              </w:rPr>
              <w:t>11 900</w:t>
            </w:r>
          </w:p>
        </w:tc>
        <w:tc>
          <w:tcPr>
            <w:tcW w:w="492" w:type="pct"/>
          </w:tcPr>
          <w:p w:rsidR="00000000" w:rsidRDefault="00000000">
            <w:pPr>
              <w:tabs>
                <w:tab w:val="clear" w:pos="567"/>
              </w:tabs>
              <w:ind w:right="113"/>
              <w:jc w:val="right"/>
              <w:rPr>
                <w:sz w:val="22"/>
                <w:szCs w:val="24"/>
              </w:rPr>
            </w:pPr>
            <w:r>
              <w:rPr>
                <w:sz w:val="22"/>
                <w:szCs w:val="24"/>
              </w:rPr>
              <w:t>11 700</w:t>
            </w:r>
          </w:p>
        </w:tc>
        <w:tc>
          <w:tcPr>
            <w:tcW w:w="492" w:type="pct"/>
          </w:tcPr>
          <w:p w:rsidR="00000000" w:rsidRDefault="00000000">
            <w:pPr>
              <w:tabs>
                <w:tab w:val="clear" w:pos="567"/>
              </w:tabs>
              <w:ind w:right="113"/>
              <w:jc w:val="right"/>
              <w:rPr>
                <w:sz w:val="22"/>
                <w:szCs w:val="24"/>
              </w:rPr>
            </w:pPr>
            <w:r>
              <w:rPr>
                <w:sz w:val="22"/>
                <w:szCs w:val="24"/>
              </w:rPr>
              <w:t>10 400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44%</w:t>
            </w:r>
            <w:proofErr w:type="spellEnd"/>
          </w:p>
        </w:tc>
      </w:tr>
      <w:tr w:rsidR="00000000">
        <w:tblPrEx>
          <w:tblCellMar>
            <w:top w:w="0" w:type="dxa"/>
            <w:bottom w:w="0" w:type="dxa"/>
          </w:tblCellMar>
        </w:tblPrEx>
        <w:tc>
          <w:tcPr>
            <w:tcW w:w="2167" w:type="pct"/>
          </w:tcPr>
          <w:p w:rsidR="00000000" w:rsidRDefault="00000000">
            <w:pPr>
              <w:rPr>
                <w:sz w:val="22"/>
                <w:szCs w:val="24"/>
              </w:rPr>
            </w:pPr>
            <w:r>
              <w:rPr>
                <w:sz w:val="22"/>
                <w:szCs w:val="24"/>
              </w:rPr>
              <w:t>Сиделка</w:t>
            </w:r>
          </w:p>
        </w:tc>
        <w:tc>
          <w:tcPr>
            <w:tcW w:w="495" w:type="pct"/>
          </w:tcPr>
          <w:p w:rsidR="00000000" w:rsidRDefault="00000000">
            <w:pPr>
              <w:tabs>
                <w:tab w:val="clear" w:pos="567"/>
              </w:tabs>
              <w:ind w:right="151"/>
              <w:jc w:val="right"/>
              <w:rPr>
                <w:sz w:val="22"/>
                <w:szCs w:val="24"/>
              </w:rPr>
            </w:pPr>
            <w:r>
              <w:rPr>
                <w:sz w:val="22"/>
                <w:szCs w:val="24"/>
              </w:rPr>
              <w:t>7 400</w:t>
            </w:r>
          </w:p>
        </w:tc>
        <w:tc>
          <w:tcPr>
            <w:tcW w:w="492" w:type="pct"/>
          </w:tcPr>
          <w:p w:rsidR="00000000" w:rsidRDefault="00000000">
            <w:pPr>
              <w:tabs>
                <w:tab w:val="clear" w:pos="567"/>
              </w:tabs>
              <w:ind w:right="151"/>
              <w:jc w:val="right"/>
              <w:rPr>
                <w:sz w:val="22"/>
                <w:szCs w:val="24"/>
              </w:rPr>
            </w:pPr>
            <w:r>
              <w:rPr>
                <w:sz w:val="22"/>
                <w:szCs w:val="24"/>
              </w:rPr>
              <w:t>8 500</w:t>
            </w:r>
          </w:p>
        </w:tc>
        <w:tc>
          <w:tcPr>
            <w:tcW w:w="492" w:type="pct"/>
          </w:tcPr>
          <w:p w:rsidR="00000000" w:rsidRDefault="00000000">
            <w:pPr>
              <w:tabs>
                <w:tab w:val="clear" w:pos="567"/>
              </w:tabs>
              <w:ind w:right="113"/>
              <w:jc w:val="right"/>
              <w:rPr>
                <w:sz w:val="22"/>
                <w:szCs w:val="24"/>
              </w:rPr>
            </w:pPr>
            <w:r>
              <w:rPr>
                <w:sz w:val="22"/>
                <w:szCs w:val="24"/>
              </w:rPr>
              <w:t>9 200</w:t>
            </w:r>
          </w:p>
        </w:tc>
        <w:tc>
          <w:tcPr>
            <w:tcW w:w="492" w:type="pct"/>
          </w:tcPr>
          <w:p w:rsidR="00000000" w:rsidRDefault="00000000">
            <w:pPr>
              <w:tabs>
                <w:tab w:val="clear" w:pos="567"/>
              </w:tabs>
              <w:ind w:right="113"/>
              <w:jc w:val="right"/>
              <w:rPr>
                <w:sz w:val="22"/>
                <w:szCs w:val="24"/>
              </w:rPr>
            </w:pPr>
            <w:r>
              <w:rPr>
                <w:sz w:val="22"/>
                <w:szCs w:val="24"/>
              </w:rPr>
              <w:t>9 400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27%</w:t>
            </w:r>
            <w:proofErr w:type="spellEnd"/>
          </w:p>
        </w:tc>
      </w:tr>
      <w:tr w:rsidR="00000000">
        <w:tblPrEx>
          <w:tblCellMar>
            <w:top w:w="0" w:type="dxa"/>
            <w:bottom w:w="0" w:type="dxa"/>
          </w:tblCellMar>
        </w:tblPrEx>
        <w:tc>
          <w:tcPr>
            <w:tcW w:w="2167" w:type="pct"/>
          </w:tcPr>
          <w:p w:rsidR="00000000" w:rsidRDefault="00000000">
            <w:pPr>
              <w:rPr>
                <w:sz w:val="22"/>
                <w:szCs w:val="24"/>
              </w:rPr>
            </w:pPr>
            <w:r>
              <w:rPr>
                <w:sz w:val="22"/>
                <w:szCs w:val="24"/>
              </w:rPr>
              <w:t>Личный помощник</w:t>
            </w:r>
          </w:p>
        </w:tc>
        <w:tc>
          <w:tcPr>
            <w:tcW w:w="495" w:type="pct"/>
          </w:tcPr>
          <w:p w:rsidR="00000000" w:rsidRDefault="00000000">
            <w:pPr>
              <w:tabs>
                <w:tab w:val="clear" w:pos="567"/>
              </w:tabs>
              <w:ind w:right="151"/>
              <w:jc w:val="right"/>
              <w:rPr>
                <w:sz w:val="22"/>
                <w:szCs w:val="24"/>
              </w:rPr>
            </w:pPr>
            <w:r>
              <w:rPr>
                <w:sz w:val="22"/>
                <w:szCs w:val="24"/>
              </w:rPr>
              <w:t>4 500</w:t>
            </w:r>
          </w:p>
        </w:tc>
        <w:tc>
          <w:tcPr>
            <w:tcW w:w="492" w:type="pct"/>
          </w:tcPr>
          <w:p w:rsidR="00000000" w:rsidRDefault="00000000">
            <w:pPr>
              <w:tabs>
                <w:tab w:val="clear" w:pos="567"/>
              </w:tabs>
              <w:ind w:right="151"/>
              <w:jc w:val="right"/>
              <w:rPr>
                <w:sz w:val="22"/>
                <w:szCs w:val="24"/>
              </w:rPr>
            </w:pPr>
            <w:r>
              <w:rPr>
                <w:sz w:val="22"/>
                <w:szCs w:val="24"/>
              </w:rPr>
              <w:t>4 300</w:t>
            </w:r>
          </w:p>
        </w:tc>
        <w:tc>
          <w:tcPr>
            <w:tcW w:w="492" w:type="pct"/>
          </w:tcPr>
          <w:p w:rsidR="00000000" w:rsidRDefault="00000000">
            <w:pPr>
              <w:tabs>
                <w:tab w:val="clear" w:pos="567"/>
              </w:tabs>
              <w:ind w:right="113"/>
              <w:jc w:val="right"/>
              <w:rPr>
                <w:sz w:val="22"/>
                <w:szCs w:val="24"/>
              </w:rPr>
            </w:pPr>
            <w:r>
              <w:rPr>
                <w:sz w:val="22"/>
                <w:szCs w:val="24"/>
              </w:rPr>
              <w:t>4 300</w:t>
            </w:r>
          </w:p>
        </w:tc>
        <w:tc>
          <w:tcPr>
            <w:tcW w:w="492" w:type="pct"/>
          </w:tcPr>
          <w:p w:rsidR="00000000" w:rsidRDefault="00000000">
            <w:pPr>
              <w:tabs>
                <w:tab w:val="clear" w:pos="567"/>
              </w:tabs>
              <w:ind w:right="113"/>
              <w:jc w:val="right"/>
              <w:rPr>
                <w:sz w:val="22"/>
                <w:szCs w:val="24"/>
              </w:rPr>
            </w:pPr>
            <w:r>
              <w:rPr>
                <w:sz w:val="22"/>
                <w:szCs w:val="24"/>
              </w:rPr>
              <w:t>3 900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13%</w:t>
            </w:r>
            <w:proofErr w:type="spellEnd"/>
          </w:p>
        </w:tc>
      </w:tr>
      <w:tr w:rsidR="00000000">
        <w:tblPrEx>
          <w:tblCellMar>
            <w:top w:w="0" w:type="dxa"/>
            <w:bottom w:w="0" w:type="dxa"/>
          </w:tblCellMar>
        </w:tblPrEx>
        <w:tc>
          <w:tcPr>
            <w:tcW w:w="2167" w:type="pct"/>
          </w:tcPr>
          <w:p w:rsidR="00000000" w:rsidRDefault="00000000">
            <w:pPr>
              <w:rPr>
                <w:sz w:val="22"/>
                <w:szCs w:val="24"/>
              </w:rPr>
            </w:pPr>
            <w:r>
              <w:rPr>
                <w:sz w:val="22"/>
                <w:szCs w:val="24"/>
              </w:rPr>
              <w:t>Служба облегчения страданий</w:t>
            </w:r>
          </w:p>
        </w:tc>
        <w:tc>
          <w:tcPr>
            <w:tcW w:w="495" w:type="pct"/>
          </w:tcPr>
          <w:p w:rsidR="00000000" w:rsidRDefault="00000000">
            <w:pPr>
              <w:tabs>
                <w:tab w:val="clear" w:pos="567"/>
              </w:tabs>
              <w:ind w:right="151"/>
              <w:jc w:val="right"/>
              <w:rPr>
                <w:sz w:val="22"/>
                <w:szCs w:val="24"/>
              </w:rPr>
            </w:pPr>
            <w:r>
              <w:rPr>
                <w:sz w:val="22"/>
                <w:szCs w:val="24"/>
              </w:rPr>
              <w:t>3 600</w:t>
            </w:r>
          </w:p>
        </w:tc>
        <w:tc>
          <w:tcPr>
            <w:tcW w:w="492" w:type="pct"/>
          </w:tcPr>
          <w:p w:rsidR="00000000" w:rsidRDefault="00000000">
            <w:pPr>
              <w:tabs>
                <w:tab w:val="clear" w:pos="567"/>
              </w:tabs>
              <w:ind w:right="151"/>
              <w:jc w:val="right"/>
              <w:rPr>
                <w:sz w:val="22"/>
                <w:szCs w:val="24"/>
              </w:rPr>
            </w:pPr>
            <w:r>
              <w:rPr>
                <w:sz w:val="22"/>
                <w:szCs w:val="24"/>
              </w:rPr>
              <w:t>3 500</w:t>
            </w:r>
          </w:p>
        </w:tc>
        <w:tc>
          <w:tcPr>
            <w:tcW w:w="492" w:type="pct"/>
          </w:tcPr>
          <w:p w:rsidR="00000000" w:rsidRDefault="00000000">
            <w:pPr>
              <w:tabs>
                <w:tab w:val="clear" w:pos="567"/>
              </w:tabs>
              <w:ind w:right="113"/>
              <w:jc w:val="right"/>
              <w:rPr>
                <w:sz w:val="22"/>
                <w:szCs w:val="24"/>
              </w:rPr>
            </w:pPr>
            <w:r>
              <w:rPr>
                <w:sz w:val="22"/>
                <w:szCs w:val="24"/>
              </w:rPr>
              <w:t>3 600</w:t>
            </w:r>
          </w:p>
        </w:tc>
        <w:tc>
          <w:tcPr>
            <w:tcW w:w="492" w:type="pct"/>
          </w:tcPr>
          <w:p w:rsidR="00000000" w:rsidRDefault="00000000">
            <w:pPr>
              <w:tabs>
                <w:tab w:val="clear" w:pos="567"/>
              </w:tabs>
              <w:ind w:right="113"/>
              <w:jc w:val="right"/>
              <w:rPr>
                <w:sz w:val="22"/>
                <w:szCs w:val="24"/>
              </w:rPr>
            </w:pPr>
            <w:r>
              <w:rPr>
                <w:sz w:val="22"/>
                <w:szCs w:val="24"/>
              </w:rPr>
              <w:t>3 700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3%</w:t>
            </w:r>
            <w:proofErr w:type="spellEnd"/>
          </w:p>
        </w:tc>
      </w:tr>
      <w:tr w:rsidR="00000000">
        <w:tblPrEx>
          <w:tblCellMar>
            <w:top w:w="0" w:type="dxa"/>
            <w:bottom w:w="0" w:type="dxa"/>
          </w:tblCellMar>
        </w:tblPrEx>
        <w:trPr>
          <w:cantSplit/>
        </w:trPr>
        <w:tc>
          <w:tcPr>
            <w:tcW w:w="2167" w:type="pct"/>
          </w:tcPr>
          <w:p w:rsidR="00000000" w:rsidRDefault="00000000">
            <w:pPr>
              <w:rPr>
                <w:sz w:val="22"/>
                <w:szCs w:val="24"/>
              </w:rPr>
            </w:pPr>
            <w:r>
              <w:rPr>
                <w:sz w:val="22"/>
                <w:szCs w:val="24"/>
              </w:rPr>
              <w:t>Краткосрочный присмотр</w:t>
            </w:r>
          </w:p>
        </w:tc>
        <w:tc>
          <w:tcPr>
            <w:tcW w:w="495" w:type="pct"/>
          </w:tcPr>
          <w:p w:rsidR="00000000" w:rsidRDefault="00000000">
            <w:pPr>
              <w:tabs>
                <w:tab w:val="clear" w:pos="567"/>
              </w:tabs>
              <w:ind w:right="151"/>
              <w:jc w:val="right"/>
              <w:rPr>
                <w:sz w:val="22"/>
                <w:szCs w:val="24"/>
              </w:rPr>
            </w:pPr>
            <w:r>
              <w:rPr>
                <w:sz w:val="22"/>
                <w:szCs w:val="24"/>
              </w:rPr>
              <w:t>2 800</w:t>
            </w:r>
          </w:p>
        </w:tc>
        <w:tc>
          <w:tcPr>
            <w:tcW w:w="492" w:type="pct"/>
          </w:tcPr>
          <w:p w:rsidR="00000000" w:rsidRDefault="00000000">
            <w:pPr>
              <w:tabs>
                <w:tab w:val="clear" w:pos="567"/>
              </w:tabs>
              <w:ind w:right="151"/>
              <w:jc w:val="right"/>
              <w:rPr>
                <w:sz w:val="22"/>
                <w:szCs w:val="24"/>
              </w:rPr>
            </w:pPr>
            <w:r>
              <w:rPr>
                <w:sz w:val="22"/>
                <w:szCs w:val="24"/>
              </w:rPr>
              <w:t>3 400</w:t>
            </w:r>
          </w:p>
        </w:tc>
        <w:tc>
          <w:tcPr>
            <w:tcW w:w="492" w:type="pct"/>
          </w:tcPr>
          <w:p w:rsidR="00000000" w:rsidRDefault="00000000">
            <w:pPr>
              <w:tabs>
                <w:tab w:val="clear" w:pos="567"/>
              </w:tabs>
              <w:ind w:right="113"/>
              <w:jc w:val="right"/>
              <w:rPr>
                <w:sz w:val="22"/>
                <w:szCs w:val="24"/>
              </w:rPr>
            </w:pPr>
            <w:r>
              <w:rPr>
                <w:sz w:val="22"/>
                <w:szCs w:val="24"/>
              </w:rPr>
              <w:t>4 000</w:t>
            </w:r>
          </w:p>
        </w:tc>
        <w:tc>
          <w:tcPr>
            <w:tcW w:w="492" w:type="pct"/>
          </w:tcPr>
          <w:p w:rsidR="00000000" w:rsidRDefault="00000000">
            <w:pPr>
              <w:tabs>
                <w:tab w:val="clear" w:pos="567"/>
              </w:tabs>
              <w:ind w:right="113"/>
              <w:jc w:val="right"/>
              <w:rPr>
                <w:sz w:val="22"/>
                <w:szCs w:val="24"/>
              </w:rPr>
            </w:pPr>
            <w:r>
              <w:rPr>
                <w:sz w:val="22"/>
                <w:szCs w:val="24"/>
              </w:rPr>
              <w:t>4 400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57%</w:t>
            </w:r>
            <w:proofErr w:type="spellEnd"/>
          </w:p>
        </w:tc>
      </w:tr>
      <w:tr w:rsidR="00000000">
        <w:tblPrEx>
          <w:tblCellMar>
            <w:top w:w="0" w:type="dxa"/>
            <w:bottom w:w="0" w:type="dxa"/>
          </w:tblCellMar>
        </w:tblPrEx>
        <w:trPr>
          <w:cantSplit/>
        </w:trPr>
        <w:tc>
          <w:tcPr>
            <w:tcW w:w="2167" w:type="pct"/>
          </w:tcPr>
          <w:p w:rsidR="00000000" w:rsidRDefault="00000000">
            <w:pPr>
              <w:rPr>
                <w:sz w:val="22"/>
                <w:szCs w:val="24"/>
              </w:rPr>
            </w:pPr>
            <w:r>
              <w:rPr>
                <w:sz w:val="22"/>
                <w:szCs w:val="24"/>
              </w:rPr>
              <w:t>Жилье для ребенка</w:t>
            </w:r>
          </w:p>
        </w:tc>
        <w:tc>
          <w:tcPr>
            <w:tcW w:w="495" w:type="pct"/>
          </w:tcPr>
          <w:p w:rsidR="00000000" w:rsidRDefault="00000000">
            <w:pPr>
              <w:tabs>
                <w:tab w:val="clear" w:pos="567"/>
              </w:tabs>
              <w:ind w:right="151"/>
              <w:jc w:val="right"/>
              <w:rPr>
                <w:sz w:val="22"/>
                <w:szCs w:val="24"/>
              </w:rPr>
            </w:pPr>
            <w:r>
              <w:rPr>
                <w:sz w:val="22"/>
                <w:szCs w:val="24"/>
              </w:rPr>
              <w:t>1 200</w:t>
            </w:r>
          </w:p>
        </w:tc>
        <w:tc>
          <w:tcPr>
            <w:tcW w:w="492" w:type="pct"/>
          </w:tcPr>
          <w:p w:rsidR="00000000" w:rsidRDefault="00000000">
            <w:pPr>
              <w:tabs>
                <w:tab w:val="clear" w:pos="567"/>
              </w:tabs>
              <w:ind w:right="151"/>
              <w:jc w:val="right"/>
              <w:rPr>
                <w:sz w:val="22"/>
                <w:szCs w:val="24"/>
              </w:rPr>
            </w:pPr>
            <w:r>
              <w:rPr>
                <w:sz w:val="22"/>
                <w:szCs w:val="24"/>
              </w:rPr>
              <w:t>1 200</w:t>
            </w:r>
          </w:p>
        </w:tc>
        <w:tc>
          <w:tcPr>
            <w:tcW w:w="492" w:type="pct"/>
          </w:tcPr>
          <w:p w:rsidR="00000000" w:rsidRDefault="00000000">
            <w:pPr>
              <w:tabs>
                <w:tab w:val="clear" w:pos="567"/>
              </w:tabs>
              <w:ind w:right="113"/>
              <w:jc w:val="right"/>
              <w:rPr>
                <w:sz w:val="22"/>
                <w:szCs w:val="24"/>
              </w:rPr>
            </w:pPr>
            <w:r>
              <w:rPr>
                <w:sz w:val="22"/>
                <w:szCs w:val="24"/>
              </w:rPr>
              <w:t>1 300</w:t>
            </w:r>
          </w:p>
        </w:tc>
        <w:tc>
          <w:tcPr>
            <w:tcW w:w="492" w:type="pct"/>
          </w:tcPr>
          <w:p w:rsidR="00000000" w:rsidRDefault="00000000">
            <w:pPr>
              <w:tabs>
                <w:tab w:val="clear" w:pos="567"/>
              </w:tabs>
              <w:ind w:right="113"/>
              <w:jc w:val="right"/>
              <w:rPr>
                <w:sz w:val="22"/>
                <w:szCs w:val="24"/>
              </w:rPr>
            </w:pPr>
            <w:r>
              <w:rPr>
                <w:sz w:val="22"/>
                <w:szCs w:val="24"/>
              </w:rPr>
              <w:t>1 300</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9%</w:t>
            </w:r>
            <w:proofErr w:type="spellEnd"/>
          </w:p>
        </w:tc>
      </w:tr>
      <w:tr w:rsidR="00000000">
        <w:tblPrEx>
          <w:tblCellMar>
            <w:top w:w="0" w:type="dxa"/>
            <w:bottom w:w="0" w:type="dxa"/>
          </w:tblCellMar>
        </w:tblPrEx>
        <w:trPr>
          <w:cantSplit/>
        </w:trPr>
        <w:tc>
          <w:tcPr>
            <w:tcW w:w="2167" w:type="pct"/>
          </w:tcPr>
          <w:p w:rsidR="00000000" w:rsidRDefault="00000000">
            <w:pPr>
              <w:rPr>
                <w:sz w:val="22"/>
                <w:szCs w:val="24"/>
              </w:rPr>
            </w:pPr>
            <w:r>
              <w:rPr>
                <w:sz w:val="22"/>
                <w:szCs w:val="24"/>
              </w:rPr>
              <w:t xml:space="preserve">Индивидуальный план  </w:t>
            </w:r>
          </w:p>
        </w:tc>
        <w:tc>
          <w:tcPr>
            <w:tcW w:w="495" w:type="pct"/>
          </w:tcPr>
          <w:p w:rsidR="00000000" w:rsidRDefault="00000000">
            <w:pPr>
              <w:tabs>
                <w:tab w:val="clear" w:pos="567"/>
              </w:tabs>
              <w:ind w:right="151"/>
              <w:jc w:val="right"/>
              <w:rPr>
                <w:sz w:val="22"/>
                <w:szCs w:val="24"/>
              </w:rPr>
            </w:pPr>
            <w:r>
              <w:rPr>
                <w:sz w:val="22"/>
                <w:szCs w:val="24"/>
              </w:rPr>
              <w:t>–</w:t>
            </w:r>
          </w:p>
        </w:tc>
        <w:tc>
          <w:tcPr>
            <w:tcW w:w="492" w:type="pct"/>
          </w:tcPr>
          <w:p w:rsidR="00000000" w:rsidRDefault="00000000">
            <w:pPr>
              <w:tabs>
                <w:tab w:val="clear" w:pos="567"/>
              </w:tabs>
              <w:ind w:right="151"/>
              <w:jc w:val="right"/>
              <w:rPr>
                <w:sz w:val="22"/>
                <w:szCs w:val="24"/>
              </w:rPr>
            </w:pPr>
            <w:r>
              <w:rPr>
                <w:sz w:val="22"/>
                <w:szCs w:val="24"/>
              </w:rPr>
              <w:t>–</w:t>
            </w:r>
          </w:p>
        </w:tc>
        <w:tc>
          <w:tcPr>
            <w:tcW w:w="492" w:type="pct"/>
          </w:tcPr>
          <w:p w:rsidR="00000000" w:rsidRDefault="00000000">
            <w:pPr>
              <w:tabs>
                <w:tab w:val="clear" w:pos="567"/>
              </w:tabs>
              <w:ind w:right="113"/>
              <w:jc w:val="right"/>
              <w:rPr>
                <w:sz w:val="22"/>
                <w:szCs w:val="24"/>
              </w:rPr>
            </w:pPr>
            <w:r>
              <w:rPr>
                <w:sz w:val="22"/>
                <w:szCs w:val="24"/>
              </w:rPr>
              <w:t>3 200</w:t>
            </w:r>
          </w:p>
        </w:tc>
        <w:tc>
          <w:tcPr>
            <w:tcW w:w="492" w:type="pct"/>
          </w:tcPr>
          <w:p w:rsidR="00000000" w:rsidRDefault="00000000">
            <w:pPr>
              <w:tabs>
                <w:tab w:val="clear" w:pos="567"/>
              </w:tabs>
              <w:ind w:right="113"/>
              <w:jc w:val="right"/>
              <w:rPr>
                <w:sz w:val="22"/>
                <w:szCs w:val="24"/>
              </w:rPr>
            </w:pPr>
            <w:r>
              <w:rPr>
                <w:sz w:val="22"/>
                <w:szCs w:val="24"/>
              </w:rPr>
              <w:t>–</w:t>
            </w:r>
          </w:p>
        </w:tc>
        <w:tc>
          <w:tcPr>
            <w:tcW w:w="861" w:type="pct"/>
          </w:tcPr>
          <w:p w:rsidR="00000000" w:rsidRDefault="00000000">
            <w:pPr>
              <w:tabs>
                <w:tab w:val="clear" w:pos="1134"/>
              </w:tabs>
              <w:ind w:right="491"/>
              <w:jc w:val="right"/>
              <w:rPr>
                <w:sz w:val="22"/>
                <w:szCs w:val="24"/>
              </w:rPr>
            </w:pPr>
            <w:r>
              <w:rPr>
                <w:sz w:val="22"/>
                <w:szCs w:val="24"/>
              </w:rPr>
              <w:t>–</w:t>
            </w:r>
          </w:p>
        </w:tc>
      </w:tr>
      <w:tr w:rsidR="00000000">
        <w:tblPrEx>
          <w:tblCellMar>
            <w:top w:w="0" w:type="dxa"/>
            <w:bottom w:w="0" w:type="dxa"/>
          </w:tblCellMar>
        </w:tblPrEx>
        <w:trPr>
          <w:cantSplit/>
        </w:trPr>
        <w:tc>
          <w:tcPr>
            <w:tcW w:w="2167" w:type="pct"/>
          </w:tcPr>
          <w:p w:rsidR="00000000" w:rsidRDefault="00000000">
            <w:pPr>
              <w:rPr>
                <w:sz w:val="22"/>
                <w:szCs w:val="24"/>
              </w:rPr>
            </w:pPr>
            <w:r>
              <w:rPr>
                <w:sz w:val="22"/>
                <w:szCs w:val="24"/>
              </w:rPr>
              <w:t>Личный представитель</w:t>
            </w:r>
          </w:p>
        </w:tc>
        <w:tc>
          <w:tcPr>
            <w:tcW w:w="495" w:type="pct"/>
          </w:tcPr>
          <w:p w:rsidR="00000000" w:rsidRDefault="00000000">
            <w:pPr>
              <w:tabs>
                <w:tab w:val="clear" w:pos="567"/>
              </w:tabs>
              <w:ind w:right="151"/>
              <w:jc w:val="right"/>
              <w:rPr>
                <w:sz w:val="22"/>
                <w:szCs w:val="24"/>
              </w:rPr>
            </w:pPr>
            <w:r>
              <w:rPr>
                <w:sz w:val="22"/>
                <w:szCs w:val="24"/>
              </w:rPr>
              <w:t>–</w:t>
            </w:r>
          </w:p>
        </w:tc>
        <w:tc>
          <w:tcPr>
            <w:tcW w:w="492" w:type="pct"/>
          </w:tcPr>
          <w:p w:rsidR="00000000" w:rsidRDefault="00000000">
            <w:pPr>
              <w:tabs>
                <w:tab w:val="clear" w:pos="567"/>
              </w:tabs>
              <w:ind w:right="151"/>
              <w:jc w:val="right"/>
              <w:rPr>
                <w:sz w:val="22"/>
                <w:szCs w:val="24"/>
              </w:rPr>
            </w:pPr>
            <w:r>
              <w:rPr>
                <w:sz w:val="22"/>
                <w:szCs w:val="24"/>
              </w:rPr>
              <w:t>1 200</w:t>
            </w:r>
          </w:p>
        </w:tc>
        <w:tc>
          <w:tcPr>
            <w:tcW w:w="492" w:type="pct"/>
          </w:tcPr>
          <w:p w:rsidR="00000000" w:rsidRDefault="00000000">
            <w:pPr>
              <w:tabs>
                <w:tab w:val="clear" w:pos="567"/>
              </w:tabs>
              <w:ind w:right="113"/>
              <w:jc w:val="right"/>
              <w:rPr>
                <w:sz w:val="22"/>
                <w:szCs w:val="24"/>
              </w:rPr>
            </w:pPr>
            <w:r>
              <w:rPr>
                <w:sz w:val="22"/>
                <w:szCs w:val="24"/>
              </w:rPr>
              <w:t>2 600</w:t>
            </w:r>
          </w:p>
        </w:tc>
        <w:tc>
          <w:tcPr>
            <w:tcW w:w="492" w:type="pct"/>
          </w:tcPr>
          <w:p w:rsidR="00000000" w:rsidRDefault="00000000">
            <w:pPr>
              <w:tabs>
                <w:tab w:val="clear" w:pos="567"/>
              </w:tabs>
              <w:ind w:right="113"/>
              <w:jc w:val="right"/>
              <w:rPr>
                <w:sz w:val="22"/>
                <w:szCs w:val="24"/>
              </w:rPr>
            </w:pPr>
            <w:r>
              <w:rPr>
                <w:sz w:val="22"/>
                <w:szCs w:val="24"/>
              </w:rPr>
              <w:t xml:space="preserve">3 200 </w:t>
            </w:r>
          </w:p>
        </w:tc>
        <w:tc>
          <w:tcPr>
            <w:tcW w:w="861" w:type="pct"/>
          </w:tcPr>
          <w:p w:rsidR="00000000" w:rsidRDefault="00000000">
            <w:pPr>
              <w:tabs>
                <w:tab w:val="clear" w:pos="1134"/>
              </w:tabs>
              <w:ind w:right="491"/>
              <w:jc w:val="right"/>
              <w:rPr>
                <w:sz w:val="22"/>
                <w:szCs w:val="24"/>
              </w:rPr>
            </w:pPr>
            <w:r>
              <w:rPr>
                <w:sz w:val="22"/>
                <w:szCs w:val="24"/>
              </w:rPr>
              <w:t>+</w:t>
            </w:r>
            <w:proofErr w:type="spellStart"/>
            <w:r>
              <w:rPr>
                <w:sz w:val="22"/>
                <w:szCs w:val="24"/>
              </w:rPr>
              <w:t>167%</w:t>
            </w:r>
            <w:proofErr w:type="spellEnd"/>
          </w:p>
        </w:tc>
      </w:tr>
    </w:tbl>
    <w:p w:rsidR="00000000" w:rsidRDefault="00000000">
      <w:pPr>
        <w:rPr>
          <w:sz w:val="18"/>
          <w:lang w:val="en-US"/>
        </w:rPr>
      </w:pPr>
    </w:p>
    <w:p w:rsidR="00000000" w:rsidRDefault="00000000">
      <w:pPr>
        <w:rPr>
          <w:sz w:val="18"/>
          <w:lang w:val="en-US"/>
        </w:rPr>
      </w:pPr>
    </w:p>
    <w:p w:rsidR="00000000" w:rsidRDefault="00000000">
      <w:r>
        <w:t>311.</w:t>
      </w:r>
      <w:r>
        <w:tab/>
        <w:t>В 2004 году примерно 52</w:t>
      </w:r>
      <w:r>
        <w:rPr>
          <w:lang w:val="en-GB"/>
        </w:rPr>
        <w:t> </w:t>
      </w:r>
      <w:r>
        <w:t xml:space="preserve">900 человек получали помощь в рамках </w:t>
      </w:r>
      <w:proofErr w:type="spellStart"/>
      <w:r>
        <w:t>ЛСС</w:t>
      </w:r>
      <w:proofErr w:type="spellEnd"/>
      <w:r>
        <w:t xml:space="preserve">, причем сюда не включаются те, которым оказывалась консультативная помощь и иная личная поддержка.  Это примерно на </w:t>
      </w:r>
      <w:proofErr w:type="spellStart"/>
      <w:r>
        <w:t>20%</w:t>
      </w:r>
      <w:proofErr w:type="spellEnd"/>
      <w:r>
        <w:t xml:space="preserve"> больше, чем в 1999 году.  Консультативная и материальная помощь, как правило, относится к компетенции окружного совета и поэтому отражается в статистике отдельно.  В 2004 году в рамках </w:t>
      </w:r>
      <w:proofErr w:type="spellStart"/>
      <w:r>
        <w:t>ЛСС</w:t>
      </w:r>
      <w:proofErr w:type="spellEnd"/>
      <w:r>
        <w:t xml:space="preserve"> консультативной и материальной поддержкой было охвачено 10</w:t>
      </w:r>
      <w:r>
        <w:rPr>
          <w:lang w:val="en-GB"/>
        </w:rPr>
        <w:t> </w:t>
      </w:r>
      <w:r>
        <w:t xml:space="preserve">400 человек, что еще более снижает соответствующий показатель.  С другой стороны, единственная группа лиц, получающих помощь в рамках </w:t>
      </w:r>
      <w:proofErr w:type="spellStart"/>
      <w:r>
        <w:t>ЛСС</w:t>
      </w:r>
      <w:proofErr w:type="spellEnd"/>
      <w:r>
        <w:t>, которая сократилась за период с 1999</w:t>
      </w:r>
      <w:r>
        <w:rPr>
          <w:lang w:val="en-US"/>
        </w:rPr>
        <w:t> </w:t>
      </w:r>
      <w:r>
        <w:t>года, это контингент лиц с личными помощниками.  С</w:t>
      </w:r>
      <w:r>
        <w:rPr>
          <w:lang w:val="en-GB"/>
        </w:rPr>
        <w:t> </w:t>
      </w:r>
      <w:r>
        <w:t>1999</w:t>
      </w:r>
      <w:r>
        <w:rPr>
          <w:lang w:val="en-US"/>
        </w:rPr>
        <w:t> </w:t>
      </w:r>
      <w:r>
        <w:t xml:space="preserve">года число лиц, получающих помощь в рамках </w:t>
      </w:r>
      <w:proofErr w:type="spellStart"/>
      <w:r>
        <w:t>ЛСС</w:t>
      </w:r>
      <w:proofErr w:type="spellEnd"/>
      <w:r>
        <w:t xml:space="preserve">, выросло в </w:t>
      </w:r>
      <w:proofErr w:type="spellStart"/>
      <w:r>
        <w:t>80%</w:t>
      </w:r>
      <w:proofErr w:type="spellEnd"/>
      <w:r>
        <w:t xml:space="preserve"> муниципалитетов Швеции.</w:t>
      </w:r>
    </w:p>
    <w:p w:rsidR="00000000" w:rsidRDefault="00000000"/>
    <w:p w:rsidR="00000000" w:rsidRDefault="00000000">
      <w:r>
        <w:t>312.</w:t>
      </w:r>
      <w:r>
        <w:tab/>
        <w:t>Кроме того, около 12</w:t>
      </w:r>
      <w:r>
        <w:rPr>
          <w:lang w:val="en-GB"/>
        </w:rPr>
        <w:t> </w:t>
      </w:r>
      <w:r>
        <w:t>700 человек являлись получателями государственного пособия на оказание помощи в рамках закона Швеции о личной помощи (1993:389) (</w:t>
      </w:r>
      <w:proofErr w:type="spellStart"/>
      <w:r>
        <w:t>ЛАСС</w:t>
      </w:r>
      <w:proofErr w:type="spellEnd"/>
      <w:r>
        <w:t>) в силу того, что они нуждаются в элементарной помощи 20 или более часов в неделю.  Число лиц, имеющих право на получение пособия на оказание помощи с 1998 года, когда этот контингент составлял 7</w:t>
      </w:r>
      <w:r>
        <w:rPr>
          <w:lang w:val="en-GB"/>
        </w:rPr>
        <w:t> </w:t>
      </w:r>
      <w:r>
        <w:t xml:space="preserve">600 человек, постоянно возрастает.  Число часов помощи на человека в неделю также выросло.  </w:t>
      </w:r>
    </w:p>
    <w:p w:rsidR="00000000" w:rsidRDefault="00000000"/>
    <w:p w:rsidR="00000000" w:rsidRDefault="00000000">
      <w:r>
        <w:t>313.</w:t>
      </w:r>
      <w:r>
        <w:tab/>
        <w:t>Женщины составляют больший процент среди тех, кому в 2004 году муниципалитетами оказывалась лишь личная помощь, в то время как мужчины составляли в том же году большинство лиц, получающих соответствующее пособие.</w:t>
      </w:r>
    </w:p>
    <w:p w:rsidR="00000000" w:rsidRDefault="00000000"/>
    <w:p w:rsidR="00000000" w:rsidRDefault="00000000">
      <w:pPr>
        <w:rPr>
          <w:b/>
          <w:bCs/>
          <w:i/>
          <w:iCs/>
        </w:rPr>
      </w:pPr>
      <w:r>
        <w:rPr>
          <w:b/>
          <w:bCs/>
          <w:i/>
          <w:iCs/>
        </w:rPr>
        <w:t>Инициативы в рамках Закона о социальных услугах</w:t>
      </w:r>
    </w:p>
    <w:p w:rsidR="00000000" w:rsidRDefault="00000000">
      <w:pPr>
        <w:rPr>
          <w:b/>
          <w:bCs/>
          <w:i/>
          <w:iCs/>
        </w:rPr>
      </w:pPr>
    </w:p>
    <w:p w:rsidR="00000000" w:rsidRDefault="00000000">
      <w:r>
        <w:t>314.</w:t>
      </w:r>
      <w:r>
        <w:tab/>
        <w:t>Приводимая выше статистика относится лишь к услугам для лиц с тяжелой инвалидностью.  В статистике социальных услуг лица с инвалидностью составляют лишь один из контингентов получателей помощи, включая лиц, нуждающихся в поддержке согласно Закону о социальных услугах (2001:453) по причинам социального характера, в силу психической неполноценности или возраста.</w:t>
      </w:r>
    </w:p>
    <w:p w:rsidR="00000000" w:rsidRDefault="00000000"/>
    <w:p w:rsidR="00000000" w:rsidRDefault="00000000">
      <w:r>
        <w:t>315.</w:t>
      </w:r>
      <w:r>
        <w:tab/>
        <w:t>В 2004 году 16</w:t>
      </w:r>
      <w:r>
        <w:rPr>
          <w:lang w:val="en-GB"/>
        </w:rPr>
        <w:t> </w:t>
      </w:r>
      <w:r>
        <w:t>400 человек в возрасте с момента рождения до 64 лет являлись получателями помощи на дому в рамках Закона о социальных услугах (</w:t>
      </w:r>
      <w:proofErr w:type="spellStart"/>
      <w:r>
        <w:t>ЗСУ</w:t>
      </w:r>
      <w:proofErr w:type="spellEnd"/>
      <w:r>
        <w:t>), и еще 5</w:t>
      </w:r>
      <w:r>
        <w:rPr>
          <w:lang w:val="en-GB"/>
        </w:rPr>
        <w:t> </w:t>
      </w:r>
      <w:r>
        <w:t xml:space="preserve">300 человек той же возрастной группы обеспечивались согласно </w:t>
      </w:r>
      <w:proofErr w:type="spellStart"/>
      <w:r>
        <w:t>ЗСУ</w:t>
      </w:r>
      <w:proofErr w:type="spellEnd"/>
      <w:r>
        <w:t xml:space="preserve"> специальным жильем.  С 1999</w:t>
      </w:r>
      <w:r>
        <w:rPr>
          <w:lang w:val="en-US"/>
        </w:rPr>
        <w:t> </w:t>
      </w:r>
      <w:r>
        <w:t xml:space="preserve">года объем услуг, оказываемых лицам в возрасте младше 65 лет согласно </w:t>
      </w:r>
      <w:proofErr w:type="spellStart"/>
      <w:r>
        <w:t>ЗСУ</w:t>
      </w:r>
      <w:proofErr w:type="spellEnd"/>
      <w:r>
        <w:t xml:space="preserve"> возрос в чуть более чем в половине муниципалитетов Швеции.  Общее число лиц </w:t>
      </w:r>
      <w:r>
        <w:noBreakHyphen/>
        <w:t xml:space="preserve"> получателей услуг в рамках </w:t>
      </w:r>
      <w:proofErr w:type="spellStart"/>
      <w:r>
        <w:t>ЛСС</w:t>
      </w:r>
      <w:proofErr w:type="spellEnd"/>
      <w:r>
        <w:t xml:space="preserve"> или </w:t>
      </w:r>
      <w:proofErr w:type="spellStart"/>
      <w:r>
        <w:t>ЗСУ</w:t>
      </w:r>
      <w:proofErr w:type="spellEnd"/>
      <w:r>
        <w:t xml:space="preserve"> (возраст 0–65 лет) </w:t>
      </w:r>
      <w:r>
        <w:noBreakHyphen/>
        <w:t xml:space="preserve"> выросло за период с 1999</w:t>
      </w:r>
      <w:r>
        <w:rPr>
          <w:lang w:val="en-US"/>
        </w:rPr>
        <w:t> </w:t>
      </w:r>
      <w:r>
        <w:t xml:space="preserve">года примерно в </w:t>
      </w:r>
      <w:proofErr w:type="spellStart"/>
      <w:r>
        <w:t>10%</w:t>
      </w:r>
      <w:proofErr w:type="spellEnd"/>
      <w:r>
        <w:t xml:space="preserve"> муниципалитетов.</w:t>
      </w:r>
    </w:p>
    <w:p w:rsidR="00000000" w:rsidRDefault="00000000"/>
    <w:p w:rsidR="00000000" w:rsidRDefault="00000000">
      <w:r>
        <w:t>316.</w:t>
      </w:r>
      <w:r>
        <w:tab/>
        <w:t>В октябре 2003 года правительство назначило национального координатора психиатрической помощи, задача которого состоит в том, чтобы координировать решение вопросов, связанных с методикой, сотрудничеством, ресурсами, кадровой поддержкой и экспертизой в области оказания психиатрической помощи, социальных услуг и реабилитации лиц, страдающих серьезными психическими заболеваниями и/или психической неполноценностью (ТОР 2003:133).  Координатор уполномочен сотрудничать со всеми соответствующими заинтересованными лицами в целях улучшения ухода и обслуживания этой целевой группы.  От координатора ожидается получение регулярных рекомендаций по различным вопросам, входящим в его компетенцию, а также по вопросам, возникающим в ходе работы.  Мандат координатора истекает 1 ноября 2006 года.</w:t>
      </w:r>
    </w:p>
    <w:p w:rsidR="00000000" w:rsidRDefault="00000000"/>
    <w:p w:rsidR="00000000" w:rsidRDefault="00000000">
      <w:pPr>
        <w:rPr>
          <w:b/>
          <w:bCs/>
          <w:i/>
          <w:iCs/>
        </w:rPr>
      </w:pPr>
      <w:r>
        <w:rPr>
          <w:b/>
          <w:bCs/>
          <w:i/>
          <w:iCs/>
        </w:rPr>
        <w:t>Статистика бедности в Швеции</w:t>
      </w:r>
    </w:p>
    <w:p w:rsidR="00000000" w:rsidRDefault="00000000">
      <w:pPr>
        <w:rPr>
          <w:b/>
          <w:bCs/>
          <w:i/>
          <w:iCs/>
        </w:rPr>
      </w:pPr>
    </w:p>
    <w:p w:rsidR="00000000" w:rsidRDefault="00000000">
      <w:r>
        <w:t>317.</w:t>
      </w:r>
      <w:r>
        <w:tab/>
        <w:t>В Швеции не ведется сбор официальной статистики бедности.  Тем не менее было подготовлено несколько исследований, содержащих оценку положения с бедностью.  В Швеции отсутствует официальная черта бедности.</w:t>
      </w:r>
    </w:p>
    <w:p w:rsidR="00000000" w:rsidRDefault="00000000"/>
    <w:p w:rsidR="00000000" w:rsidRDefault="00000000">
      <w:r>
        <w:t>318.</w:t>
      </w:r>
      <w:r>
        <w:tab/>
        <w:t>Даже при том, что за период 1997-2003 годов опасность обнищания молодежи уменьшилась, такая вероятность пока еще значительно выше, чем в 1991 году.  Молодежи требуется все больше времени для стабильного вхождения на рынок труда и создания семьи, из чего следует, что нынешнее поколение молодежи сталкивается с более серьезными трудностями, чем предыдущие поколения.  Более продолжительный период получения образования и растущая безработица усиливают риск попадания в категорию бедных.</w:t>
      </w:r>
    </w:p>
    <w:p w:rsidR="00000000" w:rsidRDefault="00000000"/>
    <w:p w:rsidR="00000000" w:rsidRDefault="00000000">
      <w:r>
        <w:t>319.</w:t>
      </w:r>
      <w:r>
        <w:tab/>
        <w:t>Из приводимой ниже таблицы видно, что снижение реального дохода, наблюдавшееся в 1990-х годах, привело к тому, что возросло число лиц с доходом ниже черты бедности, которое измеряется в процентах (40, 50, 60 или 70) от медианного уровня располагаемого дохода в отчетном году.</w:t>
      </w:r>
    </w:p>
    <w:p w:rsidR="00000000" w:rsidRDefault="00000000"/>
    <w:p w:rsidR="00000000" w:rsidRDefault="00000000">
      <w:pPr>
        <w:jc w:val="center"/>
        <w:rPr>
          <w:b/>
          <w:bCs/>
        </w:rPr>
      </w:pPr>
      <w:r>
        <w:rPr>
          <w:b/>
          <w:bCs/>
        </w:rPr>
        <w:t>Таблица 11.4</w:t>
      </w:r>
    </w:p>
    <w:p w:rsidR="00000000" w:rsidRDefault="00000000">
      <w:pPr>
        <w:jc w:val="center"/>
        <w:rPr>
          <w:b/>
          <w:bCs/>
        </w:rPr>
      </w:pPr>
    </w:p>
    <w:p w:rsidR="00000000" w:rsidRDefault="00000000">
      <w:pPr>
        <w:jc w:val="center"/>
        <w:rPr>
          <w:b/>
          <w:bCs/>
        </w:rPr>
      </w:pPr>
      <w:r>
        <w:rPr>
          <w:b/>
          <w:bCs/>
        </w:rPr>
        <w:t xml:space="preserve">Доля бедного населения среди всего населения страны </w:t>
      </w:r>
    </w:p>
    <w:p w:rsidR="00000000" w:rsidRDefault="00000000">
      <w:pPr>
        <w:jc w:val="center"/>
        <w:rPr>
          <w:b/>
          <w:bCs/>
        </w:rPr>
      </w:pPr>
      <w:r>
        <w:rPr>
          <w:b/>
          <w:bCs/>
        </w:rPr>
        <w:t>в 1991 году и в 1995-2003 годах</w:t>
      </w:r>
    </w:p>
    <w:p w:rsidR="00000000" w:rsidRDefault="00000000">
      <w:pPr>
        <w:rPr>
          <w:b/>
          <w:bCs/>
        </w:rPr>
      </w:pPr>
    </w:p>
    <w:p w:rsidR="00000000" w:rsidRDefault="00000000">
      <w:r>
        <w:t>Относительная черта бедности как процентная доля от медианного располагаемого дохода в отчетном году</w:t>
      </w:r>
    </w:p>
    <w:p w:rsidR="00000000" w:rsidRDefault="00000000"/>
    <w:tbl>
      <w:tblPr>
        <w:tblW w:w="6719" w:type="dxa"/>
        <w:jc w:val="center"/>
        <w:tblInd w:w="1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3"/>
        <w:gridCol w:w="1344"/>
        <w:gridCol w:w="1344"/>
        <w:gridCol w:w="1344"/>
        <w:gridCol w:w="1344"/>
      </w:tblGrid>
      <w:tr w:rsidR="00000000">
        <w:tblPrEx>
          <w:tblCellMar>
            <w:top w:w="0" w:type="dxa"/>
            <w:bottom w:w="0" w:type="dxa"/>
          </w:tblCellMar>
        </w:tblPrEx>
        <w:trPr>
          <w:cantSplit/>
          <w:jc w:val="center"/>
        </w:trPr>
        <w:tc>
          <w:tcPr>
            <w:tcW w:w="1343" w:type="dxa"/>
            <w:vAlign w:val="center"/>
          </w:tcPr>
          <w:p w:rsidR="00000000" w:rsidRDefault="00000000">
            <w:pPr>
              <w:jc w:val="center"/>
              <w:rPr>
                <w:b/>
                <w:bCs/>
              </w:rPr>
            </w:pPr>
            <w:r>
              <w:rPr>
                <w:b/>
                <w:bCs/>
              </w:rPr>
              <w:t>Год</w:t>
            </w:r>
          </w:p>
        </w:tc>
        <w:tc>
          <w:tcPr>
            <w:tcW w:w="1344" w:type="dxa"/>
            <w:vAlign w:val="center"/>
          </w:tcPr>
          <w:p w:rsidR="00000000" w:rsidRDefault="00000000">
            <w:pPr>
              <w:jc w:val="center"/>
              <w:rPr>
                <w:b/>
                <w:bCs/>
              </w:rPr>
            </w:pPr>
            <w:r>
              <w:rPr>
                <w:b/>
                <w:bCs/>
                <w:lang w:val="en-US"/>
              </w:rPr>
              <w:t>&lt; 40</w:t>
            </w:r>
            <w:r>
              <w:rPr>
                <w:b/>
                <w:bCs/>
              </w:rPr>
              <w:t>%</w:t>
            </w:r>
          </w:p>
        </w:tc>
        <w:tc>
          <w:tcPr>
            <w:tcW w:w="1344" w:type="dxa"/>
            <w:vAlign w:val="center"/>
          </w:tcPr>
          <w:p w:rsidR="00000000" w:rsidRDefault="00000000">
            <w:pPr>
              <w:jc w:val="center"/>
              <w:rPr>
                <w:b/>
                <w:bCs/>
                <w:lang w:val="en-US"/>
              </w:rPr>
            </w:pPr>
            <w:r>
              <w:rPr>
                <w:b/>
                <w:bCs/>
                <w:lang w:val="en-US"/>
              </w:rPr>
              <w:t>&lt; 50%</w:t>
            </w:r>
          </w:p>
        </w:tc>
        <w:tc>
          <w:tcPr>
            <w:tcW w:w="1344" w:type="dxa"/>
            <w:vAlign w:val="center"/>
          </w:tcPr>
          <w:p w:rsidR="00000000" w:rsidRDefault="00000000">
            <w:pPr>
              <w:jc w:val="center"/>
              <w:rPr>
                <w:b/>
                <w:bCs/>
                <w:lang w:val="en-US"/>
              </w:rPr>
            </w:pPr>
            <w:r>
              <w:rPr>
                <w:b/>
                <w:bCs/>
                <w:lang w:val="en-US"/>
              </w:rPr>
              <w:t>&lt; 60%</w:t>
            </w:r>
          </w:p>
        </w:tc>
        <w:tc>
          <w:tcPr>
            <w:tcW w:w="1344" w:type="dxa"/>
            <w:vAlign w:val="center"/>
          </w:tcPr>
          <w:p w:rsidR="00000000" w:rsidRDefault="00000000">
            <w:pPr>
              <w:jc w:val="center"/>
              <w:rPr>
                <w:b/>
                <w:bCs/>
                <w:lang w:val="en-US"/>
              </w:rPr>
            </w:pPr>
            <w:r>
              <w:rPr>
                <w:b/>
                <w:bCs/>
                <w:lang w:val="en-US"/>
              </w:rPr>
              <w:t>&lt;70%</w:t>
            </w:r>
          </w:p>
        </w:tc>
      </w:tr>
      <w:tr w:rsidR="00000000">
        <w:tblPrEx>
          <w:tblCellMar>
            <w:top w:w="0" w:type="dxa"/>
            <w:bottom w:w="0" w:type="dxa"/>
          </w:tblCellMar>
        </w:tblPrEx>
        <w:trPr>
          <w:cantSplit/>
          <w:jc w:val="center"/>
        </w:trPr>
        <w:tc>
          <w:tcPr>
            <w:tcW w:w="1343" w:type="dxa"/>
            <w:vAlign w:val="center"/>
          </w:tcPr>
          <w:p w:rsidR="00000000" w:rsidRDefault="00000000">
            <w:pPr>
              <w:jc w:val="center"/>
              <w:rPr>
                <w:lang w:val="en-US"/>
              </w:rPr>
            </w:pPr>
            <w:r>
              <w:rPr>
                <w:lang w:val="en-US"/>
              </w:rPr>
              <w:t>1991</w:t>
            </w:r>
          </w:p>
        </w:tc>
        <w:tc>
          <w:tcPr>
            <w:tcW w:w="1344" w:type="dxa"/>
            <w:vAlign w:val="center"/>
          </w:tcPr>
          <w:p w:rsidR="00000000" w:rsidRDefault="00000000">
            <w:pPr>
              <w:jc w:val="center"/>
              <w:rPr>
                <w:lang w:val="en-US"/>
              </w:rPr>
            </w:pPr>
            <w:r>
              <w:rPr>
                <w:lang w:val="en-US"/>
              </w:rPr>
              <w:t>2,1</w:t>
            </w:r>
          </w:p>
        </w:tc>
        <w:tc>
          <w:tcPr>
            <w:tcW w:w="1344" w:type="dxa"/>
            <w:vAlign w:val="center"/>
          </w:tcPr>
          <w:p w:rsidR="00000000" w:rsidRDefault="00000000">
            <w:pPr>
              <w:jc w:val="center"/>
            </w:pPr>
            <w:r>
              <w:t>4,1</w:t>
            </w:r>
          </w:p>
        </w:tc>
        <w:tc>
          <w:tcPr>
            <w:tcW w:w="1344" w:type="dxa"/>
            <w:vAlign w:val="center"/>
          </w:tcPr>
          <w:p w:rsidR="00000000" w:rsidRDefault="00000000">
            <w:pPr>
              <w:tabs>
                <w:tab w:val="clear" w:pos="567"/>
                <w:tab w:val="clear" w:pos="1134"/>
                <w:tab w:val="clear" w:pos="1701"/>
                <w:tab w:val="left" w:pos="1674"/>
              </w:tabs>
              <w:ind w:right="463"/>
              <w:jc w:val="right"/>
            </w:pPr>
            <w:r>
              <w:t>8,3</w:t>
            </w:r>
          </w:p>
        </w:tc>
        <w:tc>
          <w:tcPr>
            <w:tcW w:w="1344" w:type="dxa"/>
            <w:vAlign w:val="center"/>
          </w:tcPr>
          <w:p w:rsidR="00000000" w:rsidRDefault="00000000">
            <w:pPr>
              <w:jc w:val="center"/>
            </w:pPr>
            <w:r>
              <w:t>16,0</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1995</w:t>
            </w:r>
          </w:p>
        </w:tc>
        <w:tc>
          <w:tcPr>
            <w:tcW w:w="1344" w:type="dxa"/>
            <w:vAlign w:val="center"/>
          </w:tcPr>
          <w:p w:rsidR="00000000" w:rsidRDefault="00000000">
            <w:pPr>
              <w:jc w:val="center"/>
            </w:pPr>
            <w:r>
              <w:t>2,0</w:t>
            </w:r>
          </w:p>
        </w:tc>
        <w:tc>
          <w:tcPr>
            <w:tcW w:w="1344" w:type="dxa"/>
            <w:vAlign w:val="center"/>
          </w:tcPr>
          <w:p w:rsidR="00000000" w:rsidRDefault="00000000">
            <w:pPr>
              <w:jc w:val="center"/>
            </w:pPr>
            <w:r>
              <w:t>3,4</w:t>
            </w:r>
          </w:p>
        </w:tc>
        <w:tc>
          <w:tcPr>
            <w:tcW w:w="1344" w:type="dxa"/>
            <w:vAlign w:val="center"/>
          </w:tcPr>
          <w:p w:rsidR="00000000" w:rsidRDefault="00000000">
            <w:pPr>
              <w:tabs>
                <w:tab w:val="clear" w:pos="567"/>
                <w:tab w:val="clear" w:pos="1134"/>
              </w:tabs>
              <w:ind w:right="463"/>
              <w:jc w:val="right"/>
            </w:pPr>
            <w:r>
              <w:t>6,5</w:t>
            </w:r>
          </w:p>
        </w:tc>
        <w:tc>
          <w:tcPr>
            <w:tcW w:w="1344" w:type="dxa"/>
            <w:vAlign w:val="center"/>
          </w:tcPr>
          <w:p w:rsidR="00000000" w:rsidRDefault="00000000">
            <w:pPr>
              <w:jc w:val="center"/>
            </w:pPr>
            <w:r>
              <w:t>13,8</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1996</w:t>
            </w:r>
          </w:p>
        </w:tc>
        <w:tc>
          <w:tcPr>
            <w:tcW w:w="1344" w:type="dxa"/>
            <w:vAlign w:val="center"/>
          </w:tcPr>
          <w:p w:rsidR="00000000" w:rsidRDefault="00000000">
            <w:pPr>
              <w:jc w:val="center"/>
            </w:pPr>
            <w:r>
              <w:t>2,1</w:t>
            </w:r>
          </w:p>
        </w:tc>
        <w:tc>
          <w:tcPr>
            <w:tcW w:w="1344" w:type="dxa"/>
            <w:vAlign w:val="center"/>
          </w:tcPr>
          <w:p w:rsidR="00000000" w:rsidRDefault="00000000">
            <w:pPr>
              <w:jc w:val="center"/>
            </w:pPr>
            <w:r>
              <w:t>3,5</w:t>
            </w:r>
          </w:p>
        </w:tc>
        <w:tc>
          <w:tcPr>
            <w:tcW w:w="1344" w:type="dxa"/>
            <w:vAlign w:val="center"/>
          </w:tcPr>
          <w:p w:rsidR="00000000" w:rsidRDefault="00000000">
            <w:pPr>
              <w:tabs>
                <w:tab w:val="clear" w:pos="567"/>
                <w:tab w:val="clear" w:pos="1134"/>
              </w:tabs>
              <w:ind w:right="463"/>
              <w:jc w:val="right"/>
            </w:pPr>
            <w:r>
              <w:t>7,5</w:t>
            </w:r>
          </w:p>
        </w:tc>
        <w:tc>
          <w:tcPr>
            <w:tcW w:w="1344" w:type="dxa"/>
            <w:vAlign w:val="center"/>
          </w:tcPr>
          <w:p w:rsidR="00000000" w:rsidRDefault="00000000">
            <w:pPr>
              <w:jc w:val="center"/>
            </w:pPr>
            <w:r>
              <w:t>15,3</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1997</w:t>
            </w:r>
          </w:p>
        </w:tc>
        <w:tc>
          <w:tcPr>
            <w:tcW w:w="1344" w:type="dxa"/>
            <w:vAlign w:val="center"/>
          </w:tcPr>
          <w:p w:rsidR="00000000" w:rsidRDefault="00000000">
            <w:pPr>
              <w:jc w:val="center"/>
            </w:pPr>
            <w:r>
              <w:t>1,8</w:t>
            </w:r>
          </w:p>
        </w:tc>
        <w:tc>
          <w:tcPr>
            <w:tcW w:w="1344" w:type="dxa"/>
            <w:vAlign w:val="center"/>
          </w:tcPr>
          <w:p w:rsidR="00000000" w:rsidRDefault="00000000">
            <w:pPr>
              <w:jc w:val="center"/>
            </w:pPr>
            <w:r>
              <w:t>3,5</w:t>
            </w:r>
          </w:p>
        </w:tc>
        <w:tc>
          <w:tcPr>
            <w:tcW w:w="1344" w:type="dxa"/>
            <w:vAlign w:val="center"/>
          </w:tcPr>
          <w:p w:rsidR="00000000" w:rsidRDefault="00000000">
            <w:pPr>
              <w:tabs>
                <w:tab w:val="clear" w:pos="567"/>
                <w:tab w:val="clear" w:pos="1134"/>
              </w:tabs>
              <w:ind w:right="463"/>
              <w:jc w:val="right"/>
            </w:pPr>
            <w:r>
              <w:t>7,4</w:t>
            </w:r>
          </w:p>
        </w:tc>
        <w:tc>
          <w:tcPr>
            <w:tcW w:w="1344" w:type="dxa"/>
            <w:vAlign w:val="center"/>
          </w:tcPr>
          <w:p w:rsidR="00000000" w:rsidRDefault="00000000">
            <w:pPr>
              <w:jc w:val="center"/>
            </w:pPr>
            <w:r>
              <w:t>15,4</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1998</w:t>
            </w:r>
          </w:p>
        </w:tc>
        <w:tc>
          <w:tcPr>
            <w:tcW w:w="1344" w:type="dxa"/>
            <w:vAlign w:val="center"/>
          </w:tcPr>
          <w:p w:rsidR="00000000" w:rsidRDefault="00000000">
            <w:pPr>
              <w:jc w:val="center"/>
            </w:pPr>
            <w:r>
              <w:t>2,1</w:t>
            </w:r>
          </w:p>
        </w:tc>
        <w:tc>
          <w:tcPr>
            <w:tcW w:w="1344" w:type="dxa"/>
            <w:vAlign w:val="center"/>
          </w:tcPr>
          <w:p w:rsidR="00000000" w:rsidRDefault="00000000">
            <w:pPr>
              <w:jc w:val="center"/>
            </w:pPr>
            <w:r>
              <w:t>3,8</w:t>
            </w:r>
          </w:p>
        </w:tc>
        <w:tc>
          <w:tcPr>
            <w:tcW w:w="1344" w:type="dxa"/>
            <w:vAlign w:val="center"/>
          </w:tcPr>
          <w:p w:rsidR="00000000" w:rsidRDefault="00000000">
            <w:pPr>
              <w:tabs>
                <w:tab w:val="clear" w:pos="567"/>
                <w:tab w:val="clear" w:pos="1134"/>
              </w:tabs>
              <w:ind w:right="463"/>
              <w:jc w:val="right"/>
            </w:pPr>
            <w:r>
              <w:t>7,9</w:t>
            </w:r>
          </w:p>
        </w:tc>
        <w:tc>
          <w:tcPr>
            <w:tcW w:w="1344" w:type="dxa"/>
            <w:vAlign w:val="center"/>
          </w:tcPr>
          <w:p w:rsidR="00000000" w:rsidRDefault="00000000">
            <w:pPr>
              <w:jc w:val="center"/>
            </w:pPr>
            <w:r>
              <w:t>16,0</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1999</w:t>
            </w:r>
          </w:p>
        </w:tc>
        <w:tc>
          <w:tcPr>
            <w:tcW w:w="1344" w:type="dxa"/>
            <w:vAlign w:val="center"/>
          </w:tcPr>
          <w:p w:rsidR="00000000" w:rsidRDefault="00000000">
            <w:pPr>
              <w:jc w:val="center"/>
            </w:pPr>
            <w:r>
              <w:t>2,1</w:t>
            </w:r>
          </w:p>
        </w:tc>
        <w:tc>
          <w:tcPr>
            <w:tcW w:w="1344" w:type="dxa"/>
            <w:vAlign w:val="center"/>
          </w:tcPr>
          <w:p w:rsidR="00000000" w:rsidRDefault="00000000">
            <w:pPr>
              <w:jc w:val="center"/>
            </w:pPr>
            <w:r>
              <w:t>4,1</w:t>
            </w:r>
          </w:p>
        </w:tc>
        <w:tc>
          <w:tcPr>
            <w:tcW w:w="1344" w:type="dxa"/>
            <w:vAlign w:val="center"/>
          </w:tcPr>
          <w:p w:rsidR="00000000" w:rsidRDefault="00000000">
            <w:pPr>
              <w:tabs>
                <w:tab w:val="clear" w:pos="567"/>
                <w:tab w:val="clear" w:pos="1134"/>
              </w:tabs>
              <w:ind w:right="463"/>
              <w:jc w:val="right"/>
            </w:pPr>
            <w:r>
              <w:t>8,3</w:t>
            </w:r>
          </w:p>
        </w:tc>
        <w:tc>
          <w:tcPr>
            <w:tcW w:w="1344" w:type="dxa"/>
            <w:vAlign w:val="center"/>
          </w:tcPr>
          <w:p w:rsidR="00000000" w:rsidRDefault="00000000">
            <w:pPr>
              <w:jc w:val="center"/>
            </w:pPr>
            <w:r>
              <w:t>16,0</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2000</w:t>
            </w:r>
          </w:p>
        </w:tc>
        <w:tc>
          <w:tcPr>
            <w:tcW w:w="1344" w:type="dxa"/>
            <w:vAlign w:val="center"/>
          </w:tcPr>
          <w:p w:rsidR="00000000" w:rsidRDefault="00000000">
            <w:pPr>
              <w:jc w:val="center"/>
            </w:pPr>
            <w:r>
              <w:t>2,2</w:t>
            </w:r>
          </w:p>
        </w:tc>
        <w:tc>
          <w:tcPr>
            <w:tcW w:w="1344" w:type="dxa"/>
            <w:vAlign w:val="center"/>
          </w:tcPr>
          <w:p w:rsidR="00000000" w:rsidRDefault="00000000">
            <w:pPr>
              <w:jc w:val="center"/>
            </w:pPr>
            <w:r>
              <w:t>4,6</w:t>
            </w:r>
          </w:p>
        </w:tc>
        <w:tc>
          <w:tcPr>
            <w:tcW w:w="1344" w:type="dxa"/>
            <w:vAlign w:val="center"/>
          </w:tcPr>
          <w:p w:rsidR="00000000" w:rsidRDefault="00000000">
            <w:pPr>
              <w:tabs>
                <w:tab w:val="clear" w:pos="567"/>
                <w:tab w:val="clear" w:pos="1134"/>
              </w:tabs>
              <w:ind w:right="463"/>
              <w:jc w:val="right"/>
            </w:pPr>
            <w:r>
              <w:t>9,4</w:t>
            </w:r>
          </w:p>
        </w:tc>
        <w:tc>
          <w:tcPr>
            <w:tcW w:w="1344" w:type="dxa"/>
            <w:vAlign w:val="center"/>
          </w:tcPr>
          <w:p w:rsidR="00000000" w:rsidRDefault="00000000">
            <w:pPr>
              <w:jc w:val="center"/>
            </w:pPr>
            <w:r>
              <w:t>17,3</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2001</w:t>
            </w:r>
          </w:p>
        </w:tc>
        <w:tc>
          <w:tcPr>
            <w:tcW w:w="1344" w:type="dxa"/>
            <w:vAlign w:val="center"/>
          </w:tcPr>
          <w:p w:rsidR="00000000" w:rsidRDefault="00000000">
            <w:pPr>
              <w:jc w:val="center"/>
            </w:pPr>
            <w:r>
              <w:t>2,1</w:t>
            </w:r>
          </w:p>
        </w:tc>
        <w:tc>
          <w:tcPr>
            <w:tcW w:w="1344" w:type="dxa"/>
            <w:vAlign w:val="center"/>
          </w:tcPr>
          <w:p w:rsidR="00000000" w:rsidRDefault="00000000">
            <w:pPr>
              <w:jc w:val="center"/>
            </w:pPr>
            <w:r>
              <w:t>4,4</w:t>
            </w:r>
          </w:p>
        </w:tc>
        <w:tc>
          <w:tcPr>
            <w:tcW w:w="1344" w:type="dxa"/>
            <w:vAlign w:val="center"/>
          </w:tcPr>
          <w:p w:rsidR="00000000" w:rsidRDefault="00000000">
            <w:pPr>
              <w:tabs>
                <w:tab w:val="clear" w:pos="567"/>
                <w:tab w:val="clear" w:pos="1134"/>
              </w:tabs>
              <w:ind w:right="463"/>
              <w:jc w:val="right"/>
            </w:pPr>
            <w:r>
              <w:t>10,0</w:t>
            </w:r>
          </w:p>
        </w:tc>
        <w:tc>
          <w:tcPr>
            <w:tcW w:w="1344" w:type="dxa"/>
            <w:vAlign w:val="center"/>
          </w:tcPr>
          <w:p w:rsidR="00000000" w:rsidRDefault="00000000">
            <w:pPr>
              <w:jc w:val="center"/>
            </w:pPr>
            <w:r>
              <w:t>18,3</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2002</w:t>
            </w:r>
          </w:p>
        </w:tc>
        <w:tc>
          <w:tcPr>
            <w:tcW w:w="1344" w:type="dxa"/>
            <w:vAlign w:val="center"/>
          </w:tcPr>
          <w:p w:rsidR="00000000" w:rsidRDefault="00000000">
            <w:pPr>
              <w:jc w:val="center"/>
            </w:pPr>
            <w:r>
              <w:t>2,4</w:t>
            </w:r>
          </w:p>
        </w:tc>
        <w:tc>
          <w:tcPr>
            <w:tcW w:w="1344" w:type="dxa"/>
            <w:vAlign w:val="center"/>
          </w:tcPr>
          <w:p w:rsidR="00000000" w:rsidRDefault="00000000">
            <w:pPr>
              <w:jc w:val="center"/>
            </w:pPr>
            <w:r>
              <w:t>4,7</w:t>
            </w:r>
          </w:p>
        </w:tc>
        <w:tc>
          <w:tcPr>
            <w:tcW w:w="1344" w:type="dxa"/>
            <w:vAlign w:val="center"/>
          </w:tcPr>
          <w:p w:rsidR="00000000" w:rsidRDefault="00000000">
            <w:pPr>
              <w:tabs>
                <w:tab w:val="clear" w:pos="567"/>
                <w:tab w:val="clear" w:pos="1134"/>
              </w:tabs>
              <w:ind w:right="463"/>
              <w:jc w:val="right"/>
            </w:pPr>
            <w:r>
              <w:t>10,2</w:t>
            </w:r>
          </w:p>
        </w:tc>
        <w:tc>
          <w:tcPr>
            <w:tcW w:w="1344" w:type="dxa"/>
            <w:vAlign w:val="center"/>
          </w:tcPr>
          <w:p w:rsidR="00000000" w:rsidRDefault="00000000">
            <w:pPr>
              <w:jc w:val="center"/>
            </w:pPr>
            <w:r>
              <w:t>19,1</w:t>
            </w:r>
          </w:p>
        </w:tc>
      </w:tr>
      <w:tr w:rsidR="00000000">
        <w:tblPrEx>
          <w:tblCellMar>
            <w:top w:w="0" w:type="dxa"/>
            <w:bottom w:w="0" w:type="dxa"/>
          </w:tblCellMar>
        </w:tblPrEx>
        <w:trPr>
          <w:cantSplit/>
          <w:jc w:val="center"/>
        </w:trPr>
        <w:tc>
          <w:tcPr>
            <w:tcW w:w="1343" w:type="dxa"/>
            <w:vAlign w:val="center"/>
          </w:tcPr>
          <w:p w:rsidR="00000000" w:rsidRDefault="00000000">
            <w:pPr>
              <w:jc w:val="center"/>
            </w:pPr>
            <w:r>
              <w:t>2003</w:t>
            </w:r>
          </w:p>
        </w:tc>
        <w:tc>
          <w:tcPr>
            <w:tcW w:w="1344" w:type="dxa"/>
            <w:vAlign w:val="center"/>
          </w:tcPr>
          <w:p w:rsidR="00000000" w:rsidRDefault="00000000">
            <w:pPr>
              <w:jc w:val="center"/>
            </w:pPr>
            <w:r>
              <w:t>2,3</w:t>
            </w:r>
          </w:p>
        </w:tc>
        <w:tc>
          <w:tcPr>
            <w:tcW w:w="1344" w:type="dxa"/>
            <w:vAlign w:val="center"/>
          </w:tcPr>
          <w:p w:rsidR="00000000" w:rsidRDefault="00000000">
            <w:pPr>
              <w:jc w:val="center"/>
            </w:pPr>
            <w:r>
              <w:t>4,4</w:t>
            </w:r>
          </w:p>
        </w:tc>
        <w:tc>
          <w:tcPr>
            <w:tcW w:w="1344" w:type="dxa"/>
            <w:vAlign w:val="center"/>
          </w:tcPr>
          <w:p w:rsidR="00000000" w:rsidRDefault="00000000">
            <w:pPr>
              <w:tabs>
                <w:tab w:val="clear" w:pos="567"/>
                <w:tab w:val="clear" w:pos="1134"/>
              </w:tabs>
              <w:ind w:right="463"/>
              <w:jc w:val="right"/>
            </w:pPr>
            <w:r>
              <w:t>9,1</w:t>
            </w:r>
          </w:p>
        </w:tc>
        <w:tc>
          <w:tcPr>
            <w:tcW w:w="1344" w:type="dxa"/>
            <w:vAlign w:val="center"/>
          </w:tcPr>
          <w:p w:rsidR="00000000" w:rsidRDefault="00000000">
            <w:pPr>
              <w:jc w:val="center"/>
            </w:pPr>
            <w:r>
              <w:t>18,1</w:t>
            </w:r>
          </w:p>
        </w:tc>
      </w:tr>
    </w:tbl>
    <w:p w:rsidR="00000000" w:rsidRDefault="00000000"/>
    <w:p w:rsidR="00000000" w:rsidRDefault="00000000">
      <w:pPr>
        <w:spacing w:line="240" w:lineRule="auto"/>
        <w:ind w:left="1134" w:hanging="1134"/>
      </w:pPr>
      <w:r>
        <w:rPr>
          <w:lang w:val="en-US"/>
        </w:rPr>
        <w:tab/>
      </w:r>
      <w:r>
        <w:tab/>
      </w:r>
      <w:r>
        <w:rPr>
          <w:i/>
          <w:iCs/>
        </w:rPr>
        <w:t>Источник</w:t>
      </w:r>
      <w:r>
        <w:t>:  Данные, полученные на основе обработки статистики финансов домашних хозяйств от Статистического управления Швеции.</w:t>
      </w:r>
    </w:p>
    <w:p w:rsidR="00000000" w:rsidRDefault="00000000"/>
    <w:p w:rsidR="00000000" w:rsidRDefault="00000000">
      <w:r>
        <w:t>320.</w:t>
      </w:r>
      <w:r>
        <w:tab/>
        <w:t>Таким образом, в 2003 году 2% населения проживали в домашних хозяйствах с доходами ниже 40% от медианного уровня и 9% - в домашних хозяйствах с доходами ниже 60% от медианного уровня.  Домашние хозяйства с доходом ниже 60% от медианного уровня можно отнести к категории материально неблагополучных.  В случае определения черты бедности как показателя постоянной покупательной способности (абсолютная черта бедности), по мнению Национального управления здравоохранения и социального обеспечения, 6% населения Швеции проживают в домашних хозяйствах с доходом ниже черты бедности (2003 год).  Соответствующий показатель за 1991 год составлял 5%.  Наивысший показатель был зарегистрирован в 1996/97 финансовом году и составил 11%.  По данным Национального управления здравоохранения и социального обеспечения, доля крайне неимущего населения невелика и составляет около 2%, причем остается относительно стабильной в течение ряда лет.</w:t>
      </w:r>
    </w:p>
    <w:p w:rsidR="00000000" w:rsidRDefault="00000000"/>
    <w:p w:rsidR="00000000" w:rsidRDefault="00000000">
      <w:r>
        <w:t>321.</w:t>
      </w:r>
      <w:r>
        <w:tab/>
        <w:t>Правительство поставило задачу сократить вдвое число лиц, получающих материальную помощь в расчете на полногодичный эквивалент в период 1999 и 2004 годов.  Эта задача еще не выполнена, однако работа по ее реализации ведется.  За период 1999-2004 годов число полногодичных эквивалентов сократилось на 26%.</w:t>
      </w:r>
    </w:p>
    <w:p w:rsidR="00000000" w:rsidRDefault="00000000"/>
    <w:p w:rsidR="00000000" w:rsidRDefault="00000000">
      <w:r>
        <w:t>322.</w:t>
      </w:r>
      <w:r>
        <w:tab/>
        <w:t>Данные о числе получателей материальной помощи имеются лишь за период до 2004 года.  В 2004 году число лиц, получающих долгосрочную материальную помощь, увеличилось на 10%.  Среди них немалую долю составляет молодежь.  В 2004 году примерно 40% получателей помощи входили в возрастную группу 18-29 лет, что свидетельствует о незначительном повышении по сравнению с 2003 годом.  Диспропорционально большую долю составляют также уроженцы других стран.  Чуть более 42% материальной помощи идет на домашние хозяйства, где по крайней мере один член семьи имеет иностранное происхождение.</w:t>
      </w:r>
    </w:p>
    <w:p w:rsidR="00000000" w:rsidRDefault="00000000"/>
    <w:p w:rsidR="00000000" w:rsidRDefault="00000000">
      <w:r>
        <w:t>323.</w:t>
      </w:r>
      <w:r>
        <w:tab/>
        <w:t>При подсчете показателей бедности, исходя из фактора оказания долгосрочного материального вспомоществования, получаемая картина практически идентична показателю бедности, рассчитываемому исходя из получаемого дохода, т.е. в 2003 году по сравнению с 1991 годом выросло число лиц, получающих долгосрочную экономическую помощь.  Несмотря на то, что долгосрочная материальная помощь со времен спада понизилась, по сравнению с 1991 годом она выросла на 58%.</w:t>
      </w:r>
    </w:p>
    <w:p w:rsidR="00000000" w:rsidRDefault="00000000"/>
    <w:p w:rsidR="00000000" w:rsidRDefault="00000000">
      <w:r>
        <w:t>324.</w:t>
      </w:r>
      <w:r>
        <w:tab/>
        <w:t>Самый низкий уровень материального положения отмечается в Швеции в домашних хозяйствах, состоящих исключительно из пенсионеров и одиноких матерей с детьми.</w:t>
      </w:r>
    </w:p>
    <w:p w:rsidR="00000000" w:rsidRDefault="00000000"/>
    <w:p w:rsidR="00000000" w:rsidRDefault="00000000">
      <w:pPr>
        <w:tabs>
          <w:tab w:val="clear" w:pos="6237"/>
        </w:tabs>
      </w:pPr>
      <w:r>
        <w:t>325.</w:t>
      </w:r>
      <w:r>
        <w:tab/>
        <w:t>В приводимой ниже таблице показан процент женщин и мужчин с располагаемым доходом ниже 60% от медианного уровня в 1997 и 2004 годах.  Относительно большое число одиноких лиц с доходом ниже 60% от медианного уровня объясняется тем, что большая доля их приходится на студентов.  Наиболее заметный рост процентной доли населения с доходом ниже 60% от медианного уровня приходится на одиноких пенсионеров, в первую очередь тех, которые входят в возрастную группу старше 75 лет, и на одиноких женщин всех возрастов.  Наименее заметный рост приходится на совместно проживающих взрослых, в первую очередь имеющих детей.  Одной из причин не явно выраженных тенденций в отношении пенсионеров и других уязвимых групп населения является введение ряда пособий, выплачиваемых по результатам проверки на нуждаемость.</w:t>
      </w:r>
    </w:p>
    <w:p w:rsidR="00000000" w:rsidRDefault="00000000">
      <w:pPr>
        <w:tabs>
          <w:tab w:val="clear" w:pos="6237"/>
        </w:tabs>
      </w:pPr>
    </w:p>
    <w:p w:rsidR="00000000" w:rsidRDefault="00000000">
      <w:pPr>
        <w:tabs>
          <w:tab w:val="clear" w:pos="6237"/>
        </w:tabs>
        <w:spacing w:line="240" w:lineRule="auto"/>
        <w:jc w:val="center"/>
        <w:rPr>
          <w:b/>
          <w:bCs/>
        </w:rPr>
      </w:pPr>
      <w:r>
        <w:rPr>
          <w:b/>
          <w:bCs/>
        </w:rPr>
        <w:t>Таблица 11.5</w:t>
      </w:r>
    </w:p>
    <w:p w:rsidR="00000000" w:rsidRDefault="00000000">
      <w:pPr>
        <w:tabs>
          <w:tab w:val="clear" w:pos="6237"/>
        </w:tabs>
        <w:spacing w:line="240" w:lineRule="auto"/>
        <w:jc w:val="center"/>
        <w:rPr>
          <w:b/>
          <w:bCs/>
        </w:rPr>
      </w:pPr>
    </w:p>
    <w:p w:rsidR="00000000" w:rsidRDefault="00000000">
      <w:pPr>
        <w:tabs>
          <w:tab w:val="clear" w:pos="6237"/>
        </w:tabs>
        <w:spacing w:line="240" w:lineRule="auto"/>
        <w:jc w:val="center"/>
        <w:rPr>
          <w:b/>
          <w:bCs/>
        </w:rPr>
      </w:pPr>
      <w:r>
        <w:rPr>
          <w:b/>
          <w:bCs/>
        </w:rPr>
        <w:t xml:space="preserve">Процент лиц с уровнем материального положения ниже </w:t>
      </w:r>
      <w:proofErr w:type="spellStart"/>
      <w:r>
        <w:rPr>
          <w:b/>
          <w:bCs/>
        </w:rPr>
        <w:t>60%</w:t>
      </w:r>
      <w:proofErr w:type="spellEnd"/>
      <w:r>
        <w:rPr>
          <w:b/>
          <w:bCs/>
        </w:rPr>
        <w:t xml:space="preserve"> </w:t>
      </w:r>
    </w:p>
    <w:p w:rsidR="00000000" w:rsidRDefault="00000000">
      <w:pPr>
        <w:tabs>
          <w:tab w:val="clear" w:pos="6237"/>
        </w:tabs>
        <w:spacing w:line="240" w:lineRule="auto"/>
        <w:jc w:val="center"/>
        <w:rPr>
          <w:b/>
          <w:bCs/>
        </w:rPr>
      </w:pPr>
      <w:r>
        <w:rPr>
          <w:b/>
          <w:bCs/>
        </w:rPr>
        <w:t>от </w:t>
      </w:r>
      <w:proofErr w:type="spellStart"/>
      <w:r>
        <w:rPr>
          <w:b/>
          <w:bCs/>
        </w:rPr>
        <w:t>медианного</w:t>
      </w:r>
      <w:proofErr w:type="spellEnd"/>
      <w:r>
        <w:rPr>
          <w:b/>
          <w:bCs/>
        </w:rPr>
        <w:t xml:space="preserve"> уровня дохода в 1997 и 2004 годах</w:t>
      </w:r>
    </w:p>
    <w:p w:rsidR="00000000" w:rsidRDefault="00000000">
      <w:pPr>
        <w:tabs>
          <w:tab w:val="clear" w:pos="6237"/>
        </w:tabs>
        <w:rPr>
          <w:b/>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64"/>
        <w:gridCol w:w="1259"/>
        <w:gridCol w:w="1260"/>
        <w:gridCol w:w="1628"/>
      </w:tblGrid>
      <w:tr w:rsidR="00000000">
        <w:tblPrEx>
          <w:tblCellMar>
            <w:top w:w="0" w:type="dxa"/>
            <w:bottom w:w="0" w:type="dxa"/>
          </w:tblCellMar>
        </w:tblPrEx>
        <w:trPr>
          <w:cantSplit/>
          <w:trHeight w:val="670"/>
        </w:trPr>
        <w:tc>
          <w:tcPr>
            <w:tcW w:w="5264" w:type="dxa"/>
            <w:vAlign w:val="center"/>
          </w:tcPr>
          <w:p w:rsidR="00000000" w:rsidRDefault="00000000">
            <w:pPr>
              <w:tabs>
                <w:tab w:val="clear" w:pos="567"/>
                <w:tab w:val="clear" w:pos="1134"/>
                <w:tab w:val="clear" w:pos="1701"/>
                <w:tab w:val="clear" w:pos="2268"/>
                <w:tab w:val="clear" w:pos="6237"/>
              </w:tabs>
              <w:jc w:val="center"/>
              <w:rPr>
                <w:b/>
                <w:bCs/>
              </w:rPr>
            </w:pPr>
            <w:r>
              <w:rPr>
                <w:b/>
                <w:bCs/>
              </w:rPr>
              <w:t>Процентная доля</w:t>
            </w:r>
          </w:p>
        </w:tc>
        <w:tc>
          <w:tcPr>
            <w:tcW w:w="1259" w:type="dxa"/>
            <w:vAlign w:val="center"/>
          </w:tcPr>
          <w:p w:rsidR="00000000" w:rsidRDefault="00000000">
            <w:pPr>
              <w:jc w:val="center"/>
              <w:rPr>
                <w:b/>
                <w:bCs/>
              </w:rPr>
            </w:pPr>
            <w:r>
              <w:rPr>
                <w:b/>
                <w:bCs/>
              </w:rPr>
              <w:t xml:space="preserve">1997 </w:t>
            </w:r>
          </w:p>
        </w:tc>
        <w:tc>
          <w:tcPr>
            <w:tcW w:w="1260" w:type="dxa"/>
            <w:vAlign w:val="center"/>
          </w:tcPr>
          <w:p w:rsidR="00000000" w:rsidRDefault="00000000">
            <w:pPr>
              <w:jc w:val="center"/>
              <w:rPr>
                <w:b/>
                <w:bCs/>
              </w:rPr>
            </w:pPr>
            <w:r>
              <w:rPr>
                <w:b/>
                <w:bCs/>
              </w:rPr>
              <w:t>2004</w:t>
            </w:r>
          </w:p>
        </w:tc>
        <w:tc>
          <w:tcPr>
            <w:tcW w:w="1628" w:type="dxa"/>
            <w:vAlign w:val="center"/>
          </w:tcPr>
          <w:p w:rsidR="00000000" w:rsidRDefault="00000000">
            <w:pPr>
              <w:jc w:val="center"/>
              <w:rPr>
                <w:b/>
                <w:bCs/>
              </w:rPr>
            </w:pPr>
            <w:r>
              <w:rPr>
                <w:b/>
                <w:bCs/>
              </w:rPr>
              <w:t>Изменение</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женщины с детьми</w:t>
            </w:r>
          </w:p>
        </w:tc>
        <w:tc>
          <w:tcPr>
            <w:tcW w:w="1259" w:type="dxa"/>
          </w:tcPr>
          <w:p w:rsidR="00000000" w:rsidRDefault="00000000">
            <w:pPr>
              <w:tabs>
                <w:tab w:val="clear" w:pos="567"/>
                <w:tab w:val="clear" w:pos="1134"/>
                <w:tab w:val="clear" w:pos="1701"/>
                <w:tab w:val="clear" w:pos="2268"/>
                <w:tab w:val="clear" w:pos="6237"/>
              </w:tabs>
              <w:ind w:right="383"/>
              <w:jc w:val="right"/>
            </w:pPr>
            <w:r>
              <w:t>15,0</w:t>
            </w:r>
          </w:p>
        </w:tc>
        <w:tc>
          <w:tcPr>
            <w:tcW w:w="1260" w:type="dxa"/>
          </w:tcPr>
          <w:p w:rsidR="00000000" w:rsidRDefault="00000000">
            <w:pPr>
              <w:tabs>
                <w:tab w:val="clear" w:pos="567"/>
                <w:tab w:val="clear" w:pos="1134"/>
                <w:tab w:val="clear" w:pos="1701"/>
                <w:tab w:val="clear" w:pos="2268"/>
                <w:tab w:val="clear" w:pos="6237"/>
              </w:tabs>
              <w:ind w:right="384"/>
              <w:jc w:val="right"/>
            </w:pPr>
            <w:r>
              <w:t>20,7</w:t>
            </w:r>
          </w:p>
        </w:tc>
        <w:tc>
          <w:tcPr>
            <w:tcW w:w="1628" w:type="dxa"/>
            <w:vAlign w:val="center"/>
          </w:tcPr>
          <w:p w:rsidR="00000000" w:rsidRDefault="00000000">
            <w:pPr>
              <w:tabs>
                <w:tab w:val="clear" w:pos="567"/>
                <w:tab w:val="clear" w:pos="1134"/>
                <w:tab w:val="clear" w:pos="1701"/>
                <w:tab w:val="clear" w:pos="2268"/>
                <w:tab w:val="clear" w:pos="6237"/>
              </w:tabs>
              <w:jc w:val="center"/>
            </w:pPr>
            <w:r>
              <w:t>+5,7</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женщины, 20-44 года</w:t>
            </w: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r>
              <w:rPr>
                <w:lang w:val="en-US"/>
              </w:rPr>
              <w:t>15,0</w:t>
            </w: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r>
              <w:rPr>
                <w:lang w:val="en-US"/>
              </w:rPr>
              <w:t>19,6</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rPr>
                <w:lang w:val="en-US"/>
              </w:rPr>
              <w:t>+4,6</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женщины, 45-64 года</w:t>
            </w: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r>
              <w:rPr>
                <w:lang w:val="en-US"/>
              </w:rPr>
              <w:t>3,1</w:t>
            </w: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r>
              <w:rPr>
                <w:lang w:val="en-US"/>
              </w:rPr>
              <w:t>6,8</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rPr>
                <w:lang w:val="en-US"/>
              </w:rPr>
              <w:t>+3,8</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женщины, 65-74 года</w:t>
            </w:r>
          </w:p>
        </w:tc>
        <w:tc>
          <w:tcPr>
            <w:tcW w:w="1259" w:type="dxa"/>
          </w:tcPr>
          <w:p w:rsidR="00000000" w:rsidRDefault="00000000">
            <w:pPr>
              <w:tabs>
                <w:tab w:val="clear" w:pos="567"/>
                <w:tab w:val="clear" w:pos="1134"/>
                <w:tab w:val="clear" w:pos="1701"/>
                <w:tab w:val="clear" w:pos="2268"/>
                <w:tab w:val="clear" w:pos="6237"/>
              </w:tabs>
              <w:ind w:right="383"/>
              <w:jc w:val="right"/>
            </w:pPr>
            <w:r>
              <w:t>6,4</w:t>
            </w:r>
          </w:p>
        </w:tc>
        <w:tc>
          <w:tcPr>
            <w:tcW w:w="1260" w:type="dxa"/>
          </w:tcPr>
          <w:p w:rsidR="00000000" w:rsidRDefault="00000000">
            <w:pPr>
              <w:tabs>
                <w:tab w:val="clear" w:pos="567"/>
                <w:tab w:val="clear" w:pos="1134"/>
                <w:tab w:val="clear" w:pos="1701"/>
                <w:tab w:val="clear" w:pos="2268"/>
                <w:tab w:val="clear" w:pos="6237"/>
              </w:tabs>
              <w:ind w:right="384"/>
              <w:jc w:val="right"/>
            </w:pPr>
            <w:r>
              <w:t>9,9</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t>+3,6</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женщины старше 75 лет</w:t>
            </w:r>
          </w:p>
        </w:tc>
        <w:tc>
          <w:tcPr>
            <w:tcW w:w="1259" w:type="dxa"/>
          </w:tcPr>
          <w:p w:rsidR="00000000" w:rsidRDefault="00000000">
            <w:pPr>
              <w:tabs>
                <w:tab w:val="clear" w:pos="567"/>
                <w:tab w:val="clear" w:pos="1134"/>
                <w:tab w:val="clear" w:pos="1701"/>
                <w:tab w:val="clear" w:pos="2268"/>
                <w:tab w:val="clear" w:pos="6237"/>
              </w:tabs>
              <w:ind w:right="383"/>
              <w:jc w:val="right"/>
            </w:pPr>
            <w:r>
              <w:t>15,4</w:t>
            </w:r>
          </w:p>
        </w:tc>
        <w:tc>
          <w:tcPr>
            <w:tcW w:w="1260" w:type="dxa"/>
          </w:tcPr>
          <w:p w:rsidR="00000000" w:rsidRDefault="00000000">
            <w:pPr>
              <w:tabs>
                <w:tab w:val="clear" w:pos="567"/>
                <w:tab w:val="clear" w:pos="1134"/>
                <w:tab w:val="clear" w:pos="1701"/>
                <w:tab w:val="clear" w:pos="2268"/>
                <w:tab w:val="clear" w:pos="6237"/>
              </w:tabs>
              <w:ind w:right="384"/>
              <w:jc w:val="right"/>
            </w:pPr>
            <w:r>
              <w:t>21,6</w:t>
            </w:r>
          </w:p>
        </w:tc>
        <w:tc>
          <w:tcPr>
            <w:tcW w:w="1628" w:type="dxa"/>
            <w:vAlign w:val="center"/>
          </w:tcPr>
          <w:p w:rsidR="00000000" w:rsidRDefault="00000000">
            <w:pPr>
              <w:tabs>
                <w:tab w:val="clear" w:pos="567"/>
                <w:tab w:val="clear" w:pos="1134"/>
                <w:tab w:val="clear" w:pos="1701"/>
                <w:tab w:val="clear" w:pos="2268"/>
                <w:tab w:val="clear" w:pos="6237"/>
              </w:tabs>
              <w:jc w:val="center"/>
            </w:pPr>
            <w:r>
              <w:t>+6,1</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мужчины с детьми</w:t>
            </w:r>
          </w:p>
        </w:tc>
        <w:tc>
          <w:tcPr>
            <w:tcW w:w="1259" w:type="dxa"/>
          </w:tcPr>
          <w:p w:rsidR="00000000" w:rsidRDefault="00000000">
            <w:pPr>
              <w:tabs>
                <w:tab w:val="clear" w:pos="567"/>
                <w:tab w:val="clear" w:pos="1134"/>
                <w:tab w:val="clear" w:pos="1701"/>
                <w:tab w:val="clear" w:pos="2268"/>
                <w:tab w:val="clear" w:pos="6237"/>
              </w:tabs>
              <w:ind w:right="383"/>
              <w:jc w:val="right"/>
            </w:pPr>
            <w:r>
              <w:t>8,8</w:t>
            </w:r>
          </w:p>
        </w:tc>
        <w:tc>
          <w:tcPr>
            <w:tcW w:w="1260" w:type="dxa"/>
          </w:tcPr>
          <w:p w:rsidR="00000000" w:rsidRDefault="00000000">
            <w:pPr>
              <w:tabs>
                <w:tab w:val="clear" w:pos="567"/>
                <w:tab w:val="clear" w:pos="1134"/>
                <w:tab w:val="clear" w:pos="1701"/>
                <w:tab w:val="clear" w:pos="2268"/>
                <w:tab w:val="clear" w:pos="6237"/>
              </w:tabs>
              <w:ind w:right="384"/>
              <w:jc w:val="right"/>
            </w:pPr>
            <w:r>
              <w:t>11,1</w:t>
            </w:r>
          </w:p>
        </w:tc>
        <w:tc>
          <w:tcPr>
            <w:tcW w:w="1628" w:type="dxa"/>
            <w:vAlign w:val="center"/>
          </w:tcPr>
          <w:p w:rsidR="00000000" w:rsidRDefault="00000000">
            <w:pPr>
              <w:tabs>
                <w:tab w:val="clear" w:pos="567"/>
                <w:tab w:val="clear" w:pos="1134"/>
                <w:tab w:val="clear" w:pos="1701"/>
                <w:tab w:val="clear" w:pos="2268"/>
                <w:tab w:val="clear" w:pos="6237"/>
              </w:tabs>
              <w:jc w:val="center"/>
            </w:pPr>
            <w:r>
              <w:t>+2,3</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мужчины, 20-44 года</w:t>
            </w: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r>
              <w:rPr>
                <w:lang w:val="en-US"/>
              </w:rPr>
              <w:t>13,2</w:t>
            </w: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r>
              <w:rPr>
                <w:lang w:val="en-US"/>
              </w:rPr>
              <w:t>16,3</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rPr>
                <w:lang w:val="en-US"/>
              </w:rPr>
              <w:t>+3,2</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мужчины, 45-64 года</w:t>
            </w: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r>
              <w:rPr>
                <w:lang w:val="en-US"/>
              </w:rPr>
              <w:t>8,6</w:t>
            </w: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r>
              <w:rPr>
                <w:lang w:val="en-US"/>
              </w:rPr>
              <w:t>9,9</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rPr>
                <w:lang w:val="en-US"/>
              </w:rPr>
              <w:t>+1,3</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мужчины, 65-74 года</w:t>
            </w: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r>
              <w:rPr>
                <w:lang w:val="en-US"/>
              </w:rPr>
              <w:t>7,6</w:t>
            </w: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r>
              <w:rPr>
                <w:lang w:val="en-US"/>
              </w:rPr>
              <w:t>14,2</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rPr>
                <w:lang w:val="en-US"/>
              </w:rPr>
              <w:t>+6,6</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Одинокие мужчины старше 75 лет</w:t>
            </w:r>
          </w:p>
        </w:tc>
        <w:tc>
          <w:tcPr>
            <w:tcW w:w="1259" w:type="dxa"/>
          </w:tcPr>
          <w:p w:rsidR="00000000" w:rsidRDefault="00000000">
            <w:pPr>
              <w:tabs>
                <w:tab w:val="clear" w:pos="567"/>
                <w:tab w:val="clear" w:pos="1134"/>
                <w:tab w:val="clear" w:pos="1701"/>
                <w:tab w:val="clear" w:pos="2268"/>
                <w:tab w:val="clear" w:pos="6237"/>
              </w:tabs>
              <w:ind w:right="383"/>
              <w:jc w:val="right"/>
              <w:rPr>
                <w:lang w:val="en-US"/>
              </w:rPr>
            </w:pPr>
            <w:r>
              <w:rPr>
                <w:lang w:val="en-US"/>
              </w:rPr>
              <w:t>10,6</w:t>
            </w:r>
          </w:p>
        </w:tc>
        <w:tc>
          <w:tcPr>
            <w:tcW w:w="1260" w:type="dxa"/>
          </w:tcPr>
          <w:p w:rsidR="00000000" w:rsidRDefault="00000000">
            <w:pPr>
              <w:tabs>
                <w:tab w:val="clear" w:pos="567"/>
                <w:tab w:val="clear" w:pos="1134"/>
                <w:tab w:val="clear" w:pos="1701"/>
                <w:tab w:val="clear" w:pos="2268"/>
                <w:tab w:val="clear" w:pos="6237"/>
              </w:tabs>
              <w:ind w:right="384"/>
              <w:jc w:val="right"/>
              <w:rPr>
                <w:lang w:val="en-US"/>
              </w:rPr>
            </w:pPr>
            <w:r>
              <w:rPr>
                <w:lang w:val="en-US"/>
              </w:rPr>
              <w:t>18,2</w:t>
            </w:r>
          </w:p>
        </w:tc>
        <w:tc>
          <w:tcPr>
            <w:tcW w:w="1628" w:type="dxa"/>
            <w:vAlign w:val="center"/>
          </w:tcPr>
          <w:p w:rsidR="00000000" w:rsidRDefault="00000000">
            <w:pPr>
              <w:tabs>
                <w:tab w:val="clear" w:pos="567"/>
                <w:tab w:val="clear" w:pos="1134"/>
                <w:tab w:val="clear" w:pos="1701"/>
                <w:tab w:val="clear" w:pos="2268"/>
                <w:tab w:val="clear" w:pos="6237"/>
              </w:tabs>
              <w:jc w:val="center"/>
              <w:rPr>
                <w:lang w:val="en-US"/>
              </w:rPr>
            </w:pPr>
            <w:r>
              <w:rPr>
                <w:lang w:val="en-US"/>
              </w:rPr>
              <w:t>+7,5</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p>
        </w:tc>
        <w:tc>
          <w:tcPr>
            <w:tcW w:w="1259" w:type="dxa"/>
          </w:tcPr>
          <w:p w:rsidR="00000000" w:rsidRDefault="00000000">
            <w:pPr>
              <w:tabs>
                <w:tab w:val="clear" w:pos="567"/>
                <w:tab w:val="clear" w:pos="1134"/>
                <w:tab w:val="clear" w:pos="1701"/>
                <w:tab w:val="clear" w:pos="2268"/>
                <w:tab w:val="clear" w:pos="6237"/>
              </w:tabs>
              <w:ind w:right="383"/>
              <w:jc w:val="right"/>
            </w:pPr>
          </w:p>
        </w:tc>
        <w:tc>
          <w:tcPr>
            <w:tcW w:w="1260" w:type="dxa"/>
          </w:tcPr>
          <w:p w:rsidR="00000000" w:rsidRDefault="00000000">
            <w:pPr>
              <w:tabs>
                <w:tab w:val="clear" w:pos="567"/>
                <w:tab w:val="clear" w:pos="1134"/>
                <w:tab w:val="clear" w:pos="1701"/>
                <w:tab w:val="clear" w:pos="2268"/>
                <w:tab w:val="clear" w:pos="6237"/>
              </w:tabs>
              <w:ind w:right="384"/>
              <w:jc w:val="right"/>
            </w:pPr>
          </w:p>
        </w:tc>
        <w:tc>
          <w:tcPr>
            <w:tcW w:w="1628" w:type="dxa"/>
            <w:vAlign w:val="center"/>
          </w:tcPr>
          <w:p w:rsidR="00000000" w:rsidRDefault="00000000">
            <w:pPr>
              <w:tabs>
                <w:tab w:val="clear" w:pos="567"/>
                <w:tab w:val="clear" w:pos="1134"/>
                <w:tab w:val="clear" w:pos="1701"/>
                <w:tab w:val="clear" w:pos="2268"/>
                <w:tab w:val="clear" w:pos="6237"/>
              </w:tabs>
              <w:jc w:val="center"/>
            </w:pP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Совместно проживающие супруги с детьми</w:t>
            </w:r>
          </w:p>
        </w:tc>
        <w:tc>
          <w:tcPr>
            <w:tcW w:w="1259" w:type="dxa"/>
          </w:tcPr>
          <w:p w:rsidR="00000000" w:rsidRDefault="00000000">
            <w:pPr>
              <w:tabs>
                <w:tab w:val="clear" w:pos="567"/>
                <w:tab w:val="clear" w:pos="1134"/>
                <w:tab w:val="clear" w:pos="1701"/>
                <w:tab w:val="clear" w:pos="2268"/>
                <w:tab w:val="clear" w:pos="6237"/>
              </w:tabs>
              <w:ind w:right="383"/>
              <w:jc w:val="right"/>
            </w:pPr>
            <w:r>
              <w:t>6,7</w:t>
            </w:r>
          </w:p>
        </w:tc>
        <w:tc>
          <w:tcPr>
            <w:tcW w:w="1260" w:type="dxa"/>
          </w:tcPr>
          <w:p w:rsidR="00000000" w:rsidRDefault="00000000">
            <w:pPr>
              <w:tabs>
                <w:tab w:val="clear" w:pos="567"/>
                <w:tab w:val="clear" w:pos="1134"/>
                <w:tab w:val="clear" w:pos="1701"/>
                <w:tab w:val="clear" w:pos="2268"/>
                <w:tab w:val="clear" w:pos="6237"/>
              </w:tabs>
              <w:ind w:right="384"/>
              <w:jc w:val="right"/>
            </w:pPr>
            <w:r>
              <w:t>6,6</w:t>
            </w:r>
          </w:p>
        </w:tc>
        <w:tc>
          <w:tcPr>
            <w:tcW w:w="1628" w:type="dxa"/>
            <w:vAlign w:val="center"/>
          </w:tcPr>
          <w:p w:rsidR="00000000" w:rsidRDefault="00000000">
            <w:pPr>
              <w:tabs>
                <w:tab w:val="clear" w:pos="567"/>
                <w:tab w:val="clear" w:pos="1134"/>
                <w:tab w:val="clear" w:pos="1701"/>
                <w:tab w:val="clear" w:pos="2268"/>
                <w:tab w:val="clear" w:pos="6237"/>
              </w:tabs>
              <w:jc w:val="center"/>
            </w:pPr>
            <w:r>
              <w:t>-0,1</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Совместно проживающие супруги, 20-44 года</w:t>
            </w:r>
          </w:p>
        </w:tc>
        <w:tc>
          <w:tcPr>
            <w:tcW w:w="1259" w:type="dxa"/>
          </w:tcPr>
          <w:p w:rsidR="00000000" w:rsidRDefault="00000000">
            <w:pPr>
              <w:tabs>
                <w:tab w:val="clear" w:pos="567"/>
                <w:tab w:val="clear" w:pos="1134"/>
                <w:tab w:val="clear" w:pos="1701"/>
                <w:tab w:val="clear" w:pos="2268"/>
                <w:tab w:val="clear" w:pos="6237"/>
              </w:tabs>
              <w:ind w:right="383"/>
              <w:jc w:val="right"/>
            </w:pPr>
            <w:r>
              <w:t>4,2</w:t>
            </w:r>
          </w:p>
        </w:tc>
        <w:tc>
          <w:tcPr>
            <w:tcW w:w="1260" w:type="dxa"/>
          </w:tcPr>
          <w:p w:rsidR="00000000" w:rsidRDefault="00000000">
            <w:pPr>
              <w:tabs>
                <w:tab w:val="clear" w:pos="567"/>
                <w:tab w:val="clear" w:pos="1134"/>
                <w:tab w:val="clear" w:pos="1701"/>
                <w:tab w:val="clear" w:pos="2268"/>
                <w:tab w:val="clear" w:pos="6237"/>
              </w:tabs>
              <w:ind w:right="384"/>
              <w:jc w:val="right"/>
            </w:pPr>
            <w:r>
              <w:t>5,1</w:t>
            </w:r>
          </w:p>
        </w:tc>
        <w:tc>
          <w:tcPr>
            <w:tcW w:w="1628" w:type="dxa"/>
            <w:vAlign w:val="bottom"/>
          </w:tcPr>
          <w:p w:rsidR="00000000" w:rsidRDefault="00000000">
            <w:pPr>
              <w:tabs>
                <w:tab w:val="clear" w:pos="567"/>
                <w:tab w:val="clear" w:pos="1134"/>
                <w:tab w:val="clear" w:pos="1701"/>
                <w:tab w:val="clear" w:pos="2268"/>
                <w:tab w:val="clear" w:pos="6237"/>
              </w:tabs>
              <w:jc w:val="center"/>
            </w:pPr>
            <w:r>
              <w:t>+0,9</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Совместно проживающие супруги, 45-64 года</w:t>
            </w:r>
          </w:p>
        </w:tc>
        <w:tc>
          <w:tcPr>
            <w:tcW w:w="1259" w:type="dxa"/>
          </w:tcPr>
          <w:p w:rsidR="00000000" w:rsidRDefault="00000000">
            <w:pPr>
              <w:tabs>
                <w:tab w:val="clear" w:pos="567"/>
                <w:tab w:val="clear" w:pos="1134"/>
                <w:tab w:val="clear" w:pos="1701"/>
                <w:tab w:val="clear" w:pos="2268"/>
                <w:tab w:val="clear" w:pos="6237"/>
              </w:tabs>
              <w:ind w:right="383"/>
              <w:jc w:val="right"/>
            </w:pPr>
            <w:r>
              <w:t>2,6</w:t>
            </w:r>
          </w:p>
        </w:tc>
        <w:tc>
          <w:tcPr>
            <w:tcW w:w="1260" w:type="dxa"/>
          </w:tcPr>
          <w:p w:rsidR="00000000" w:rsidRDefault="00000000">
            <w:pPr>
              <w:tabs>
                <w:tab w:val="clear" w:pos="567"/>
                <w:tab w:val="clear" w:pos="1134"/>
                <w:tab w:val="clear" w:pos="1701"/>
                <w:tab w:val="clear" w:pos="2268"/>
                <w:tab w:val="clear" w:pos="6237"/>
              </w:tabs>
              <w:ind w:right="384"/>
              <w:jc w:val="right"/>
            </w:pPr>
            <w:r>
              <w:t>2,5</w:t>
            </w:r>
          </w:p>
        </w:tc>
        <w:tc>
          <w:tcPr>
            <w:tcW w:w="1628" w:type="dxa"/>
            <w:vAlign w:val="bottom"/>
          </w:tcPr>
          <w:p w:rsidR="00000000" w:rsidRDefault="00000000">
            <w:pPr>
              <w:tabs>
                <w:tab w:val="clear" w:pos="567"/>
                <w:tab w:val="clear" w:pos="1134"/>
                <w:tab w:val="clear" w:pos="1701"/>
                <w:tab w:val="clear" w:pos="2268"/>
                <w:tab w:val="clear" w:pos="6237"/>
              </w:tabs>
              <w:jc w:val="center"/>
            </w:pPr>
            <w:r>
              <w:t>-0,1</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Совместно проживающие супруги, 65-74 года</w:t>
            </w:r>
          </w:p>
        </w:tc>
        <w:tc>
          <w:tcPr>
            <w:tcW w:w="1259" w:type="dxa"/>
          </w:tcPr>
          <w:p w:rsidR="00000000" w:rsidRDefault="00000000">
            <w:pPr>
              <w:tabs>
                <w:tab w:val="clear" w:pos="567"/>
                <w:tab w:val="clear" w:pos="1134"/>
                <w:tab w:val="clear" w:pos="1701"/>
                <w:tab w:val="clear" w:pos="2268"/>
                <w:tab w:val="clear" w:pos="6237"/>
              </w:tabs>
              <w:ind w:right="383"/>
              <w:jc w:val="right"/>
            </w:pPr>
            <w:r>
              <w:t>2,4</w:t>
            </w:r>
          </w:p>
        </w:tc>
        <w:tc>
          <w:tcPr>
            <w:tcW w:w="1260" w:type="dxa"/>
          </w:tcPr>
          <w:p w:rsidR="00000000" w:rsidRDefault="00000000">
            <w:pPr>
              <w:tabs>
                <w:tab w:val="clear" w:pos="567"/>
                <w:tab w:val="clear" w:pos="1134"/>
                <w:tab w:val="clear" w:pos="1701"/>
                <w:tab w:val="clear" w:pos="2268"/>
                <w:tab w:val="clear" w:pos="6237"/>
              </w:tabs>
              <w:ind w:right="384"/>
              <w:jc w:val="right"/>
            </w:pPr>
            <w:r>
              <w:t>3,3</w:t>
            </w:r>
          </w:p>
        </w:tc>
        <w:tc>
          <w:tcPr>
            <w:tcW w:w="1628" w:type="dxa"/>
            <w:vAlign w:val="bottom"/>
          </w:tcPr>
          <w:p w:rsidR="00000000" w:rsidRDefault="00000000">
            <w:pPr>
              <w:tabs>
                <w:tab w:val="clear" w:pos="567"/>
                <w:tab w:val="clear" w:pos="1134"/>
                <w:tab w:val="clear" w:pos="1701"/>
                <w:tab w:val="clear" w:pos="2268"/>
                <w:tab w:val="clear" w:pos="6237"/>
              </w:tabs>
              <w:jc w:val="center"/>
            </w:pPr>
            <w:r>
              <w:t>+0,9</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pPr>
            <w:r>
              <w:t>Совместно проживающие супруги старше 75 лет</w:t>
            </w:r>
          </w:p>
        </w:tc>
        <w:tc>
          <w:tcPr>
            <w:tcW w:w="1259" w:type="dxa"/>
          </w:tcPr>
          <w:p w:rsidR="00000000" w:rsidRDefault="00000000">
            <w:pPr>
              <w:tabs>
                <w:tab w:val="clear" w:pos="567"/>
                <w:tab w:val="clear" w:pos="1134"/>
                <w:tab w:val="clear" w:pos="1701"/>
                <w:tab w:val="clear" w:pos="2268"/>
                <w:tab w:val="clear" w:pos="6237"/>
              </w:tabs>
              <w:ind w:right="383"/>
              <w:jc w:val="right"/>
            </w:pPr>
            <w:r>
              <w:t>4,6</w:t>
            </w:r>
          </w:p>
        </w:tc>
        <w:tc>
          <w:tcPr>
            <w:tcW w:w="1260" w:type="dxa"/>
          </w:tcPr>
          <w:p w:rsidR="00000000" w:rsidRDefault="00000000">
            <w:pPr>
              <w:tabs>
                <w:tab w:val="clear" w:pos="567"/>
                <w:tab w:val="clear" w:pos="1134"/>
                <w:tab w:val="clear" w:pos="1701"/>
                <w:tab w:val="clear" w:pos="2268"/>
                <w:tab w:val="clear" w:pos="6237"/>
              </w:tabs>
              <w:ind w:right="384"/>
              <w:jc w:val="right"/>
            </w:pPr>
            <w:r>
              <w:t>6,0</w:t>
            </w:r>
          </w:p>
        </w:tc>
        <w:tc>
          <w:tcPr>
            <w:tcW w:w="1628" w:type="dxa"/>
            <w:vAlign w:val="bottom"/>
          </w:tcPr>
          <w:p w:rsidR="00000000" w:rsidRDefault="00000000">
            <w:pPr>
              <w:tabs>
                <w:tab w:val="clear" w:pos="567"/>
                <w:tab w:val="clear" w:pos="1134"/>
                <w:tab w:val="clear" w:pos="1701"/>
                <w:tab w:val="clear" w:pos="2268"/>
                <w:tab w:val="clear" w:pos="6237"/>
              </w:tabs>
              <w:jc w:val="center"/>
            </w:pPr>
            <w:r>
              <w:t>+1,4</w:t>
            </w:r>
          </w:p>
        </w:tc>
      </w:tr>
      <w:tr w:rsidR="00000000">
        <w:tblPrEx>
          <w:tblCellMar>
            <w:top w:w="0" w:type="dxa"/>
            <w:bottom w:w="0" w:type="dxa"/>
          </w:tblCellMar>
        </w:tblPrEx>
        <w:trPr>
          <w:cantSplit/>
        </w:trPr>
        <w:tc>
          <w:tcPr>
            <w:tcW w:w="5264" w:type="dxa"/>
          </w:tcPr>
          <w:p w:rsidR="00000000" w:rsidRDefault="00000000">
            <w:pPr>
              <w:tabs>
                <w:tab w:val="clear" w:pos="567"/>
                <w:tab w:val="clear" w:pos="1134"/>
                <w:tab w:val="clear" w:pos="1701"/>
                <w:tab w:val="clear" w:pos="2268"/>
                <w:tab w:val="clear" w:pos="6237"/>
              </w:tabs>
              <w:rPr>
                <w:b/>
                <w:bCs/>
              </w:rPr>
            </w:pPr>
            <w:r>
              <w:rPr>
                <w:b/>
                <w:bCs/>
              </w:rPr>
              <w:t>Всего</w:t>
            </w:r>
          </w:p>
        </w:tc>
        <w:tc>
          <w:tcPr>
            <w:tcW w:w="1259" w:type="dxa"/>
          </w:tcPr>
          <w:p w:rsidR="00000000" w:rsidRDefault="00000000">
            <w:pPr>
              <w:tabs>
                <w:tab w:val="clear" w:pos="567"/>
                <w:tab w:val="clear" w:pos="1134"/>
                <w:tab w:val="clear" w:pos="1701"/>
                <w:tab w:val="clear" w:pos="2268"/>
                <w:tab w:val="clear" w:pos="6237"/>
              </w:tabs>
              <w:ind w:right="383"/>
              <w:jc w:val="right"/>
              <w:rPr>
                <w:b/>
                <w:bCs/>
              </w:rPr>
            </w:pPr>
            <w:r>
              <w:rPr>
                <w:b/>
                <w:bCs/>
              </w:rPr>
              <w:t>7,8</w:t>
            </w:r>
          </w:p>
        </w:tc>
        <w:tc>
          <w:tcPr>
            <w:tcW w:w="1260" w:type="dxa"/>
          </w:tcPr>
          <w:p w:rsidR="00000000" w:rsidRDefault="00000000">
            <w:pPr>
              <w:tabs>
                <w:tab w:val="clear" w:pos="567"/>
                <w:tab w:val="clear" w:pos="1134"/>
                <w:tab w:val="clear" w:pos="1701"/>
                <w:tab w:val="clear" w:pos="2268"/>
                <w:tab w:val="clear" w:pos="6237"/>
              </w:tabs>
              <w:ind w:right="384"/>
              <w:jc w:val="right"/>
              <w:rPr>
                <w:b/>
                <w:bCs/>
              </w:rPr>
            </w:pPr>
            <w:r>
              <w:rPr>
                <w:b/>
                <w:bCs/>
              </w:rPr>
              <w:t>9,1</w:t>
            </w:r>
          </w:p>
        </w:tc>
        <w:tc>
          <w:tcPr>
            <w:tcW w:w="1628" w:type="dxa"/>
            <w:vAlign w:val="center"/>
          </w:tcPr>
          <w:p w:rsidR="00000000" w:rsidRDefault="00000000">
            <w:pPr>
              <w:tabs>
                <w:tab w:val="clear" w:pos="567"/>
                <w:tab w:val="clear" w:pos="1134"/>
                <w:tab w:val="clear" w:pos="1701"/>
                <w:tab w:val="clear" w:pos="2268"/>
                <w:tab w:val="clear" w:pos="6237"/>
              </w:tabs>
              <w:ind w:left="-31" w:firstLine="31"/>
              <w:jc w:val="center"/>
              <w:rPr>
                <w:b/>
                <w:bCs/>
              </w:rPr>
            </w:pPr>
            <w:r>
              <w:rPr>
                <w:b/>
                <w:bCs/>
              </w:rPr>
              <w:t>+1,3</w:t>
            </w:r>
          </w:p>
        </w:tc>
      </w:tr>
    </w:tbl>
    <w:p w:rsidR="00000000" w:rsidRDefault="00000000">
      <w:pPr>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spacing w:line="240" w:lineRule="auto"/>
      </w:pPr>
      <w:r>
        <w:rPr>
          <w:i/>
          <w:iCs/>
        </w:rPr>
        <w:t>Источник</w:t>
      </w:r>
      <w:r>
        <w:t>:  Данные расчетов министерства финансов на базе сведений о финансах домашних хозяйств от Статистического управления Швеции.</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326.</w:t>
      </w:r>
      <w:r>
        <w:tab/>
        <w:t>Важная объявленная задача, которая фигурировала в Национальном плане действий Швеции на 2003 год в области искоренения бедности и социальной изоляции, состоит в том чтобы к 2010 году значительно сократить число лиц, которым угрожает бедность и социальная изоляция.  Ожидается, что эта цель будет достигнута путем сокращения процентной доли женщин и мужчин, чей доход ниже норматива для оказания материальной помощи, а также процентной доли лиц с доходом ниже 60% от медианного уровня дохода.  Процентная доля лиц в семьях с детьми с доходом ниже 60% от медианного уровня дохода также должна быть сокращена.  В приводимых ниже таблицах показана статистика процесса реализации этих целей в 2000, 2001 и 2003 годах.</w:t>
      </w:r>
    </w:p>
    <w:p w:rsidR="00000000" w:rsidRDefault="00000000">
      <w:pPr>
        <w:tabs>
          <w:tab w:val="clear" w:pos="567"/>
          <w:tab w:val="clear" w:pos="1134"/>
          <w:tab w:val="clear" w:pos="1701"/>
          <w:tab w:val="clear" w:pos="2268"/>
          <w:tab w:val="clear" w:pos="6237"/>
        </w:tabs>
      </w:pPr>
    </w:p>
    <w:p w:rsidR="00000000" w:rsidRDefault="00000000">
      <w:pPr>
        <w:keepNext/>
        <w:tabs>
          <w:tab w:val="clear" w:pos="567"/>
          <w:tab w:val="clear" w:pos="1134"/>
          <w:tab w:val="clear" w:pos="1701"/>
          <w:tab w:val="clear" w:pos="2268"/>
          <w:tab w:val="clear" w:pos="6237"/>
        </w:tabs>
        <w:spacing w:line="240" w:lineRule="auto"/>
        <w:jc w:val="center"/>
        <w:rPr>
          <w:b/>
          <w:bCs/>
        </w:rPr>
      </w:pPr>
      <w:r>
        <w:rPr>
          <w:b/>
          <w:bCs/>
        </w:rPr>
        <w:t>Таблица 11.6</w:t>
      </w:r>
    </w:p>
    <w:p w:rsidR="00000000" w:rsidRDefault="00000000">
      <w:pPr>
        <w:keepNext/>
        <w:tabs>
          <w:tab w:val="clear" w:pos="567"/>
          <w:tab w:val="clear" w:pos="1134"/>
          <w:tab w:val="clear" w:pos="1701"/>
          <w:tab w:val="clear" w:pos="2268"/>
          <w:tab w:val="clear" w:pos="6237"/>
        </w:tabs>
        <w:spacing w:line="240" w:lineRule="auto"/>
        <w:jc w:val="center"/>
        <w:rPr>
          <w:b/>
          <w:bCs/>
        </w:rPr>
      </w:pPr>
    </w:p>
    <w:p w:rsidR="00000000" w:rsidRDefault="00000000">
      <w:pPr>
        <w:keepNext/>
        <w:tabs>
          <w:tab w:val="clear" w:pos="567"/>
          <w:tab w:val="clear" w:pos="1134"/>
          <w:tab w:val="clear" w:pos="1701"/>
          <w:tab w:val="clear" w:pos="2268"/>
          <w:tab w:val="clear" w:pos="6237"/>
        </w:tabs>
        <w:spacing w:line="240" w:lineRule="auto"/>
        <w:jc w:val="center"/>
        <w:rPr>
          <w:b/>
          <w:bCs/>
        </w:rPr>
      </w:pPr>
      <w:r>
        <w:rPr>
          <w:b/>
          <w:bCs/>
        </w:rPr>
        <w:t xml:space="preserve">Число женщин и мужчин с доходом ниже норматива для оказания </w:t>
      </w:r>
    </w:p>
    <w:p w:rsidR="00000000" w:rsidRDefault="00000000">
      <w:pPr>
        <w:keepNext/>
        <w:tabs>
          <w:tab w:val="clear" w:pos="567"/>
          <w:tab w:val="clear" w:pos="1134"/>
          <w:tab w:val="clear" w:pos="1701"/>
          <w:tab w:val="clear" w:pos="2268"/>
          <w:tab w:val="clear" w:pos="6237"/>
        </w:tabs>
        <w:spacing w:line="240" w:lineRule="auto"/>
        <w:jc w:val="center"/>
        <w:rPr>
          <w:b/>
          <w:bCs/>
        </w:rPr>
      </w:pPr>
      <w:r>
        <w:rPr>
          <w:b/>
          <w:bCs/>
        </w:rPr>
        <w:t>материальной помощи</w:t>
      </w:r>
    </w:p>
    <w:p w:rsidR="00000000" w:rsidRDefault="00000000">
      <w:pPr>
        <w:keepNext/>
        <w:tabs>
          <w:tab w:val="clear" w:pos="567"/>
          <w:tab w:val="clear" w:pos="1134"/>
          <w:tab w:val="clear" w:pos="1701"/>
          <w:tab w:val="clear" w:pos="2268"/>
          <w:tab w:val="clear" w:pos="6237"/>
        </w:tabs>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1701"/>
        <w:gridCol w:w="1701"/>
      </w:tblGrid>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szCs w:val="24"/>
              </w:rPr>
            </w:pPr>
          </w:p>
        </w:tc>
        <w:tc>
          <w:tcPr>
            <w:tcW w:w="1701" w:type="dxa"/>
            <w:vAlign w:val="center"/>
          </w:tcPr>
          <w:p w:rsidR="00000000" w:rsidRDefault="00000000">
            <w:pPr>
              <w:keepNext/>
              <w:tabs>
                <w:tab w:val="clear" w:pos="567"/>
                <w:tab w:val="clear" w:pos="1134"/>
                <w:tab w:val="clear" w:pos="1701"/>
                <w:tab w:val="clear" w:pos="2268"/>
                <w:tab w:val="clear" w:pos="6237"/>
              </w:tabs>
              <w:spacing w:line="240" w:lineRule="auto"/>
              <w:jc w:val="center"/>
              <w:rPr>
                <w:b/>
                <w:bCs/>
                <w:szCs w:val="24"/>
              </w:rPr>
            </w:pPr>
            <w:r>
              <w:rPr>
                <w:b/>
                <w:bCs/>
                <w:szCs w:val="24"/>
              </w:rPr>
              <w:t>2000</w:t>
            </w:r>
          </w:p>
        </w:tc>
        <w:tc>
          <w:tcPr>
            <w:tcW w:w="1701" w:type="dxa"/>
            <w:vAlign w:val="center"/>
          </w:tcPr>
          <w:p w:rsidR="00000000" w:rsidRDefault="00000000">
            <w:pPr>
              <w:keepNext/>
              <w:tabs>
                <w:tab w:val="clear" w:pos="567"/>
                <w:tab w:val="clear" w:pos="1134"/>
                <w:tab w:val="clear" w:pos="1701"/>
                <w:tab w:val="clear" w:pos="2268"/>
                <w:tab w:val="clear" w:pos="6237"/>
              </w:tabs>
              <w:spacing w:line="240" w:lineRule="auto"/>
              <w:jc w:val="center"/>
              <w:rPr>
                <w:b/>
                <w:bCs/>
                <w:szCs w:val="24"/>
              </w:rPr>
            </w:pPr>
            <w:r>
              <w:rPr>
                <w:b/>
                <w:bCs/>
                <w:szCs w:val="24"/>
              </w:rPr>
              <w:t>2003</w:t>
            </w: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Женщины</w:t>
            </w:r>
          </w:p>
        </w:tc>
        <w:tc>
          <w:tcPr>
            <w:tcW w:w="1701" w:type="dxa"/>
            <w:vAlign w:val="center"/>
          </w:tcPr>
          <w:p w:rsidR="00000000" w:rsidRDefault="00000000">
            <w:pPr>
              <w:keepNext/>
              <w:tabs>
                <w:tab w:val="clear" w:pos="567"/>
                <w:tab w:val="clear" w:pos="1134"/>
                <w:tab w:val="clear" w:pos="1701"/>
                <w:tab w:val="clear" w:pos="2268"/>
                <w:tab w:val="clear" w:pos="6237"/>
              </w:tabs>
              <w:spacing w:line="240" w:lineRule="auto"/>
              <w:jc w:val="center"/>
              <w:rPr>
                <w:b/>
                <w:bCs/>
              </w:rPr>
            </w:pPr>
          </w:p>
        </w:tc>
        <w:tc>
          <w:tcPr>
            <w:tcW w:w="1701" w:type="dxa"/>
            <w:vAlign w:val="center"/>
          </w:tcPr>
          <w:p w:rsidR="00000000" w:rsidRDefault="00000000">
            <w:pPr>
              <w:keepNext/>
              <w:tabs>
                <w:tab w:val="clear" w:pos="567"/>
                <w:tab w:val="clear" w:pos="1134"/>
                <w:tab w:val="clear" w:pos="1701"/>
                <w:tab w:val="clear" w:pos="2268"/>
                <w:tab w:val="clear" w:pos="6237"/>
              </w:tabs>
              <w:spacing w:line="240" w:lineRule="auto"/>
              <w:jc w:val="center"/>
              <w:rPr>
                <w:b/>
                <w:bCs/>
              </w:rPr>
            </w:pP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ab/>
              <w:t>Одинокие с детьми</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r>
              <w:rPr>
                <w:szCs w:val="24"/>
              </w:rPr>
              <w:t>46 311</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r>
              <w:rPr>
                <w:szCs w:val="24"/>
              </w:rPr>
              <w:t>38 826</w:t>
            </w: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ab/>
              <w:t>Одинокие без детей</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r>
              <w:rPr>
                <w:szCs w:val="24"/>
              </w:rPr>
              <w:t>58 682</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r>
              <w:rPr>
                <w:szCs w:val="24"/>
              </w:rPr>
              <w:t>56 373</w:t>
            </w: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Мужчины</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ab/>
              <w:t>Одинокие с детьми</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r>
              <w:rPr>
                <w:szCs w:val="24"/>
              </w:rPr>
              <w:t>5 322</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r>
              <w:rPr>
                <w:szCs w:val="24"/>
              </w:rPr>
              <w:t>5 240</w:t>
            </w: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ab/>
              <w:t>Одинокие без детей</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r>
              <w:rPr>
                <w:szCs w:val="24"/>
              </w:rPr>
              <w:t>96 519</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r>
              <w:rPr>
                <w:szCs w:val="24"/>
              </w:rPr>
              <w:t>86 954</w:t>
            </w: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Состоящие в браке/совместно проживающие</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ab/>
              <w:t>С детьми</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r>
              <w:rPr>
                <w:szCs w:val="24"/>
              </w:rPr>
              <w:t>37 469</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r>
              <w:rPr>
                <w:szCs w:val="24"/>
              </w:rPr>
              <w:t>27 283</w:t>
            </w:r>
          </w:p>
        </w:tc>
      </w:tr>
      <w:tr w:rsidR="00000000">
        <w:tblPrEx>
          <w:tblCellMar>
            <w:top w:w="0" w:type="dxa"/>
            <w:bottom w:w="0" w:type="dxa"/>
          </w:tblCellMar>
        </w:tblPrEx>
        <w:trPr>
          <w:jc w:val="center"/>
        </w:trPr>
        <w:tc>
          <w:tcPr>
            <w:tcW w:w="4928" w:type="dxa"/>
          </w:tcPr>
          <w:p w:rsidR="00000000" w:rsidRDefault="00000000">
            <w:pPr>
              <w:keepNext/>
              <w:tabs>
                <w:tab w:val="clear" w:pos="567"/>
                <w:tab w:val="clear" w:pos="1134"/>
                <w:tab w:val="clear" w:pos="1701"/>
                <w:tab w:val="clear" w:pos="2268"/>
                <w:tab w:val="clear" w:pos="6237"/>
              </w:tabs>
              <w:spacing w:line="240" w:lineRule="auto"/>
              <w:rPr>
                <w:b/>
                <w:bCs/>
              </w:rPr>
            </w:pPr>
            <w:r>
              <w:rPr>
                <w:szCs w:val="24"/>
              </w:rPr>
              <w:tab/>
              <w:t>Без детей</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00"/>
              <w:jc w:val="right"/>
              <w:rPr>
                <w:b/>
                <w:bCs/>
              </w:rPr>
            </w:pPr>
            <w:r>
              <w:rPr>
                <w:szCs w:val="24"/>
              </w:rPr>
              <w:t>13 910</w:t>
            </w:r>
          </w:p>
        </w:tc>
        <w:tc>
          <w:tcPr>
            <w:tcW w:w="1701" w:type="dxa"/>
          </w:tcPr>
          <w:p w:rsidR="00000000" w:rsidRDefault="00000000">
            <w:pPr>
              <w:keepNext/>
              <w:tabs>
                <w:tab w:val="clear" w:pos="567"/>
                <w:tab w:val="clear" w:pos="1134"/>
                <w:tab w:val="clear" w:pos="1701"/>
                <w:tab w:val="clear" w:pos="2268"/>
                <w:tab w:val="clear" w:pos="6237"/>
              </w:tabs>
              <w:spacing w:line="240" w:lineRule="auto"/>
              <w:ind w:right="459"/>
              <w:jc w:val="right"/>
              <w:rPr>
                <w:b/>
                <w:bCs/>
              </w:rPr>
            </w:pPr>
            <w:r>
              <w:rPr>
                <w:szCs w:val="24"/>
              </w:rPr>
              <w:t>13 399</w:t>
            </w:r>
          </w:p>
        </w:tc>
      </w:tr>
    </w:tbl>
    <w:p w:rsidR="00000000" w:rsidRDefault="00000000">
      <w:pPr>
        <w:keepNext/>
        <w:tabs>
          <w:tab w:val="clear" w:pos="567"/>
          <w:tab w:val="clear" w:pos="1134"/>
          <w:tab w:val="clear" w:pos="1701"/>
          <w:tab w:val="clear" w:pos="2268"/>
          <w:tab w:val="clear" w:pos="6237"/>
        </w:tabs>
        <w:rPr>
          <w:b/>
          <w:bCs/>
        </w:rPr>
      </w:pPr>
    </w:p>
    <w:p w:rsidR="00000000" w:rsidRDefault="00000000">
      <w:pPr>
        <w:tabs>
          <w:tab w:val="clear" w:pos="567"/>
          <w:tab w:val="clear" w:pos="1134"/>
          <w:tab w:val="clear" w:pos="1701"/>
          <w:tab w:val="clear" w:pos="2268"/>
          <w:tab w:val="clear" w:pos="6237"/>
        </w:tabs>
        <w:spacing w:line="240" w:lineRule="auto"/>
        <w:jc w:val="center"/>
        <w:rPr>
          <w:b/>
          <w:bCs/>
        </w:rPr>
      </w:pPr>
      <w:r>
        <w:rPr>
          <w:b/>
          <w:bCs/>
        </w:rPr>
        <w:t>Таблица 11.7</w:t>
      </w:r>
    </w:p>
    <w:p w:rsidR="00000000" w:rsidRDefault="00000000">
      <w:pPr>
        <w:tabs>
          <w:tab w:val="clear" w:pos="567"/>
          <w:tab w:val="clear" w:pos="1134"/>
          <w:tab w:val="clear" w:pos="1701"/>
          <w:tab w:val="clear" w:pos="2268"/>
          <w:tab w:val="clear" w:pos="6237"/>
        </w:tabs>
        <w:spacing w:line="240" w:lineRule="auto"/>
        <w:jc w:val="center"/>
        <w:rPr>
          <w:b/>
          <w:bCs/>
        </w:rPr>
      </w:pPr>
    </w:p>
    <w:p w:rsidR="00000000" w:rsidRDefault="00000000">
      <w:pPr>
        <w:tabs>
          <w:tab w:val="clear" w:pos="567"/>
          <w:tab w:val="clear" w:pos="1134"/>
          <w:tab w:val="clear" w:pos="1701"/>
          <w:tab w:val="clear" w:pos="2268"/>
          <w:tab w:val="clear" w:pos="6237"/>
        </w:tabs>
        <w:spacing w:line="240" w:lineRule="auto"/>
        <w:jc w:val="center"/>
        <w:rPr>
          <w:b/>
          <w:bCs/>
        </w:rPr>
      </w:pPr>
      <w:r>
        <w:rPr>
          <w:b/>
          <w:bCs/>
        </w:rPr>
        <w:t>Процентная доля женщин и мужчин с располагаемым доходом ниже </w:t>
      </w:r>
      <w:proofErr w:type="spellStart"/>
      <w:r>
        <w:rPr>
          <w:b/>
          <w:bCs/>
        </w:rPr>
        <w:t>60%</w:t>
      </w:r>
      <w:proofErr w:type="spellEnd"/>
      <w:r>
        <w:rPr>
          <w:b/>
          <w:bCs/>
        </w:rPr>
        <w:t xml:space="preserve"> от </w:t>
      </w:r>
      <w:proofErr w:type="spellStart"/>
      <w:r>
        <w:rPr>
          <w:b/>
          <w:bCs/>
        </w:rPr>
        <w:t>медианного</w:t>
      </w:r>
      <w:proofErr w:type="spellEnd"/>
      <w:r>
        <w:rPr>
          <w:b/>
          <w:bCs/>
        </w:rPr>
        <w:t xml:space="preserve"> располагаемого дохода</w:t>
      </w:r>
    </w:p>
    <w:p w:rsidR="00000000" w:rsidRDefault="00000000">
      <w:pPr>
        <w:tabs>
          <w:tab w:val="clear" w:pos="567"/>
          <w:tab w:val="clear" w:pos="1134"/>
          <w:tab w:val="clear" w:pos="1701"/>
          <w:tab w:val="clear" w:pos="2268"/>
          <w:tab w:val="clear" w:pos="6237"/>
        </w:tabs>
        <w:rPr>
          <w:b/>
          <w:bCs/>
        </w:rPr>
      </w:pPr>
    </w:p>
    <w:tbl>
      <w:tblPr>
        <w:tblW w:w="0" w:type="auto"/>
        <w:jc w:val="center"/>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85"/>
        <w:gridCol w:w="1392"/>
        <w:gridCol w:w="1392"/>
      </w:tblGrid>
      <w:tr w:rsidR="00000000">
        <w:tblPrEx>
          <w:tblCellMar>
            <w:top w:w="0" w:type="dxa"/>
            <w:bottom w:w="0" w:type="dxa"/>
          </w:tblCellMar>
        </w:tblPrEx>
        <w:trPr>
          <w:cantSplit/>
          <w:jc w:val="center"/>
        </w:trPr>
        <w:tc>
          <w:tcPr>
            <w:tcW w:w="2585" w:type="dxa"/>
          </w:tcPr>
          <w:p w:rsidR="00000000" w:rsidRDefault="00000000">
            <w:pPr>
              <w:pStyle w:val="RKnormal"/>
              <w:spacing w:line="240" w:lineRule="auto"/>
              <w:rPr>
                <w:b/>
                <w:bCs/>
                <w:lang w:val="ru-RU"/>
              </w:rPr>
            </w:pPr>
          </w:p>
        </w:tc>
        <w:tc>
          <w:tcPr>
            <w:tcW w:w="1392" w:type="dxa"/>
            <w:vAlign w:val="center"/>
          </w:tcPr>
          <w:p w:rsidR="00000000" w:rsidRDefault="00000000">
            <w:pPr>
              <w:pStyle w:val="RKnormal"/>
              <w:spacing w:line="240" w:lineRule="auto"/>
              <w:jc w:val="center"/>
              <w:rPr>
                <w:b/>
                <w:bCs/>
                <w:lang w:val="ru-RU"/>
              </w:rPr>
            </w:pPr>
            <w:r>
              <w:rPr>
                <w:b/>
                <w:bCs/>
                <w:lang w:val="ru-RU"/>
              </w:rPr>
              <w:t>2001</w:t>
            </w:r>
          </w:p>
        </w:tc>
        <w:tc>
          <w:tcPr>
            <w:tcW w:w="1392" w:type="dxa"/>
            <w:vAlign w:val="center"/>
          </w:tcPr>
          <w:p w:rsidR="00000000" w:rsidRDefault="00000000">
            <w:pPr>
              <w:pStyle w:val="RKnormal"/>
              <w:spacing w:line="240" w:lineRule="auto"/>
              <w:jc w:val="center"/>
              <w:rPr>
                <w:b/>
                <w:bCs/>
                <w:lang w:val="ru-RU"/>
              </w:rPr>
            </w:pPr>
            <w:r>
              <w:rPr>
                <w:b/>
                <w:bCs/>
                <w:lang w:val="ru-RU"/>
              </w:rPr>
              <w:t>2003</w:t>
            </w:r>
          </w:p>
        </w:tc>
      </w:tr>
      <w:tr w:rsidR="00000000">
        <w:tblPrEx>
          <w:tblCellMar>
            <w:top w:w="0" w:type="dxa"/>
            <w:bottom w:w="0" w:type="dxa"/>
          </w:tblCellMar>
        </w:tblPrEx>
        <w:trPr>
          <w:cantSplit/>
          <w:jc w:val="center"/>
        </w:trPr>
        <w:tc>
          <w:tcPr>
            <w:tcW w:w="2585" w:type="dxa"/>
          </w:tcPr>
          <w:p w:rsidR="00000000" w:rsidRDefault="00000000">
            <w:pPr>
              <w:pStyle w:val="RKnormal"/>
              <w:spacing w:line="240" w:lineRule="auto"/>
              <w:rPr>
                <w:lang w:val="ru-RU"/>
              </w:rPr>
            </w:pPr>
            <w:r>
              <w:rPr>
                <w:lang w:val="ru-RU"/>
              </w:rPr>
              <w:t>Женщины</w:t>
            </w:r>
          </w:p>
        </w:tc>
        <w:tc>
          <w:tcPr>
            <w:tcW w:w="1392" w:type="dxa"/>
            <w:vAlign w:val="center"/>
          </w:tcPr>
          <w:p w:rsidR="00000000" w:rsidRDefault="00000000">
            <w:pPr>
              <w:pStyle w:val="RKnormal"/>
              <w:spacing w:line="240" w:lineRule="auto"/>
              <w:ind w:right="511"/>
              <w:jc w:val="right"/>
              <w:rPr>
                <w:lang w:val="ru-RU"/>
              </w:rPr>
            </w:pPr>
            <w:r>
              <w:rPr>
                <w:lang w:val="ru-RU"/>
              </w:rPr>
              <w:t>11,2</w:t>
            </w:r>
          </w:p>
        </w:tc>
        <w:tc>
          <w:tcPr>
            <w:tcW w:w="1392" w:type="dxa"/>
            <w:vAlign w:val="center"/>
          </w:tcPr>
          <w:p w:rsidR="00000000" w:rsidRDefault="00000000">
            <w:pPr>
              <w:pStyle w:val="RKnormal"/>
              <w:spacing w:line="240" w:lineRule="auto"/>
              <w:jc w:val="center"/>
              <w:rPr>
                <w:lang w:val="ru-RU"/>
              </w:rPr>
            </w:pPr>
            <w:r>
              <w:rPr>
                <w:lang w:val="ru-RU"/>
              </w:rPr>
              <w:t>11</w:t>
            </w:r>
          </w:p>
        </w:tc>
      </w:tr>
      <w:tr w:rsidR="00000000">
        <w:tblPrEx>
          <w:tblCellMar>
            <w:top w:w="0" w:type="dxa"/>
            <w:bottom w:w="0" w:type="dxa"/>
          </w:tblCellMar>
        </w:tblPrEx>
        <w:trPr>
          <w:cantSplit/>
          <w:jc w:val="center"/>
        </w:trPr>
        <w:tc>
          <w:tcPr>
            <w:tcW w:w="2585" w:type="dxa"/>
          </w:tcPr>
          <w:p w:rsidR="00000000" w:rsidRDefault="00000000">
            <w:pPr>
              <w:pStyle w:val="RKnormal"/>
              <w:spacing w:line="240" w:lineRule="auto"/>
              <w:rPr>
                <w:lang w:val="ru-RU"/>
              </w:rPr>
            </w:pPr>
            <w:r>
              <w:rPr>
                <w:lang w:val="ru-RU"/>
              </w:rPr>
              <w:t>Мужчины</w:t>
            </w:r>
          </w:p>
        </w:tc>
        <w:tc>
          <w:tcPr>
            <w:tcW w:w="1392" w:type="dxa"/>
            <w:vAlign w:val="center"/>
          </w:tcPr>
          <w:p w:rsidR="00000000" w:rsidRDefault="00000000">
            <w:pPr>
              <w:pStyle w:val="RKnormal"/>
              <w:spacing w:line="240" w:lineRule="auto"/>
              <w:ind w:right="511"/>
              <w:jc w:val="right"/>
              <w:rPr>
                <w:lang w:val="ru-RU"/>
              </w:rPr>
            </w:pPr>
            <w:r>
              <w:rPr>
                <w:lang w:val="ru-RU"/>
              </w:rPr>
              <w:t>9,0</w:t>
            </w:r>
          </w:p>
        </w:tc>
        <w:tc>
          <w:tcPr>
            <w:tcW w:w="1392" w:type="dxa"/>
            <w:vAlign w:val="center"/>
          </w:tcPr>
          <w:p w:rsidR="00000000" w:rsidRDefault="00000000">
            <w:pPr>
              <w:pStyle w:val="RKnormal"/>
              <w:spacing w:line="240" w:lineRule="auto"/>
              <w:jc w:val="center"/>
              <w:rPr>
                <w:lang w:val="ru-RU"/>
              </w:rPr>
            </w:pPr>
            <w:r>
              <w:rPr>
                <w:lang w:val="ru-RU"/>
              </w:rPr>
              <w:t>10</w:t>
            </w:r>
          </w:p>
        </w:tc>
      </w:tr>
    </w:tbl>
    <w:p w:rsidR="00000000" w:rsidRDefault="00000000"/>
    <w:p w:rsidR="00000000" w:rsidRDefault="00000000">
      <w:pPr>
        <w:tabs>
          <w:tab w:val="left" w:pos="2805"/>
          <w:tab w:val="left" w:pos="3366"/>
          <w:tab w:val="left" w:pos="3927"/>
          <w:tab w:val="left" w:pos="4488"/>
        </w:tabs>
        <w:spacing w:line="216" w:lineRule="auto"/>
        <w:jc w:val="center"/>
        <w:rPr>
          <w:b/>
          <w:bCs/>
        </w:rPr>
      </w:pPr>
      <w:r>
        <w:rPr>
          <w:b/>
          <w:bCs/>
        </w:rPr>
        <w:t>Таблица 11.8</w:t>
      </w:r>
    </w:p>
    <w:p w:rsidR="00000000" w:rsidRDefault="00000000">
      <w:pPr>
        <w:tabs>
          <w:tab w:val="left" w:pos="2805"/>
          <w:tab w:val="left" w:pos="3366"/>
          <w:tab w:val="left" w:pos="3927"/>
          <w:tab w:val="left" w:pos="4488"/>
        </w:tabs>
        <w:spacing w:line="216" w:lineRule="auto"/>
        <w:jc w:val="center"/>
        <w:rPr>
          <w:b/>
          <w:bCs/>
        </w:rPr>
      </w:pPr>
    </w:p>
    <w:p w:rsidR="00000000" w:rsidRDefault="00000000">
      <w:pPr>
        <w:tabs>
          <w:tab w:val="left" w:pos="2805"/>
          <w:tab w:val="left" w:pos="3366"/>
          <w:tab w:val="left" w:pos="3927"/>
          <w:tab w:val="left" w:pos="4488"/>
        </w:tabs>
        <w:spacing w:line="240" w:lineRule="auto"/>
        <w:jc w:val="center"/>
        <w:rPr>
          <w:b/>
          <w:bCs/>
        </w:rPr>
      </w:pPr>
      <w:r>
        <w:rPr>
          <w:b/>
          <w:bCs/>
        </w:rPr>
        <w:t xml:space="preserve">Процентная доля лиц, проживающих с детьми в семьях, </w:t>
      </w:r>
    </w:p>
    <w:p w:rsidR="00000000" w:rsidRDefault="00000000">
      <w:pPr>
        <w:tabs>
          <w:tab w:val="left" w:pos="2805"/>
          <w:tab w:val="left" w:pos="3366"/>
          <w:tab w:val="left" w:pos="3927"/>
          <w:tab w:val="left" w:pos="4488"/>
        </w:tabs>
        <w:spacing w:line="240" w:lineRule="auto"/>
        <w:jc w:val="center"/>
        <w:rPr>
          <w:b/>
          <w:bCs/>
        </w:rPr>
      </w:pPr>
      <w:r>
        <w:rPr>
          <w:b/>
          <w:bCs/>
        </w:rPr>
        <w:t xml:space="preserve">с располагаемым доходом ниже </w:t>
      </w:r>
      <w:proofErr w:type="spellStart"/>
      <w:r>
        <w:rPr>
          <w:b/>
          <w:bCs/>
        </w:rPr>
        <w:t>60%</w:t>
      </w:r>
      <w:proofErr w:type="spellEnd"/>
      <w:r>
        <w:rPr>
          <w:b/>
          <w:bCs/>
        </w:rPr>
        <w:t xml:space="preserve"> от </w:t>
      </w:r>
      <w:proofErr w:type="spellStart"/>
      <w:r>
        <w:rPr>
          <w:b/>
          <w:bCs/>
        </w:rPr>
        <w:t>медианного</w:t>
      </w:r>
      <w:proofErr w:type="spellEnd"/>
      <w:r>
        <w:rPr>
          <w:b/>
          <w:bCs/>
        </w:rPr>
        <w:t xml:space="preserve"> </w:t>
      </w:r>
    </w:p>
    <w:p w:rsidR="00000000" w:rsidRDefault="00000000">
      <w:pPr>
        <w:tabs>
          <w:tab w:val="left" w:pos="2805"/>
          <w:tab w:val="left" w:pos="3366"/>
          <w:tab w:val="left" w:pos="3927"/>
          <w:tab w:val="left" w:pos="4488"/>
        </w:tabs>
        <w:spacing w:line="240" w:lineRule="auto"/>
        <w:jc w:val="center"/>
      </w:pPr>
      <w:r>
        <w:rPr>
          <w:b/>
          <w:bCs/>
        </w:rPr>
        <w:t>располагаемого дохода</w:t>
      </w:r>
    </w:p>
    <w:p w:rsidR="00000000" w:rsidRDefault="00000000">
      <w:pPr>
        <w:tabs>
          <w:tab w:val="left" w:pos="2805"/>
          <w:tab w:val="left" w:pos="3366"/>
          <w:tab w:val="left" w:pos="3927"/>
          <w:tab w:val="left" w:pos="4488"/>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1559"/>
        <w:gridCol w:w="1559"/>
      </w:tblGrid>
      <w:tr w:rsidR="00000000">
        <w:tblPrEx>
          <w:tblCellMar>
            <w:top w:w="0" w:type="dxa"/>
            <w:bottom w:w="0" w:type="dxa"/>
          </w:tblCellMar>
        </w:tblPrEx>
        <w:trPr>
          <w:tblHeader/>
          <w:jc w:val="center"/>
        </w:trPr>
        <w:tc>
          <w:tcPr>
            <w:tcW w:w="5070" w:type="dxa"/>
          </w:tcPr>
          <w:p w:rsidR="00000000" w:rsidRDefault="00000000">
            <w:pPr>
              <w:tabs>
                <w:tab w:val="left" w:pos="2805"/>
                <w:tab w:val="left" w:pos="3366"/>
                <w:tab w:val="left" w:pos="3927"/>
                <w:tab w:val="left" w:pos="4488"/>
              </w:tabs>
              <w:spacing w:line="240" w:lineRule="auto"/>
              <w:rPr>
                <w:b/>
                <w:bCs/>
              </w:rPr>
            </w:pPr>
          </w:p>
        </w:tc>
        <w:tc>
          <w:tcPr>
            <w:tcW w:w="1559" w:type="dxa"/>
          </w:tcPr>
          <w:p w:rsidR="00000000" w:rsidRDefault="00000000">
            <w:pPr>
              <w:tabs>
                <w:tab w:val="left" w:pos="2805"/>
                <w:tab w:val="left" w:pos="3366"/>
                <w:tab w:val="left" w:pos="3927"/>
                <w:tab w:val="left" w:pos="4488"/>
              </w:tabs>
              <w:spacing w:line="240" w:lineRule="auto"/>
              <w:jc w:val="center"/>
              <w:rPr>
                <w:b/>
                <w:bCs/>
              </w:rPr>
            </w:pPr>
            <w:r>
              <w:rPr>
                <w:b/>
                <w:bCs/>
              </w:rPr>
              <w:t>2001</w:t>
            </w:r>
          </w:p>
        </w:tc>
        <w:tc>
          <w:tcPr>
            <w:tcW w:w="1559" w:type="dxa"/>
          </w:tcPr>
          <w:p w:rsidR="00000000" w:rsidRDefault="00000000">
            <w:pPr>
              <w:tabs>
                <w:tab w:val="left" w:pos="2805"/>
                <w:tab w:val="left" w:pos="3366"/>
                <w:tab w:val="left" w:pos="3927"/>
                <w:tab w:val="left" w:pos="4488"/>
              </w:tabs>
              <w:spacing w:line="240" w:lineRule="auto"/>
              <w:jc w:val="center"/>
              <w:rPr>
                <w:b/>
                <w:bCs/>
              </w:rPr>
            </w:pPr>
            <w:r>
              <w:rPr>
                <w:b/>
                <w:bCs/>
              </w:rPr>
              <w:t>2003</w:t>
            </w:r>
          </w:p>
        </w:tc>
      </w:tr>
      <w:tr w:rsidR="00000000">
        <w:tblPrEx>
          <w:tblCellMar>
            <w:top w:w="0" w:type="dxa"/>
            <w:bottom w:w="0" w:type="dxa"/>
          </w:tblCellMar>
        </w:tblPrEx>
        <w:trPr>
          <w:jc w:val="center"/>
        </w:trPr>
        <w:tc>
          <w:tcPr>
            <w:tcW w:w="5070" w:type="dxa"/>
          </w:tcPr>
          <w:p w:rsidR="00000000" w:rsidRDefault="00000000">
            <w:pPr>
              <w:tabs>
                <w:tab w:val="left" w:pos="2805"/>
                <w:tab w:val="left" w:pos="3366"/>
                <w:tab w:val="left" w:pos="3927"/>
                <w:tab w:val="left" w:pos="4488"/>
              </w:tabs>
              <w:spacing w:line="240" w:lineRule="auto"/>
            </w:pPr>
            <w:r>
              <w:t>Родитель-одиночка с одним ребенком и более</w:t>
            </w:r>
          </w:p>
        </w:tc>
        <w:tc>
          <w:tcPr>
            <w:tcW w:w="1559" w:type="dxa"/>
          </w:tcPr>
          <w:p w:rsidR="00000000" w:rsidRDefault="00000000">
            <w:pPr>
              <w:tabs>
                <w:tab w:val="clear" w:pos="567"/>
                <w:tab w:val="clear" w:pos="1134"/>
                <w:tab w:val="left" w:pos="827"/>
                <w:tab w:val="left" w:pos="2805"/>
                <w:tab w:val="left" w:pos="3366"/>
                <w:tab w:val="left" w:pos="3927"/>
                <w:tab w:val="left" w:pos="4488"/>
              </w:tabs>
              <w:spacing w:line="240" w:lineRule="auto"/>
              <w:ind w:right="523"/>
              <w:jc w:val="right"/>
            </w:pPr>
            <w:r>
              <w:t>13,5</w:t>
            </w:r>
          </w:p>
        </w:tc>
        <w:tc>
          <w:tcPr>
            <w:tcW w:w="1559" w:type="dxa"/>
          </w:tcPr>
          <w:p w:rsidR="00000000" w:rsidRDefault="00000000">
            <w:pPr>
              <w:tabs>
                <w:tab w:val="left" w:pos="2805"/>
                <w:tab w:val="left" w:pos="3366"/>
                <w:tab w:val="left" w:pos="3927"/>
                <w:tab w:val="left" w:pos="4488"/>
              </w:tabs>
              <w:spacing w:line="240" w:lineRule="auto"/>
            </w:pPr>
          </w:p>
        </w:tc>
      </w:tr>
      <w:tr w:rsidR="00000000">
        <w:tblPrEx>
          <w:tblCellMar>
            <w:top w:w="0" w:type="dxa"/>
            <w:bottom w:w="0" w:type="dxa"/>
          </w:tblCellMar>
        </w:tblPrEx>
        <w:trPr>
          <w:jc w:val="center"/>
        </w:trPr>
        <w:tc>
          <w:tcPr>
            <w:tcW w:w="5070" w:type="dxa"/>
          </w:tcPr>
          <w:p w:rsidR="00000000" w:rsidRDefault="00000000">
            <w:pPr>
              <w:tabs>
                <w:tab w:val="left" w:pos="2805"/>
                <w:tab w:val="left" w:pos="3366"/>
                <w:tab w:val="left" w:pos="3927"/>
                <w:tab w:val="left" w:pos="4488"/>
              </w:tabs>
              <w:spacing w:line="240" w:lineRule="auto"/>
            </w:pPr>
            <w:r>
              <w:t>Двое взрослых с одним ребенком</w:t>
            </w:r>
          </w:p>
        </w:tc>
        <w:tc>
          <w:tcPr>
            <w:tcW w:w="1559" w:type="dxa"/>
          </w:tcPr>
          <w:p w:rsidR="00000000" w:rsidRDefault="00000000">
            <w:pPr>
              <w:tabs>
                <w:tab w:val="clear" w:pos="1134"/>
                <w:tab w:val="left" w:pos="827"/>
                <w:tab w:val="left" w:pos="2805"/>
                <w:tab w:val="left" w:pos="3366"/>
                <w:tab w:val="left" w:pos="3927"/>
                <w:tab w:val="left" w:pos="4488"/>
              </w:tabs>
              <w:spacing w:line="240" w:lineRule="auto"/>
              <w:ind w:right="523"/>
              <w:jc w:val="right"/>
            </w:pPr>
            <w:r>
              <w:t>4,4</w:t>
            </w:r>
          </w:p>
        </w:tc>
        <w:tc>
          <w:tcPr>
            <w:tcW w:w="1559" w:type="dxa"/>
          </w:tcPr>
          <w:p w:rsidR="00000000" w:rsidRDefault="00000000">
            <w:pPr>
              <w:tabs>
                <w:tab w:val="left" w:pos="2805"/>
                <w:tab w:val="left" w:pos="3366"/>
                <w:tab w:val="left" w:pos="3927"/>
                <w:tab w:val="left" w:pos="4488"/>
              </w:tabs>
              <w:spacing w:line="240" w:lineRule="auto"/>
            </w:pPr>
          </w:p>
        </w:tc>
      </w:tr>
      <w:tr w:rsidR="00000000">
        <w:tblPrEx>
          <w:tblCellMar>
            <w:top w:w="0" w:type="dxa"/>
            <w:bottom w:w="0" w:type="dxa"/>
          </w:tblCellMar>
        </w:tblPrEx>
        <w:trPr>
          <w:jc w:val="center"/>
        </w:trPr>
        <w:tc>
          <w:tcPr>
            <w:tcW w:w="5070" w:type="dxa"/>
          </w:tcPr>
          <w:p w:rsidR="00000000" w:rsidRDefault="00000000">
            <w:pPr>
              <w:tabs>
                <w:tab w:val="left" w:pos="2805"/>
                <w:tab w:val="left" w:pos="3366"/>
                <w:tab w:val="left" w:pos="3927"/>
                <w:tab w:val="left" w:pos="4488"/>
              </w:tabs>
              <w:spacing w:line="240" w:lineRule="auto"/>
            </w:pPr>
            <w:r>
              <w:t>Двое взрослых с двумя детьми</w:t>
            </w:r>
          </w:p>
        </w:tc>
        <w:tc>
          <w:tcPr>
            <w:tcW w:w="1559" w:type="dxa"/>
          </w:tcPr>
          <w:p w:rsidR="00000000" w:rsidRDefault="00000000">
            <w:pPr>
              <w:tabs>
                <w:tab w:val="clear" w:pos="1134"/>
                <w:tab w:val="left" w:pos="827"/>
                <w:tab w:val="left" w:pos="2805"/>
                <w:tab w:val="left" w:pos="3366"/>
                <w:tab w:val="left" w:pos="3927"/>
                <w:tab w:val="left" w:pos="4488"/>
              </w:tabs>
              <w:spacing w:line="240" w:lineRule="auto"/>
              <w:ind w:right="523"/>
              <w:jc w:val="right"/>
            </w:pPr>
            <w:r>
              <w:t>4,8</w:t>
            </w:r>
          </w:p>
        </w:tc>
        <w:tc>
          <w:tcPr>
            <w:tcW w:w="1559" w:type="dxa"/>
          </w:tcPr>
          <w:p w:rsidR="00000000" w:rsidRDefault="00000000">
            <w:pPr>
              <w:tabs>
                <w:tab w:val="left" w:pos="2805"/>
                <w:tab w:val="left" w:pos="3366"/>
                <w:tab w:val="left" w:pos="3927"/>
                <w:tab w:val="left" w:pos="4488"/>
              </w:tabs>
              <w:spacing w:line="240" w:lineRule="auto"/>
            </w:pPr>
          </w:p>
        </w:tc>
      </w:tr>
      <w:tr w:rsidR="00000000">
        <w:tblPrEx>
          <w:tblCellMar>
            <w:top w:w="0" w:type="dxa"/>
            <w:bottom w:w="0" w:type="dxa"/>
          </w:tblCellMar>
        </w:tblPrEx>
        <w:trPr>
          <w:jc w:val="center"/>
        </w:trPr>
        <w:tc>
          <w:tcPr>
            <w:tcW w:w="5070" w:type="dxa"/>
          </w:tcPr>
          <w:p w:rsidR="00000000" w:rsidRDefault="00000000">
            <w:pPr>
              <w:tabs>
                <w:tab w:val="left" w:pos="2805"/>
                <w:tab w:val="left" w:pos="3366"/>
                <w:tab w:val="left" w:pos="3927"/>
                <w:tab w:val="left" w:pos="4488"/>
              </w:tabs>
              <w:spacing w:line="240" w:lineRule="auto"/>
            </w:pPr>
            <w:r>
              <w:t>Двое взрослых с тремя и более детьми</w:t>
            </w:r>
          </w:p>
        </w:tc>
        <w:tc>
          <w:tcPr>
            <w:tcW w:w="1559" w:type="dxa"/>
          </w:tcPr>
          <w:p w:rsidR="00000000" w:rsidRDefault="00000000">
            <w:pPr>
              <w:tabs>
                <w:tab w:val="clear" w:pos="1134"/>
                <w:tab w:val="left" w:pos="827"/>
                <w:tab w:val="left" w:pos="2805"/>
                <w:tab w:val="left" w:pos="3366"/>
                <w:tab w:val="left" w:pos="3927"/>
                <w:tab w:val="left" w:pos="4488"/>
              </w:tabs>
              <w:spacing w:line="240" w:lineRule="auto"/>
              <w:ind w:right="523"/>
              <w:jc w:val="right"/>
            </w:pPr>
            <w:r>
              <w:t>10,6</w:t>
            </w:r>
          </w:p>
        </w:tc>
        <w:tc>
          <w:tcPr>
            <w:tcW w:w="1559" w:type="dxa"/>
          </w:tcPr>
          <w:p w:rsidR="00000000" w:rsidRDefault="00000000">
            <w:pPr>
              <w:tabs>
                <w:tab w:val="left" w:pos="2805"/>
                <w:tab w:val="left" w:pos="3366"/>
                <w:tab w:val="left" w:pos="3927"/>
                <w:tab w:val="left" w:pos="4488"/>
              </w:tabs>
              <w:spacing w:line="240" w:lineRule="auto"/>
            </w:pPr>
          </w:p>
        </w:tc>
      </w:tr>
      <w:tr w:rsidR="00000000">
        <w:tblPrEx>
          <w:tblCellMar>
            <w:top w:w="0" w:type="dxa"/>
            <w:bottom w:w="0" w:type="dxa"/>
          </w:tblCellMar>
        </w:tblPrEx>
        <w:trPr>
          <w:jc w:val="center"/>
        </w:trPr>
        <w:tc>
          <w:tcPr>
            <w:tcW w:w="5070" w:type="dxa"/>
          </w:tcPr>
          <w:p w:rsidR="00000000" w:rsidRDefault="00000000">
            <w:pPr>
              <w:tabs>
                <w:tab w:val="left" w:pos="2805"/>
                <w:tab w:val="left" w:pos="3366"/>
                <w:tab w:val="left" w:pos="3927"/>
                <w:tab w:val="left" w:pos="4488"/>
              </w:tabs>
              <w:spacing w:line="240" w:lineRule="auto"/>
            </w:pPr>
            <w:r>
              <w:t>Другие домашние хозяйства с детьми</w:t>
            </w:r>
          </w:p>
        </w:tc>
        <w:tc>
          <w:tcPr>
            <w:tcW w:w="1559" w:type="dxa"/>
          </w:tcPr>
          <w:p w:rsidR="00000000" w:rsidRDefault="00000000">
            <w:pPr>
              <w:tabs>
                <w:tab w:val="clear" w:pos="1134"/>
                <w:tab w:val="left" w:pos="827"/>
                <w:tab w:val="left" w:pos="2805"/>
                <w:tab w:val="left" w:pos="3366"/>
                <w:tab w:val="left" w:pos="3927"/>
                <w:tab w:val="left" w:pos="4488"/>
              </w:tabs>
              <w:spacing w:line="240" w:lineRule="auto"/>
              <w:ind w:right="523"/>
              <w:jc w:val="right"/>
            </w:pPr>
            <w:r>
              <w:t>8,0</w:t>
            </w:r>
          </w:p>
        </w:tc>
        <w:tc>
          <w:tcPr>
            <w:tcW w:w="1559" w:type="dxa"/>
          </w:tcPr>
          <w:p w:rsidR="00000000" w:rsidRDefault="00000000">
            <w:pPr>
              <w:tabs>
                <w:tab w:val="left" w:pos="2805"/>
                <w:tab w:val="left" w:pos="3366"/>
                <w:tab w:val="left" w:pos="3927"/>
                <w:tab w:val="left" w:pos="4488"/>
              </w:tabs>
              <w:spacing w:line="240" w:lineRule="auto"/>
            </w:pPr>
          </w:p>
        </w:tc>
      </w:tr>
      <w:tr w:rsidR="00000000">
        <w:tblPrEx>
          <w:tblCellMar>
            <w:top w:w="0" w:type="dxa"/>
            <w:bottom w:w="0" w:type="dxa"/>
          </w:tblCellMar>
        </w:tblPrEx>
        <w:trPr>
          <w:jc w:val="center"/>
        </w:trPr>
        <w:tc>
          <w:tcPr>
            <w:tcW w:w="5070" w:type="dxa"/>
          </w:tcPr>
          <w:p w:rsidR="00000000" w:rsidRDefault="00000000">
            <w:pPr>
              <w:tabs>
                <w:tab w:val="left" w:pos="2805"/>
                <w:tab w:val="left" w:pos="3366"/>
                <w:tab w:val="left" w:pos="3927"/>
                <w:tab w:val="left" w:pos="4488"/>
              </w:tabs>
              <w:spacing w:line="240" w:lineRule="auto"/>
            </w:pPr>
            <w:r>
              <w:t>Домашние хозяйства с детьми</w:t>
            </w:r>
          </w:p>
        </w:tc>
        <w:tc>
          <w:tcPr>
            <w:tcW w:w="1559" w:type="dxa"/>
          </w:tcPr>
          <w:p w:rsidR="00000000" w:rsidRDefault="00000000">
            <w:pPr>
              <w:tabs>
                <w:tab w:val="left" w:pos="827"/>
                <w:tab w:val="left" w:pos="2805"/>
                <w:tab w:val="left" w:pos="3366"/>
                <w:tab w:val="left" w:pos="3927"/>
                <w:tab w:val="left" w:pos="4488"/>
              </w:tabs>
              <w:spacing w:line="240" w:lineRule="auto"/>
            </w:pPr>
          </w:p>
        </w:tc>
        <w:tc>
          <w:tcPr>
            <w:tcW w:w="1559" w:type="dxa"/>
          </w:tcPr>
          <w:p w:rsidR="00000000" w:rsidRDefault="00000000">
            <w:pPr>
              <w:tabs>
                <w:tab w:val="clear" w:pos="1134"/>
                <w:tab w:val="left" w:pos="2805"/>
                <w:tab w:val="left" w:pos="3366"/>
                <w:tab w:val="left" w:pos="3927"/>
                <w:tab w:val="left" w:pos="4488"/>
              </w:tabs>
              <w:spacing w:line="240" w:lineRule="auto"/>
              <w:ind w:right="523"/>
              <w:jc w:val="right"/>
            </w:pPr>
            <w:r>
              <w:t>10,0</w:t>
            </w:r>
          </w:p>
        </w:tc>
      </w:tr>
    </w:tbl>
    <w:p w:rsidR="00000000" w:rsidRDefault="00000000">
      <w:pPr>
        <w:tabs>
          <w:tab w:val="clear" w:pos="2268"/>
          <w:tab w:val="clear" w:pos="6237"/>
          <w:tab w:val="left" w:pos="5610"/>
          <w:tab w:val="left" w:pos="6803"/>
        </w:tabs>
      </w:pPr>
    </w:p>
    <w:p w:rsidR="00000000" w:rsidRDefault="00000000">
      <w:pPr>
        <w:tabs>
          <w:tab w:val="clear" w:pos="2268"/>
          <w:tab w:val="clear" w:pos="6237"/>
          <w:tab w:val="left" w:pos="6171"/>
        </w:tabs>
      </w:pPr>
      <w:r>
        <w:t>327.</w:t>
      </w:r>
      <w:r>
        <w:tab/>
        <w:t xml:space="preserve">В настоящее время по сравнению с прошлыми годами отмечается относительный рост числа студентов высших учебных заведений.  Почти каждый третий индивид в возрасте 20-24 лет в 2003 году был занят получением академического образования по сравнению с восемью индивидами в 1991 году.  В 2003 году доля бедных среди студентов в возрастной группе 20-24 года составляла </w:t>
      </w:r>
      <w:proofErr w:type="spellStart"/>
      <w:r>
        <w:t>46%</w:t>
      </w:r>
      <w:proofErr w:type="spellEnd"/>
      <w:r>
        <w:t>, что в два раза выше, чем в 1991 году.  Для большинства малоимущих студентов эта проблема, как правило, носит временный характер.</w:t>
      </w:r>
    </w:p>
    <w:p w:rsidR="00000000" w:rsidRDefault="00000000">
      <w:pPr>
        <w:tabs>
          <w:tab w:val="clear" w:pos="2268"/>
          <w:tab w:val="clear" w:pos="6237"/>
          <w:tab w:val="left" w:pos="6171"/>
        </w:tabs>
      </w:pPr>
    </w:p>
    <w:p w:rsidR="00000000" w:rsidRDefault="00000000">
      <w:pPr>
        <w:tabs>
          <w:tab w:val="clear" w:pos="2268"/>
          <w:tab w:val="clear" w:pos="6237"/>
          <w:tab w:val="left" w:pos="6171"/>
        </w:tabs>
      </w:pPr>
      <w:r>
        <w:t>328.</w:t>
      </w:r>
      <w:r>
        <w:tab/>
        <w:t>Прибывавшие в Швецию иммигранты в 1990-х годах сталкивались с серьезными трудностями в процессе поиска средств к существованию.  Из бедных взрослых в 2003 году примерно одна треть приходилась на лиц, рожденных за рубежом, либо на выходцев из среды иностранцев.</w:t>
      </w:r>
    </w:p>
    <w:p w:rsidR="00000000" w:rsidRDefault="00000000">
      <w:pPr>
        <w:tabs>
          <w:tab w:val="clear" w:pos="2268"/>
          <w:tab w:val="clear" w:pos="6237"/>
          <w:tab w:val="left" w:pos="6171"/>
        </w:tabs>
      </w:pPr>
    </w:p>
    <w:p w:rsidR="00000000" w:rsidRDefault="00000000">
      <w:pPr>
        <w:tabs>
          <w:tab w:val="clear" w:pos="2268"/>
          <w:tab w:val="clear" w:pos="6237"/>
          <w:tab w:val="left" w:pos="6171"/>
        </w:tabs>
      </w:pPr>
      <w:r>
        <w:t>329.</w:t>
      </w:r>
      <w:r>
        <w:tab/>
        <w:t xml:space="preserve">Число лиц с наркотической зависимостью, получающих вспомоществование на цели ухода и лечения, за последние пять лет оставалось в целом неизменным.  Более значительное их число получают уход и лечение </w:t>
      </w:r>
      <w:proofErr w:type="spellStart"/>
      <w:r>
        <w:t>амбулаторно</w:t>
      </w:r>
      <w:proofErr w:type="spellEnd"/>
      <w:r>
        <w:t xml:space="preserve">, и меньшее число - в круглосуточном стационаре, семейных домах или </w:t>
      </w:r>
      <w:proofErr w:type="spellStart"/>
      <w:r>
        <w:t>спецучреждениях</w:t>
      </w:r>
      <w:proofErr w:type="spellEnd"/>
      <w:r>
        <w:t>.</w:t>
      </w:r>
    </w:p>
    <w:p w:rsidR="00000000" w:rsidRDefault="00000000">
      <w:pPr>
        <w:tabs>
          <w:tab w:val="clear" w:pos="2268"/>
          <w:tab w:val="clear" w:pos="6237"/>
          <w:tab w:val="left" w:pos="6171"/>
        </w:tabs>
      </w:pPr>
    </w:p>
    <w:p w:rsidR="00000000" w:rsidRDefault="00000000">
      <w:pPr>
        <w:tabs>
          <w:tab w:val="clear" w:pos="2268"/>
          <w:tab w:val="clear" w:pos="6237"/>
          <w:tab w:val="left" w:pos="6171"/>
        </w:tabs>
      </w:pPr>
      <w:r>
        <w:t>330.</w:t>
      </w:r>
      <w:r>
        <w:tab/>
      </w:r>
      <w:r>
        <w:rPr>
          <w:lang w:val="en-US"/>
        </w:rPr>
        <w:t>b</w:t>
      </w:r>
      <w:r>
        <w:t>)  В Швеции каждому гарантируется право на удовлетворительный уровень жизни через систему социального страхования и социальных услуг, в рамках которых им предоставляется компенсация в зависимости от получаемого дохода или пособие для лиц, которые не могут работать или самостоятельно себя содержать.  Система социального страхования охватывает всех граждан;  в ее основе лежит принцип потери источника дохода, и она предусматривает выплату компенсации на основе получаемого дохода в случае его потери.  В качестве примера можно назвать пособие родителям, доплату на случай болезни, компенсацию на случай производственной травмы и пенсию по возрасту.  Основной гарантией социальной безопасности в Швеции является система социальных услуг.  Она гарантирует лицам право на поддержку и содействие со стороны общества, когда в силу различных обстоятельств они попадают в ситуацию, требующую предоставления таких социальных услуг.  Принят общенациональный норматив, используемый в качестве базы расчета приемлемого уровня жизни.</w:t>
      </w:r>
    </w:p>
    <w:p w:rsidR="00000000" w:rsidRDefault="00000000"/>
    <w:p w:rsidR="00000000" w:rsidRDefault="00000000">
      <w:r>
        <w:t>331.</w:t>
      </w:r>
      <w:r>
        <w:tab/>
        <w:t xml:space="preserve">В марте/апреле 2006 года Швеция представила Продовольственной и сельскохозяйственной организации Объединенных Наций (ФАО) доклад о выполнении ею обязательств, принятых на Всемирной встрече на высшем уровне по проблемам продовольствия в 1996 году (под эгидой ФАО).  Страны-участницы пришли к договоренности совместно работать в направлении искоренения голода и сокращения в два раза к 2015 году числа лиц, не получающих достаточного питания;  впоследствии эта цель была подтверждена в виде первой цели, сформулированной в Декларации тысячелетия Организации Объединенных Наций.  Одновременно страны согласовали </w:t>
      </w:r>
      <w:r>
        <w:rPr>
          <w:b/>
          <w:bCs/>
        </w:rPr>
        <w:t>План действий из семи обязательств</w:t>
      </w:r>
      <w:r>
        <w:t xml:space="preserve">.  В целях принятия мер по реализации этих обязательств ФАО приняла решение ввести процедуру представления раз в два года национальных </w:t>
      </w:r>
      <w:r>
        <w:rPr>
          <w:b/>
          <w:bCs/>
        </w:rPr>
        <w:t>докладов</w:t>
      </w:r>
      <w:r>
        <w:t xml:space="preserve"> ФАО.  В 2004 году Европейская комиссия представила совместный доклад по всем государствам - членам ЕС.</w:t>
      </w:r>
    </w:p>
    <w:p w:rsidR="00000000" w:rsidRDefault="00000000"/>
    <w:p w:rsidR="00000000" w:rsidRDefault="00000000">
      <w:r>
        <w:t>332.</w:t>
      </w:r>
      <w:r>
        <w:tab/>
        <w:t>К материалу, распространенному в этом году, ФАО приложила подборку статистических данных по каждой стране из различных баз данных официальной статистики.  Швеция дополнила доклад по ряду направлений.</w:t>
      </w:r>
    </w:p>
    <w:p w:rsidR="00000000" w:rsidRDefault="00000000"/>
    <w:p w:rsidR="00000000" w:rsidRDefault="00000000">
      <w:r>
        <w:t>333.</w:t>
      </w:r>
      <w:r>
        <w:tab/>
        <w:t>Что касается иной отчетности, то в 2006 году Европейская комиссия также представила от имени государств - членов ЕС совместный доклад, подготовленный с учетом мнений, высказанных государствами-членами.  Этот доклад был представлен ФАО в апреле 2006 года.  Как показано в приложении, этот доклад носит комплексный характер.  В докладе этого года ЕС решила уделить основное внимание выполнению следующих трех из семи обязательств:</w:t>
      </w:r>
    </w:p>
    <w:p w:rsidR="00000000" w:rsidRDefault="00000000"/>
    <w:p w:rsidR="00000000" w:rsidRDefault="00000000">
      <w:r>
        <w:t>334.</w:t>
      </w:r>
      <w:r>
        <w:tab/>
      </w:r>
      <w:r>
        <w:rPr>
          <w:i/>
          <w:iCs/>
        </w:rPr>
        <w:t>Обязательство III -</w:t>
      </w:r>
      <w:r>
        <w:t xml:space="preserve"> Совместное и устойчивое производство продовольствия, направленное на устойчивое развитие пищевой промышленности, сельского хозяйства, рыбного хозяйства и лесоводства в целях расширения производства без ущерба для ресурсной базы.  </w:t>
      </w:r>
    </w:p>
    <w:p w:rsidR="00000000" w:rsidRDefault="00000000"/>
    <w:p w:rsidR="00000000" w:rsidRDefault="00000000">
      <w:r>
        <w:t>335.</w:t>
      </w:r>
      <w:r>
        <w:tab/>
        <w:t xml:space="preserve">Деятельность Комиссии в рамках этого направления нацелена на решение отмеченных проблем, включая принятие мер в рамках Общей аграрной политики (ОАП) ЕС, общей политики в отношении рыболовства (ОПР) ЕС, развития сельских районов, сохранения </w:t>
      </w:r>
      <w:proofErr w:type="spellStart"/>
      <w:r>
        <w:t>биоразнообразия</w:t>
      </w:r>
      <w:proofErr w:type="spellEnd"/>
      <w:r>
        <w:t xml:space="preserve">, освоения генетических ресурсов, устойчивого развития и проведения исследований в сельском хозяйстве.  </w:t>
      </w:r>
    </w:p>
    <w:p w:rsidR="00000000" w:rsidRDefault="00000000"/>
    <w:p w:rsidR="00000000" w:rsidRDefault="00000000">
      <w:r>
        <w:t>336.</w:t>
      </w:r>
      <w:r>
        <w:tab/>
      </w:r>
      <w:r>
        <w:rPr>
          <w:i/>
          <w:iCs/>
        </w:rPr>
        <w:t>Обязательство IV -</w:t>
      </w:r>
      <w:r>
        <w:t xml:space="preserve"> Справедливые условия торговли и в первую очередь торговли продовольствием и сельскохозяйственной продукцией.</w:t>
      </w:r>
    </w:p>
    <w:p w:rsidR="00000000" w:rsidRDefault="00000000"/>
    <w:p w:rsidR="00000000" w:rsidRDefault="00000000">
      <w:r>
        <w:t>337.</w:t>
      </w:r>
      <w:r>
        <w:tab/>
        <w:t>Деятельность Комиссии в рамках этого направления в первую очередь ориентирована на выполнение договоренностей в рамках ВТО и раунда переговоров в Дохе, инициативы ЕС под названием "Все, кроме оружия" и системы торговых преференций в рамках Сообщества.</w:t>
      </w:r>
    </w:p>
    <w:p w:rsidR="00000000" w:rsidRDefault="00000000"/>
    <w:p w:rsidR="00000000" w:rsidRDefault="00000000">
      <w:r>
        <w:t>338.</w:t>
      </w:r>
      <w:r>
        <w:tab/>
      </w:r>
      <w:r>
        <w:rPr>
          <w:i/>
          <w:iCs/>
        </w:rPr>
        <w:t>Обязательство VI -</w:t>
      </w:r>
      <w:r>
        <w:t xml:space="preserve"> Государственные и частные инвестиции в людские ресурсы, устойчивые системы производства продовольствия, сельского хозяйства, рыболовства и лесного хозяйства и развитие сельских районов.</w:t>
      </w:r>
    </w:p>
    <w:p w:rsidR="00000000" w:rsidRDefault="00000000"/>
    <w:p w:rsidR="00000000" w:rsidRDefault="00000000">
      <w:r>
        <w:t>339.</w:t>
      </w:r>
      <w:r>
        <w:tab/>
        <w:t>Деятельность Комиссии в рамках этого направления включает оказание помощи в области развития/ОПР, содействие выполнению Парижской декларации, ослаблению бремени задолженности и т.д.</w:t>
      </w:r>
    </w:p>
    <w:p w:rsidR="00000000" w:rsidRDefault="00000000"/>
    <w:p w:rsidR="00000000" w:rsidRDefault="00000000">
      <w:r>
        <w:rPr>
          <w:b/>
          <w:bCs/>
          <w:i/>
          <w:iCs/>
        </w:rPr>
        <w:t>Национальная продовольственная администрация Швеции</w:t>
      </w:r>
    </w:p>
    <w:p w:rsidR="00000000" w:rsidRDefault="00000000"/>
    <w:p w:rsidR="00000000" w:rsidRDefault="00000000">
      <w:r>
        <w:t>340.</w:t>
      </w:r>
      <w:r>
        <w:tab/>
        <w:t>Национальная продовольственная администрация, находящаяся в ведении министерства сельского хозяйства, представляет собой центральный руководящий орган по вопросам, связанным с обеспечением продовольствием, в том числе снабжением питьевой водой.</w:t>
      </w:r>
    </w:p>
    <w:p w:rsidR="00000000" w:rsidRDefault="00000000"/>
    <w:p w:rsidR="00000000" w:rsidRDefault="00000000">
      <w:r>
        <w:t>341.</w:t>
      </w:r>
      <w:r>
        <w:tab/>
        <w:t>Национальная продовольственная администрация работает в интересах гарантированного обеспечения страны качественным продовольствием, соблюдения норм справедливой практики в торговле продовольствием и внедрения здорового рациона питания.  Справедливая практика в торговле продовольствием предполагает, что потребитель может доверять фигурирующей на маркировке информации относительно состава, веса, срока хранения и происхождения продовольствия.</w:t>
      </w:r>
    </w:p>
    <w:p w:rsidR="00000000" w:rsidRDefault="00000000"/>
    <w:p w:rsidR="00000000" w:rsidRDefault="00000000">
      <w:r>
        <w:t>342.</w:t>
      </w:r>
      <w:r>
        <w:tab/>
        <w:t>На Национальной продовольственной администрации лежит общая ответственность за ведение и координацию контроля над продовольствием (включая питьевую воду) в Швеции.  В функции Национальной продовольственной администрации входят:</w:t>
      </w:r>
    </w:p>
    <w:p w:rsidR="00000000" w:rsidRDefault="00000000"/>
    <w:p w:rsidR="00000000" w:rsidRDefault="00000000">
      <w:pPr>
        <w:ind w:left="1134" w:hanging="1134"/>
      </w:pPr>
      <w:r>
        <w:tab/>
      </w:r>
      <w:proofErr w:type="spellStart"/>
      <w:r>
        <w:t>●</w:t>
      </w:r>
      <w:proofErr w:type="spellEnd"/>
      <w:r>
        <w:tab/>
        <w:t>проведение расследований и практических научных исследований по вопросам продовольствия и рациона питания, а также разработка методов контроля качества продовольствия;</w:t>
      </w:r>
    </w:p>
    <w:p w:rsidR="00000000" w:rsidRDefault="00000000">
      <w:pPr>
        <w:ind w:left="1134" w:hanging="1134"/>
      </w:pPr>
    </w:p>
    <w:p w:rsidR="00000000" w:rsidRDefault="00000000">
      <w:pPr>
        <w:ind w:left="1134" w:hanging="1134"/>
      </w:pPr>
      <w:r>
        <w:tab/>
      </w:r>
      <w:proofErr w:type="spellStart"/>
      <w:r>
        <w:t>●</w:t>
      </w:r>
      <w:proofErr w:type="spellEnd"/>
      <w:r>
        <w:tab/>
        <w:t>активное содействие соблюдению руководящих указаний риксдага и правительства по вопросам рациона питания и здоровья;</w:t>
      </w:r>
    </w:p>
    <w:p w:rsidR="00000000" w:rsidRDefault="00000000">
      <w:pPr>
        <w:ind w:left="1134" w:hanging="1134"/>
      </w:pPr>
    </w:p>
    <w:p w:rsidR="00000000" w:rsidRDefault="00000000">
      <w:pPr>
        <w:ind w:left="1134" w:hanging="1134"/>
      </w:pPr>
      <w:r>
        <w:tab/>
      </w:r>
      <w:proofErr w:type="spellStart"/>
      <w:r>
        <w:t>●</w:t>
      </w:r>
      <w:proofErr w:type="spellEnd"/>
      <w:r>
        <w:tab/>
        <w:t>информирование общественности о важных условиях функционирования продовольственного сектора;</w:t>
      </w:r>
    </w:p>
    <w:p w:rsidR="00000000" w:rsidRDefault="00000000">
      <w:pPr>
        <w:ind w:left="1134" w:hanging="1134"/>
      </w:pPr>
    </w:p>
    <w:p w:rsidR="00000000" w:rsidRDefault="00000000">
      <w:r>
        <w:tab/>
      </w:r>
      <w:proofErr w:type="spellStart"/>
      <w:r>
        <w:t>●</w:t>
      </w:r>
      <w:proofErr w:type="spellEnd"/>
      <w:r>
        <w:tab/>
        <w:t>разработка продовольственных нормативов;</w:t>
      </w:r>
    </w:p>
    <w:p w:rsidR="00000000" w:rsidRDefault="00000000"/>
    <w:p w:rsidR="00000000" w:rsidRDefault="00000000">
      <w:pPr>
        <w:ind w:left="1134" w:hanging="1134"/>
      </w:pPr>
      <w:r>
        <w:tab/>
      </w:r>
      <w:proofErr w:type="spellStart"/>
      <w:r>
        <w:t>●</w:t>
      </w:r>
      <w:proofErr w:type="spellEnd"/>
      <w:r>
        <w:tab/>
        <w:t>выполнение контрольных функций в соответствии с Законом о продовольствии и осуществлении координации контроля над обеспечением продовольствием.</w:t>
      </w:r>
    </w:p>
    <w:p w:rsidR="00000000" w:rsidRDefault="00000000">
      <w:pPr>
        <w:ind w:left="1134" w:hanging="1134"/>
      </w:pPr>
    </w:p>
    <w:p w:rsidR="00000000" w:rsidRDefault="00000000">
      <w:r>
        <w:t>343.</w:t>
      </w:r>
      <w:r>
        <w:tab/>
        <w:t>Национальная продовольственная администрация ведет базу данных об обеспеченности продовольствием, которая регулярно пополняется сведениями о новых продуктах питания.</w:t>
      </w:r>
    </w:p>
    <w:p w:rsidR="00000000" w:rsidRDefault="00000000"/>
    <w:p w:rsidR="00000000" w:rsidRDefault="00000000">
      <w:r>
        <w:t>344.</w:t>
      </w:r>
      <w:r>
        <w:tab/>
        <w:t>Северные страны сотрудничают по многим направлениям в рамках Совета министров Северных стран.  Сотрудничество Северных стран касается законодательства, контроля над продовольствием, токсикологии (оценка рисков для здоровья), гигиены питания, рациона питания, питательной ценности продуктов и т.д.</w:t>
      </w:r>
    </w:p>
    <w:p w:rsidR="00000000" w:rsidRDefault="00000000"/>
    <w:p w:rsidR="00000000" w:rsidRDefault="00000000">
      <w:r>
        <w:t>345.</w:t>
      </w:r>
      <w:r>
        <w:tab/>
        <w:t>В своей деятельности Национальная продовольственная администрация должна как можно шире использовать механизмы международного партнерства, в частности в рамках ЕС.  Большинство нормативов по вопросам питания в Швеции согласовано с соответствующими нормативами, действующими на остальной части ЕС.  Появление новых знаний и создание новых продуктов питания пищевой промышленностью требуют разработки новых законодательных положений.  В большинстве случаев усилия на этом направлении предпринимаются совместно с другими государствами - членами ЕС.  Национальная продовольственная администрация принимает активное участие в этой работе, что дает агентству возможность влиять на содержание новых положений, с тем чтобы они отвечали интересам шведских потребителей.</w:t>
      </w:r>
    </w:p>
    <w:p w:rsidR="00000000" w:rsidRDefault="00000000"/>
    <w:p w:rsidR="00000000" w:rsidRDefault="00000000">
      <w:r>
        <w:t>346.</w:t>
      </w:r>
      <w:r>
        <w:tab/>
        <w:t xml:space="preserve">Совместные нормативы в рамках ЕС нередко формулируются на базе Кодекса </w:t>
      </w:r>
      <w:proofErr w:type="spellStart"/>
      <w:r>
        <w:t>Алиментариус</w:t>
      </w:r>
      <w:proofErr w:type="spellEnd"/>
      <w:r>
        <w:t xml:space="preserve"> (</w:t>
      </w:r>
      <w:r>
        <w:rPr>
          <w:lang w:val="en-US"/>
        </w:rPr>
        <w:t>Codex</w:t>
      </w:r>
      <w:r>
        <w:t xml:space="preserve"> </w:t>
      </w:r>
      <w:proofErr w:type="spellStart"/>
      <w:r>
        <w:rPr>
          <w:lang w:val="en-US"/>
        </w:rPr>
        <w:t>Alimentarius</w:t>
      </w:r>
      <w:proofErr w:type="spellEnd"/>
      <w:r>
        <w:t>) - свода международных стандартов и руководящих положений, направленных на содействие мировой торговле продовольствием.  Национальная продовольственная администрация также активно участвует в усилиях по соблюдению Кодекса.</w:t>
      </w:r>
    </w:p>
    <w:p w:rsidR="00000000" w:rsidRDefault="00000000"/>
    <w:p w:rsidR="00000000" w:rsidRDefault="00000000">
      <w:pPr>
        <w:rPr>
          <w:i/>
          <w:iCs/>
        </w:rPr>
      </w:pPr>
      <w:r>
        <w:rPr>
          <w:i/>
          <w:iCs/>
        </w:rPr>
        <w:tab/>
        <w:t>Принцип 2</w:t>
      </w:r>
    </w:p>
    <w:p w:rsidR="00000000" w:rsidRDefault="00000000"/>
    <w:p w:rsidR="00000000" w:rsidRDefault="00000000">
      <w:r>
        <w:rPr>
          <w:b/>
          <w:bCs/>
          <w:i/>
          <w:iCs/>
        </w:rPr>
        <w:t>Совет по вопросам сельского хозяйства Швеции</w:t>
      </w:r>
    </w:p>
    <w:p w:rsidR="00000000" w:rsidRDefault="00000000"/>
    <w:p w:rsidR="00000000" w:rsidRDefault="00000000">
      <w:r>
        <w:t>347.</w:t>
      </w:r>
      <w:r>
        <w:tab/>
        <w:t xml:space="preserve">Совет по вопросам сельского хозяйства Швеции, входящий в номенклатуру министерства сельского хозяйства, представляет собой государственную экспертную инстанцию в области политики сельского хозяйства и продовольствия и авторитетный орган, отвечающий за земледелие, садоводство и оленеводство.  Соответственно, деятельность Совета по вопросам сельского хозяйства включает мониторинг, проведение анализа и подготовку докладов правительству о положении в этих областях, а также о выполнении программных решений в сфере своей компетенции.  Правительство постановило, что сельское хозяйство Швеции должно быть как экологически, так и экономически устойчивым.  Экологическая устойчивость предполагает, что сельское хозяйство должно быть ресурсосберегающим, учитывать состояние окружающей среды и вестись этически приемлемыми методами.  Совет по вопросам сельского хозяйства работает в направлении поддержания здорового поголовья домашних животных, а также поддержания богатого и многообразного сельскохозяйственного ландшафта, гарантирующего сохранение биоразнообразия.  Совет по вопросам сельского хозяйства работает также в направлении обеспечения минимума воздействия на окружающую среду со стороны сельского хозяйства и отвечает за принятие мер борьбы с садовыми вредителями.  </w:t>
      </w:r>
    </w:p>
    <w:p w:rsidR="00000000" w:rsidRDefault="00000000"/>
    <w:p w:rsidR="00000000" w:rsidRDefault="00000000">
      <w:r>
        <w:t>348.</w:t>
      </w:r>
      <w:r>
        <w:tab/>
        <w:t>Организационное руководство сельскохозяйственной политикой ЕС входит в число важнейших задач Совета по вопросам сельского хозяйства.  Мандат Совета по вопросам сельского хозяйства предусматривает работу по упрощению нормативной базы ЕС в рамках ОАП и проведению эффективной и экологически оправданной политики сельского хозяйства в ЕС.  Другими важными направлениями работы является сокращение потери питательных веществ для растений, снижение опасности применения пестицидов, сохранение биоразнообразия и наращивание производства органических продуктов питания.  Совет по вопросам сельского хозяйства отвечает за реализацию национальной природоохранной цели под лозунгом "Многообразный сельскохозяйственный ландшафт".</w:t>
      </w:r>
    </w:p>
    <w:p w:rsidR="00000000" w:rsidRDefault="00000000"/>
    <w:p w:rsidR="00000000" w:rsidRDefault="00000000">
      <w:r>
        <w:t>349.</w:t>
      </w:r>
      <w:r>
        <w:tab/>
        <w:t>Совет по вопросам сельского хозяйства также участвует в разработке Советом ЕС стратегий по интеграции природоохранной политики и устойчивого развития в рамках </w:t>
      </w:r>
      <w:proofErr w:type="spellStart"/>
      <w:r>
        <w:t>ОАП</w:t>
      </w:r>
      <w:proofErr w:type="spellEnd"/>
      <w:r>
        <w:t>.  Лежащий в основе этой политики принцип гласит, что защита окружающей среды носит жизненно важное значение, в частности в интересах того, чтобы будущие поколения могли пользоваться имеющимися ресурсами.  Необходимо добиваться обеспечения защиты земельных угодий, воды, воздуха, природной среды обитания животных и растений, биоразнообразия и генетических ресурсов для производства продовольствия.</w:t>
      </w:r>
    </w:p>
    <w:p w:rsidR="00000000" w:rsidRDefault="00000000"/>
    <w:p w:rsidR="00000000" w:rsidRDefault="00000000">
      <w:r>
        <w:rPr>
          <w:b/>
          <w:bCs/>
          <w:i/>
          <w:iCs/>
        </w:rPr>
        <w:t>Право на достаточное питание</w:t>
      </w:r>
    </w:p>
    <w:p w:rsidR="00000000" w:rsidRDefault="00000000"/>
    <w:p w:rsidR="00000000" w:rsidRDefault="00000000">
      <w:r>
        <w:t>350.</w:t>
      </w:r>
      <w:r>
        <w:tab/>
        <w:t xml:space="preserve">Участники "Всемирной встречи на высшем уровне по проблемам продовольствия:  пять лет спустя", которая проходила в 2002 году (под эгидой ФАО), приняли решение разработать комплекс руководящих принципов рекомендательного характера в поддержку постепенной реализации права на достаточное питание.  Резолюция по этим принципам была принята Советом ФАО 23 ноября 2004 года.  </w:t>
      </w:r>
    </w:p>
    <w:p w:rsidR="00000000" w:rsidRDefault="00000000"/>
    <w:p w:rsidR="00000000" w:rsidRDefault="00000000">
      <w:r>
        <w:t>351.</w:t>
      </w:r>
      <w:r>
        <w:tab/>
        <w:t>Добровольные принципы нацелены на то, чтобы реализовать на практике право на достаточное питание путем предоставления нуждающимся странам доступа к ряду важных инструментов по реализации и созданию более благоприятных условий для выполнения права населения на питание.  Речь идет об уникальной инициативе, направленной на то, чтобы добиться реализации в комплексе двух традиционно существующих раздельно направлений в деятельности ООН - права человека и гарантированное снабжение продовольствием - в рамках одного документа.</w:t>
      </w:r>
    </w:p>
    <w:p w:rsidR="00000000" w:rsidRDefault="00000000"/>
    <w:p w:rsidR="00000000" w:rsidRDefault="00000000">
      <w:r>
        <w:t>352.</w:t>
      </w:r>
      <w:r>
        <w:tab/>
        <w:t>Швеция активно участвует в этом процессе.  Ее главные задачи - придать конкретику и прагматичность добровольным принципам, ясность национальным обязательствам по реализации гарантированного снабжения продовольствием и праву на достаточное питание, добиваться того, чтобы руководящие принципы не интерпретировались как императивные обязательства или основание для нового толкования существующего законодательства, а также подчеркнуть большое значение добросовестного руководства.</w:t>
      </w:r>
    </w:p>
    <w:p w:rsidR="00000000" w:rsidRDefault="00000000"/>
    <w:p w:rsidR="00000000" w:rsidRDefault="00000000">
      <w:pPr>
        <w:rPr>
          <w:b/>
          <w:bCs/>
          <w:i/>
          <w:iCs/>
        </w:rPr>
      </w:pPr>
      <w:r>
        <w:rPr>
          <w:b/>
          <w:bCs/>
          <w:i/>
          <w:iCs/>
        </w:rPr>
        <w:t>Жилищная политика</w:t>
      </w:r>
    </w:p>
    <w:p w:rsidR="00000000" w:rsidRDefault="00000000">
      <w:pPr>
        <w:rPr>
          <w:b/>
          <w:bCs/>
          <w:i/>
          <w:iCs/>
        </w:rPr>
      </w:pPr>
    </w:p>
    <w:p w:rsidR="00000000" w:rsidRDefault="00000000">
      <w:pPr>
        <w:rPr>
          <w:b/>
          <w:bCs/>
        </w:rPr>
      </w:pPr>
      <w:r>
        <w:rPr>
          <w:b/>
          <w:bCs/>
        </w:rPr>
        <w:tab/>
        <w:t>Мероприятия в рамках жилищной политики</w:t>
      </w:r>
    </w:p>
    <w:p w:rsidR="00000000" w:rsidRDefault="00000000"/>
    <w:p w:rsidR="00000000" w:rsidRDefault="00000000">
      <w:r>
        <w:t>353.</w:t>
      </w:r>
      <w:r>
        <w:tab/>
        <w:t xml:space="preserve">Доступ населения к жилью зависит от наличия у него собственных финансовых возможностей. </w:t>
      </w:r>
    </w:p>
    <w:p w:rsidR="00000000" w:rsidRDefault="00000000"/>
    <w:p w:rsidR="00000000" w:rsidRDefault="00000000">
      <w:r>
        <w:t>354.</w:t>
      </w:r>
      <w:r>
        <w:tab/>
        <w:t>В целом требования к доходу, предъявляемые со стороны жилищных компаний в отношении перспективных квартиросъемщиков, могут иметь отрицательные последствия для экономически уязвимых групп населения.</w:t>
      </w:r>
    </w:p>
    <w:p w:rsidR="00000000" w:rsidRDefault="00000000"/>
    <w:p w:rsidR="00000000" w:rsidRDefault="00000000">
      <w:r>
        <w:t>355.</w:t>
      </w:r>
      <w:r>
        <w:tab/>
        <w:t xml:space="preserve">Меры, направленные на расширение предложения жилья по разумным ценам, преследуют цель облегчить семьям и отдельным лицам с низким доходом доступ к хорошему жилью по разумной цене.  Меры по приданию более гласного характера политике и мероприятиям в области распределения жилья компаниями, в том числе путем создания отделов по распределению жилья, могут облегчить доступ к жилью со стороны экономически уязвимых групп населения.  </w:t>
      </w:r>
    </w:p>
    <w:p w:rsidR="00000000" w:rsidRDefault="00000000">
      <w:pPr>
        <w:spacing w:line="240" w:lineRule="auto"/>
      </w:pPr>
    </w:p>
    <w:p w:rsidR="00000000" w:rsidRDefault="00000000">
      <w:pPr>
        <w:spacing w:line="240" w:lineRule="auto"/>
        <w:rPr>
          <w:b/>
          <w:bCs/>
          <w:i/>
          <w:iCs/>
        </w:rPr>
      </w:pPr>
      <w:r>
        <w:rPr>
          <w:b/>
          <w:bCs/>
          <w:i/>
          <w:iCs/>
        </w:rPr>
        <w:t xml:space="preserve">Инициативы, направленные на снижение стоимости жилья и расширение </w:t>
      </w:r>
    </w:p>
    <w:p w:rsidR="00000000" w:rsidRDefault="00000000">
      <w:pPr>
        <w:spacing w:line="240" w:lineRule="auto"/>
        <w:rPr>
          <w:b/>
          <w:bCs/>
          <w:i/>
          <w:iCs/>
        </w:rPr>
      </w:pPr>
      <w:r>
        <w:rPr>
          <w:b/>
          <w:bCs/>
          <w:i/>
          <w:iCs/>
        </w:rPr>
        <w:t>его предложения</w:t>
      </w:r>
    </w:p>
    <w:p w:rsidR="00000000" w:rsidRDefault="00000000">
      <w:pPr>
        <w:spacing w:line="240" w:lineRule="auto"/>
        <w:rPr>
          <w:b/>
          <w:bCs/>
          <w:i/>
          <w:iCs/>
        </w:rPr>
      </w:pPr>
    </w:p>
    <w:p w:rsidR="00000000" w:rsidRDefault="00000000">
      <w:r>
        <w:t>356.</w:t>
      </w:r>
      <w:r>
        <w:tab/>
      </w:r>
      <w:r>
        <w:rPr>
          <w:i/>
          <w:iCs/>
        </w:rPr>
        <w:t>Субсидии на покрытие процентов</w:t>
      </w:r>
      <w:r>
        <w:t xml:space="preserve"> выдаются на цели нового строительства и реконструкцию арендного жилья и квартир во владении проживающих в них лиц.  Вопросы, связанные с субсидиями на покрытие процентов, относятся к компетенции советов окружной администрации и Национального управления по жилью, строительству и планированию.</w:t>
      </w:r>
    </w:p>
    <w:p w:rsidR="00000000" w:rsidRDefault="00000000"/>
    <w:p w:rsidR="00000000" w:rsidRDefault="00000000">
      <w:r>
        <w:t>357.</w:t>
      </w:r>
      <w:r>
        <w:tab/>
      </w:r>
      <w:r>
        <w:rPr>
          <w:i/>
          <w:iCs/>
        </w:rPr>
        <w:t>Субсидии на инвестиции</w:t>
      </w:r>
      <w:r>
        <w:t xml:space="preserve"> (2001-2006 годы).  В 2001 году была введена в действие система субсидирования инвестиций в жилищное строительство.  Для того чтобы получить право на такую субсидию, необходимо, чтобы планируемое жилье предназначалось для постоянного использования и имело форму арендного или арендно-кооперативного жилья.  Предложенный весной 2006 года законопроект по бюджету предусматривает возможность сохранения субсидии на период до 2008 года.</w:t>
      </w:r>
    </w:p>
    <w:p w:rsidR="00000000" w:rsidRDefault="00000000"/>
    <w:p w:rsidR="00000000" w:rsidRDefault="00000000">
      <w:r>
        <w:t>358.</w:t>
      </w:r>
      <w:r>
        <w:tab/>
      </w:r>
      <w:r>
        <w:rPr>
          <w:i/>
          <w:iCs/>
        </w:rPr>
        <w:t>Меры по стимулированию инвестиций</w:t>
      </w:r>
      <w:r>
        <w:t xml:space="preserve"> в целях содействия строительству малогабаритных арендных квартир и жилья для студентов (2003-2006 годы).  Система стимулирования инвестиций была введена в действие в 2003 году.  Она предусматривает снижение налога на добавленную стоимость в отношении строительных затрат с 25 до 6%.  Цель новой системы стимулирования - понизить затраты на строительство малогабаритных арендных квартир и жилья для студентов.  Субсидии выдаются на первые  60 квадратных метров жилья для студентов и арендных квартир с метражом не более 70 квадратных метров.  Законопроект по бюджету от весны 2006 года включает предложение о сохранении системы стимулирования на период до 2008 года.</w:t>
      </w:r>
    </w:p>
    <w:p w:rsidR="00000000" w:rsidRDefault="00000000"/>
    <w:p w:rsidR="00000000" w:rsidRDefault="00000000">
      <w:r>
        <w:t>359.</w:t>
      </w:r>
      <w:r>
        <w:tab/>
      </w:r>
      <w:r>
        <w:rPr>
          <w:i/>
          <w:iCs/>
        </w:rPr>
        <w:t>Форум для обсуждения стоимости строительства</w:t>
      </w:r>
      <w:r>
        <w:t>.  В феврале 2001 года правительство поручило Национальному управлению по жилью, строительству и планированию создать форум для обсуждения вопросов стоимости строительства.  Одной из целей является снижение стоимости строительства и в первую очередь сокращение долгосрочной стоимости жилья с помощью распространения информации, образования и развития.</w:t>
      </w:r>
    </w:p>
    <w:p w:rsidR="00000000" w:rsidRDefault="00000000"/>
    <w:p w:rsidR="00000000" w:rsidRDefault="00000000">
      <w:r>
        <w:t>360.</w:t>
      </w:r>
      <w:r>
        <w:tab/>
      </w:r>
      <w:r>
        <w:rPr>
          <w:i/>
          <w:iCs/>
        </w:rPr>
        <w:t>Пилотные проекты</w:t>
      </w:r>
      <w:r>
        <w:t>.  Национальное управление по жилью, строительству и планированию с 1 января 2002 года выделяет 20 млн. шведских крон в год на поддержку соответствующих пилотных проектов, в которых используются новаторские методы сокращения стоимости жилья в связи с новым строительством арендного жилья при одновременном продвижении идеи экологической устойчивости жилья.</w:t>
      </w:r>
    </w:p>
    <w:p w:rsidR="00000000" w:rsidRDefault="00000000"/>
    <w:p w:rsidR="00000000" w:rsidRDefault="00000000">
      <w:pPr>
        <w:rPr>
          <w:b/>
          <w:bCs/>
          <w:i/>
          <w:iCs/>
        </w:rPr>
      </w:pPr>
      <w:r>
        <w:rPr>
          <w:b/>
          <w:bCs/>
          <w:i/>
          <w:iCs/>
        </w:rPr>
        <w:t>Инициативы по обеспечению жильем</w:t>
      </w:r>
    </w:p>
    <w:p w:rsidR="00000000" w:rsidRDefault="00000000">
      <w:pPr>
        <w:rPr>
          <w:b/>
          <w:bCs/>
          <w:i/>
          <w:iCs/>
        </w:rPr>
      </w:pPr>
    </w:p>
    <w:p w:rsidR="00000000" w:rsidRDefault="00000000">
      <w:r>
        <w:t>361.</w:t>
      </w:r>
      <w:r>
        <w:tab/>
      </w:r>
      <w:r>
        <w:rPr>
          <w:i/>
          <w:iCs/>
        </w:rPr>
        <w:t>Пересмотр Закона об обеспечении жильем</w:t>
      </w:r>
      <w:r>
        <w:t>.  В мае 2005 года правительство учредило рабочий комитет, поручив ему пересмотр законодательства по вопросам обеспечения муниципальным жильем и необходимых требований для справедливого и равного доступа к рынку жилья.  Предложения этого комитета были представлены в меморандуме министерства "Справедливые и равные условия на рынке жилья".  Предлагаемые поправки к Закону об ответственности муниципалитетов за обеспечение жильем" (</w:t>
      </w:r>
      <w:proofErr w:type="spellStart"/>
      <w:r>
        <w:rPr>
          <w:i/>
          <w:iCs/>
          <w:lang w:val="en-US"/>
        </w:rPr>
        <w:t>Lagen</w:t>
      </w:r>
      <w:proofErr w:type="spellEnd"/>
      <w:r>
        <w:rPr>
          <w:i/>
          <w:iCs/>
        </w:rPr>
        <w:t xml:space="preserve"> (</w:t>
      </w:r>
      <w:proofErr w:type="spellStart"/>
      <w:r>
        <w:rPr>
          <w:i/>
          <w:iCs/>
          <w:lang w:val="en-US"/>
        </w:rPr>
        <w:t>SFS</w:t>
      </w:r>
      <w:proofErr w:type="spellEnd"/>
      <w:r>
        <w:rPr>
          <w:i/>
          <w:iCs/>
        </w:rPr>
        <w:t xml:space="preserve"> 2000:1383) </w:t>
      </w:r>
      <w:proofErr w:type="spellStart"/>
      <w:r>
        <w:rPr>
          <w:i/>
          <w:iCs/>
          <w:lang w:val="en-US"/>
        </w:rPr>
        <w:t>om</w:t>
      </w:r>
      <w:proofErr w:type="spellEnd"/>
      <w:r>
        <w:rPr>
          <w:i/>
          <w:iCs/>
        </w:rPr>
        <w:t xml:space="preserve"> </w:t>
      </w:r>
      <w:proofErr w:type="spellStart"/>
      <w:r>
        <w:rPr>
          <w:i/>
          <w:iCs/>
          <w:lang w:val="en-US"/>
        </w:rPr>
        <w:t>kommunernas</w:t>
      </w:r>
      <w:proofErr w:type="spellEnd"/>
      <w:r>
        <w:rPr>
          <w:i/>
          <w:iCs/>
        </w:rPr>
        <w:t xml:space="preserve"> </w:t>
      </w:r>
      <w:proofErr w:type="spellStart"/>
      <w:r>
        <w:rPr>
          <w:i/>
          <w:iCs/>
          <w:lang w:val="en-US"/>
        </w:rPr>
        <w:t>bostadsf</w:t>
      </w:r>
      <w:r>
        <w:rPr>
          <w:i/>
          <w:iCs/>
        </w:rPr>
        <w:t>ö</w:t>
      </w:r>
      <w:r>
        <w:rPr>
          <w:i/>
          <w:iCs/>
          <w:lang w:val="en-US"/>
        </w:rPr>
        <w:t>rs</w:t>
      </w:r>
      <w:r>
        <w:rPr>
          <w:i/>
          <w:iCs/>
        </w:rPr>
        <w:t>ö</w:t>
      </w:r>
      <w:r>
        <w:rPr>
          <w:i/>
          <w:iCs/>
          <w:lang w:val="en-US"/>
        </w:rPr>
        <w:t>rjningsansvar</w:t>
      </w:r>
      <w:proofErr w:type="spellEnd"/>
      <w:r>
        <w:t xml:space="preserve">) посвящены различным аспектам, в том числе разъяснению целей обеспечения жильем, необходимости предоставления претендентам и </w:t>
      </w:r>
      <w:proofErr w:type="spellStart"/>
      <w:r>
        <w:t>квартировладельцам</w:t>
      </w:r>
      <w:proofErr w:type="spellEnd"/>
      <w:r>
        <w:t xml:space="preserve"> услуг по распределению жилья и необходимости представления информации для подготовки муниципальных руководящих положений.  Меморандум был передан на рассмотрение в мае 2006 года.</w:t>
      </w:r>
    </w:p>
    <w:p w:rsidR="00000000" w:rsidRDefault="00000000"/>
    <w:p w:rsidR="00000000" w:rsidRDefault="00000000">
      <w:r>
        <w:t>362.</w:t>
      </w:r>
      <w:r>
        <w:tab/>
        <w:t>Предложения комитета предусматривают, что каждый комитет или район, контролирующий рынок жилья, создает службу решения жилищного вопроса, в задачи которой входит информирование претендентов на получение жилья, подготовка списков очередников, борьба с дискриминацией, компиляция информации о политике распределения жилья со стороны квартировладельцев и оказание поддержки лицам, испытывающим трудности в самостоятельном обеспечении себя жильем.  Комитет также рекомендует владельцам недвижимости взять на вооружение политику распределения жилья и информировать о ней муниципалитеты.</w:t>
      </w:r>
    </w:p>
    <w:p w:rsidR="00000000" w:rsidRDefault="00000000"/>
    <w:p w:rsidR="00000000" w:rsidRDefault="00000000">
      <w:r>
        <w:t>363.</w:t>
      </w:r>
      <w:r>
        <w:tab/>
      </w:r>
      <w:r>
        <w:rPr>
          <w:i/>
          <w:iCs/>
        </w:rPr>
        <w:t>Координатор по вопросам жилья</w:t>
      </w:r>
      <w:r>
        <w:t>.  В марте 2005 года правительство назначило Национального координатора по вопросам жилья, в задачи которого входит выявление барьеров на пути получения молодежью доступа к собственному жилью, распространение информации об успешных инициативах на уровне отдельных лиц и муниципалитетов (ТоР 2005:37).  Мандат включает также проведение обзора инициатив, необходимых для стимулирования смены жилья населением, тем самым для приведения в действие цепи смены жилья.  Основной аудиторией Координатора является молодежь, однако от предлагаемых мероприятий могут выиграть и другие группы населения.  Заключительный доклад о выполнении полученного задания ожидается к 18 декабря 2007 года.  В декабре 2005 года Координатор по вопросам жилья выпустил промежуточный доклад под названием "Избалованная молодежь и придирчивые квартировладельцы" (</w:t>
      </w:r>
      <w:r>
        <w:rPr>
          <w:i/>
          <w:iCs/>
          <w:lang w:val="en-US"/>
        </w:rPr>
        <w:t>Bortsk</w:t>
      </w:r>
      <w:r>
        <w:rPr>
          <w:i/>
          <w:iCs/>
        </w:rPr>
        <w:t>ä</w:t>
      </w:r>
      <w:r>
        <w:rPr>
          <w:i/>
          <w:iCs/>
          <w:lang w:val="en-US"/>
        </w:rPr>
        <w:t>mda</w:t>
      </w:r>
      <w:r>
        <w:rPr>
          <w:i/>
          <w:iCs/>
        </w:rPr>
        <w:t xml:space="preserve"> </w:t>
      </w:r>
      <w:r>
        <w:rPr>
          <w:i/>
          <w:iCs/>
          <w:lang w:val="en-US"/>
        </w:rPr>
        <w:t>ungdomar</w:t>
      </w:r>
      <w:r>
        <w:rPr>
          <w:i/>
          <w:iCs/>
        </w:rPr>
        <w:t xml:space="preserve"> </w:t>
      </w:r>
      <w:r>
        <w:rPr>
          <w:i/>
          <w:iCs/>
          <w:lang w:val="en-US"/>
        </w:rPr>
        <w:t>och</w:t>
      </w:r>
      <w:r>
        <w:rPr>
          <w:i/>
          <w:iCs/>
        </w:rPr>
        <w:t xml:space="preserve"> </w:t>
      </w:r>
      <w:r>
        <w:rPr>
          <w:i/>
          <w:iCs/>
          <w:lang w:val="en-US"/>
        </w:rPr>
        <w:t>sura</w:t>
      </w:r>
      <w:r>
        <w:rPr>
          <w:i/>
          <w:iCs/>
        </w:rPr>
        <w:t xml:space="preserve"> </w:t>
      </w:r>
      <w:r>
        <w:rPr>
          <w:i/>
          <w:iCs/>
          <w:lang w:val="en-US"/>
        </w:rPr>
        <w:t>fastighets</w:t>
      </w:r>
      <w:r>
        <w:rPr>
          <w:i/>
          <w:iCs/>
        </w:rPr>
        <w:t>ä</w:t>
      </w:r>
      <w:r>
        <w:rPr>
          <w:i/>
          <w:iCs/>
          <w:lang w:val="en-US"/>
        </w:rPr>
        <w:t>gare</w:t>
      </w:r>
      <w:r>
        <w:t>) (Комитет по жилью М 2005:1, Промежуточный доклад 1).  Выводы доклада, среди прочего, гласят, что официальные требования со стороны квартировладельцев к квартиросъемщикам исключают получение квартир многими молодыми людьми, чей доход и занятость не позволяют им получить доступ к рынку первичного арендного контрактного жилья.  Как видно из доклада, дефицит жилья создает благоприятную почву для деятельности черного рынка, в первую очередь в городских районах.  Незаконная продажа контрактов на аренду жилья на черном рынке, субаренда на черном рынке и запредельные цены на рынке субарендного жилья существуют, однако с возникающими проблемами сложно бороться в правовом пространстве из-за трудностей, на которые наталкиваются попытки доказать наличие теневых сделок, и отсутствия у заинтересованных сторон стимулов к разглашению факта наличия теневого рынка жилья.</w:t>
      </w:r>
    </w:p>
    <w:p w:rsidR="00000000" w:rsidRDefault="00000000"/>
    <w:p w:rsidR="00000000" w:rsidRDefault="00000000">
      <w:r>
        <w:t>364.</w:t>
      </w:r>
      <w:r>
        <w:tab/>
      </w:r>
      <w:r>
        <w:rPr>
          <w:i/>
          <w:iCs/>
        </w:rPr>
        <w:t>Гарантированная аренда</w:t>
      </w:r>
      <w:r>
        <w:t>.  В апреле 2006 года правительство обнародовало предложение ввести практику государственной помощи муниципалитетам, которые хотели бы использовать гарантии аренды как форму поддержки в отношении лиц, испытывающих трудности с выходом на рынок жилья.</w:t>
      </w:r>
    </w:p>
    <w:p w:rsidR="00000000" w:rsidRDefault="00000000"/>
    <w:p w:rsidR="00000000" w:rsidRDefault="00000000">
      <w:r>
        <w:t>365.</w:t>
      </w:r>
      <w:r>
        <w:tab/>
      </w:r>
      <w:r>
        <w:rPr>
          <w:i/>
          <w:iCs/>
        </w:rPr>
        <w:t>Поручение изучить проблему проживания в стесненных жилищных условиях.</w:t>
      </w:r>
      <w:r>
        <w:t xml:space="preserve">  В задании по освоению ассигнований на 2006 год Национальному управлению по жилью, строительству и планированию этому ведомству поручалось подготовить доклад об исторических тенденциях в решении проблемы проживания населения в стесненных жилищных условиях и того, насколько стесненные жилищные условия характерны для различных групп населения.  В докладе о последствиях проживания в стесненных жилищных условиях особое внимание будет уделено детям и анализу этой проблемы с точки зрения гендерного равенства.  Ожидается, что доклад выйдет к 1 сентября 2006 года.</w:t>
      </w:r>
    </w:p>
    <w:p w:rsidR="00000000" w:rsidRDefault="00000000"/>
    <w:p w:rsidR="00000000" w:rsidRDefault="00000000">
      <w:pPr>
        <w:rPr>
          <w:b/>
          <w:bCs/>
          <w:i/>
          <w:iCs/>
        </w:rPr>
      </w:pPr>
      <w:r>
        <w:rPr>
          <w:b/>
          <w:bCs/>
          <w:i/>
          <w:iCs/>
        </w:rPr>
        <w:t>Общая информация о стесненных жилищных условиях</w:t>
      </w:r>
    </w:p>
    <w:p w:rsidR="00000000" w:rsidRDefault="00000000">
      <w:pPr>
        <w:rPr>
          <w:b/>
          <w:bCs/>
          <w:i/>
          <w:iCs/>
        </w:rPr>
      </w:pPr>
    </w:p>
    <w:p w:rsidR="00000000" w:rsidRDefault="00000000">
      <w:r>
        <w:t>366.</w:t>
      </w:r>
      <w:r>
        <w:tab/>
        <w:t xml:space="preserve">Для детей школьного возраста важно иметь собственную комнату, например для того, чтобы можно было уединиться для сна или выполнения домашнего задания.  Согласно имеющимся статистическим данным, полученным при исследованиях уровня жизни, </w:t>
      </w:r>
      <w:proofErr w:type="spellStart"/>
      <w:r>
        <w:t>88%</w:t>
      </w:r>
      <w:proofErr w:type="spellEnd"/>
      <w:r>
        <w:t xml:space="preserve"> школьников в возрасте трех-шести лет и 93% детей в возрасте семи-девяти лет имеют собственную комнату.  Среди попавших в выборку детей с родителями из числа уроженцев Швеции </w:t>
      </w:r>
      <w:proofErr w:type="spellStart"/>
      <w:r>
        <w:t>94%</w:t>
      </w:r>
      <w:proofErr w:type="spellEnd"/>
      <w:r>
        <w:t xml:space="preserve"> имели собственную комнату, в то время как соответствующий показатель для детей с родителями, рожденными за рубежом, составлял </w:t>
      </w:r>
      <w:proofErr w:type="spellStart"/>
      <w:r>
        <w:t>66%</w:t>
      </w:r>
      <w:proofErr w:type="spellEnd"/>
      <w:r>
        <w:t>.</w:t>
      </w:r>
    </w:p>
    <w:p w:rsidR="00000000" w:rsidRDefault="00000000"/>
    <w:p w:rsidR="00000000" w:rsidRDefault="00000000">
      <w:pPr>
        <w:rPr>
          <w:b/>
          <w:bCs/>
          <w:i/>
          <w:iCs/>
        </w:rPr>
      </w:pPr>
      <w:r>
        <w:rPr>
          <w:b/>
          <w:bCs/>
          <w:i/>
          <w:iCs/>
        </w:rPr>
        <w:t>Внутриквартирная среда</w:t>
      </w:r>
    </w:p>
    <w:p w:rsidR="00000000" w:rsidRDefault="00000000">
      <w:pPr>
        <w:rPr>
          <w:b/>
          <w:bCs/>
          <w:i/>
          <w:iCs/>
        </w:rPr>
      </w:pPr>
    </w:p>
    <w:p w:rsidR="00000000" w:rsidRDefault="00000000">
      <w:r>
        <w:t>367.</w:t>
      </w:r>
      <w:r>
        <w:tab/>
        <w:t>Согласно закону о технических требованиях к строительству (1994:847), одним из основополагающих принципов является предъявляемое обществом требование к зданиям быть приспособленными для целей их использования/проводимых в них мероприятий.  Этот принцип реализуется по ряду направлений, в том числе путем введения нормативов по обеспечению доступа в соответствующие здания лиц с инвалидностью и безопасности зданий для детей.</w:t>
      </w:r>
    </w:p>
    <w:p w:rsidR="00000000" w:rsidRDefault="00000000"/>
    <w:p w:rsidR="00000000" w:rsidRDefault="00000000">
      <w:r>
        <w:t>368.</w:t>
      </w:r>
      <w:r>
        <w:tab/>
        <w:t>Здания, строения и т.д. следует поддерживать в хорошем техническом состоянии для сохранения их основных эксплуатационных качеств.  В конце 1980-х годов было обнаружено, что это требование не всегда выполнялось, например не всегда обеспечивалось должное техническое обслуживание вентиляционных систем.</w:t>
      </w:r>
    </w:p>
    <w:p w:rsidR="00000000" w:rsidRDefault="00000000"/>
    <w:p w:rsidR="00000000" w:rsidRDefault="00000000">
      <w:r>
        <w:t>369.</w:t>
      </w:r>
      <w:r>
        <w:tab/>
        <w:t xml:space="preserve">Для исправления создавшегося положения правительство выступило с получившей одобрение инициативой издать нормативы по обязательной инспекции вентиляционных систем практически во всех типах зданий (Указ о функциональной инспекции вентиляционных систем (1991:1273) с поправками (1999:373) </w:t>
      </w:r>
      <w:r>
        <w:rPr>
          <w:i/>
          <w:iCs/>
        </w:rPr>
        <w:t>(</w:t>
      </w:r>
      <w:r>
        <w:rPr>
          <w:i/>
          <w:iCs/>
          <w:lang w:val="en-US"/>
        </w:rPr>
        <w:t>F</w:t>
      </w:r>
      <w:proofErr w:type="spellStart"/>
      <w:r>
        <w:rPr>
          <w:i/>
          <w:iCs/>
        </w:rPr>
        <w:t>ö</w:t>
      </w:r>
      <w:r>
        <w:rPr>
          <w:i/>
          <w:iCs/>
          <w:lang w:val="en-US"/>
        </w:rPr>
        <w:t>rordning</w:t>
      </w:r>
      <w:proofErr w:type="spellEnd"/>
      <w:r>
        <w:rPr>
          <w:i/>
          <w:iCs/>
        </w:rPr>
        <w:t xml:space="preserve"> (1991:1273, </w:t>
      </w:r>
      <w:proofErr w:type="spellStart"/>
      <w:r>
        <w:rPr>
          <w:i/>
          <w:iCs/>
        </w:rPr>
        <w:t>ä</w:t>
      </w:r>
      <w:r>
        <w:rPr>
          <w:i/>
          <w:iCs/>
          <w:lang w:val="en-US"/>
        </w:rPr>
        <w:t>ndrad</w:t>
      </w:r>
      <w:proofErr w:type="spellEnd"/>
      <w:r>
        <w:rPr>
          <w:i/>
          <w:iCs/>
        </w:rPr>
        <w:t xml:space="preserve"> 1999:373) </w:t>
      </w:r>
      <w:proofErr w:type="spellStart"/>
      <w:r>
        <w:rPr>
          <w:i/>
          <w:iCs/>
          <w:lang w:val="en-US"/>
        </w:rPr>
        <w:t>om</w:t>
      </w:r>
      <w:proofErr w:type="spellEnd"/>
      <w:r>
        <w:rPr>
          <w:i/>
          <w:iCs/>
        </w:rPr>
        <w:t xml:space="preserve"> </w:t>
      </w:r>
      <w:proofErr w:type="spellStart"/>
      <w:r>
        <w:rPr>
          <w:i/>
          <w:iCs/>
          <w:lang w:val="en-US"/>
        </w:rPr>
        <w:t>funktionskontroll</w:t>
      </w:r>
      <w:proofErr w:type="spellEnd"/>
      <w:r>
        <w:rPr>
          <w:i/>
          <w:iCs/>
        </w:rPr>
        <w:t xml:space="preserve"> </w:t>
      </w:r>
      <w:proofErr w:type="spellStart"/>
      <w:r>
        <w:rPr>
          <w:i/>
          <w:iCs/>
          <w:lang w:val="en-US"/>
        </w:rPr>
        <w:t>av</w:t>
      </w:r>
      <w:proofErr w:type="spellEnd"/>
      <w:r>
        <w:rPr>
          <w:i/>
          <w:iCs/>
        </w:rPr>
        <w:t xml:space="preserve"> </w:t>
      </w:r>
      <w:proofErr w:type="spellStart"/>
      <w:r>
        <w:rPr>
          <w:i/>
          <w:iCs/>
          <w:lang w:val="en-US"/>
        </w:rPr>
        <w:t>ventilationssystem</w:t>
      </w:r>
      <w:proofErr w:type="spellEnd"/>
      <w:r>
        <w:t xml:space="preserve">).  Необходимость принятия этих правил объяснялась тем, что нашли подтверждение сообщения о росте случаев аллергии и кожных </w:t>
      </w:r>
      <w:proofErr w:type="spellStart"/>
      <w:r>
        <w:t>раздражений</w:t>
      </w:r>
      <w:proofErr w:type="spellEnd"/>
      <w:r>
        <w:t>.  В этих правилах особое внимание уделяется созданию нормальной среды для пребывания детей и молодежи и вводится требование об инспектировании раз в два года вентиляционных систем в дошкольных и школьных учреждениях.</w:t>
      </w:r>
    </w:p>
    <w:p w:rsidR="00000000" w:rsidRDefault="00000000">
      <w:pPr>
        <w:tabs>
          <w:tab w:val="left" w:pos="7293"/>
        </w:tabs>
      </w:pPr>
    </w:p>
    <w:p w:rsidR="00000000" w:rsidRDefault="00000000">
      <w:r>
        <w:t>370.</w:t>
      </w:r>
      <w:r>
        <w:tab/>
        <w:t>Важное значение общей задачи по созданию приемлемой среды внутри помещений нашло также отражение в принятии промежуточной задачи на уровне риксдага в форме национальной цели поддержания надлежащего качества окружающей среды "Благоприятная среда внутри помещений".  Эта промежуточная задача звучит следующим образом (правительственный законопроект 2001/02:128):  "Добиться того, чтобы к 2020 году здания и существующие в них условия не оказывали отрицательного воздействия на здоровье человека.  Для этого необходимо, чтобы:</w:t>
      </w:r>
    </w:p>
    <w:p w:rsidR="00000000" w:rsidRDefault="00000000"/>
    <w:p w:rsidR="00000000" w:rsidRDefault="00000000">
      <w:pPr>
        <w:ind w:left="1134" w:hanging="1134"/>
      </w:pPr>
      <w:r>
        <w:tab/>
        <w:t>-</w:t>
      </w:r>
      <w:r>
        <w:tab/>
        <w:t>все здания, в которых часто находятся люди или в которых они проводят продолжительное время, были оборудованы вентиляционной системой с документированной эффективностью - срок исполнения:  2015 год;</w:t>
      </w:r>
    </w:p>
    <w:p w:rsidR="00000000" w:rsidRDefault="00000000">
      <w:pPr>
        <w:ind w:left="1134" w:hanging="1134"/>
      </w:pPr>
    </w:p>
    <w:p w:rsidR="00000000" w:rsidRDefault="00000000">
      <w:pPr>
        <w:ind w:left="1134" w:hanging="1134"/>
      </w:pPr>
      <w:r>
        <w:tab/>
        <w:t>-</w:t>
      </w:r>
      <w:r>
        <w:tab/>
        <w:t>уровень радона во всех школах и дошкольных детских учреждениях был ниже 200 </w:t>
      </w:r>
      <w:proofErr w:type="spellStart"/>
      <w:r>
        <w:t>Бк</w:t>
      </w:r>
      <w:proofErr w:type="spellEnd"/>
      <w:r>
        <w:t>/</w:t>
      </w:r>
      <w:proofErr w:type="spellStart"/>
      <w:r>
        <w:t>куб.м</w:t>
      </w:r>
      <w:proofErr w:type="spellEnd"/>
      <w:r>
        <w:t xml:space="preserve"> воздуха - срок исполнения:  2010 год;  </w:t>
      </w:r>
    </w:p>
    <w:p w:rsidR="00000000" w:rsidRDefault="00000000">
      <w:pPr>
        <w:ind w:left="1134" w:hanging="1134"/>
      </w:pPr>
    </w:p>
    <w:p w:rsidR="00000000" w:rsidRDefault="00000000">
      <w:pPr>
        <w:ind w:left="1134" w:hanging="1134"/>
      </w:pPr>
      <w:r>
        <w:tab/>
        <w:t>-</w:t>
      </w:r>
      <w:r>
        <w:tab/>
        <w:t xml:space="preserve">уровень радона во всех зданиях был ниже 200 </w:t>
      </w:r>
      <w:proofErr w:type="spellStart"/>
      <w:r>
        <w:t>Бк</w:t>
      </w:r>
      <w:proofErr w:type="spellEnd"/>
      <w:r>
        <w:t>/</w:t>
      </w:r>
      <w:proofErr w:type="spellStart"/>
      <w:r>
        <w:t>куб.м</w:t>
      </w:r>
      <w:proofErr w:type="spellEnd"/>
      <w:r>
        <w:t xml:space="preserve"> воздуха - срок исполнения:  2020 год".</w:t>
      </w:r>
    </w:p>
    <w:p w:rsidR="00000000" w:rsidRDefault="00000000">
      <w:pPr>
        <w:ind w:left="567" w:hanging="567"/>
      </w:pPr>
    </w:p>
    <w:p w:rsidR="00000000" w:rsidRDefault="00000000">
      <w:r>
        <w:t>371.</w:t>
      </w:r>
      <w:r>
        <w:tab/>
        <w:t>В 2002 году по инициативе правительства был создан комитет по пересмотру Закона о планировке и строительстве.  В ходе обзора планируется охватить вопрос о доступе в здания лиц с инвалидностью.  Комитет представил доклад, который был препровожден правительству для рассмотрения и в настоящее время находится на чтении в правительственных учреждениях.</w:t>
      </w:r>
    </w:p>
    <w:p w:rsidR="00000000" w:rsidRDefault="00000000"/>
    <w:p w:rsidR="00000000" w:rsidRDefault="00000000">
      <w:r>
        <w:t>372.</w:t>
      </w:r>
      <w:r>
        <w:tab/>
        <w:t>В 2004 году правительство ассигновало 30 млн. шведских крон на дотационный фонд по установке лифтового оборудования, цель которого заключается в том, чтобы стимулировать оборудование существующих жилых зданий лифтами и тем самым улучшить к ним доступ для всех, включая лиц пожилого возраста и инвалидов.  Право на получение соответствующих субсидий зависит от предварительного принятия других необходимых мер по улучшению доступа в здания.</w:t>
      </w:r>
    </w:p>
    <w:p w:rsidR="00000000" w:rsidRDefault="00000000"/>
    <w:p w:rsidR="00000000" w:rsidRDefault="00000000">
      <w:pPr>
        <w:rPr>
          <w:b/>
          <w:bCs/>
          <w:i/>
          <w:iCs/>
        </w:rPr>
      </w:pPr>
      <w:r>
        <w:rPr>
          <w:b/>
          <w:bCs/>
          <w:i/>
          <w:iCs/>
        </w:rPr>
        <w:t>Меры по повышению безопасности лифтового оборудования</w:t>
      </w:r>
    </w:p>
    <w:p w:rsidR="00000000" w:rsidRDefault="00000000">
      <w:pPr>
        <w:rPr>
          <w:b/>
          <w:bCs/>
          <w:i/>
          <w:iCs/>
        </w:rPr>
      </w:pPr>
    </w:p>
    <w:p w:rsidR="00000000" w:rsidRDefault="00000000">
      <w:r>
        <w:t>373.</w:t>
      </w:r>
      <w:r>
        <w:tab/>
        <w:t>В феврале 2006 года правительство приняло решение внести поправки в Указ о технических требованиях к строительным работам.  А именно:</w:t>
      </w:r>
    </w:p>
    <w:p w:rsidR="00000000" w:rsidRDefault="00000000"/>
    <w:p w:rsidR="00000000" w:rsidRDefault="00000000">
      <w:pPr>
        <w:ind w:left="1134" w:hanging="567"/>
      </w:pPr>
      <w:r>
        <w:t>-</w:t>
      </w:r>
      <w:r>
        <w:tab/>
        <w:t>к 1 апреля 2007 года пассажирские лифты, не защищенные со стороны стен лифтового колодца, должны быть оборудованы предупредительными надписями;</w:t>
      </w:r>
    </w:p>
    <w:p w:rsidR="00000000" w:rsidRDefault="00000000">
      <w:pPr>
        <w:ind w:left="1134" w:hanging="567"/>
      </w:pPr>
    </w:p>
    <w:p w:rsidR="00000000" w:rsidRDefault="00000000">
      <w:pPr>
        <w:ind w:left="1134" w:hanging="567"/>
      </w:pPr>
      <w:r>
        <w:t>-</w:t>
      </w:r>
      <w:r>
        <w:tab/>
        <w:t>в зданиях, имеющих в основном коммерческое/производственное назначение, кабины пассажирских лифтов, не защищенные со стороны стен лифтовой шахты, к 31 декабря 2012 года должны быть оборудованы внутренними дверями;</w:t>
      </w:r>
    </w:p>
    <w:p w:rsidR="00000000" w:rsidRDefault="00000000">
      <w:pPr>
        <w:ind w:left="1134" w:hanging="567"/>
      </w:pPr>
    </w:p>
    <w:p w:rsidR="00000000" w:rsidRDefault="00000000">
      <w:pPr>
        <w:ind w:left="1134" w:hanging="567"/>
      </w:pPr>
      <w:r>
        <w:t>-</w:t>
      </w:r>
      <w:r>
        <w:tab/>
        <w:t>в ходе капитального ремонта лифтового оборудования необходимо принимать надлежащие меры по повышению безопасности лифтов.</w:t>
      </w:r>
    </w:p>
    <w:p w:rsidR="00000000" w:rsidRDefault="00000000"/>
    <w:p w:rsidR="00000000" w:rsidRDefault="00000000">
      <w:pPr>
        <w:rPr>
          <w:b/>
          <w:bCs/>
          <w:i/>
          <w:iCs/>
        </w:rPr>
      </w:pPr>
      <w:r>
        <w:rPr>
          <w:b/>
          <w:bCs/>
          <w:i/>
          <w:iCs/>
        </w:rPr>
        <w:t>Меры по улучшению материального положения семей</w:t>
      </w:r>
    </w:p>
    <w:p w:rsidR="00000000" w:rsidRDefault="00000000">
      <w:pPr>
        <w:rPr>
          <w:b/>
          <w:bCs/>
          <w:i/>
          <w:iCs/>
        </w:rPr>
      </w:pPr>
    </w:p>
    <w:p w:rsidR="00000000" w:rsidRDefault="00000000">
      <w:r>
        <w:t>374.</w:t>
      </w:r>
      <w:r>
        <w:tab/>
        <w:t xml:space="preserve">Предусматривается возможность выплаты </w:t>
      </w:r>
      <w:r>
        <w:rPr>
          <w:i/>
          <w:iCs/>
        </w:rPr>
        <w:t>субсидий на жилье</w:t>
      </w:r>
      <w:r>
        <w:t xml:space="preserve"> тем домашним хозяйствам, в которых проживают дети, а также домашним хозяйствам, посещаемым детьми, а также бездетной молодежи в возрасте от 18 до 29 лет.</w:t>
      </w:r>
    </w:p>
    <w:p w:rsidR="00000000" w:rsidRDefault="00000000"/>
    <w:p w:rsidR="00000000" w:rsidRDefault="00000000">
      <w:pPr>
        <w:rPr>
          <w:b/>
          <w:bCs/>
          <w:i/>
          <w:iCs/>
        </w:rPr>
      </w:pPr>
      <w:r>
        <w:rPr>
          <w:b/>
          <w:bCs/>
          <w:i/>
          <w:iCs/>
        </w:rPr>
        <w:t>Меры по улучшению социальных услуг</w:t>
      </w:r>
    </w:p>
    <w:p w:rsidR="00000000" w:rsidRDefault="00000000">
      <w:pPr>
        <w:rPr>
          <w:b/>
          <w:bCs/>
          <w:i/>
          <w:iCs/>
        </w:rPr>
      </w:pPr>
    </w:p>
    <w:p w:rsidR="00000000" w:rsidRDefault="00000000">
      <w:r>
        <w:t>375.</w:t>
      </w:r>
      <w:r>
        <w:tab/>
      </w:r>
      <w:r>
        <w:rPr>
          <w:i/>
          <w:iCs/>
        </w:rPr>
        <w:t>Бездомность</w:t>
      </w:r>
      <w:r>
        <w:t>.  Последнее национальное обследование проблемы бездомного населения в Швеции было проведено в 2005 году.  Оно показало, что в последние годы в Швеции отмечается рост числа лиц, не имеющих собственного жилья.  На момент проведения обследования 17 800 человек были бездомными, причем три четверти из них составляли мужчины.  Большой процент бездомных страдает наркоманией и психическими расстройствами.  Это показывает необходимость принятия инициатив по борьбе с наркоманией и повышению качества психиатрической помощи для целей решения проблемы бездомных.</w:t>
      </w:r>
    </w:p>
    <w:p w:rsidR="00000000" w:rsidRDefault="00000000"/>
    <w:p w:rsidR="00000000" w:rsidRDefault="00000000">
      <w:r>
        <w:t>376.</w:t>
      </w:r>
      <w:r>
        <w:tab/>
        <w:t>Весной 2006 года правительство представило законопроект по бюджету, в котором предлагается целый ряд мер, направленных на борьбу с проблемой бездомности (правительственный законопроект 2005/06:100).  Предлагаемые меры, в частности, преследуют цель внести ясность в вопрос о той ответственности, которая лежит на социальных службах в деле предупреждения выселения и потери жилья семьями с детьми.  Правительство также предложило выделять более значительные ассигнования Национальному управлению здравоохранения и социального обеспечения в целях поддержки местных инициатив по ликвидации проблемы бездомных.</w:t>
      </w:r>
    </w:p>
    <w:p w:rsidR="00000000" w:rsidRDefault="00000000"/>
    <w:p w:rsidR="00000000" w:rsidRDefault="00000000">
      <w:r>
        <w:t>377.</w:t>
      </w:r>
      <w:r>
        <w:tab/>
        <w:t>В 2005 году правительство выступило с рассчитанной на последующие три года инициативой по оказанию помощи и лечению лиц, страдающих наркотической зависимостью, под названием "Пожизненный контракт".  В рамках этой инициативы государство выделяет целевые ассигнования на мероприятия по оказанию помощи и лечению лиц, страдающих наркотической зависимостью, и эти ассигнования идут на стимулирование муниципалитетов и других субъектов, участвующих в реализации и активизации мероприятий по оказанию помощи и лечению лиц, страдающих наркотической зависимостью.  Цель состоит в том, чтобы облегчить доступ лиц, страдающих наркотической зависимостью, к необходимому уходу и лечению.  Сумма государственных ассигнований на эти цели в 2005-2007 годы составляет в общей сложности 820 млн. шведских крон.</w:t>
      </w:r>
    </w:p>
    <w:p w:rsidR="00000000" w:rsidRDefault="00000000"/>
    <w:p w:rsidR="00000000" w:rsidRDefault="00000000">
      <w:r>
        <w:t>378.</w:t>
      </w:r>
      <w:r>
        <w:tab/>
        <w:t>В рамках конкретной инициативы по психиатрическому уходу правительство выделило также в общей сложности 700 млн. шведских крон на период 2005-2006 годов для целевых инвестиций в мероприятия по психиатрическому обслуживанию, обеспечению жильем и практическому трудоустройству лиц, страдающих психическими заболеваниями и/или умственным расстройством.  В настоящее время в рамках этой инициативы выполняется несколько проектов, ориентированных на решение проблем бездомного населения с психическими заболеваниями.</w:t>
      </w:r>
    </w:p>
    <w:p w:rsidR="00000000" w:rsidRDefault="00000000"/>
    <w:p w:rsidR="00000000" w:rsidRDefault="00000000">
      <w:r>
        <w:rPr>
          <w:b/>
          <w:bCs/>
        </w:rPr>
        <w:t>Статья 12</w:t>
      </w:r>
    </w:p>
    <w:p w:rsidR="00000000" w:rsidRDefault="00000000"/>
    <w:p w:rsidR="00000000" w:rsidRDefault="00000000">
      <w:pPr>
        <w:ind w:left="567"/>
        <w:rPr>
          <w:i/>
          <w:iCs/>
        </w:rPr>
      </w:pPr>
      <w:r>
        <w:rPr>
          <w:i/>
          <w:iCs/>
        </w:rPr>
        <w:t>Принцип 1</w:t>
      </w:r>
    </w:p>
    <w:p w:rsidR="00000000" w:rsidRDefault="00000000"/>
    <w:p w:rsidR="00000000" w:rsidRDefault="00000000">
      <w:r>
        <w:t>379.</w:t>
      </w:r>
      <w:r>
        <w:tab/>
        <w:t>Тенденции, отмечаемые в общем показателе продолжительности жизни, снижение смертности от ряда причин, и в частности резкое снижение смертности от сердечно-сосудистых заболеваний, показывают, что в Швеции продолжается процесс оздоровления населения.</w:t>
      </w:r>
    </w:p>
    <w:p w:rsidR="00000000" w:rsidRDefault="00000000"/>
    <w:p w:rsidR="00000000" w:rsidRDefault="00000000">
      <w:r>
        <w:t>380.</w:t>
      </w:r>
      <w:r>
        <w:tab/>
        <w:t>Генеральной задачей национальной системы здравоохранения является то, чтобы добиться положения, при котором большая часть населения могла долгие годы вести здоровый образ жизни.  Результаты исследований, основанных на сопоставительной оценке показателей заболеваемости, смертности и самочувствия, характеризуются неоднородностью.  С конца 1980-х годов отмечается, что лица пожилого возраста демонстрируют повышенную функциональную дееспособность и считают, что их самочувствие улучшилось.  В период 1970-2003 годов также увеличилась средняя продолжительность жизни без серьезных функциональных расстройств, но в то же время по сравнению с началом 1980-х годов вырос процент населения с хроническими заболеваниями.</w:t>
      </w:r>
    </w:p>
    <w:p w:rsidR="00000000" w:rsidRDefault="00000000"/>
    <w:p w:rsidR="00000000" w:rsidRDefault="00000000">
      <w:r>
        <w:t>381.</w:t>
      </w:r>
      <w:r>
        <w:tab/>
        <w:t>Главной причиной преждевременной смерти являются сердечно-сосудистые заболевания, которые помимо этого нередко вызывают хронические проблемы со здоровьем и функциональные расстройства.  В период 1987-2002 годов примерно на 23% сократился риск возникновения сердечно-сосудистых заболеваний, в первую очередь вследствие нарушения работы сердечной мышцы, а угроза смерти из-за сердечно-сосудистых заболеваний еще больше снизилась.  Именно по этой причине в последние годы столь заметно возросла средняя продолжительность жизни.  При этом смертность от сердечно-сосудистых заболеваний среди мужчин значительно выше, чем среди женщин.</w:t>
      </w:r>
    </w:p>
    <w:p w:rsidR="00000000" w:rsidRDefault="00000000"/>
    <w:p w:rsidR="00000000" w:rsidRDefault="00000000">
      <w:r>
        <w:t>382.</w:t>
      </w:r>
      <w:r>
        <w:tab/>
        <w:t>Снижение риска возникновения сердечно-сосудистых заболеваний можно объяснить оздоровлением образа жизни, в первую очередь снижением табакокурения и в определенной степени улучшением рациона питания.  Снижение уровня смертности среди лиц, страдающих сердечно-сосудистыми заболеваниями объясняется в первую очередь эффективным медицинским вмешательством.</w:t>
      </w:r>
    </w:p>
    <w:p w:rsidR="00000000" w:rsidRDefault="00000000"/>
    <w:p w:rsidR="00000000" w:rsidRDefault="00000000">
      <w:r>
        <w:t>383.</w:t>
      </w:r>
      <w:r>
        <w:tab/>
        <w:t>В Швеции примерно 300 000 человек страдают диабетом, из которых одна десятая часть - диабетом типа 1.  Среди взрослых отмечается незначительное повышение доли лиц, страдающих диабетом, однако в целом заболеваемость диабетом не выросла, несмотря на повышение показателя ИМТ (индекс массы тела) в момент его диагностировании.  С 1980 года смертность от диабета снизилась на 28% среди женщин, но не претерпела никаких изменений среди мужчин.  Снижение смертности и рост числа лиц, продолжающих жить невзирая на заболевание диабетом, может объясняться активным профилактическим лечением на предмет высокого содержания холестерина в крови и повышенного артериального давления, а также более эффективным лечением диабета.  С начала 1980-х годов заболеваемость диабетом типа 1 возросла, в первую очередь среди молодых возрастных групп, но, как представляется, этот показатель снижается среди взрослого населения младших возрастных групп.</w:t>
      </w:r>
    </w:p>
    <w:p w:rsidR="00000000" w:rsidRDefault="00000000"/>
    <w:p w:rsidR="00000000" w:rsidRDefault="00000000">
      <w:r>
        <w:t>384.</w:t>
      </w:r>
      <w:r>
        <w:tab/>
        <w:t xml:space="preserve">Более половины мужчин и чуть более одной трети женщин в возрасте 16-74 лет в Швеции страдают излишним весом или склонностью к ожирению.  Чуть менее </w:t>
      </w:r>
      <w:proofErr w:type="spellStart"/>
      <w:r>
        <w:t>10%</w:t>
      </w:r>
      <w:proofErr w:type="spellEnd"/>
      <w:r>
        <w:t xml:space="preserve"> мужчин и женщин страдают от ожирения.  Процентная доля лиц с избыточным весом увеличивается во всех возрастных группах, включая детей школьного возраста.  В</w:t>
      </w:r>
      <w:r>
        <w:rPr>
          <w:lang w:val="en-US"/>
        </w:rPr>
        <w:t> </w:t>
      </w:r>
      <w:r>
        <w:t>1990</w:t>
      </w:r>
      <w:r>
        <w:noBreakHyphen/>
        <w:t>х</w:t>
      </w:r>
      <w:r>
        <w:rPr>
          <w:lang w:val="en-US"/>
        </w:rPr>
        <w:t> </w:t>
      </w:r>
      <w:r>
        <w:t>годах процент лиц, страдающих ожирением, резко вырос, однако, как представляется, в период 2002</w:t>
      </w:r>
      <w:r>
        <w:noBreakHyphen/>
        <w:t xml:space="preserve">2004 годов динамика этого показателя стабилизировалась.  </w:t>
      </w:r>
    </w:p>
    <w:p w:rsidR="00000000" w:rsidRDefault="00000000"/>
    <w:p w:rsidR="00000000" w:rsidRDefault="00000000">
      <w:r>
        <w:t>385.</w:t>
      </w:r>
      <w:r>
        <w:tab/>
        <w:t>С начала 1980-х годов процент лиц с избыточным весом вырос по всем социально-экономическим группам и группам лиц с различными уровнями образования.  Социальные различия среди мужчин и женщин, имеющих склонность к полноте, несколько выросли и выражаются в том, что доля лиц, страдающих ожирением, выше среди лиц с низким уровнем образования, чем среди лиц с более высоким образованием.</w:t>
      </w:r>
    </w:p>
    <w:p w:rsidR="00000000" w:rsidRDefault="00000000"/>
    <w:p w:rsidR="00000000" w:rsidRDefault="00000000">
      <w:r>
        <w:t>386.</w:t>
      </w:r>
      <w:r>
        <w:tab/>
        <w:t xml:space="preserve">После экономического спада 1980-х годов в начале 1990-х годов доля лиц, которые, по их словам, испытывают беспокойство или тревогу, возросло.  Такая картина в принципе характерна для всего населения, кроме лиц пожилого возраста, среди которых этот показатель оставался неизменно высоким с 1980 года.  В 2002 и 2003 годах о наличии таких проблем сообщали </w:t>
      </w:r>
      <w:proofErr w:type="spellStart"/>
      <w:r>
        <w:t>25%</w:t>
      </w:r>
      <w:proofErr w:type="spellEnd"/>
      <w:r>
        <w:t xml:space="preserve"> женщин и </w:t>
      </w:r>
      <w:proofErr w:type="spellStart"/>
      <w:r>
        <w:t>15%</w:t>
      </w:r>
      <w:proofErr w:type="spellEnd"/>
      <w:r>
        <w:t xml:space="preserve"> мужчин.  Однако более свежие данные за 2004 год свидетельствуют о том, что произошло снижение доли населения, сообщающего о наличии серьезных симптомов беспокойства или тревоги по сравнению с периодом 2002</w:t>
      </w:r>
      <w:r>
        <w:noBreakHyphen/>
        <w:t xml:space="preserve">2003 годов.  Вместе с тем пока еще слишком рано усматривать в этом признаки того, что эту тенденцию удалось обратить вспять.  </w:t>
      </w:r>
    </w:p>
    <w:p w:rsidR="00000000" w:rsidRDefault="00000000"/>
    <w:p w:rsidR="00000000" w:rsidRDefault="00000000">
      <w:r>
        <w:t>387.</w:t>
      </w:r>
      <w:r>
        <w:tab/>
        <w:t>Различные социально-экономические группы демонстрируют заметное расхождение в уровне психического здоровья.  Причем более высокую, чем средний показатель склонность к психическим расстройствам демонстрируют лица, не имеющие работы или получающие пособия по болезни и нетрудоспособности, родители-одиночки и выходцы из-за рубежа.</w:t>
      </w:r>
    </w:p>
    <w:p w:rsidR="00000000" w:rsidRDefault="00000000"/>
    <w:p w:rsidR="00000000" w:rsidRDefault="00000000">
      <w:r>
        <w:t>388.</w:t>
      </w:r>
      <w:r>
        <w:tab/>
        <w:t xml:space="preserve">Слабое психическое здоровье является существенным фактором риска </w:t>
      </w:r>
      <w:proofErr w:type="spellStart"/>
      <w:r>
        <w:t>суицидности</w:t>
      </w:r>
      <w:proofErr w:type="spellEnd"/>
      <w:r>
        <w:t>.  С начала 1970-х годов произошло значительное снижение показателя самоубийств.  Число лиц, покончивших собой в 1987-2002 годах, сократилось на одну треть как среди мужчин, так и среди женщин, хотя с 1998 года отмечалась слабая тенденция к повышению числа самоубийств среди молодых людей в возрасте 15-24 лет.  Склонность к самоубийствам чаще проявляют мужчины.  В 1998 году число самоубийств среди мужчин было в три раза больше по сравнению с аналогичным показателем среди женщин, однако попытки самоубийства были более распространенным явлением среди женщин.</w:t>
      </w:r>
    </w:p>
    <w:p w:rsidR="00000000" w:rsidRDefault="00000000"/>
    <w:p w:rsidR="00000000" w:rsidRDefault="00000000">
      <w:r>
        <w:t>389.</w:t>
      </w:r>
      <w:r>
        <w:tab/>
        <w:t xml:space="preserve">Согласно исследованиям условий жизни, проводимым Статистическим управлением Швеции, </w:t>
      </w:r>
      <w:proofErr w:type="spellStart"/>
      <w:r>
        <w:t>8%</w:t>
      </w:r>
      <w:proofErr w:type="spellEnd"/>
      <w:r>
        <w:t xml:space="preserve"> женщин и мужчин в возрасте 16-84 лет в 2002 и 2003 годах сообщали о том, что они хотя бы раз были жертвой насилия или угрозы.  Доли женщин и мужчин, ставших жертвами насилия или угрозы, впервые выровнялись. </w:t>
      </w:r>
    </w:p>
    <w:p w:rsidR="00000000" w:rsidRDefault="00000000"/>
    <w:p w:rsidR="00000000" w:rsidRDefault="00000000">
      <w:r>
        <w:t>390.</w:t>
      </w:r>
      <w:r>
        <w:tab/>
        <w:t>Примерно 100 человек в год гибнут от последствий насилия:  в 2002 году от последствий насилия погибли 66 мужчин и 37 женщин.  За последние 30 лет картина насильственных преступлений со смертельным исходом почти не менялась.  Число детей, ставших жертвой насильственных преступлений со смертельным исходом, сократилось;  и</w:t>
      </w:r>
      <w:r>
        <w:rPr>
          <w:lang w:val="en-US"/>
        </w:rPr>
        <w:t> </w:t>
      </w:r>
      <w:r>
        <w:t xml:space="preserve">в настоящее время этот показатель среди детей составляет </w:t>
      </w:r>
      <w:proofErr w:type="spellStart"/>
      <w:r>
        <w:t>7%</w:t>
      </w:r>
      <w:proofErr w:type="spellEnd"/>
      <w:r>
        <w:t>.</w:t>
      </w:r>
    </w:p>
    <w:p w:rsidR="00000000" w:rsidRDefault="00000000"/>
    <w:p w:rsidR="00000000" w:rsidRDefault="00000000">
      <w:r>
        <w:t>391.</w:t>
      </w:r>
      <w:r>
        <w:tab/>
        <w:t>Инфекционные заболевания, которые некогда были в числе главных причин смертности, в последнее время резко пошли на убыль.  Вместе с тем появление резистентных бактерий и выработка невосприимчивости к антибиотикам затрудняют лечение инфекционных заболеваний.  Вместе с приезжающими из других стран лицами в страну постоянно попадает большое количество резистентных бактерий.  Резистентный туберкулез, который в некоторых случаях не поддается лечению, создает особую проблему.  В конце 1990</w:t>
      </w:r>
      <w:r>
        <w:noBreakHyphen/>
        <w:t>х годов отмечалось сокращение охвата вакцинацией детей младших возрастов, но к настоящему времени эта тенденция обращена вспять.</w:t>
      </w:r>
    </w:p>
    <w:p w:rsidR="00000000" w:rsidRDefault="00000000"/>
    <w:p w:rsidR="00000000" w:rsidRDefault="00000000">
      <w:r>
        <w:t>392.</w:t>
      </w:r>
      <w:r>
        <w:tab/>
        <w:t>Вновь отмечается рост числа лиц, страдающих заболеваниями, передаваемыми половым путем (ЗППП).  Наиболее распространенным в Швеции ЗППП является хламидиоз.  В настоящее время ВИЧ</w:t>
      </w:r>
      <w:r>
        <w:noBreakHyphen/>
        <w:t>инфекция и сифилис являются довольно редкими заболеваниями в Швеции, однако рост числа лиц, страдающих ими, может свидетельствовать о необходимости активизации мероприятий по их профилактике.</w:t>
      </w:r>
    </w:p>
    <w:p w:rsidR="00000000" w:rsidRDefault="00000000"/>
    <w:p w:rsidR="00000000" w:rsidRDefault="00000000">
      <w:r>
        <w:t>393.</w:t>
      </w:r>
      <w:r>
        <w:tab/>
        <w:t>Процент детей и молодежи без кариеса зубов в период 1985</w:t>
      </w:r>
      <w:r>
        <w:noBreakHyphen/>
        <w:t>2000 годов постоянно повышался, однако в период 2001</w:t>
      </w:r>
      <w:r>
        <w:noBreakHyphen/>
        <w:t>2002 годов впервые не было отмечено стабильного улучшения этого показателя, и даже наблюдалось незначительное снижение этого показателя среди детей в возрасте 12 лет.  Процент взрослых среди населения, сохранивших все свои зубы, постоянно растет, однако социальные различия в доступе к стоматологическому обслуживанию по</w:t>
      </w:r>
      <w:r>
        <w:noBreakHyphen/>
        <w:t>прежнему значительны и не демонстрируют никакой тенденции к снижению.</w:t>
      </w:r>
    </w:p>
    <w:p w:rsidR="00000000" w:rsidRDefault="00000000"/>
    <w:p w:rsidR="00000000" w:rsidRDefault="00000000">
      <w:r>
        <w:t>394.</w:t>
      </w:r>
      <w:r>
        <w:tab/>
        <w:t>Уровень репродуктивного здоровья в Швеции превосходит все ожидания.  После затишья конца 1990</w:t>
      </w:r>
      <w:r>
        <w:noBreakHyphen/>
        <w:t>х годов в настоящее время вновь наблюдается взлет рождаемости.  Несмотря на колебания в темпах рождаемости на протяжении всего ХХ века, среднее число детей, рождаемых от женщины за всю ее жизнь, стабильно составляет два ребенка.  Молодежь более эффективно защищает себя от незапланированной беременности, чем от венерических заболеваний, причем последние являются наиболее распространенной причиной бесплодия.  В Швеции наблюдается благоприятная картина исхода беременности и родов.</w:t>
      </w:r>
    </w:p>
    <w:p w:rsidR="00000000" w:rsidRDefault="00000000"/>
    <w:p w:rsidR="00000000" w:rsidRDefault="00000000">
      <w:r>
        <w:t>395.</w:t>
      </w:r>
      <w:r>
        <w:tab/>
        <w:t>Международные сопоставления свидетельствуют о том, что дети и молодежь в Швеции имеют превосходное здоровье.  Шведские дети и молодежь выглядят наиболее здоровыми и довольными своей жизнью по результатам качественных исследований в европейских странах.  И все же, несмотря на это, нельзя не отметить рост наблюдаемых психосоматических симптомов, таких, как боли в желудке, головные боли и расстройство сна.  Стойкость детей в Швеции к экологической обстановке в целом неплохая, хотя большой проблемой является развитие аллергических реакций.  В настоящее время дети и молодежь подвергаются сильному шумовому воздействию, которое наносит беспрецедентный ущерб слуховому аппарату.</w:t>
      </w:r>
    </w:p>
    <w:p w:rsidR="00000000" w:rsidRDefault="00000000"/>
    <w:p w:rsidR="00000000" w:rsidRDefault="00000000">
      <w:r>
        <w:t>396.</w:t>
      </w:r>
      <w:r>
        <w:tab/>
        <w:t>Большинство лиц пожилого возраста имеют относительно хорошее здоровье.  По мнению самих пожилых людей, с конца 1980</w:t>
      </w:r>
      <w:r>
        <w:noBreakHyphen/>
        <w:t>х годов состояние их здоровья улучшается.</w:t>
      </w:r>
    </w:p>
    <w:p w:rsidR="00000000" w:rsidRDefault="00000000"/>
    <w:p w:rsidR="00000000" w:rsidRDefault="00000000">
      <w:r>
        <w:t>397.</w:t>
      </w:r>
      <w:r>
        <w:tab/>
        <w:t>С начала 1980</w:t>
      </w:r>
      <w:r>
        <w:noBreakHyphen/>
        <w:t>х годов отмечается снижение табакокурения среди мужчин и женщин и среди всех социально-экономических групп.  Причем процент курящих снижается более быстрыми темпами среди мужчин, чем среди женщин.  Следует все же отметить, что среди мужчин </w:t>
      </w:r>
      <w:r>
        <w:noBreakHyphen/>
        <w:t xml:space="preserve"> выходцев из других стран число курящих превышает число курящих среди мужчин </w:t>
      </w:r>
      <w:r>
        <w:noBreakHyphen/>
        <w:t xml:space="preserve"> уроженцев Швеции.  В последние годы социальные различия лишь усилились.  При этом наибольшую долю курящих составляют лица, получающие компенсацию по болезни или временной нетрудоспособности, а также лица, долгое время находящиеся без работы.</w:t>
      </w:r>
    </w:p>
    <w:p w:rsidR="00000000" w:rsidRDefault="00000000"/>
    <w:p w:rsidR="00000000" w:rsidRDefault="00000000">
      <w:r>
        <w:t>398.</w:t>
      </w:r>
      <w:r>
        <w:tab/>
        <w:t>С начала 1970</w:t>
      </w:r>
      <w:r>
        <w:noBreakHyphen/>
        <w:t>х годов отмечается рост потребления популярного в Швеции жевательного табака "снус" (свежие табачные листья, помещенные по губу или между щекой и десной), и процент потребителей снуса в 1990</w:t>
      </w:r>
      <w:r>
        <w:noBreakHyphen/>
        <w:t>х годах вырос как среди женщин, так и среди мужчин.  Одна треть повседневных потребителей снуса также сообщает, что они время от времени курят табак.</w:t>
      </w:r>
    </w:p>
    <w:p w:rsidR="00000000" w:rsidRDefault="00000000"/>
    <w:p w:rsidR="00000000" w:rsidRDefault="00000000">
      <w:r>
        <w:t>399.</w:t>
      </w:r>
      <w:r>
        <w:tab/>
        <w:t>В период 1996</w:t>
      </w:r>
      <w:r>
        <w:noBreakHyphen/>
        <w:t>2004 годов потребление алкоголя выросло почти на 30%.  Последние статистические данные свидетельствуют о том, что в росте потребления алкоголя, возможно, наметилась стабилизация.  Процентная доля лиц из группы риска по объему потребляемого алкоголя за последние 10 лет выросла, а неумеренное потребление алкоголя среди молодежи возросло.</w:t>
      </w:r>
    </w:p>
    <w:p w:rsidR="00000000" w:rsidRDefault="00000000"/>
    <w:p w:rsidR="00000000" w:rsidRDefault="00000000">
      <w:r>
        <w:t>400.</w:t>
      </w:r>
      <w:r>
        <w:tab/>
        <w:t>С 1980</w:t>
      </w:r>
      <w:r>
        <w:noBreakHyphen/>
        <w:t>х годов отмечается снижение смертности от потребления алкоголя среди мужчин при повышении того же показателя среди женщин, в первую очередь в возрастной группе 45</w:t>
      </w:r>
      <w:r>
        <w:noBreakHyphen/>
        <w:t>65 лет.  Большинство потребителей алкоголя в чрезмерных количествах составляют молодые мужчины и женщины, однако смерть от злоупотребления алкоголем, как правило, наступает не ранее 60 лет.  Поэтому последствия более активного потребления алкоголя в нынешней молодежной среде прояснятся не ранее чем через три или четыре десятилетия.</w:t>
      </w:r>
    </w:p>
    <w:p w:rsidR="00000000" w:rsidRDefault="00000000"/>
    <w:p w:rsidR="00000000" w:rsidRDefault="00000000">
      <w:pPr>
        <w:keepNext/>
        <w:rPr>
          <w:i/>
          <w:iCs/>
        </w:rPr>
      </w:pPr>
      <w:r>
        <w:rPr>
          <w:i/>
          <w:iCs/>
        </w:rPr>
        <w:tab/>
        <w:t>Принцип 2</w:t>
      </w:r>
    </w:p>
    <w:p w:rsidR="00000000" w:rsidRDefault="00000000">
      <w:pPr>
        <w:keepNext/>
      </w:pPr>
    </w:p>
    <w:p w:rsidR="00000000" w:rsidRDefault="00000000">
      <w:r>
        <w:tab/>
        <w:t>См. пункты 26 и 28 доклада "Здоровье для всех".</w:t>
      </w:r>
    </w:p>
    <w:p w:rsidR="00000000" w:rsidRDefault="00000000"/>
    <w:p w:rsidR="00000000" w:rsidRDefault="00000000">
      <w:r>
        <w:t>401.</w:t>
      </w:r>
      <w:r>
        <w:tab/>
        <w:t>Весной 2003 года риксдаг утвердил 11 направлений политики в области  здравоохранения, изложив их в документе "Цели здравоохранения" (правительственный законопроект 2001/03:35, доклад 2002/03:</w:t>
      </w:r>
      <w:r>
        <w:rPr>
          <w:lang w:val="en-US"/>
        </w:rPr>
        <w:t>SoU</w:t>
      </w:r>
      <w:r>
        <w:t>07, сообщение риксдага 2003/03:145).  В соответствии с этим законопроектом правительство также постановило, что генеральной целью национальной политики в области здравоохранения является создание адекватных социальных условий для достижения всем населением хорошего здоровья на равных условиях.  В 2006 году правительство намерено представить риксдагу ряд письменных сообщений с отчетом о дальнейших мерах по выполнению целей национальной политики в области здравоохранения и деятельности созданной структуры по межотраслевой координации в процессе реализации поставленных целей.</w:t>
      </w:r>
    </w:p>
    <w:p w:rsidR="00000000" w:rsidRDefault="00000000"/>
    <w:p w:rsidR="00000000" w:rsidRDefault="00000000">
      <w:r>
        <w:t>402.</w:t>
      </w:r>
      <w:r>
        <w:tab/>
        <w:t xml:space="preserve">Реализация всеобъемлющей инициативы по усилению системы первичной помощи, ухода за пожилыми пациентами и психиатрического ухода (см. пункт 34, </w:t>
      </w:r>
      <w:r>
        <w:rPr>
          <w:i/>
          <w:iCs/>
        </w:rPr>
        <w:t>Заключительные замечания</w:t>
      </w:r>
      <w:r>
        <w:t xml:space="preserve">) началась с принятия национального плана действий по улучшению санитарно-медицинского обслуживания (правительственный законопроект 1999/2000:149, доклад 2000/91 </w:t>
      </w:r>
      <w:proofErr w:type="spellStart"/>
      <w:r>
        <w:rPr>
          <w:lang w:val="en-US"/>
        </w:rPr>
        <w:t>SoU</w:t>
      </w:r>
      <w:proofErr w:type="spellEnd"/>
      <w:r>
        <w:t>5, сообщение риксдага 2000/01:53).</w:t>
      </w:r>
    </w:p>
    <w:p w:rsidR="00000000" w:rsidRDefault="00000000"/>
    <w:p w:rsidR="00000000" w:rsidRDefault="00000000">
      <w:r>
        <w:t>403.</w:t>
      </w:r>
      <w:r>
        <w:tab/>
        <w:t>Соглашение о разработке, лежащее в основе указанного плана действий, истек 31 декабря 2004 года.  Государство и Шведская ассоциация органов местного самоуправления и регионов достигли договоренности о необходимости продолжения конструктивной работы, начало которой положило принятие перспективного плана действий.  С учетом этого риксдаг принял решение возобновить соглашение между сторонами.</w:t>
      </w:r>
    </w:p>
    <w:p w:rsidR="00000000" w:rsidRDefault="00000000"/>
    <w:p w:rsidR="00000000" w:rsidRDefault="00000000">
      <w:r>
        <w:t>404.</w:t>
      </w:r>
      <w:r>
        <w:tab/>
        <w:t>Национальному совету по здравоохранению и благосостоянию было поручено осуществлять сопутствующие мероприятия в связи с последующим выполнением национального плана действий осенью 2006 года.</w:t>
      </w:r>
    </w:p>
    <w:p w:rsidR="00000000" w:rsidRDefault="00000000">
      <w:pPr>
        <w:spacing w:line="240" w:lineRule="auto"/>
      </w:pPr>
    </w:p>
    <w:p w:rsidR="00000000" w:rsidRDefault="00000000">
      <w:pPr>
        <w:spacing w:line="240" w:lineRule="auto"/>
      </w:pPr>
      <w:r>
        <w:rPr>
          <w:b/>
          <w:bCs/>
          <w:i/>
          <w:iCs/>
        </w:rPr>
        <w:t>Система ухода за лицами престарелого возраста</w:t>
      </w:r>
    </w:p>
    <w:p w:rsidR="00000000" w:rsidRDefault="00000000">
      <w:pPr>
        <w:spacing w:line="240" w:lineRule="auto"/>
      </w:pPr>
    </w:p>
    <w:p w:rsidR="00000000" w:rsidRDefault="00000000">
      <w:r>
        <w:t>405.</w:t>
      </w:r>
      <w:r>
        <w:tab/>
        <w:t xml:space="preserve">Два шведских закона (1999:1175) и (1999:1176) предоставляют населению право пользоваться языком саами, финским языком или языком </w:t>
      </w:r>
      <w:proofErr w:type="spellStart"/>
      <w:r>
        <w:t>мянкиели</w:t>
      </w:r>
      <w:proofErr w:type="spellEnd"/>
      <w:r>
        <w:t xml:space="preserve"> (</w:t>
      </w:r>
      <w:proofErr w:type="spellStart"/>
      <w:r>
        <w:t>торнедальский</w:t>
      </w:r>
      <w:proofErr w:type="spellEnd"/>
      <w:r>
        <w:t xml:space="preserve"> финский язык) в общении с официальными властями и в судах в связи с осуществлением государственной власти в географических районах ("языковых административных зонах"), в которых эти языки использовались традиционно и по-прежнему используются достаточно широко.  Защищаемые законами права включают право лиц дошкольного и пожилого возраста на получение ухода, осуществляемого, полностью или частично, с использованием местных языков в некоторых географических районах.  Вместе с тем существует потребность в системе ухода за лицами пожилого возраста, приспособленной к нуждам всех языковых и культурных национальных меньшинств даже за пределами языковых административных зон.  Все учреждения здравоохранения и медицинского обслуживания, а также учреждения по уходу за лицами пожилого возраста должны быть осведомлены об особых потребностях, которые могут испытывать группы национальных меньшинств, и учитывать такие потребности.</w:t>
      </w:r>
    </w:p>
    <w:p w:rsidR="00000000" w:rsidRDefault="00000000"/>
    <w:p w:rsidR="00000000" w:rsidRDefault="00000000">
      <w:r>
        <w:t>406.</w:t>
      </w:r>
      <w:r>
        <w:tab/>
        <w:t>Так, ряд муниципалитетов увеличили или планируют увеличить количество услуг, предоставляемых проживающим на их территории лицам с применением других языков, и создали специальные общежития для престарелых или специальные отделения в клиниках для престарелых для тех пожилых лиц, которые говорят, например, на финском языке.  В 2004 году в стране насчитывалось 30 специальных жилых единиц для престарелых, в которых обслуживание осуществляется с учетом этнических особенностей проживающих в них лиц;  19 из таких жилых единиц предназначены для лиц, говорящих на финском языке.  Трудности, с которыми сталкиваются люди другой языковой принадлежности, могут быть обусловлены отсутствием надлежащих знаний или надлежащего информирования таких групп в отношении принимаемых на государственном уровне мер.  Муниципальные органы власти принимают меры для удовлетворения потребностей лиц иностранного происхождения или принадлежащих к национальным меньшинствам.  Только 34% от общего числа муниципальных органов Швеции, сообщивших о том, что на их территории проживают граждане, испытывающие особые потребности, обусловленные этническим происхождением, указывают, что они в состоянии удовлетворять потребности всех таких лиц или большинства из них, располагая персоналом, владеющим тем или иным языком меньшинства.  В 59% заинтересованных муниципалитетов не проводят специальных мероприятий, рассчитанных для той или иной этнической группы.</w:t>
      </w:r>
    </w:p>
    <w:p w:rsidR="00000000" w:rsidRDefault="00000000"/>
    <w:p w:rsidR="00000000" w:rsidRDefault="00000000">
      <w:r>
        <w:t>407.</w:t>
      </w:r>
      <w:r>
        <w:tab/>
        <w:t xml:space="preserve">Правительство считает необходимым повысить качество и расширить охват альтернативных мер ухода для лиц иностранного происхождения или лиц, принадлежащих к одному из национальных меньшинств.  Это относится ко всему спектру вопросов:  от лучшего информирования и более приспособленного альтернативного жилья до расширенных программ, осуществляемых в течение дневного времени, и специальных бригад оказания помощи на дому, имеющих соответствующую языковую подготовку и знания культурных традиций.  В муниципалитетах, находящихся в административных областях, где проживают саами, финны и мянкиели, особенно важно информировать население об их правах на уход за лицами пожилого возраста, осуществляемый полностью или частично с использованием конкретных языков, и предоставлять таким группам населения адаптированные программы.  В связи с этим представленным весной правительственным законопроектом о бюджете предусматривается выделение пособий в размере 50 млн. шведских крон в год в течение 2007 и 2008 годов для содействия развитию услуг по уходу за лицами пожилого возраста, адаптированных с учетом потребностей </w:t>
      </w:r>
      <w:proofErr w:type="spellStart"/>
      <w:r>
        <w:t>мультикультурного</w:t>
      </w:r>
      <w:proofErr w:type="spellEnd"/>
      <w:r>
        <w:t xml:space="preserve"> общества.</w:t>
      </w:r>
    </w:p>
    <w:p w:rsidR="00000000" w:rsidRDefault="00000000"/>
    <w:p w:rsidR="00000000" w:rsidRDefault="00000000">
      <w:pPr>
        <w:rPr>
          <w:i/>
          <w:iCs/>
        </w:rPr>
      </w:pPr>
      <w:r>
        <w:rPr>
          <w:i/>
          <w:iCs/>
        </w:rPr>
        <w:tab/>
        <w:t>Принцип 3</w:t>
      </w:r>
    </w:p>
    <w:p w:rsidR="00000000" w:rsidRDefault="00000000"/>
    <w:p w:rsidR="00000000" w:rsidRDefault="00000000">
      <w:r>
        <w:t>408.</w:t>
      </w:r>
      <w:r>
        <w:tab/>
        <w:t>Законом о здравоохранении и медицинском обслуживании установлено, что надлежащий уход должен предоставляться на равных для всех условиях.  Расходы на цели здравоохранения в 2004 году составили приблизительно 232 млрд. шведских крон (включая расходы на муниципальном уровне по уходу за пожилыми лицами), что соответствует 9% ВНП.  По сравнению с 1994 годом, когда расходы на эти цели составляли 137 млрд. шведских крон, доля расходов на здравоохранение в процентном выражении возросла по отношению к уровню ВНП.  В 1994 году расходы на здравоохранение составляли 8,2% ВНП и возросли до 8,4% к 1999 году.  Таким образом, доля ВНП в процентном отношении, расходуемая на цели здравоохранения, возрастала более высокими темпами в течение последних пяти лет, чем в предыдущий пятилетний период.</w:t>
      </w:r>
    </w:p>
    <w:p w:rsidR="00000000" w:rsidRDefault="00000000"/>
    <w:p w:rsidR="00000000" w:rsidRDefault="00000000">
      <w:r>
        <w:t>409.</w:t>
      </w:r>
      <w:r>
        <w:tab/>
        <w:t xml:space="preserve">Из общей чистой суммы расходов на здравоохранение (бюджеты </w:t>
      </w:r>
      <w:proofErr w:type="spellStart"/>
      <w:r>
        <w:t>ленских</w:t>
      </w:r>
      <w:proofErr w:type="spellEnd"/>
      <w:r>
        <w:t xml:space="preserve"> и муниципальных советов) </w:t>
      </w:r>
      <w:proofErr w:type="spellStart"/>
      <w:r>
        <w:t>19%</w:t>
      </w:r>
      <w:proofErr w:type="spellEnd"/>
      <w:r>
        <w:t>, что соответствует 26 млрд. шведских крон, было направлено на оказание первой медико-санитарной помощи.</w:t>
      </w:r>
    </w:p>
    <w:p w:rsidR="00000000" w:rsidRDefault="00000000"/>
    <w:p w:rsidR="00000000" w:rsidRDefault="00000000">
      <w:pPr>
        <w:keepNext/>
        <w:rPr>
          <w:i/>
          <w:iCs/>
        </w:rPr>
      </w:pPr>
      <w:r>
        <w:rPr>
          <w:i/>
          <w:iCs/>
        </w:rPr>
        <w:tab/>
        <w:t>Принцип 4</w:t>
      </w:r>
    </w:p>
    <w:p w:rsidR="00000000" w:rsidRDefault="00000000">
      <w:pPr>
        <w:keepNext/>
      </w:pPr>
    </w:p>
    <w:p w:rsidR="00000000" w:rsidRDefault="00000000">
      <w:pPr>
        <w:keepNext/>
      </w:pPr>
      <w:r>
        <w:t>410.</w:t>
      </w:r>
      <w:r>
        <w:tab/>
        <w:t>Кроме того, уровень младенческой смертности сократился вдвое за период после 1984 года.  В 2004 году младенческая смертность в течение первого года жизни составила 3,1 на 1 000 живорожденных детей.</w:t>
      </w:r>
    </w:p>
    <w:p w:rsidR="00000000" w:rsidRDefault="00000000"/>
    <w:p w:rsidR="00000000" w:rsidRDefault="00000000">
      <w:r>
        <w:t>411.</w:t>
      </w:r>
      <w:r>
        <w:tab/>
      </w:r>
      <w:proofErr w:type="spellStart"/>
      <w:r>
        <w:t>100%</w:t>
      </w:r>
      <w:proofErr w:type="spellEnd"/>
      <w:r>
        <w:t>.</w:t>
      </w:r>
    </w:p>
    <w:p w:rsidR="00000000" w:rsidRDefault="00000000"/>
    <w:p w:rsidR="00000000" w:rsidRDefault="00000000">
      <w:r>
        <w:t>412.</w:t>
      </w:r>
      <w:r>
        <w:tab/>
      </w:r>
      <w:proofErr w:type="spellStart"/>
      <w:r>
        <w:t>100%</w:t>
      </w:r>
      <w:proofErr w:type="spellEnd"/>
      <w:r>
        <w:t>.</w:t>
      </w:r>
    </w:p>
    <w:p w:rsidR="00000000" w:rsidRDefault="00000000"/>
    <w:p w:rsidR="00000000" w:rsidRDefault="00000000">
      <w:r>
        <w:t>413.</w:t>
      </w:r>
      <w:r>
        <w:tab/>
      </w:r>
      <w:proofErr w:type="spellStart"/>
      <w:r>
        <w:t>100%</w:t>
      </w:r>
      <w:proofErr w:type="spellEnd"/>
      <w:r>
        <w:t xml:space="preserve"> по всем показателям, за исключением туберкулеза, прививки против которого делаются только в отдельных группах.</w:t>
      </w:r>
    </w:p>
    <w:p w:rsidR="00000000" w:rsidRDefault="00000000"/>
    <w:p w:rsidR="00000000" w:rsidRDefault="00000000">
      <w:r>
        <w:t>414.</w:t>
      </w:r>
      <w:r>
        <w:tab/>
        <w:t>Ожидаемая продолжительность жизни продолжает увеличиваться.  Как указано выше, тенденции увеличения продолжительности жизни и сокращение смерти по различным причинам показывают, что состояние системы общественного здравоохранения в Швеции продолжает улучшаться.  Можно ожидать, что мальчик, родившийся в 2004 году, проживет 78,4 года, а девочка - 82,7 года.  Средняя продолжительность жизни мужчин увеличилась за период после 1990 года почти на четыре года, а женщин - несколько более чем на два года.  Таким образом, средняя продолжительность жизни мужчин увеличивалась более высокими темпами, чем женщин, а разница между средней продолжительностью жизни мужчин и женщин сократилась с 5,6 до 4,3 года за период после 1990 года.</w:t>
      </w:r>
    </w:p>
    <w:p w:rsidR="00000000" w:rsidRDefault="00000000"/>
    <w:p w:rsidR="00000000" w:rsidRDefault="00000000">
      <w:r>
        <w:t>415.</w:t>
      </w:r>
      <w:r>
        <w:tab/>
      </w:r>
      <w:proofErr w:type="spellStart"/>
      <w:r>
        <w:t>100%</w:t>
      </w:r>
      <w:proofErr w:type="spellEnd"/>
      <w:r>
        <w:t>.</w:t>
      </w:r>
    </w:p>
    <w:p w:rsidR="00000000" w:rsidRDefault="00000000"/>
    <w:p w:rsidR="00000000" w:rsidRDefault="00000000">
      <w:r>
        <w:t>416.</w:t>
      </w:r>
      <w:r>
        <w:tab/>
      </w:r>
      <w:proofErr w:type="spellStart"/>
      <w:r>
        <w:t>100%</w:t>
      </w:r>
      <w:proofErr w:type="spellEnd"/>
      <w:r>
        <w:t>.</w:t>
      </w:r>
    </w:p>
    <w:p w:rsidR="00000000" w:rsidRDefault="00000000"/>
    <w:p w:rsidR="00000000" w:rsidRDefault="00000000">
      <w:r>
        <w:t>417.</w:t>
      </w:r>
      <w:r>
        <w:tab/>
      </w:r>
      <w:proofErr w:type="spellStart"/>
      <w:r>
        <w:t>100%</w:t>
      </w:r>
      <w:proofErr w:type="spellEnd"/>
      <w:r>
        <w:t>.</w:t>
      </w:r>
    </w:p>
    <w:p w:rsidR="00000000" w:rsidRDefault="00000000"/>
    <w:p w:rsidR="00000000" w:rsidRDefault="00000000">
      <w:pPr>
        <w:rPr>
          <w:i/>
          <w:iCs/>
        </w:rPr>
      </w:pPr>
      <w:r>
        <w:rPr>
          <w:i/>
          <w:iCs/>
        </w:rPr>
        <w:tab/>
        <w:t xml:space="preserve">Принцип 5 </w:t>
      </w:r>
      <w:r>
        <w:rPr>
          <w:i/>
          <w:iCs/>
          <w:lang w:val="en-US"/>
        </w:rPr>
        <w:t>a</w:t>
      </w:r>
      <w:r>
        <w:rPr>
          <w:i/>
          <w:iCs/>
        </w:rPr>
        <w:t>)-</w:t>
      </w:r>
      <w:r>
        <w:rPr>
          <w:i/>
          <w:iCs/>
          <w:lang w:val="en-US"/>
        </w:rPr>
        <w:t>d</w:t>
      </w:r>
      <w:r>
        <w:rPr>
          <w:i/>
          <w:iCs/>
        </w:rPr>
        <w:t>)</w:t>
      </w:r>
    </w:p>
    <w:p w:rsidR="00000000" w:rsidRDefault="00000000"/>
    <w:p w:rsidR="00000000" w:rsidRDefault="00000000">
      <w:r>
        <w:t>418.</w:t>
      </w:r>
      <w:r>
        <w:tab/>
        <w:t>Все дети в Швеции имеют доступ к медицинскому обслуживанию, включая детей лиц, ищущих убежища или находящихся в стране без разрешения.</w:t>
      </w:r>
    </w:p>
    <w:p w:rsidR="00000000" w:rsidRDefault="00000000"/>
    <w:p w:rsidR="00000000" w:rsidRDefault="00000000">
      <w:r>
        <w:t>419.</w:t>
      </w:r>
      <w:r>
        <w:tab/>
        <w:t>В соответствии с Законом об образовании школьное медицинское обслуживание предоставляется учащимся в дошкольных классах, обязательных общеобразовательных школах, старших средних школах, школах для детей с пониженной способностью к обучению, специальных школах и школах для детей саами.  Медицинское обслуживание в школах включает медицинские осмотры и первичную медико-санитарную помощь, а медицинские услуги предоставляются штатным персоналом в составе врача и медицинской сестры.  В законопроекте о здравоохранении, обучении и безопасности (правительственный законопроект 2001/02:14) правительство объявило о намерении создать службу охраны здоровья учащихся.  Служба охраны здоровья учащихся будет включать инициативы в области медицинской, психической, психо-социальной помощи и в сфере специальных вопросов образования.</w:t>
      </w:r>
    </w:p>
    <w:p w:rsidR="00000000" w:rsidRDefault="00000000"/>
    <w:p w:rsidR="00000000" w:rsidRDefault="00000000">
      <w:r>
        <w:t>420.</w:t>
      </w:r>
      <w:r>
        <w:tab/>
        <w:t>Со всеми будущими родителями, которые ожидают рождения первого ребенка, проводится подготовка к выполнению родительских обязанностей, направленная на содействие в обеспечении здоровья детей.  В ходе подготовки родителей обучают уходу за ребенком и прививают понимание наиболее здорового образа жизни для детей и родителей.  Кроме того, всем родителям предоставляется помощь в центрах охраны здоровья матерей, а после рождения ребенка - в педиатрических центрах.  В центрах охраны здоровья матерей или центрах педиатрической помощи, предоставляемой бесплатно всем родителям и детям, отсутствуют очереди.</w:t>
      </w:r>
    </w:p>
    <w:p w:rsidR="00000000" w:rsidRDefault="00000000"/>
    <w:p w:rsidR="00000000" w:rsidRDefault="00000000">
      <w:r>
        <w:t>421.</w:t>
      </w:r>
      <w:r>
        <w:tab/>
        <w:t>В июне 2004 года вступил в силу новый Закон об инфекционных заболеваниях (правительственный законопроект 2003/04:30).  Цель нового закона заключается в улучшении равновесия между необходимостью защиты населения от инфекционных заболеваний и правами лиц, страдающих инфекционными заболеваниями, на неприкосновенность частной жизни и надлежащие процессуальные гарантии.</w:t>
      </w:r>
    </w:p>
    <w:p w:rsidR="00000000" w:rsidRDefault="00000000"/>
    <w:p w:rsidR="00000000" w:rsidRDefault="00000000">
      <w:r>
        <w:t>422.</w:t>
      </w:r>
      <w:r>
        <w:tab/>
        <w:t>Правительство инициировало также пересмотр потребностей в чрезвычайных мерах в целях контроля за вспышками инфекционных заболеваний в результате распространения возбудителей инфекции на национальном или международном уровне, и риксдаг проголосовал в поддержку предложения правительства.  Поправки к закону вступили в силу 1 января 2005 года.  Была также повышена степень готовности к бедствиям в течение соответствующего периода, включая меры в отношении инфекционных заболеваний.  Ответственный надзорный орган представил также в марте 2005 года национальный план действий по чрезвычайному реагированию в случае пандемического распространения вируса гриппа.  Правительство приняло ряд мер по реализации плана действий.</w:t>
      </w:r>
    </w:p>
    <w:p w:rsidR="00000000" w:rsidRDefault="00000000"/>
    <w:p w:rsidR="00000000" w:rsidRDefault="00000000">
      <w:r>
        <w:t>423.</w:t>
      </w:r>
      <w:r>
        <w:tab/>
        <w:t xml:space="preserve">См. статью 9, </w:t>
      </w:r>
      <w:r>
        <w:rPr>
          <w:i/>
          <w:iCs/>
        </w:rPr>
        <w:t>Медицинское обслуживание</w:t>
      </w:r>
      <w:r>
        <w:t>.</w:t>
      </w:r>
    </w:p>
    <w:p w:rsidR="00000000" w:rsidRDefault="00000000"/>
    <w:p w:rsidR="00000000" w:rsidRDefault="00000000">
      <w:pPr>
        <w:keepNext/>
        <w:rPr>
          <w:b/>
          <w:bCs/>
        </w:rPr>
      </w:pPr>
      <w:r>
        <w:rPr>
          <w:b/>
          <w:bCs/>
        </w:rPr>
        <w:t>Статья 13</w:t>
      </w:r>
    </w:p>
    <w:p w:rsidR="00000000" w:rsidRDefault="00000000">
      <w:pPr>
        <w:keepNext/>
        <w:rPr>
          <w:b/>
          <w:bCs/>
        </w:rPr>
      </w:pPr>
    </w:p>
    <w:p w:rsidR="00000000" w:rsidRDefault="00000000">
      <w:pPr>
        <w:keepNext/>
        <w:rPr>
          <w:b/>
          <w:bCs/>
          <w:i/>
          <w:iCs/>
        </w:rPr>
      </w:pPr>
      <w:r>
        <w:rPr>
          <w:b/>
          <w:bCs/>
          <w:i/>
          <w:iCs/>
        </w:rPr>
        <w:t>Образование для детей и молодежи</w:t>
      </w:r>
    </w:p>
    <w:p w:rsidR="00000000" w:rsidRDefault="00000000">
      <w:pPr>
        <w:keepNext/>
        <w:rPr>
          <w:b/>
          <w:bCs/>
          <w:i/>
          <w:iCs/>
        </w:rPr>
      </w:pPr>
    </w:p>
    <w:p w:rsidR="00000000" w:rsidRDefault="00000000">
      <w:pPr>
        <w:keepNext/>
        <w:rPr>
          <w:b/>
          <w:bCs/>
        </w:rPr>
      </w:pPr>
      <w:r>
        <w:rPr>
          <w:b/>
          <w:bCs/>
        </w:rPr>
        <w:tab/>
        <w:t>Содействие распространению знаний о национальных меньшинствах</w:t>
      </w:r>
    </w:p>
    <w:p w:rsidR="00000000" w:rsidRDefault="00000000">
      <w:pPr>
        <w:keepNext/>
        <w:rPr>
          <w:b/>
          <w:bCs/>
        </w:rPr>
      </w:pPr>
    </w:p>
    <w:p w:rsidR="00000000" w:rsidRDefault="00000000">
      <w:r>
        <w:t>424.</w:t>
      </w:r>
      <w:r>
        <w:tab/>
        <w:t xml:space="preserve">Важно, чтобы все дети и школьники, независимо от того, принадлежат ли они к меньшинствам или основной категории населения, изучали историю национальных меньшинств Швеции и получали знания об их культуре, языках и религии.  Общенациональная программа обучения и учебные планы обязательных и средних школ предусматривают усвоение знаний о национальных меньшинствах и языках национальных меньшинств.  (См. пункт 38, </w:t>
      </w:r>
      <w:r>
        <w:rPr>
          <w:i/>
          <w:iCs/>
        </w:rPr>
        <w:t>Заключительные замечания</w:t>
      </w:r>
      <w:r>
        <w:t>.)</w:t>
      </w:r>
    </w:p>
    <w:p w:rsidR="00000000" w:rsidRDefault="00000000"/>
    <w:p w:rsidR="00000000" w:rsidRDefault="00000000">
      <w:r>
        <w:t>425.</w:t>
      </w:r>
      <w:r>
        <w:tab/>
        <w:t>В мае 2005 года правительство поручило Национальному агентству по вопросам образования провести пересмотр комплекса учебников, используемых в обязательных и средних школах.  Учебники должны быть проанализированы для определения того, в чем и насколько они отклоняются от основных ценностей, отраженных в общенациональной программе в области образования.  Особое внимание уделяется любым проявлениям дискриминации или других форм унижающего достоинство обращения.  Национальное агентство по вопросам образования должно представить свой доклад к 1 декабря 2006 года.</w:t>
      </w:r>
    </w:p>
    <w:p w:rsidR="00000000" w:rsidRDefault="00000000"/>
    <w:p w:rsidR="00000000" w:rsidRDefault="00000000">
      <w:r>
        <w:t>426.</w:t>
      </w:r>
      <w:r>
        <w:tab/>
        <w:t>Национальное агентство по вопросам образования представило в 2002 году неофициальный доклад под названием "Национальные меньшинства Швеции - проявление этнической самобытности ребенка в системе ухода за детьми и школьного образования".  В докладе была представлена история, язык и культура пяти национальных меньшинств.  Цель доклада заключалась в том, чтобы подчеркнуть важность национальных меньшинств и побудить другие заведения по уходу за детьми и заведения школьного образования предпринять подобные шаги.  Доклад содержит также краткое введение в новую политику в области меньшинств и характеризует ее воздействие на систему ухода за детьми и школьного обучения детей.</w:t>
      </w:r>
    </w:p>
    <w:p w:rsidR="00000000" w:rsidRDefault="00000000"/>
    <w:p w:rsidR="00000000" w:rsidRDefault="00000000">
      <w:r>
        <w:t>427.</w:t>
      </w:r>
      <w:r>
        <w:tab/>
        <w:t>Был осуществлен специальный школьный проект в рамках всеобъемлющей информационной инициативы, касающейся саами как коренного населения Швеции.  Проект был инициирован правительством в 2000 году, и на его реализацию было выделено в целом 20 млн. шведских крон в течение 2001-2004 годов.  Проект представлял собой информационно-образовательную инициативу, предназначенную для учащихся в возрасте 7-9 лет и всех преподавателей в стране.  Его цель заключалась в принятии дополнительных усилий, направленных на то, чтобы содействовать распространению знаний о коренном населении Швеции, предоставить учителям, работающим с детьми 7</w:t>
      </w:r>
      <w:r>
        <w:noBreakHyphen/>
        <w:t>9 лет, основу для проведения уроков и инициировать обсуждение вопросов, касающихся нынешнего положения саами, а также культуры и истории саами.  Проект был разделен на два этапа.  Была выпущена и в ряде школ распространена информационная брошюра под названием "Саами - такие же, но непохожие" (</w:t>
      </w:r>
      <w:r>
        <w:rPr>
          <w:i/>
          <w:iCs/>
        </w:rPr>
        <w:t>"</w:t>
      </w:r>
      <w:r>
        <w:rPr>
          <w:i/>
          <w:iCs/>
          <w:lang w:val="en-US"/>
        </w:rPr>
        <w:t>Same</w:t>
      </w:r>
      <w:r>
        <w:rPr>
          <w:i/>
          <w:iCs/>
        </w:rPr>
        <w:t xml:space="preserve">, </w:t>
      </w:r>
      <w:r>
        <w:rPr>
          <w:i/>
          <w:iCs/>
          <w:lang w:val="en-US"/>
        </w:rPr>
        <w:t>same</w:t>
      </w:r>
      <w:r>
        <w:rPr>
          <w:i/>
          <w:iCs/>
        </w:rPr>
        <w:t xml:space="preserve"> </w:t>
      </w:r>
      <w:r>
        <w:rPr>
          <w:i/>
          <w:iCs/>
          <w:lang w:val="en-US"/>
        </w:rPr>
        <w:t>but</w:t>
      </w:r>
      <w:r>
        <w:rPr>
          <w:i/>
          <w:iCs/>
        </w:rPr>
        <w:t xml:space="preserve"> </w:t>
      </w:r>
      <w:r>
        <w:rPr>
          <w:i/>
          <w:iCs/>
          <w:lang w:val="en-US"/>
        </w:rPr>
        <w:t>different</w:t>
      </w:r>
      <w:r>
        <w:rPr>
          <w:i/>
          <w:iCs/>
        </w:rPr>
        <w:t>"</w:t>
      </w:r>
      <w:r>
        <w:t>) (Примечание:  слово "</w:t>
      </w:r>
      <w:r>
        <w:rPr>
          <w:lang w:val="en-US"/>
        </w:rPr>
        <w:t>Same</w:t>
      </w:r>
      <w:r>
        <w:t>" означает на шведском языке "саами" и использовано в названии брошюры, которая составлена на шведском языке.  Первое слово "</w:t>
      </w:r>
      <w:r>
        <w:rPr>
          <w:lang w:val="en-US"/>
        </w:rPr>
        <w:t>Same</w:t>
      </w:r>
      <w:r>
        <w:t>" в названии не является английским словом "</w:t>
      </w:r>
      <w:r>
        <w:rPr>
          <w:lang w:val="en-US"/>
        </w:rPr>
        <w:t>same</w:t>
      </w:r>
      <w:r>
        <w:t>").  Школьники 7-9 лет были также приглашены в Стокгольм для участия в семинаре, поездке в районы проживания саами и ознакомления с условиями проживания этого народа в целях более глубокого изучения этой темы.</w:t>
      </w:r>
    </w:p>
    <w:p w:rsidR="00000000" w:rsidRDefault="00000000"/>
    <w:p w:rsidR="00000000" w:rsidRDefault="00000000">
      <w:r>
        <w:t>428.</w:t>
      </w:r>
      <w:r>
        <w:tab/>
        <w:t>В ноябре 2004 года правительство поручило Национальному агентству по вопросам образования провести обновленный анализ условий получения образования национальными меньшинствами.  Цель заключалась в составлении ясной и отражающей нынешнее положение картины об общем положении меньшинств и определении каких-либо возможных дополнительных инициатив.  Национальное агентство по вопросам образования представило в октябре 2005 года свой доклад, в котором подтверждалось наличие определенных недостатков в условиях предоставления образования национальным меньшинствам и содержались рекомендации в отношении мер по улучшению ситуации.</w:t>
      </w:r>
    </w:p>
    <w:p w:rsidR="00000000" w:rsidRDefault="00000000"/>
    <w:p w:rsidR="00000000" w:rsidRDefault="00000000">
      <w:r>
        <w:t>429.</w:t>
      </w:r>
      <w:r>
        <w:tab/>
        <w:t>Рекомендации Национального агентства по вопросам образования привели главным образом к внесению изменений в нормативные положения, касающиеся преподавания родного языка учащихся, и показали необходимость проведения информационных кампаний.  В рекомендациях подчеркивалась также потребность в повышении осведомленности муниципальных органов об их ответственности за создание надлежащих условий для получения образования национальными меньшинствами и организацию преподавания родного языка.</w:t>
      </w:r>
    </w:p>
    <w:p w:rsidR="00000000" w:rsidRDefault="00000000"/>
    <w:p w:rsidR="00000000" w:rsidRDefault="00000000">
      <w:r>
        <w:t>430.</w:t>
      </w:r>
      <w:r>
        <w:tab/>
        <w:t>Национальное агентство по вопросам образования рекомендовало внести поправки в государственные нормативные документы, касающиеся преподавания родного языка учащимся для обеспечения того, чтобы:</w:t>
      </w:r>
    </w:p>
    <w:p w:rsidR="00000000" w:rsidRDefault="00000000"/>
    <w:p w:rsidR="00000000" w:rsidRDefault="00000000">
      <w:pPr>
        <w:ind w:left="1134" w:hanging="1134"/>
      </w:pPr>
      <w:r>
        <w:tab/>
        <w:t>-</w:t>
      </w:r>
      <w:r>
        <w:tab/>
        <w:t xml:space="preserve">все пять национальных меньшинств изучали свой язык, даже если он не является языком повседневного общения или учащиеся не владеют основами этого языка,  и </w:t>
      </w:r>
    </w:p>
    <w:p w:rsidR="00000000" w:rsidRDefault="00000000">
      <w:pPr>
        <w:ind w:left="1134" w:hanging="1134"/>
      </w:pPr>
    </w:p>
    <w:p w:rsidR="00000000" w:rsidRDefault="00000000">
      <w:pPr>
        <w:ind w:left="1134" w:hanging="1134"/>
      </w:pPr>
      <w:r>
        <w:tab/>
        <w:t>-</w:t>
      </w:r>
      <w:r>
        <w:tab/>
        <w:t>все пять национальных меньшинств изучали родные языки, даже если в классе насчитывается менее пяти учащихся.</w:t>
      </w:r>
    </w:p>
    <w:p w:rsidR="00000000" w:rsidRDefault="00000000"/>
    <w:p w:rsidR="00000000" w:rsidRDefault="00000000">
      <w:r>
        <w:t>431.</w:t>
      </w:r>
      <w:r>
        <w:tab/>
        <w:t>Национальное агентство по вопросам образования рекомендовало также правительству рассмотреть возможность включения отдельного положения о языках национальных меньшинств в Указ об обязательной школе и Указ о старшей средней школе, что явилось бы конкретным средством выделения в положительном плане своеобразия языков национальных меньшинств.  В связи с этим правительство поручило Национальному агентству по вопросам образования составить смету экономических затрат на реализацию предложений.  Агентство представило свой доклад в мае 2006 года, и в настоящее время правительственные органы подготавливают необходимые материальные средства.  Правительство намерено представить ряд предложений в отношении последующих мер.  Национальное агентство по вопросам образования издало также рекомендации в отношении методов, посредством которых местные власти могут улучшить условия преподавания языков национальных меньшинств.  Эти рекомендации были опубликованы в форме доклада и направлены в каждый муниципалитет страны в рамках информирования о результатах обследования, проведенного Агентством, и о национальных меньшинствах в Швеции.</w:t>
      </w:r>
    </w:p>
    <w:p w:rsidR="00000000" w:rsidRDefault="00000000"/>
    <w:p w:rsidR="00000000" w:rsidRDefault="00000000">
      <w:r>
        <w:t>432.</w:t>
      </w:r>
      <w:r>
        <w:tab/>
        <w:t>Основополагающие ценности, на которых сфокусировано внимание в системе дошкольного воспитания, заведениях по уходу за детьми школьного возраста, в обязательных школах, старших средних школах и заведениях образования для взрослых на муниципальном уровне, отражают демократические ценности и принцип равного достоинства и равных прав всех людей, т.е. ценностей, на которых основаны конвенции ООН о правах человека.  Ставя своей целью усиление средств защиты от дискриминации и других форм унижающего достоинство обращения, а также содействие практике равного обращения, правительство предложило принять закон, запрещающий дискриминацию и другие формы унижающего достоинство обращения с детьми и учащимися под названием "Безопасность, уважение и ответственность - запрещение дискриминации и других форм унижающего достоинство обращения" (правительственный законопроект 2005/06:38).  Риксдаг принял этот правительственный законопроект 8 февраля 2006 года.  Закон, запрещающий дискриминацию и другие формы унижающего достоинство обращения с детьми и школьниками (2006:67), применяется в системе по уходу за детьми дошкольного и школьного возраста, в подготовительных классах, обязательных школах, старших средних школах, школах для детей с пониженными способностями к обучению, специальных школах, школах для детей саами и муниципальных заведениях образования для взрослых.  Закон вступил в силу 1 апреля 2006 года.  Закон запрещает дискриминацию по признакам пола, этнического происхождения, религии или других убеждений, сексуальной ориентации и инвалидности.  Закон также применяется к другим видам унижающего достоинство обращения, не основанного на этих признаках, включая насилие.  В связи с принятием этого закона возросла необходимость в выработке активных мер, направленных против дискриминации и других форм унижающего достоинство обращения и применении правовых положений во всех заведениях, на которые распространяется закон, запрещающий эти формы унижающего достоинство обращения.  Закон укрепил и прояснил компетенцию заведений по поощрению основополагающих ценностей.  В марте 2006 года правительство назначило Омбудсмена по обеспечению равного обращения с детьми и учащимися при Национальном агентстве по вопросам образования, на которое была возложена особая ответственность за исполнение Закона от 1 апреля 2006 года.</w:t>
      </w:r>
    </w:p>
    <w:p w:rsidR="00000000" w:rsidRDefault="00000000"/>
    <w:p w:rsidR="00000000" w:rsidRDefault="00000000">
      <w:pPr>
        <w:rPr>
          <w:b/>
          <w:bCs/>
        </w:rPr>
      </w:pPr>
      <w:r>
        <w:rPr>
          <w:b/>
          <w:bCs/>
        </w:rPr>
        <w:tab/>
        <w:t>Система дошкольных и школьных заведений</w:t>
      </w:r>
    </w:p>
    <w:p w:rsidR="00000000" w:rsidRDefault="00000000">
      <w:pPr>
        <w:rPr>
          <w:b/>
          <w:bCs/>
        </w:rPr>
      </w:pPr>
    </w:p>
    <w:p w:rsidR="00000000" w:rsidRDefault="00000000">
      <w:r>
        <w:t>433.</w:t>
      </w:r>
      <w:r>
        <w:tab/>
        <w:t xml:space="preserve">Правовые положения, касающиеся ухода за детьми дошкольного и школьного возраста, были изъяты из Закона о социальных услугах и включены в Закон об образовании от 1 января 1998 года.  Тогда же полномочия по осуществлению надзора за заведениями по уходу за детьми дошкольного и школьного возраста, которые находились в компетенции Национального совета по здравоохранению и благосостоянию, были переданы Национальному агентству по вопросам образования.  Первая учебная программа дошкольного обучения, укрепляющая мандат в области образования, вступила в силу 1 августа 1998 года.  Одновременно была принята общенациональная программа обучения для системы обязательных школ в целях включения в эту систему внешкольных центров досуга.  </w:t>
      </w:r>
    </w:p>
    <w:p w:rsidR="00000000" w:rsidRDefault="00000000"/>
    <w:p w:rsidR="00000000" w:rsidRDefault="00000000">
      <w:r>
        <w:t>434.</w:t>
      </w:r>
      <w:r>
        <w:tab/>
        <w:t>Начиная с 1 января 1995 года местные органы власти обязаны по закону обеспечивать предоставление ухода за дошкольниками и школьниками в возрасте от 1 года до 12 лет без необоснованной задержки и в необходимом объеме с учетом занятости или учебы родителей либо собственных потребностей ребенка.  Детям лиц, которые работают или находятся в отпуске по уходу за ребенком, в 2001 и 2002 годах соответственно было предоставлено право на дошкольное обучение продолжительностью, по меньшей мере, в течение трех часов в день или 15 часов в неделю.  В 2002 году была введена предельная величина оплаты за учебу.  В 2003 году была введена система прохождения детьми в возрасте от 4 до 5 лет бесплатного дошкольного учебного курса продолжительностью не менее 252 часов в течение года.  Установление предельного уровня оплаты за обучение и проведение реформ в системе общественного дошкольного обучения было обусловлено причинами, включающими расширение доступа к дошкольному обучению.</w:t>
      </w:r>
    </w:p>
    <w:p w:rsidR="00000000" w:rsidRDefault="00000000">
      <w:pPr>
        <w:rPr>
          <w:lang w:val="en-US"/>
        </w:rPr>
      </w:pPr>
    </w:p>
    <w:p w:rsidR="00000000" w:rsidRDefault="00000000">
      <w:r>
        <w:t>435.</w:t>
      </w:r>
      <w:r>
        <w:tab/>
        <w:t>Мандат в сфере дошкольного обучения в Швеции предусматривает проведение работы с детьми по комплексным образовательным программам, в рамках которых уход, развитие и обучение составляют единое целое.  Заведения по уходу за детьми школьного возраста стимулируют развитие и обучение ребенка путем проведения групповой образовательной деятельности, дополняют школьное образование и обеспечивают детям полноценный отдых.  Такие же возможности предоставляются детям, нуждающимся в особой помощи для их развития.  Программы облегчают родителям совмещение оплачиваемой работы с выполнением родительских обязанностей.</w:t>
      </w:r>
    </w:p>
    <w:p w:rsidR="00000000" w:rsidRDefault="00000000"/>
    <w:p w:rsidR="00000000" w:rsidRDefault="00000000">
      <w:r>
        <w:t>436.</w:t>
      </w:r>
      <w:r>
        <w:tab/>
        <w:t>Предоставление ежегодной отчетности о качественных аспектах ухода за детьми дошкольного и школьного возраста является обязательным начиная с августа 2005 года.  Эта мера направлена на содействие принятию последующих мер и проведению оценки.  Цель отчетности о качественных аспектах заключается в поощрении усилий на местном уровне по повышению качества ухода за детьми и тем самым на содействие достижению общенациональных целей.</w:t>
      </w:r>
    </w:p>
    <w:p w:rsidR="00000000" w:rsidRDefault="00000000"/>
    <w:p w:rsidR="00000000" w:rsidRDefault="00000000">
      <w:r>
        <w:t>437.</w:t>
      </w:r>
      <w:r>
        <w:tab/>
        <w:t>Правительственный законопроект "Качество дошкольного обучения" (правительственный законопроект 2004/05:11) уделяет особое внимание мультикультурным аспектам дошкольного обучения.  Правительство внесло поправки в учебную программу дошкольного обучения (</w:t>
      </w:r>
      <w:r>
        <w:rPr>
          <w:lang w:val="en-US"/>
        </w:rPr>
        <w:t>Lpf</w:t>
      </w:r>
      <w:r>
        <w:t>ö 98), в соответствии с которыми дошкольные заведения должны стремиться к обеспечению того, чтобы каждый ребенок, чей родной язык не является шведским, развивал свою культурную самобытность и навыки общения как на шведском, так и на родном языке.</w:t>
      </w:r>
    </w:p>
    <w:p w:rsidR="00000000" w:rsidRDefault="00000000"/>
    <w:p w:rsidR="00000000" w:rsidRDefault="00000000">
      <w:r>
        <w:t>438.</w:t>
      </w:r>
      <w:r>
        <w:tab/>
        <w:t>Правительство разъяснило также, что Указ о государственном финансировании выпуска некоторых учебных пособий (1991:978) (</w:t>
      </w:r>
      <w:r>
        <w:rPr>
          <w:i/>
          <w:iCs/>
          <w:lang w:val="en-US"/>
        </w:rPr>
        <w:t>F</w:t>
      </w:r>
      <w:r>
        <w:rPr>
          <w:i/>
          <w:iCs/>
        </w:rPr>
        <w:t>örordningen (1991:978) om statsbidrag till produktion av vissa lä</w:t>
      </w:r>
      <w:r>
        <w:rPr>
          <w:i/>
          <w:iCs/>
          <w:lang w:val="en-US"/>
        </w:rPr>
        <w:t>romedel</w:t>
      </w:r>
      <w:r>
        <w:t>) применяется также к изданию учебных пособий для поддержки родного языка детей, посещающих дошкольные заведения.</w:t>
      </w:r>
    </w:p>
    <w:p w:rsidR="00000000" w:rsidRDefault="00000000"/>
    <w:p w:rsidR="00000000" w:rsidRDefault="00000000">
      <w:r>
        <w:rPr>
          <w:i/>
          <w:iCs/>
        </w:rPr>
        <w:tab/>
        <w:t>Дошкольные классы</w:t>
      </w:r>
    </w:p>
    <w:p w:rsidR="00000000" w:rsidRDefault="00000000"/>
    <w:p w:rsidR="00000000" w:rsidRDefault="00000000">
      <w:r>
        <w:t>439.</w:t>
      </w:r>
      <w:r>
        <w:tab/>
        <w:t>Дошкольные классы представляют собой необязательную форму образования, введенную 1 января 1998 года, в соответствии с которой муниципальные органы обязаны бесплатно предоставлять детям места в дошкольных классах, учебный курс которых продолжительностью не менее 525 часов в течение года начинается осенью того года, когда ребенку исполняется шесть лет, и завершается, когда ребенок достигает возраста для получения обязательного школьного образования.  Образование, получаемое в дошкольных классах, стимулирует развитие и обучение каждого ребенка и создает прочную основу для последующей учебы в школе.  Дошкольный класс посещают почти все дети в возрасте шести лет.  В соответствии с поправками от 1 августа 1998 года общенациональная учебная программа обязательных школ распространяется также на дошкольные классы.  Дошкольные классы представляют собой первый шаг по осуществлению и достижению целей, закрепленных в общенациональной программе в области образования.</w:t>
      </w:r>
    </w:p>
    <w:p w:rsidR="00000000" w:rsidRDefault="00000000"/>
    <w:p w:rsidR="00000000" w:rsidRDefault="00000000">
      <w:r>
        <w:rPr>
          <w:b/>
          <w:bCs/>
        </w:rPr>
        <w:tab/>
        <w:t>Обязательная школа</w:t>
      </w:r>
    </w:p>
    <w:p w:rsidR="00000000" w:rsidRDefault="00000000"/>
    <w:p w:rsidR="00000000" w:rsidRDefault="00000000">
      <w:pPr>
        <w:rPr>
          <w:i/>
          <w:iCs/>
        </w:rPr>
      </w:pPr>
      <w:r>
        <w:rPr>
          <w:i/>
          <w:iCs/>
        </w:rPr>
        <w:tab/>
        <w:t>Учебная программа и система аттестации</w:t>
      </w:r>
    </w:p>
    <w:p w:rsidR="00000000" w:rsidRDefault="00000000"/>
    <w:p w:rsidR="00000000" w:rsidRDefault="00000000">
      <w:r>
        <w:t>440.</w:t>
      </w:r>
      <w:r>
        <w:tab/>
        <w:t>В стране действует общая учебная программа для обязательных школ (</w:t>
      </w:r>
      <w:r>
        <w:rPr>
          <w:lang w:val="en-US"/>
        </w:rPr>
        <w:t>Lpo</w:t>
      </w:r>
      <w:r>
        <w:t xml:space="preserve"> 94), которая охватывает дошкольные классы, внешкольные центры досуга, обязательные школы, школы для детей саами, обязательные школы для детей с пониженными способностями к обучению, и специальные школы.  В учебной программе определены основополагающие ценности в области образования в Швеции, а также основные задачи и принципы.  Существуют также общенациональные учебные планы по каждому предмету.  В национальном плане действий в области прав человека, принятом в марте 2006 года, правительство объявило о своем намерении разъяснить в готовящемся законопроекте, в котором будет предложено принятие нового закона об образовании, что образование должно содействовать укреплению прав человека.  В связи с пересмотром руководящих документов в области образования правительство намерено также разъяснить, что права человека представляют собой центральный компонент демократического мандата школ и что в школах будет осуществляться преподавание прав человека.</w:t>
      </w:r>
    </w:p>
    <w:p w:rsidR="00000000" w:rsidRDefault="00000000"/>
    <w:p w:rsidR="00000000" w:rsidRDefault="00000000">
      <w:r>
        <w:t>441.</w:t>
      </w:r>
      <w:r>
        <w:tab/>
        <w:t>Правительство также сообщило о том, что оно намерено отменить требование о составлении социальных школьных планов в связи с пересмотром Закона об образовании.  Вместо этого основное внимание будет уделено отчетности о качественных аспектах образования, которую все школы и органы, ответственные за школьное образование, будут ежегодно подготавливать в рамках непрерывного процесса принятия последующих мер и оценки организации образования.  Цель отчетности о качественных аспектах заключается в поощрении усилий на местном уровне по повышению качества образования и тем самым в содействии достижению общенациональных целей в области образования.</w:t>
      </w:r>
    </w:p>
    <w:p w:rsidR="00000000" w:rsidRDefault="00000000"/>
    <w:p w:rsidR="00000000" w:rsidRDefault="00000000">
      <w:r>
        <w:t>442.</w:t>
      </w:r>
      <w:r>
        <w:tab/>
        <w:t xml:space="preserve">Минимальное гарантированное количество часов, в течение которых в соответствии с правами учащихся осуществляется преподавание различных предметов, указано в расписании занятий.  Определенное количество часов в расписании занятий выделяется на то, чтобы учащиеся могли по своему выбору заниматься более углубленным изучением одного или нескольких предметов.  Школы могут также использовать часы, определенные в рамках расписаний, для выделения большего времени на те или иные предметы, чем предусмотрено расписанием.  С осени 2000 года почти 20% муниципальных обязательных школ принимают участие в экспериментальной программе образования без использования расписания, установленного на национальном уровне.  Вместо этого работа школ осуществляется полностью на основе целей, установленных в учебной программе и учебных планах по предметам.  Комитет, в задачу которого входит наблюдение за осуществлением экспериментальной программы и оценка результатов, рекомендовал отменить расписание занятий для всех обязательных школ.  В настоящее время осуществляется подготовка соответствующего предложения.  </w:t>
      </w:r>
    </w:p>
    <w:p w:rsidR="00000000" w:rsidRDefault="00000000"/>
    <w:p w:rsidR="00000000" w:rsidRDefault="00000000">
      <w:r>
        <w:t>443.</w:t>
      </w:r>
      <w:r>
        <w:tab/>
        <w:t>Оценки выставляются по трехбалльной системе за каждый аттестационный период, начиная с осеннего периода восьмого года обучения.  Учащиеся, не справившиеся с задачами учебного плана за девятый год обучения, т.е. неаттестованные учащиеся, не получают никакой оценки по соответствующему предмету, но вместо этого получают письменный отзыв.  На протяжении всех лет обязательного школьного обучения учащиеся и их родители регулярно информируются о ходе и результатах учебы, в частности путем проведения на регулярной основе непосредственного диалога по вопросам успеваемости с участием родителей, преподавателей и учащихся.  Если выясняется, что тот или иной учащийся нуждается в получении специальной помощи, завуч обеспечивает подготовку соответствующего плана действий.  Учащемуся и официальному опекуну учащегося предоставляется возможность участвовать в подготовке этого плана.  23 марта 2006 года правительство приняло решение внести поправки в положения Указа о плане действий, в соответствии с которыми завуч инициирует процесс оценки успеваемости, если выясняется, что тот или иной учащийся нуждается в помощи.  В плане действий указываются потребности, методы их удовлетворения и порядок осуществления соответствующих мер и их оценки.  По мнению правительства, необходимо внести ясность в обязанности школы по постоянному информированию родителей и учащихся по вопросам успеваемости учащихся на протяжении всего периода обязательного школьного обучения.  Поэтому правительство приняло решение о том, что для всех учащихся обязательных школ и эквивалентных форм школьного обучения следует составлять индивидуальный план обучения с перспективной ориентацией, начиная с аттестационного периода 2006 года.  Наряду с проведением личного диалога по вопросам успеваемости преподаватель должен включать в индивидуальный план обучения с перспективной ориентацией комплекс мер, необходимых для того, чтобы учащийся достиг поставленных целей и показал максимально возможные наилучшие результаты каким-либо иным способом в рамках учебной программы и учебных планов.</w:t>
      </w:r>
    </w:p>
    <w:p w:rsidR="00000000" w:rsidRDefault="00000000"/>
    <w:p w:rsidR="00000000" w:rsidRDefault="00000000">
      <w:r>
        <w:t>444.</w:t>
      </w:r>
      <w:r>
        <w:tab/>
        <w:t xml:space="preserve">С целью облегчения работы по оценке успеваемости и результатов обучения Национальное агентство по вопросам образования обобщило результаты экзаменов по шведскому языку, английскому языку и математике, проводимых в общенациональном масштабе на факультативной основе на пятом году обучения и в обязательном порядке на девятом году обучения.  Почти во всех школах проводятся национальные экзамены на пятом году обучения.  Национальная экзаменационная система представляет собой весьма полезный инструмент для преподавателей, поскольку она включает также диагностический инструментарий.  Создана база данных экзаменов по различным предметам.  </w:t>
      </w:r>
    </w:p>
    <w:p w:rsidR="00000000" w:rsidRDefault="00000000"/>
    <w:p w:rsidR="00000000" w:rsidRDefault="00000000">
      <w:pPr>
        <w:rPr>
          <w:i/>
          <w:iCs/>
        </w:rPr>
      </w:pPr>
      <w:r>
        <w:rPr>
          <w:i/>
          <w:iCs/>
          <w:lang w:val="en-US"/>
        </w:rPr>
        <w:tab/>
      </w:r>
      <w:r>
        <w:rPr>
          <w:i/>
          <w:iCs/>
        </w:rPr>
        <w:t>Преподавание на родном языке</w:t>
      </w:r>
    </w:p>
    <w:p w:rsidR="00000000" w:rsidRDefault="00000000">
      <w:pPr>
        <w:rPr>
          <w:u w:val="single"/>
        </w:rPr>
      </w:pPr>
    </w:p>
    <w:p w:rsidR="00000000" w:rsidRDefault="00000000">
      <w:r>
        <w:t>445.</w:t>
      </w:r>
      <w:r>
        <w:tab/>
        <w:t xml:space="preserve">Если родным языком одного или обоих официальных опекунов учащегося является не шведский язык и этот язык используется в повседневном общении с учащимся, то учащемуся предоставляется возможность изучать данный язык в качестве отдельного предмета (изучение родного языка) (см. пункт 38, </w:t>
      </w:r>
      <w:r>
        <w:rPr>
          <w:i/>
          <w:iCs/>
        </w:rPr>
        <w:t>Заключительные замечания</w:t>
      </w:r>
      <w:r>
        <w:t xml:space="preserve">).  В 2004/05 учебном году почти у 14% школьников шведский язык не был родным, и около 55% этих школьников изучали свой родной язык.  Чаще всего преподавались финский, боснийский/хорватский/сербский и арабский языки.  </w:t>
      </w:r>
    </w:p>
    <w:p w:rsidR="00000000" w:rsidRDefault="00000000"/>
    <w:p w:rsidR="00000000" w:rsidRDefault="00000000">
      <w:r>
        <w:t>446.</w:t>
      </w:r>
      <w:r>
        <w:tab/>
        <w:t xml:space="preserve">В ноябре 2004 года правительство поручило Национальному агентству по вопросам образования провести обследование условий получения образования национальными меньшинствами в Швеции.  Окончательный доклад был представлен правительству в октябре 2005 года.  Рекомендации Национального агентства по вопросам образования включают предоставление более всеобъемлющих прав на изучение родного языка всем национальным меньшинствам (финнам, торнедальским финнам, евреям, саами и рома).  В настоящее время правительство осуществляет подготовку соответствующих предложений. </w:t>
      </w:r>
    </w:p>
    <w:p w:rsidR="00000000" w:rsidRDefault="00000000"/>
    <w:p w:rsidR="00000000" w:rsidRDefault="00000000">
      <w:pPr>
        <w:rPr>
          <w:i/>
          <w:iCs/>
        </w:rPr>
      </w:pPr>
      <w:r>
        <w:rPr>
          <w:i/>
          <w:iCs/>
          <w:lang w:val="en-US"/>
        </w:rPr>
        <w:tab/>
      </w:r>
      <w:r>
        <w:rPr>
          <w:i/>
          <w:iCs/>
        </w:rPr>
        <w:t xml:space="preserve">Образование в </w:t>
      </w:r>
      <w:proofErr w:type="spellStart"/>
      <w:r>
        <w:rPr>
          <w:i/>
          <w:iCs/>
        </w:rPr>
        <w:t>сегрегированных</w:t>
      </w:r>
      <w:proofErr w:type="spellEnd"/>
      <w:r>
        <w:rPr>
          <w:i/>
          <w:iCs/>
        </w:rPr>
        <w:t xml:space="preserve"> районах</w:t>
      </w:r>
    </w:p>
    <w:p w:rsidR="00000000" w:rsidRDefault="00000000">
      <w:pPr>
        <w:rPr>
          <w:u w:val="single"/>
        </w:rPr>
      </w:pPr>
    </w:p>
    <w:p w:rsidR="00000000" w:rsidRDefault="00000000">
      <w:r>
        <w:t>447.</w:t>
      </w:r>
      <w:r>
        <w:tab/>
        <w:t xml:space="preserve">На протяжении нескольких лет правительство осуществляло специальные капиталовложения, направленные на улучшение положения дошкольных заведений и школ в сегрегированных районах.  В этих районах чрезмерно представлены учащиеся, испытывающие затруднения в достижении образовательных целей, и многие из таких учащихся являются иностранцами.  Объем капиталовложений увеличился с 70 млн. шведских крон в 2006 году до 155 млн. шведских крон в 2007 году и в целом составляет 225 млн. шведских крон.  Особое внимание будет уделено учащимся, которые иммигрировали в Швецию в старшем школьном возрасте.  Цель заключается в улучшении показателей достижения учебных целей и увеличении количества учащихся, которые получают аттестаты при завершении учебы в обязательной школе и средней школе.  Капиталовложения будут направлены на финансирование инициатив по улучшению навыков чтения, преподаванию предметов на родном языке, включая преподавание соответствующего языка, шведского языка и шведского языка в качестве второго языка, а также по повышению квалификации преподавателей и завучей.  Ассигнования будут выделены для 100 школ в 38 муниципалитетах, где необходимость в них особенно велика.  </w:t>
      </w:r>
    </w:p>
    <w:p w:rsidR="00000000" w:rsidRDefault="00000000"/>
    <w:p w:rsidR="00000000" w:rsidRDefault="00000000">
      <w:pPr>
        <w:rPr>
          <w:i/>
          <w:iCs/>
        </w:rPr>
      </w:pPr>
      <w:r>
        <w:rPr>
          <w:i/>
          <w:iCs/>
          <w:lang w:val="en-US"/>
        </w:rPr>
        <w:tab/>
      </w:r>
      <w:r>
        <w:rPr>
          <w:i/>
          <w:iCs/>
        </w:rPr>
        <w:t>Ассигнования в интересах недавно прибывших в страну учащихся</w:t>
      </w:r>
    </w:p>
    <w:p w:rsidR="00000000" w:rsidRDefault="00000000">
      <w:pPr>
        <w:rPr>
          <w:u w:val="single"/>
        </w:rPr>
      </w:pPr>
    </w:p>
    <w:p w:rsidR="00000000" w:rsidRDefault="00000000">
      <w:r>
        <w:t>448.</w:t>
      </w:r>
      <w:r>
        <w:tab/>
        <w:t xml:space="preserve">В законопроекте о бюджете от весны 2006 года (2005/06:100) предусмотрена разработка общенациональной стратегии образования недавно прибывших в страну детей и молодых людей.  Правительство намерено поручить соответствующим органам системы образования проведение на национальном уровне оценки условий обучения недавно прибывших детей и молодых людей.  Мандат будет включать подготовку рекомендаций в отношении соответствующих мер, в том числе внесение изменений в правовые положения и принятие других мер, необходимых для укрепления равенства и повышения качества обучения недавно прибывших учащихся.  </w:t>
      </w:r>
    </w:p>
    <w:p w:rsidR="00000000" w:rsidRDefault="00000000"/>
    <w:p w:rsidR="00000000" w:rsidRDefault="00000000">
      <w:pPr>
        <w:rPr>
          <w:i/>
          <w:iCs/>
        </w:rPr>
      </w:pPr>
      <w:r>
        <w:rPr>
          <w:lang w:val="en-US"/>
        </w:rPr>
        <w:tab/>
      </w:r>
      <w:r>
        <w:rPr>
          <w:i/>
          <w:iCs/>
        </w:rPr>
        <w:t>Независимые школы</w:t>
      </w:r>
    </w:p>
    <w:p w:rsidR="00000000" w:rsidRDefault="00000000">
      <w:pPr>
        <w:rPr>
          <w:u w:val="single"/>
        </w:rPr>
      </w:pPr>
    </w:p>
    <w:p w:rsidR="00000000" w:rsidRDefault="00000000">
      <w:r>
        <w:t>449.</w:t>
      </w:r>
      <w:r>
        <w:tab/>
        <w:t>В 2004/05 учебном году в Швеции насчитывалось 565 независимых (находящихся в частных руках) обязательных школ.  Доля детей, посещающих эти независимые обязательные школы, составляла примерно 6,8% от общей численности школьников в Швеции.</w:t>
      </w:r>
    </w:p>
    <w:p w:rsidR="00000000" w:rsidRDefault="00000000"/>
    <w:p w:rsidR="00000000" w:rsidRDefault="00000000">
      <w:r>
        <w:t>450.</w:t>
      </w:r>
      <w:r>
        <w:tab/>
        <w:t>Независимые школы должны соответствовать тем же стандартам, что и муниципальные школы.  Они обязаны обеспечивать обучение в соответствии с положениями Закона об образовании и общенациональными учебными программами.  Они подвергаются таким же надзорным и инспекционным проверкам, как и муниципальные школы.  Муниципальные и независимые школы функционируют на справедливых и равных условиях, и независимые школы открыты для всех учащихся, независимо от социального происхождения, культурной принадлежности или религиозных убеждений.  В соответствии с финансовыми правилами, применяемыми к независимым школам, муниципалитеты предоставляют им на основании закона определенные отчисления для формирования бюджета, предназначенные для покрытия расходов на обучение каждого учащегося с учетом обязательств школы и потребностей учащихся.  Размеры финансирования определяются на той же основе, на какой муниципальные органы власти осуществляют распределение ресурсов для находящихся в их ведении школ.</w:t>
      </w:r>
    </w:p>
    <w:p w:rsidR="00000000" w:rsidRDefault="00000000"/>
    <w:p w:rsidR="00000000" w:rsidRDefault="00000000">
      <w:pPr>
        <w:keepNext/>
        <w:rPr>
          <w:i/>
          <w:iCs/>
        </w:rPr>
      </w:pPr>
      <w:r>
        <w:rPr>
          <w:i/>
          <w:iCs/>
          <w:lang w:val="en-US"/>
        </w:rPr>
        <w:tab/>
      </w:r>
      <w:r>
        <w:rPr>
          <w:i/>
          <w:iCs/>
        </w:rPr>
        <w:t>Общая информация</w:t>
      </w:r>
    </w:p>
    <w:p w:rsidR="00000000" w:rsidRDefault="00000000">
      <w:pPr>
        <w:keepNext/>
        <w:spacing w:line="216" w:lineRule="auto"/>
        <w:rPr>
          <w:u w:val="single"/>
        </w:rPr>
      </w:pPr>
    </w:p>
    <w:p w:rsidR="00000000" w:rsidRDefault="00000000">
      <w:pPr>
        <w:keepNext/>
      </w:pPr>
      <w:r>
        <w:t>451.</w:t>
      </w:r>
      <w:r>
        <w:tab/>
        <w:t>В 2004/05 учебном году 1% учащихся покинули обязательную школу, не получив аттестата.</w:t>
      </w:r>
    </w:p>
    <w:p w:rsidR="00000000" w:rsidRDefault="00000000">
      <w:pPr>
        <w:spacing w:line="216" w:lineRule="auto"/>
      </w:pPr>
    </w:p>
    <w:p w:rsidR="00000000" w:rsidRDefault="00000000">
      <w:pPr>
        <w:rPr>
          <w:b/>
          <w:bCs/>
        </w:rPr>
      </w:pPr>
      <w:r>
        <w:rPr>
          <w:b/>
          <w:bCs/>
          <w:lang w:val="en-US"/>
        </w:rPr>
        <w:tab/>
      </w:r>
      <w:r>
        <w:rPr>
          <w:b/>
          <w:bCs/>
        </w:rPr>
        <w:t>Старшая средняя школа</w:t>
      </w:r>
    </w:p>
    <w:p w:rsidR="00000000" w:rsidRDefault="00000000">
      <w:pPr>
        <w:spacing w:line="216" w:lineRule="auto"/>
        <w:rPr>
          <w:b/>
          <w:bCs/>
        </w:rPr>
      </w:pPr>
    </w:p>
    <w:p w:rsidR="00000000" w:rsidRDefault="00000000">
      <w:r>
        <w:t>452.</w:t>
      </w:r>
      <w:r>
        <w:tab/>
        <w:t>Старшее среднее образование является добровольным и осуществляется на основе 17 общенациональных программ, а также специально разработанных независимых учебных программ.  Все молодые люди имеют равный доступ к образованию, которое является равноценным, где бы оно ни предоставлялось в масштабах страны.  Особое внимание уделяется учащимся, нуждающимся в особой поддержке.  Плата за обучение в школе не взимается, однако муниципальные органы могут принять решение о том, чтобы учащиеся пользовались собственными (в ограниченном количестве) учебными пособиями.  Могут также существовать отдельные виды обучения, которые могут предусматривать взимание с учащихся небольшой платы.</w:t>
      </w:r>
    </w:p>
    <w:p w:rsidR="00000000" w:rsidRDefault="00000000">
      <w:pPr>
        <w:rPr>
          <w:sz w:val="16"/>
        </w:rPr>
      </w:pPr>
    </w:p>
    <w:p w:rsidR="00000000" w:rsidRDefault="00000000">
      <w:r>
        <w:t>453.</w:t>
      </w:r>
      <w:r>
        <w:tab/>
        <w:t xml:space="preserve">Для того чтобы быть принятым в государственную старшую среднюю школу, учащийся должен окончить последний класс обязательной школы или равноценного учебного заведения и успешно сдать экзамены по шведскому языку в качестве первого или второго языка, английскому языку и математике.  </w:t>
      </w:r>
    </w:p>
    <w:p w:rsidR="00000000" w:rsidRDefault="00000000">
      <w:pPr>
        <w:rPr>
          <w:sz w:val="16"/>
        </w:rPr>
      </w:pPr>
    </w:p>
    <w:p w:rsidR="00000000" w:rsidRDefault="00000000">
      <w:r>
        <w:t>454.</w:t>
      </w:r>
      <w:r>
        <w:tab/>
        <w:t xml:space="preserve">Муниципальные органы власти обязаны обеспечивать обучение по независимым учебным программам учащимся, которые не были допущены к обучению по общенациональной или специально подготовленной программе.  Одна из целей независимой учебной программы заключается в подготовке учащегося к дальнейшей учебе по общенациональной программе.  С 1 июля 2006 года всем муниципальным органам будут предписаны более ясные обязанности по обеспечению очного образования по независимым учебным программам. </w:t>
      </w:r>
    </w:p>
    <w:p w:rsidR="00000000" w:rsidRDefault="00000000"/>
    <w:p w:rsidR="00000000" w:rsidRDefault="00000000">
      <w:r>
        <w:t>455.</w:t>
      </w:r>
      <w:r>
        <w:tab/>
        <w:t xml:space="preserve">После окончания обязательной школы 98% учащихся переходят в старшую среднюю школу.  Осенью 2004 года 80% этих учащихся были приняты на учебу по общенациональной или специально подготовленной программе;  7% продолжили учебу по независимой программе и 12% поступили в другие (без программной ориентации) заведения среднего образования.  Около 30% учащихся, получающих подготовку по независимым учебным программам, переходят на обучение по общенациональной или специально подготовленной программе по истечении одного года.  </w:t>
      </w:r>
    </w:p>
    <w:p w:rsidR="00000000" w:rsidRDefault="00000000">
      <w:pPr>
        <w:rPr>
          <w:sz w:val="16"/>
        </w:rPr>
      </w:pPr>
    </w:p>
    <w:p w:rsidR="00000000" w:rsidRDefault="00000000">
      <w:r>
        <w:t>456.</w:t>
      </w:r>
      <w:r>
        <w:tab/>
        <w:t>В конце 2003/04 учебного года в целом 82,5% учащихся получили аттестаты после завершения учебы в старших средних школах на третьем году обучения (85% женщин и 80% мужчин).  Осенью 2000 года 36% всех учащихся, завершивших учебу в старших средних школах на третьем году обучения, продолжили обучаться в высших учебных заведениях в течение трех лет.</w:t>
      </w:r>
    </w:p>
    <w:p w:rsidR="00000000" w:rsidRDefault="00000000"/>
    <w:p w:rsidR="00000000" w:rsidRDefault="00000000">
      <w:r>
        <w:t>457.</w:t>
      </w:r>
      <w:r>
        <w:tab/>
        <w:t>Риксдаг принял решение о разработке ряда мер в целях дальнейшего развития старших средних школ и повышения качества обучения в них, с тем чтобы большее количество студентов достигали образовательных целей.  Эти меры будут приняты главным образом в 2007/08 учебном году.  Аттестаты о прохождении учебных курсов будут заменены аттестатами по предметам, будет введен диплом об окончании старшей средней школы, повысится качество независимых учебных программ, учащимся будет предоставлена возможность подавать заявление о поступлении в любую школу в целях расширения их свободы выбора, история станет новым основным предметом, будет повышено качество программ профессиональной подготовки, а новые программы профессионального обучения будут применяться на альтернативной основе.</w:t>
      </w:r>
    </w:p>
    <w:p w:rsidR="00000000" w:rsidRDefault="00000000"/>
    <w:p w:rsidR="00000000" w:rsidRDefault="00000000">
      <w:pPr>
        <w:rPr>
          <w:b/>
          <w:bCs/>
          <w:i/>
          <w:iCs/>
        </w:rPr>
      </w:pPr>
      <w:r>
        <w:rPr>
          <w:b/>
          <w:bCs/>
          <w:i/>
          <w:iCs/>
        </w:rPr>
        <w:t>Образование для взрослых</w:t>
      </w:r>
    </w:p>
    <w:p w:rsidR="00000000" w:rsidRDefault="00000000">
      <w:pPr>
        <w:rPr>
          <w:b/>
          <w:bCs/>
          <w:i/>
          <w:iCs/>
        </w:rPr>
      </w:pPr>
    </w:p>
    <w:p w:rsidR="00000000" w:rsidRDefault="00000000">
      <w:r>
        <w:t>458.</w:t>
      </w:r>
      <w:r>
        <w:tab/>
        <w:t>В соответствии с Законом об образовании муниципальные органы Швеции должны обеспечивать образование для взрослых на муниципальном уровне (</w:t>
      </w:r>
      <w:proofErr w:type="spellStart"/>
      <w:r>
        <w:rPr>
          <w:lang w:val="en-US"/>
        </w:rPr>
        <w:t>Komvux</w:t>
      </w:r>
      <w:proofErr w:type="spellEnd"/>
      <w:r>
        <w:t>), образование для взрослых с пониженными способностями к обучению (</w:t>
      </w:r>
      <w:r>
        <w:rPr>
          <w:lang w:val="en-US"/>
        </w:rPr>
        <w:t>S</w:t>
      </w:r>
      <w:r>
        <w:t>ä</w:t>
      </w:r>
      <w:r>
        <w:rPr>
          <w:lang w:val="en-US"/>
        </w:rPr>
        <w:t>rvux</w:t>
      </w:r>
      <w:r>
        <w:t>) и обучение по программе "шведский язык для иммигрантов" (</w:t>
      </w:r>
      <w:r>
        <w:rPr>
          <w:lang w:val="en-US"/>
        </w:rPr>
        <w:t>SFI</w:t>
      </w:r>
      <w:r>
        <w:t>).  Обучение по всем программам является бесплатным.</w:t>
      </w:r>
    </w:p>
    <w:p w:rsidR="00000000" w:rsidRDefault="00000000"/>
    <w:p w:rsidR="00000000" w:rsidRDefault="00000000">
      <w:r>
        <w:t>459.</w:t>
      </w:r>
      <w:r>
        <w:tab/>
      </w:r>
      <w:r>
        <w:rPr>
          <w:i/>
          <w:iCs/>
        </w:rPr>
        <w:t xml:space="preserve">Образование для взрослых на муниципальном уровне </w:t>
      </w:r>
      <w:r>
        <w:t>(</w:t>
      </w:r>
      <w:proofErr w:type="spellStart"/>
      <w:r>
        <w:rPr>
          <w:lang w:val="en-US"/>
        </w:rPr>
        <w:t>Komvux</w:t>
      </w:r>
      <w:proofErr w:type="spellEnd"/>
      <w:r>
        <w:t>) осуществляется на основе программ начального и среднего образования для взрослых, а также дополнительных учебных курсов.  В 2003/04 учебном году 4,1% населения в возрасте 20</w:t>
      </w:r>
      <w:r>
        <w:noBreakHyphen/>
        <w:t>64 лет получали образование для взрослых на муниципальном уровне;  65% из них составляли женщины и 35% - мужчины.  Лица, обучающиеся по программам образования для взрослых на муниципальном уровне, имеют право на финансовую помощь для учащихся.</w:t>
      </w:r>
    </w:p>
    <w:p w:rsidR="00000000" w:rsidRDefault="00000000"/>
    <w:p w:rsidR="00000000" w:rsidRDefault="00000000">
      <w:r>
        <w:t>460.</w:t>
      </w:r>
      <w:r>
        <w:tab/>
      </w:r>
      <w:r>
        <w:rPr>
          <w:i/>
          <w:iCs/>
        </w:rPr>
        <w:t xml:space="preserve">Начальное образование для взрослых </w:t>
      </w:r>
      <w:r>
        <w:t xml:space="preserve">направлено на предоставление взрослым знаний и навыков на уровне, эквивалентном уровню обязательной школы.  Согласно Закону об образовании (1985:1100), муниципальные органы обязаны иметь учебные программы для оказания помощи лицам, не владеющим этими навыками, поскольку они имеют право на начальное образование для взрослых.  </w:t>
      </w:r>
    </w:p>
    <w:p w:rsidR="00000000" w:rsidRDefault="00000000"/>
    <w:p w:rsidR="00000000" w:rsidRDefault="00000000">
      <w:r>
        <w:t>461.</w:t>
      </w:r>
      <w:r>
        <w:tab/>
      </w:r>
      <w:r>
        <w:rPr>
          <w:i/>
          <w:iCs/>
        </w:rPr>
        <w:t>Среднее образование для взрослых</w:t>
      </w:r>
      <w:r>
        <w:t xml:space="preserve"> направлено на предоставление взрослым знаний и навыков на уровне, эквивалентном уровню старшей средней школы.  Дополнительные курсы предназначены для предоставления взрослым специальной профессиональной подготовки в рамках осуществляемой ими деятельности или для подготовки к новой работе.</w:t>
      </w:r>
    </w:p>
    <w:p w:rsidR="00000000" w:rsidRDefault="00000000"/>
    <w:p w:rsidR="00000000" w:rsidRDefault="00000000">
      <w:r>
        <w:t>462.</w:t>
      </w:r>
      <w:r>
        <w:tab/>
        <w:t xml:space="preserve">С 2004 года осуществляется целевое государственное финансирование программ </w:t>
      </w:r>
      <w:proofErr w:type="spellStart"/>
      <w:r>
        <w:rPr>
          <w:lang w:val="en-US"/>
        </w:rPr>
        <w:t>Komvux</w:t>
      </w:r>
      <w:proofErr w:type="spellEnd"/>
      <w:r>
        <w:t xml:space="preserve"> и </w:t>
      </w:r>
      <w:r>
        <w:rPr>
          <w:lang w:val="en-US"/>
        </w:rPr>
        <w:t>S</w:t>
      </w:r>
      <w:proofErr w:type="spellStart"/>
      <w:r>
        <w:t>ä</w:t>
      </w:r>
      <w:r>
        <w:rPr>
          <w:lang w:val="en-US"/>
        </w:rPr>
        <w:t>rvux</w:t>
      </w:r>
      <w:proofErr w:type="spellEnd"/>
      <w:r>
        <w:t>, например, для развития инфраструктуры, теоретической и методической основы образования в целях содействия обучению взрослых.  Ассигнования на 2006 год составляют 1,8 млрд. шведских крон, которые предназначены для покрытия расходов на финансирование несколько более 43 000 мест очного обучения в системе образования для взрослых.</w:t>
      </w:r>
    </w:p>
    <w:p w:rsidR="00000000" w:rsidRDefault="00000000"/>
    <w:p w:rsidR="00000000" w:rsidRDefault="00000000">
      <w:r>
        <w:t>463.</w:t>
      </w:r>
      <w:r>
        <w:tab/>
      </w:r>
      <w:r>
        <w:rPr>
          <w:i/>
          <w:iCs/>
        </w:rPr>
        <w:t>Образование для взрослых с пониженными способностями к обучению</w:t>
      </w:r>
      <w:r>
        <w:t xml:space="preserve"> (</w:t>
      </w:r>
      <w:r>
        <w:rPr>
          <w:lang w:val="en-US"/>
        </w:rPr>
        <w:t>S</w:t>
      </w:r>
      <w:r>
        <w:t>ä</w:t>
      </w:r>
      <w:r>
        <w:rPr>
          <w:lang w:val="en-US"/>
        </w:rPr>
        <w:t>rvux</w:t>
      </w:r>
      <w:r>
        <w:t>) направлено на предоставление взрослым с пониженными способностями к обучению знаний и навыков на уровне, эквивалентном уровню, который могут достичь молодые люди в обязательных школах для учащихся с пониженными способностями к обучению, и обучающихся по общенациональным или специально подготовленным программам старшей средней школы.  В 2004/05 учебном году программой было охвачено 4 794 учащихся, из которых 49% составляют женщины и 51% - мужчины.</w:t>
      </w:r>
    </w:p>
    <w:p w:rsidR="00000000" w:rsidRDefault="00000000"/>
    <w:p w:rsidR="00000000" w:rsidRDefault="00000000">
      <w:r>
        <w:t>464.</w:t>
      </w:r>
      <w:r>
        <w:tab/>
        <w:t>С 1997 года приблизительно 50 млн. шведских крон ежегодно выделяется для профсоюзов, которые используют эти средства для привлечения и повышения мотивации взрослых с ограниченными способностями к обучению участвовать в программах образования для взрослых.</w:t>
      </w:r>
    </w:p>
    <w:p w:rsidR="00000000" w:rsidRDefault="00000000"/>
    <w:p w:rsidR="00000000" w:rsidRDefault="00000000">
      <w:r>
        <w:t>465.</w:t>
      </w:r>
      <w:r>
        <w:tab/>
        <w:t>Программа</w:t>
      </w:r>
      <w:r>
        <w:rPr>
          <w:i/>
          <w:iCs/>
        </w:rPr>
        <w:t xml:space="preserve"> "Шведский язык для иммигрантов" </w:t>
      </w:r>
      <w:r>
        <w:t>(</w:t>
      </w:r>
      <w:r>
        <w:rPr>
          <w:lang w:val="en-US"/>
        </w:rPr>
        <w:t>SFI</w:t>
      </w:r>
      <w:r>
        <w:t>) ориентирована, в соответствии с Законом об образовании, на приобретение взрослыми иммигрантами основных навыков владения шведским языком и приобретение знаний о шведском обществе.  В 2003/04 учебном году эта программа охватывала 47 604 слушателя, из которых 40% составляют мужчины и 60% - женщины.</w:t>
      </w:r>
    </w:p>
    <w:p w:rsidR="00000000" w:rsidRDefault="00000000"/>
    <w:p w:rsidR="00000000" w:rsidRDefault="00000000">
      <w:r>
        <w:t>466.</w:t>
      </w:r>
      <w:r>
        <w:tab/>
      </w:r>
      <w:r>
        <w:rPr>
          <w:i/>
          <w:iCs/>
        </w:rPr>
        <w:t xml:space="preserve">Программа повышения квалификации </w:t>
      </w:r>
      <w:r>
        <w:t>(</w:t>
      </w:r>
      <w:r>
        <w:rPr>
          <w:lang w:val="en-US"/>
        </w:rPr>
        <w:t>KY</w:t>
      </w:r>
      <w:r>
        <w:t>) была создана в 2001 году для продолжения обучения после получения среднего образования в рамках шведской системы образования.  Программа разработана и осуществляется в партнерстве с муниципальными органами, частными учебными заведениями, учреждениями послешкольного образования и деловыми кругами.  Программа предназначена для удовлетворения потребностей в квалифицированных кадрах, имеющих специальную профессиональную подготовку.  Обучение по программам продолжается от одного до трех лет, и в течение приблизительно одной трети учебного периода подготовка осуществляется на рабочих местах.  Лица, обучающиеся по этим программам, имеют право на получение финансовой помощи для учащихся, а осуществление программ проводится под контролем государства.  В 2004 году программы профессиональной подготовки охватывали 13 800 учащихся, в обучении принимало участие равное количество мужчин и женщин.  Программы профессиональной подготовки еще находятся в стадии развития, и в 2006 году они будут расширены на 1 000 новых мест для очного обучения.</w:t>
      </w:r>
    </w:p>
    <w:p w:rsidR="00000000" w:rsidRDefault="00000000"/>
    <w:p w:rsidR="00000000" w:rsidRDefault="00000000">
      <w:r>
        <w:t>467.</w:t>
      </w:r>
      <w:r>
        <w:tab/>
      </w:r>
      <w:r>
        <w:rPr>
          <w:i/>
          <w:iCs/>
        </w:rPr>
        <w:t>Колледжи для взрослых ("</w:t>
      </w:r>
      <w:r>
        <w:rPr>
          <w:i/>
          <w:iCs/>
          <w:lang w:val="en-US"/>
        </w:rPr>
        <w:t>Folk</w:t>
      </w:r>
      <w:r>
        <w:rPr>
          <w:i/>
          <w:iCs/>
        </w:rPr>
        <w:t xml:space="preserve"> </w:t>
      </w:r>
      <w:r>
        <w:rPr>
          <w:i/>
          <w:iCs/>
          <w:lang w:val="en-US"/>
        </w:rPr>
        <w:t>High</w:t>
      </w:r>
      <w:r>
        <w:rPr>
          <w:i/>
          <w:iCs/>
        </w:rPr>
        <w:t xml:space="preserve"> </w:t>
      </w:r>
      <w:r>
        <w:rPr>
          <w:i/>
          <w:iCs/>
          <w:lang w:val="en-US"/>
        </w:rPr>
        <w:t>Schools</w:t>
      </w:r>
      <w:r>
        <w:rPr>
          <w:i/>
          <w:iCs/>
        </w:rPr>
        <w:t xml:space="preserve">") и учебные ассоциации </w:t>
      </w:r>
      <w:r>
        <w:t xml:space="preserve">получают государственное финансирование для разработки программ академического образования и образования в области культуры.  Обучение в колледже для взрослых является основой для получения права на поступление в колледж или университет.  В 2006 году в Швеции насчитывалось 148 колледжей для взрослых.  В течение каждого аттестационного периода в долгосрочных курсах колледжей для взрослых принимают участие в среднем 27 500 человек, из которых 65% составляют женщины и 35% - мужчины.  Правительство увеличило государственное финансирование этой формы образования для взрослых на 400 млн. шведских крон (по сравнению с нынешним уровнем, составляющим в 2006 году около 2,6 млрд. шведских крон), в частности для поддержания мероприятий, способствующих укреплению и развитию демократии. </w:t>
      </w:r>
    </w:p>
    <w:p w:rsidR="00000000" w:rsidRDefault="00000000"/>
    <w:p w:rsidR="00000000" w:rsidRDefault="00000000">
      <w:pPr>
        <w:rPr>
          <w:b/>
          <w:bCs/>
        </w:rPr>
      </w:pPr>
      <w:r>
        <w:rPr>
          <w:b/>
          <w:bCs/>
          <w:lang w:val="en-US"/>
        </w:rPr>
        <w:tab/>
      </w:r>
      <w:r>
        <w:rPr>
          <w:b/>
          <w:bCs/>
        </w:rPr>
        <w:t>Общая информация</w:t>
      </w:r>
    </w:p>
    <w:p w:rsidR="00000000" w:rsidRDefault="00000000">
      <w:pPr>
        <w:rPr>
          <w:b/>
          <w:bCs/>
        </w:rPr>
      </w:pPr>
    </w:p>
    <w:p w:rsidR="00000000" w:rsidRDefault="00000000">
      <w:r>
        <w:t>468.</w:t>
      </w:r>
      <w:r>
        <w:tab/>
        <w:t>Существуют различные формы финансовой помощи, направленной на то, чтобы взрослые могли посещать школы, не будучи стесненными своими финансовыми возможностями.  В стране действует система предоставления единых учебных стипендий в рамках системы образования для взрослых на уровне обязательных и средних школ, а также колледжей или других заведений послешкольного образования.</w:t>
      </w:r>
    </w:p>
    <w:p w:rsidR="00000000" w:rsidRDefault="00000000"/>
    <w:p w:rsidR="00000000" w:rsidRDefault="00000000">
      <w:r>
        <w:t>469.</w:t>
      </w:r>
      <w:r>
        <w:tab/>
        <w:t>На период 2004-2007 годов правительство создало комитет, в задачу которого входит содействие укреплению законности, повышению качества и развитию методики в области оценки уровня образования, прежде всего вне системы высшего образования.  Оценка уровня образования предполагает определение степени владения навыками и специальными знаниями, что особенно важно в отношении навыков и знаний, приобретенных в других странах.</w:t>
      </w:r>
    </w:p>
    <w:p w:rsidR="00000000" w:rsidRDefault="00000000"/>
    <w:p w:rsidR="00000000" w:rsidRDefault="00000000">
      <w:r>
        <w:t>470.</w:t>
      </w:r>
      <w:r>
        <w:tab/>
        <w:t>По указанию правительства Национальное агентство по вопросам образования создало Интернет-портал, содержащий рекомендации по вопросам учебной и профессиональной подготовки.</w:t>
      </w:r>
    </w:p>
    <w:p w:rsidR="00000000" w:rsidRDefault="00000000"/>
    <w:p w:rsidR="00000000" w:rsidRDefault="00000000">
      <w:pPr>
        <w:keepNext/>
        <w:rPr>
          <w:b/>
          <w:bCs/>
          <w:i/>
          <w:iCs/>
        </w:rPr>
      </w:pPr>
      <w:r>
        <w:rPr>
          <w:b/>
          <w:bCs/>
          <w:i/>
          <w:iCs/>
        </w:rPr>
        <w:t>Высшее образование</w:t>
      </w:r>
    </w:p>
    <w:p w:rsidR="00000000" w:rsidRDefault="00000000">
      <w:pPr>
        <w:keepNext/>
        <w:rPr>
          <w:b/>
          <w:bCs/>
          <w:i/>
          <w:iCs/>
        </w:rPr>
      </w:pPr>
    </w:p>
    <w:p w:rsidR="00000000" w:rsidRDefault="00000000">
      <w:pPr>
        <w:keepNext/>
      </w:pPr>
      <w:r>
        <w:t>471.</w:t>
      </w:r>
      <w:r>
        <w:tab/>
        <w:t xml:space="preserve">Высшее образование в Швеции является бесплатным как для граждан страны, так и для иностранных студентов.  Университеты и университетские колледжи имеются в каждом лене, что является результатом осуществления целевых правительственных ассигнований.  Долгосрочная цель правительства заключается в том, чтобы </w:t>
      </w:r>
      <w:proofErr w:type="spellStart"/>
      <w:r>
        <w:t>50%</w:t>
      </w:r>
      <w:proofErr w:type="spellEnd"/>
      <w:r>
        <w:t xml:space="preserve"> выпускников школ каждого года могли начинать обучение в высших учебных заведениях до достижения 25-летнего возраста.  В 2005 году 44,4% всей молодых людей в возрасте 25 лет начали получать послешкольное образование.  Более половины женщин из состава этой группы, а именно 51,3%, и </w:t>
      </w:r>
      <w:proofErr w:type="spellStart"/>
      <w:r>
        <w:t>37,8%</w:t>
      </w:r>
      <w:proofErr w:type="spellEnd"/>
      <w:r>
        <w:t xml:space="preserve"> мужчин обучаются или обучались в течение определенного периода времени в тех или иных высших учебных заведениях после получения школьного образования до достижения 25-летнего возраста.  Доля мужчин и женщин в системе послешкольного образования в 2003/04 учебном году составляла соответственно 60 и </w:t>
      </w:r>
      <w:proofErr w:type="spellStart"/>
      <w:r>
        <w:t>40%</w:t>
      </w:r>
      <w:proofErr w:type="spellEnd"/>
      <w:r>
        <w:t xml:space="preserve">,.  </w:t>
      </w:r>
    </w:p>
    <w:p w:rsidR="00000000" w:rsidRDefault="00000000"/>
    <w:p w:rsidR="00000000" w:rsidRDefault="00000000">
      <w:pPr>
        <w:rPr>
          <w:b/>
          <w:bCs/>
        </w:rPr>
      </w:pPr>
      <w:r>
        <w:rPr>
          <w:b/>
          <w:bCs/>
          <w:lang w:val="en-US"/>
        </w:rPr>
        <w:tab/>
      </w:r>
      <w:r>
        <w:rPr>
          <w:b/>
          <w:bCs/>
        </w:rPr>
        <w:t>Защита от дискриминации</w:t>
      </w:r>
    </w:p>
    <w:p w:rsidR="00000000" w:rsidRDefault="00000000">
      <w:pPr>
        <w:rPr>
          <w:b/>
          <w:bCs/>
        </w:rPr>
      </w:pPr>
    </w:p>
    <w:p w:rsidR="00000000" w:rsidRDefault="00000000">
      <w:r>
        <w:t>472.</w:t>
      </w:r>
      <w:r>
        <w:tab/>
        <w:t>По инициативе правительства и в целях обеспечения учащимся более эффективной защиты от дискриминации риксдаг проголосовал за принятие Закона о равном обращении с учащимся в университетах (2001:1286), который вступил в силу в 2002 году.  Закон о равном обращении направлен на поощрение равных прав учащихся и абитуриентов, а также на борьбу с дискриминацией по признакам пола, этнического происхождения, религии или других убеждений, сексуальной ориентации и инвалидности.  Закон обеспечивает учащимся эффективную защиту от дискриминации, а на университеты и колледжи была возложена конкретная ответственность за предупреждение преследований и обеспечение средств правовой защиты от таких действий.</w:t>
      </w:r>
    </w:p>
    <w:p w:rsidR="00000000" w:rsidRDefault="00000000"/>
    <w:p w:rsidR="00000000" w:rsidRDefault="00000000">
      <w:r>
        <w:t>473.</w:t>
      </w:r>
      <w:r>
        <w:tab/>
        <w:t>Помимо запрещения дискриминации, этот закон требует от заведений послешкольного образования подготавливать ежегодные планы, которые должны содержать комплекс мер, необходимых для поощрения равных прав учащихся, а также для предупреждения преследований и применения средств правовой защиты от них.  Планы должны также содержать положения, касающиеся мер, которые заведение планирует принять или начать принимать в следующем году.</w:t>
      </w:r>
    </w:p>
    <w:p w:rsidR="00000000" w:rsidRDefault="00000000"/>
    <w:p w:rsidR="00000000" w:rsidRDefault="00000000">
      <w:pPr>
        <w:rPr>
          <w:b/>
          <w:bCs/>
        </w:rPr>
      </w:pPr>
      <w:r>
        <w:rPr>
          <w:b/>
          <w:bCs/>
          <w:lang w:val="en-US"/>
        </w:rPr>
        <w:tab/>
      </w:r>
      <w:r>
        <w:rPr>
          <w:b/>
          <w:bCs/>
        </w:rPr>
        <w:t>Расширение приема в высшие учебные заведения</w:t>
      </w:r>
    </w:p>
    <w:p w:rsidR="00000000" w:rsidRDefault="00000000">
      <w:pPr>
        <w:rPr>
          <w:b/>
          <w:bCs/>
        </w:rPr>
      </w:pPr>
    </w:p>
    <w:p w:rsidR="00000000" w:rsidRDefault="00000000">
      <w:r>
        <w:t>474.</w:t>
      </w:r>
      <w:r>
        <w:tab/>
        <w:t>Правительство проводит активную работу по обеспечению доступа к высшему образованию новых групп учащихся и достижению большего равновесия при приеме на учебу.  Двери в общество знаний должны быть открыты для всех независимо от социального происхождения, пола, этнического происхождения, инвалидности, места жительства или сексуальной ориентации.</w:t>
      </w:r>
    </w:p>
    <w:p w:rsidR="00000000" w:rsidRDefault="00000000"/>
    <w:p w:rsidR="00000000" w:rsidRDefault="00000000">
      <w:pPr>
        <w:rPr>
          <w:b/>
          <w:bCs/>
        </w:rPr>
      </w:pPr>
      <w:r>
        <w:rPr>
          <w:b/>
          <w:bCs/>
          <w:lang w:val="en-US"/>
        </w:rPr>
        <w:tab/>
      </w:r>
      <w:r>
        <w:rPr>
          <w:b/>
          <w:bCs/>
        </w:rPr>
        <w:t xml:space="preserve">Закон о равном обращении </w:t>
      </w:r>
    </w:p>
    <w:p w:rsidR="00000000" w:rsidRDefault="00000000">
      <w:pPr>
        <w:rPr>
          <w:b/>
          <w:bCs/>
        </w:rPr>
      </w:pPr>
    </w:p>
    <w:p w:rsidR="00000000" w:rsidRDefault="00000000">
      <w:r>
        <w:t>475.</w:t>
      </w:r>
      <w:r>
        <w:tab/>
        <w:t>В целях обеспечения равных возможностей доступа к образованию правительство проводит целенаправленную работу по противодействию случаям отказа в приеме на учебу в заведения послешкольного образования на основе этнического и социального происхождения.  Закон о равном обращении с учащимися в университетах (2001:1286) вступил в силу 1 марта 2002 года.  Цель этого закона заключается в поощрении равных прав учащихся в системе высшего образования и борьбе с дискриминацией по признакам, включающим, в частности, этническое происхождение и религиозные или другие убеждения.  Закон действует в сфере высшего образования, предоставляемого в университетах и других высших учебных заведениях, курируемых государством, муниципальными органами или ленскими советами, а также применяется к частным учебным заведениям, которые аккредитованы с правом выдачи некоторых видов дипломов.  Положения данного закона запрещают прямую и косвенную дискриминацию, преследования и подстрекательство к дискриминации.  Высшие учебные заведения не могут также применять к учащимся или абитуриентам репрессивные меры в случае подачи ими жалобы на высшее учебное заведение в связи с дискриминацией или участия в проведении расследования в соответствии с законом.  Закон устанавливает, что высшие учебные заведения должны принимать в рамках своей деятельности целенаправленные усилия по активному поощрению равных прав.  Высшие учебные заведения должны принимать меры по предупреждению преследований учащихся и абитуриентов и применению средств правовой защиты от таких действий.  Высшие учебные заведения должны также составлять ежегодные планы, содержащие комплекс мер, необходимых для поощрения равных прав учащихся, предупреждения преследований и применения средств правовой защиты от таких действий.  Высшие учебные заведения обязаны также проводить расследования обстоятельств, связанных с жалобами на преследования, и принимать обоснованные меры по предотвращению продолжающихся преследований.  Нарушение запрета на дискриминацию может повлечь ответственность за нанесенный ущерб.</w:t>
      </w:r>
    </w:p>
    <w:p w:rsidR="00000000" w:rsidRDefault="00000000"/>
    <w:p w:rsidR="00000000" w:rsidRDefault="00000000">
      <w:r>
        <w:t>476.</w:t>
      </w:r>
      <w:r>
        <w:tab/>
        <w:t>Правительство представило ряд предложений и оценок, направленных на активизацию усилий учебных заведений по расширению приема учащихся и облегчению условий перехода из средней школы и учебных заведений для взрослых в высшие учебные заведения, в документе "Реформа высшего образования - более открытая система" (правительственный законопроект 2001/02:15, доклад 2001/02:</w:t>
      </w:r>
      <w:proofErr w:type="spellStart"/>
      <w:r>
        <w:rPr>
          <w:lang w:val="en-US"/>
        </w:rPr>
        <w:t>UbU</w:t>
      </w:r>
      <w:proofErr w:type="spellEnd"/>
      <w:r>
        <w:t>4, сообщение риксдага 2001/02:98).  В главу 1 раздела 5 Закона об образовании (1992:1434) включено также новое положение, обязывающее университеты и колледжи активно поощрять и расширять прием учащихся.</w:t>
      </w:r>
    </w:p>
    <w:p w:rsidR="00000000" w:rsidRDefault="00000000"/>
    <w:p w:rsidR="00000000" w:rsidRDefault="00000000">
      <w:r>
        <w:t>477.</w:t>
      </w:r>
      <w:r>
        <w:tab/>
        <w:t xml:space="preserve">Количество учащихся в высших учебных заведениях более чем удвоилось за период с начала 1990-х годов.  Доля учащихся из среды рабочих, включающая студентов, чьи родители относятся к категории квалифицированных или неквалифицированных рабочих, увеличилась за период с 1993/94 учебного года до 2003/04 учебного года с </w:t>
      </w:r>
      <w:proofErr w:type="spellStart"/>
      <w:r>
        <w:t>18%</w:t>
      </w:r>
      <w:proofErr w:type="spellEnd"/>
      <w:r>
        <w:t xml:space="preserve"> до </w:t>
      </w:r>
      <w:proofErr w:type="spellStart"/>
      <w:r>
        <w:t>24%</w:t>
      </w:r>
      <w:proofErr w:type="spellEnd"/>
      <w:r>
        <w:t xml:space="preserve"> в группе учащихся, поступивших в высшие учебные заведения в возрасте 18-34 лет.</w:t>
      </w:r>
    </w:p>
    <w:p w:rsidR="00000000" w:rsidRDefault="00000000"/>
    <w:p w:rsidR="00000000" w:rsidRDefault="00000000">
      <w:r>
        <w:t>478.</w:t>
      </w:r>
      <w:r>
        <w:tab/>
        <w:t>Через Комиссию по вопросам приема в высшие учебные заведения правительство инвестировало 120 млн. шведских крон в течение периода 2002-2004 годов на цели стимулирования деятельности университетов и университетских колледжей по набору учащихся.  Правительство продолжает уделять приоритетное внимание усилиям по увеличению приема учащихся и соответственно уполномочило Агентство по сетям и сотрудничеству в сфере высшего образования поддерживать усилия учебных заведений, направленные на достижение этой цели.</w:t>
      </w:r>
    </w:p>
    <w:p w:rsidR="00000000" w:rsidRDefault="00000000"/>
    <w:p w:rsidR="00000000" w:rsidRDefault="00000000">
      <w:r>
        <w:t>479.</w:t>
      </w:r>
      <w:r>
        <w:tab/>
        <w:t xml:space="preserve">Специальная помощь оказывается учащимся-инвалидам.  Число студентов, получающих специальную учебную помощь, возросло за период с 2002 по 2004 год с несколько более чем 2 000 до несколько более 3 400 учащихся, т.е. возросло приблизительно на </w:t>
      </w:r>
      <w:proofErr w:type="spellStart"/>
      <w:r>
        <w:t>60%</w:t>
      </w:r>
      <w:proofErr w:type="spellEnd"/>
      <w:r>
        <w:t xml:space="preserve">.  Доля средств, выделяемых для системы обязательного образования, которые учебные заведения должны использовать как фонд помощи учащимся-инвалидам, увеличилась в 2004 году с 0,15 до </w:t>
      </w:r>
      <w:proofErr w:type="spellStart"/>
      <w:r>
        <w:t>0,3%</w:t>
      </w:r>
      <w:proofErr w:type="spellEnd"/>
      <w:r>
        <w:t>.</w:t>
      </w:r>
    </w:p>
    <w:p w:rsidR="00000000" w:rsidRDefault="00000000"/>
    <w:p w:rsidR="00000000" w:rsidRDefault="00000000">
      <w:pPr>
        <w:rPr>
          <w:b/>
          <w:bCs/>
        </w:rPr>
      </w:pPr>
      <w:r>
        <w:rPr>
          <w:b/>
          <w:bCs/>
        </w:rPr>
        <w:tab/>
        <w:t>Подготовка учителей</w:t>
      </w:r>
    </w:p>
    <w:p w:rsidR="00000000" w:rsidRDefault="00000000">
      <w:pPr>
        <w:rPr>
          <w:b/>
          <w:bCs/>
        </w:rPr>
      </w:pPr>
    </w:p>
    <w:p w:rsidR="00000000" w:rsidRDefault="00000000">
      <w:r>
        <w:t>480.</w:t>
      </w:r>
      <w:r>
        <w:tab/>
        <w:t>Система школьного образования претерпела глубокие изменения в течение последнего десятилетия.  Эти изменения требуют от учителей выполнения новой роли, которая, в свою очередь, должна быть основана на новой программе подготовки учителей.  Новая программа подготовки учителей различных категорий, введенная 1 июля 2001 года, требует получения 120-220 зачетных баллов (за период от 3 до 5,5 лет) и включает три комплексные схемы обучения:  получение общего образования, освоение одного или более предметов и приобретение специализации в какой-либо конкретной области.  Для получения степени соответствующей квалификации дошкольных заведений, внешкольных центров досуга и педагога младших классов обязательной школы требуется накопление 140 зачетных баллов.  Степень, соответствующая квалификации учителя старших классов обязательной школы и старшей средней школы, требует накопления 180</w:t>
      </w:r>
      <w:r>
        <w:noBreakHyphen/>
        <w:t>220 зачетных баллов.  Значительно повысились требования в отношении участия в исследовательской работе.  Описание степеней для различных уровней преподавания было изменено в 2005 году, с тем чтобы отразить предъявляемые слушателям требования в отношении умения передавать свои знания и применять действующие положения, направленные на предупреждение и пресечение дискриминации и других форм унижающего достоинство обращения с детьми и школьниками.</w:t>
      </w:r>
    </w:p>
    <w:p w:rsidR="00000000" w:rsidRDefault="00000000"/>
    <w:p w:rsidR="00000000" w:rsidRDefault="00000000">
      <w:pPr>
        <w:rPr>
          <w:b/>
          <w:bCs/>
        </w:rPr>
      </w:pPr>
      <w:r>
        <w:rPr>
          <w:b/>
          <w:bCs/>
        </w:rPr>
        <w:tab/>
        <w:t>Повышение квалификации учителей</w:t>
      </w:r>
    </w:p>
    <w:p w:rsidR="00000000" w:rsidRDefault="00000000">
      <w:pPr>
        <w:rPr>
          <w:b/>
          <w:bCs/>
        </w:rPr>
      </w:pPr>
    </w:p>
    <w:p w:rsidR="00000000" w:rsidRDefault="00000000">
      <w:r>
        <w:t>481.</w:t>
      </w:r>
      <w:r>
        <w:tab/>
        <w:t>Национальное агентство по повышению качества школьного образования предоставляет возможность подавать заявки на получение поощрительных премий в течение 2006/2007 учебного года (150 000 шведских крон на одно учреждение) муниципальным органам/школам, которые обеспечивают преподавание различных предметов на родном языке или позволяют помощникам учителей, говорящим на родном языке, работать параллельно с классными/предметными учителями.  В рамках своей трудовой занятости этим двуязычным преподавателям предоставляется также возможность обучаться в высшем учебном заведении (и получить по крайней мере 20 зачетных баллов).  Идея заключается в том, чтобы муниципальные органы использовали эту возможность в таких целях, как прием на работу в качестве преподавателей, например, лиц из среды рома.</w:t>
      </w:r>
    </w:p>
    <w:p w:rsidR="00000000" w:rsidRDefault="00000000"/>
    <w:p w:rsidR="00000000" w:rsidRDefault="00000000">
      <w:r>
        <w:t>482.</w:t>
      </w:r>
      <w:r>
        <w:tab/>
        <w:t xml:space="preserve">В периоды 2001-2003 годов и 2005-2006 годов Национальное агентство по вопросам образования и Национальное агентство по повышению качества школьного образования предоставило работникам дошкольных заведений и обязательных школ возможность пройти подготовку на высших курсах повышения квалификации по программе "Обучение детей и учащихся, говорящих на нескольких языках" (соответственно, 5 и 10 зачетных баллов).  На первом этапе муниципальным органам в северных районах Швеции было предложено направить на учебу педагогический персонал, работающий с детьми финнами, </w:t>
      </w:r>
      <w:proofErr w:type="spellStart"/>
      <w:r>
        <w:t>мянкиели</w:t>
      </w:r>
      <w:proofErr w:type="spellEnd"/>
      <w:r>
        <w:t xml:space="preserve"> и саами.</w:t>
      </w:r>
    </w:p>
    <w:p w:rsidR="00000000" w:rsidRDefault="00000000"/>
    <w:p w:rsidR="00000000" w:rsidRDefault="00000000">
      <w:r>
        <w:t>483.</w:t>
      </w:r>
      <w:r>
        <w:tab/>
        <w:t>По распоряжению Национального агентства по вопросам образования Университет Мальмё подготовил в 2002 году проект программы обучения, ориентированной, в первую очередь, на работу с дошкольниками и учащимися рома (80 зачетных баллов).  После завершения программы слушатели могли получить квалификацию ("помощника преподавателя").  К сожалению, программа не была реализована в связи с отсутствием кандидатов, однако предложение еще остается в силе.</w:t>
      </w:r>
    </w:p>
    <w:p w:rsidR="00000000" w:rsidRDefault="00000000"/>
    <w:p w:rsidR="00000000" w:rsidRDefault="00000000">
      <w:r>
        <w:t>484.</w:t>
      </w:r>
      <w:r>
        <w:tab/>
        <w:t xml:space="preserve">Учителя, преподающие языки меньшинств, ежегодно приглашаются принять участие в двухдневных очных семинарах по соответствующим языкам.  Пока проводятся семинары по языку саами, финскому языку и языку </w:t>
      </w:r>
      <w:proofErr w:type="spellStart"/>
      <w:r>
        <w:t>мянкиели</w:t>
      </w:r>
      <w:proofErr w:type="spellEnd"/>
      <w:r>
        <w:t xml:space="preserve">, а в 2006 году будет также проведен семинар для преподавателей из среды рома.  </w:t>
      </w:r>
    </w:p>
    <w:p w:rsidR="00000000" w:rsidRDefault="00000000"/>
    <w:p w:rsidR="00000000" w:rsidRDefault="00000000">
      <w:pPr>
        <w:rPr>
          <w:b/>
          <w:bCs/>
        </w:rPr>
      </w:pPr>
      <w:r>
        <w:rPr>
          <w:b/>
          <w:bCs/>
        </w:rPr>
        <w:tab/>
        <w:t>Права человека в системе образования</w:t>
      </w:r>
    </w:p>
    <w:p w:rsidR="00000000" w:rsidRDefault="00000000">
      <w:pPr>
        <w:rPr>
          <w:b/>
          <w:bCs/>
        </w:rPr>
      </w:pPr>
    </w:p>
    <w:p w:rsidR="00000000" w:rsidRDefault="00000000">
      <w:r>
        <w:t>485.</w:t>
      </w:r>
      <w:r>
        <w:tab/>
        <w:t xml:space="preserve">В контексте введения нового образования и многоуровневой системы обучения в сфере высшего образования правительство приняло решение внести изменения в положения Указа о высшем образовании (1993:100, добавление 2), касающиеся ученых степеней, которые, в частности, определяют требования и цели в области присуждения профессиональных степеней.  В описании степеней применительно к некоторым из них установлено, что учащиеся должны показывать определенные способности в определении ценностей и применении соответствующих подходов с уделением особого внимания вопросам прав человека.  Новые положения будут применяться в отношении программ многоуровнего обучения с 1 июля 2007 года. (См. пункт 35, </w:t>
      </w:r>
      <w:r>
        <w:rPr>
          <w:i/>
          <w:iCs/>
        </w:rPr>
        <w:t>Заключительные замечания</w:t>
      </w:r>
      <w:r>
        <w:t>.)</w:t>
      </w:r>
    </w:p>
    <w:p w:rsidR="00000000" w:rsidRDefault="00000000"/>
    <w:p w:rsidR="00000000" w:rsidRDefault="00000000">
      <w:r>
        <w:t>486.</w:t>
      </w:r>
      <w:r>
        <w:tab/>
        <w:t xml:space="preserve">В новый национальный план действий в области прав человека правительство также включило положения, согласно которым Национальному агентству по вопросам высшего образования в 2007 году будет поручено проанализировать степень включения проблематики прав человека в программы многоуровнего образования, в рамках которого этой тематике может быть уделено большее значение в будущей профессиональной практике.  </w:t>
      </w:r>
    </w:p>
    <w:p w:rsidR="00000000" w:rsidRDefault="00000000"/>
    <w:p w:rsidR="00000000" w:rsidRDefault="00000000">
      <w:pPr>
        <w:rPr>
          <w:b/>
          <w:bCs/>
        </w:rPr>
      </w:pPr>
      <w:r>
        <w:rPr>
          <w:b/>
          <w:bCs/>
        </w:rPr>
        <w:tab/>
        <w:t>Финансирование образования</w:t>
      </w:r>
    </w:p>
    <w:p w:rsidR="00000000" w:rsidRDefault="00000000">
      <w:pPr>
        <w:rPr>
          <w:b/>
          <w:bCs/>
        </w:rPr>
      </w:pPr>
    </w:p>
    <w:p w:rsidR="00000000" w:rsidRDefault="00000000">
      <w:r>
        <w:t>487.</w:t>
      </w:r>
      <w:r>
        <w:tab/>
        <w:t>Расходы на образование в 2004 году составили 40 млрд. шведских крон, что соответствует приблизительно 5,2% государственного бюджета.  Муниципалитеты ответственны за обеспечение образования на уровне обязательных и старших средних школ и школ для взрослых.  Эти затраты составили в 2004 году приблизительно 32% общих расходов муниципалитетов.  Затраты на дошкольные и школьные заведения в этом же году составили 13% общего объема расходов муниципалитетов.  Общий объем прямых бюджетных ассигнований на образование в рамках основного академического курса и аспирантуры составляет 32,4 млрд. шведских крон.</w:t>
      </w:r>
    </w:p>
    <w:p w:rsidR="00000000" w:rsidRDefault="00000000"/>
    <w:p w:rsidR="00000000" w:rsidRDefault="00000000">
      <w:pPr>
        <w:rPr>
          <w:b/>
          <w:bCs/>
        </w:rPr>
      </w:pPr>
      <w:r>
        <w:rPr>
          <w:b/>
          <w:bCs/>
        </w:rPr>
        <w:t>Статья 15</w:t>
      </w:r>
    </w:p>
    <w:p w:rsidR="00000000" w:rsidRDefault="00000000">
      <w:pPr>
        <w:rPr>
          <w:b/>
          <w:bCs/>
        </w:rPr>
      </w:pPr>
    </w:p>
    <w:p w:rsidR="00000000" w:rsidRDefault="00000000">
      <w:r>
        <w:t>488.</w:t>
      </w:r>
      <w:r>
        <w:tab/>
        <w:t>Ответственность за государственную поддержку культурной жизни распределена между государством, ленскими советами и муниципальными органами.  Государство финансирует центральные культурные учреждения и оказывает поддержку культурной деятельности на местном и региональном уровнях.  В течение последних двух лет государство предоставляет субсидии организациям, которые представляют ту или иную группу национальных меньшинств.  Цель предоставления таких субсидий заключается в содействии инициативам по развитию культуры и самобытности, а также усилиям, направленным на поддержку политики в области меньшинств и повышение влияния групп меньшинств в гражданском обществе.  С 2006 года порядок предоставления субсидий регулируется Указом о государственных субсидиях для национальных меньшинств (2005:765) (</w:t>
      </w:r>
      <w:r>
        <w:rPr>
          <w:i/>
          <w:iCs/>
          <w:lang w:val="en-US"/>
        </w:rPr>
        <w:t>F</w:t>
      </w:r>
      <w:proofErr w:type="spellStart"/>
      <w:r>
        <w:rPr>
          <w:i/>
          <w:iCs/>
        </w:rPr>
        <w:t>ö</w:t>
      </w:r>
      <w:r>
        <w:rPr>
          <w:i/>
          <w:iCs/>
          <w:lang w:val="en-US"/>
        </w:rPr>
        <w:t>rordningen</w:t>
      </w:r>
      <w:proofErr w:type="spellEnd"/>
      <w:r>
        <w:rPr>
          <w:i/>
          <w:iCs/>
        </w:rPr>
        <w:t xml:space="preserve"> (2005:765) </w:t>
      </w:r>
      <w:proofErr w:type="spellStart"/>
      <w:r>
        <w:rPr>
          <w:i/>
          <w:iCs/>
          <w:lang w:val="en-US"/>
        </w:rPr>
        <w:t>om</w:t>
      </w:r>
      <w:proofErr w:type="spellEnd"/>
      <w:r>
        <w:rPr>
          <w:i/>
          <w:iCs/>
        </w:rPr>
        <w:t xml:space="preserve"> </w:t>
      </w:r>
      <w:proofErr w:type="spellStart"/>
      <w:r>
        <w:rPr>
          <w:i/>
          <w:iCs/>
          <w:lang w:val="en-US"/>
        </w:rPr>
        <w:t>statsbidrag</w:t>
      </w:r>
      <w:proofErr w:type="spellEnd"/>
      <w:r>
        <w:rPr>
          <w:i/>
          <w:iCs/>
        </w:rPr>
        <w:t xml:space="preserve"> </w:t>
      </w:r>
      <w:r>
        <w:rPr>
          <w:i/>
          <w:iCs/>
          <w:lang w:val="en-US"/>
        </w:rPr>
        <w:t>f</w:t>
      </w:r>
      <w:proofErr w:type="spellStart"/>
      <w:r>
        <w:rPr>
          <w:i/>
          <w:iCs/>
        </w:rPr>
        <w:t>ö</w:t>
      </w:r>
      <w:proofErr w:type="spellEnd"/>
      <w:r>
        <w:rPr>
          <w:i/>
          <w:iCs/>
          <w:lang w:val="en-US"/>
        </w:rPr>
        <w:t>r</w:t>
      </w:r>
      <w:r>
        <w:rPr>
          <w:i/>
          <w:iCs/>
        </w:rPr>
        <w:t xml:space="preserve"> </w:t>
      </w:r>
      <w:proofErr w:type="spellStart"/>
      <w:r>
        <w:rPr>
          <w:i/>
          <w:iCs/>
          <w:lang w:val="en-US"/>
        </w:rPr>
        <w:t>nationella</w:t>
      </w:r>
      <w:proofErr w:type="spellEnd"/>
      <w:r>
        <w:rPr>
          <w:i/>
          <w:iCs/>
        </w:rPr>
        <w:t xml:space="preserve"> </w:t>
      </w:r>
      <w:proofErr w:type="spellStart"/>
      <w:r>
        <w:rPr>
          <w:i/>
          <w:iCs/>
          <w:lang w:val="en-US"/>
        </w:rPr>
        <w:t>minoriteter</w:t>
      </w:r>
      <w:proofErr w:type="spellEnd"/>
      <w:r>
        <w:rPr>
          <w:i/>
          <w:iCs/>
        </w:rPr>
        <w:t>).</w:t>
      </w:r>
      <w:r>
        <w:t xml:space="preserve"> Бюджет составляет 4 млн. шведских крон в год.</w:t>
      </w:r>
    </w:p>
    <w:p w:rsidR="00000000" w:rsidRDefault="00000000"/>
    <w:p w:rsidR="00000000" w:rsidRDefault="00000000">
      <w:r>
        <w:t>489.</w:t>
      </w:r>
      <w:r>
        <w:tab/>
        <w:t>В 2002 году на Национальный совет по делам культуры возложена особая ответственность, и ему выделены специальные бюджетные фонды для оказания содействия развитию языков и культур национальных меньшинств.  Это значительно усилило государственную поддержку культурных центров, библиотек, театров и т.д.</w:t>
      </w:r>
    </w:p>
    <w:p w:rsidR="00000000" w:rsidRDefault="00000000"/>
    <w:p w:rsidR="00000000" w:rsidRDefault="00000000">
      <w:r>
        <w:t>490.</w:t>
      </w:r>
      <w:r>
        <w:tab/>
        <w:t xml:space="preserve">На протяжении многих лет средства из государственного бюджета выделяются парламенту саами для предоставления субсидий неправительственным организациям саами на местном и национальном уровнях, предназначенных для развития образования и исследовательских работ, а также проектов в области культуры саами.  Субсидии распределяются Саамским советом по вопросам культуры в соответствии с установленными парламентом критериями и методами предоставления субсидий.  Усилия по созданию саамского театра, о которых говорится в первом докладе Швеции об осуществлении Рамочной конвенции Совета Европы о защите национальных меньшинств, дали свои результаты, и в настоящее время в Швеции существует саамский театр.  Саамский театр в Швеции, </w:t>
      </w:r>
      <w:r>
        <w:rPr>
          <w:i/>
          <w:iCs/>
          <w:lang w:val="en-US"/>
        </w:rPr>
        <w:t>S</w:t>
      </w:r>
      <w:proofErr w:type="spellStart"/>
      <w:r>
        <w:rPr>
          <w:i/>
          <w:iCs/>
        </w:rPr>
        <w:t>á</w:t>
      </w:r>
      <w:proofErr w:type="spellEnd"/>
      <w:r>
        <w:rPr>
          <w:i/>
          <w:iCs/>
          <w:lang w:val="en-US"/>
        </w:rPr>
        <w:t>mi</w:t>
      </w:r>
      <w:r>
        <w:rPr>
          <w:i/>
          <w:iCs/>
        </w:rPr>
        <w:t xml:space="preserve"> </w:t>
      </w:r>
      <w:r>
        <w:rPr>
          <w:i/>
          <w:iCs/>
          <w:lang w:val="en-US"/>
        </w:rPr>
        <w:t>Te</w:t>
      </w:r>
      <w:proofErr w:type="spellStart"/>
      <w:r>
        <w:rPr>
          <w:i/>
          <w:iCs/>
        </w:rPr>
        <w:t>á</w:t>
      </w:r>
      <w:r>
        <w:rPr>
          <w:i/>
          <w:iCs/>
          <w:lang w:val="en-US"/>
        </w:rPr>
        <w:t>ther</w:t>
      </w:r>
      <w:proofErr w:type="spellEnd"/>
      <w:r>
        <w:rPr>
          <w:i/>
          <w:iCs/>
        </w:rPr>
        <w:t xml:space="preserve">, </w:t>
      </w:r>
      <w:r>
        <w:t xml:space="preserve">получает государственное финансирование с 2001 года.  Саамский театр имеется в </w:t>
      </w:r>
      <w:proofErr w:type="spellStart"/>
      <w:r>
        <w:t>Кируне</w:t>
      </w:r>
      <w:proofErr w:type="spellEnd"/>
      <w:r>
        <w:t xml:space="preserve"> и </w:t>
      </w:r>
      <w:proofErr w:type="spellStart"/>
      <w:r>
        <w:t>Тернабю</w:t>
      </w:r>
      <w:proofErr w:type="spellEnd"/>
      <w:r>
        <w:t xml:space="preserve">, а его управление зарегистрировано в Кируне.  Задача Саамского театра заключается в содействии культурному возрождению и развитию путем представления и поощрения языка саами.  В 2004-2005 годах его деятельность включала организацию совместной постановки совместно с Норвежским саамским театром двух пьес Шекспира на языке саами "Гамлет" и "Макбет" на сцене театра "Ледяной глобус" в </w:t>
      </w:r>
      <w:proofErr w:type="spellStart"/>
      <w:r>
        <w:t>Юккасъярви</w:t>
      </w:r>
      <w:proofErr w:type="spellEnd"/>
      <w:r>
        <w:t>.</w:t>
      </w:r>
    </w:p>
    <w:p w:rsidR="00000000" w:rsidRDefault="00000000"/>
    <w:p w:rsidR="00000000" w:rsidRDefault="00000000">
      <w:r>
        <w:t>491.</w:t>
      </w:r>
      <w:r>
        <w:tab/>
        <w:t xml:space="preserve">Национальный совет по делам культуры предоставлял также субсидии другим учреждениям, включая театр </w:t>
      </w:r>
      <w:proofErr w:type="spellStart"/>
      <w:r>
        <w:rPr>
          <w:i/>
          <w:iCs/>
          <w:lang w:val="en-US"/>
        </w:rPr>
        <w:t>Tornedalsteatern</w:t>
      </w:r>
      <w:proofErr w:type="spellEnd"/>
      <w:r>
        <w:t xml:space="preserve"> (который специализируется на постановке спектаклей на языке </w:t>
      </w:r>
      <w:proofErr w:type="spellStart"/>
      <w:r>
        <w:t>мянкиели</w:t>
      </w:r>
      <w:proofErr w:type="spellEnd"/>
      <w:r>
        <w:t xml:space="preserve">), Финскую культурную ассоциацию для театра </w:t>
      </w:r>
      <w:proofErr w:type="spellStart"/>
      <w:r>
        <w:rPr>
          <w:i/>
          <w:iCs/>
          <w:lang w:val="en-US"/>
        </w:rPr>
        <w:t>Uusi</w:t>
      </w:r>
      <w:proofErr w:type="spellEnd"/>
      <w:r>
        <w:rPr>
          <w:i/>
          <w:iCs/>
        </w:rPr>
        <w:t xml:space="preserve"> </w:t>
      </w:r>
      <w:proofErr w:type="spellStart"/>
      <w:r>
        <w:rPr>
          <w:i/>
          <w:iCs/>
          <w:lang w:val="en-US"/>
        </w:rPr>
        <w:t>Teatteri</w:t>
      </w:r>
      <w:proofErr w:type="spellEnd"/>
      <w:r>
        <w:t xml:space="preserve"> (постановка спектаклей на финском языке), Культурный центр рома (</w:t>
      </w:r>
      <w:proofErr w:type="spellStart"/>
      <w:r>
        <w:rPr>
          <w:lang w:val="en-US"/>
        </w:rPr>
        <w:t>RKC</w:t>
      </w:r>
      <w:proofErr w:type="spellEnd"/>
      <w:r>
        <w:t>) в</w:t>
      </w:r>
      <w:r>
        <w:rPr>
          <w:lang w:val="en-US"/>
        </w:rPr>
        <w:t> </w:t>
      </w:r>
      <w:r>
        <w:t>Стокгольме, библиотеку рома в Мальмё и Религиозную еврейскую общину.  Это - лишь некоторые организации, которые получают государственные субсидии на развитие культуры.  Национальный совет по делам культуры проводит консультации с представителями национальных меньшинств по вопросам, касающимся распределения субсидий, а также культуры и языков национальных меньшинств.  Частично такие консультации проводятся с участием Шведского бюро менее используемых языков (</w:t>
      </w:r>
      <w:r>
        <w:rPr>
          <w:lang w:val="en-US"/>
        </w:rPr>
        <w:t>SWEBLUL</w:t>
      </w:r>
      <w:r>
        <w:t>), которое является национальным комитетом Европейского бюро менее используемых языков.  Консультации проводятся в различной форме.  Так, например, Шведское бюро менее используемых языков направляет бланки заявок на получение субсидий в представляющие национальные меньшинства организации, которые могут рекомендовать кандидатов для предоставления государственных средств.  Их мнение учитывается при выработке Советом окончательного плана распределения субсидий.</w:t>
      </w:r>
    </w:p>
    <w:p w:rsidR="00000000" w:rsidRDefault="00000000"/>
    <w:p w:rsidR="00000000" w:rsidRDefault="00000000">
      <w:r>
        <w:t>492.</w:t>
      </w:r>
      <w:r>
        <w:tab/>
        <w:t>В Соглашении о кинопрокате 2000 года включены положения о специальных субсидиях для покрытия расходов, связанных с добавлением субтитров на шведском языке в кино- и видеофильмы, а также с включением расширенного звукового ряда в кинофильмы для лиц с нарушенным зрением.  Это позволило расширить возможности лиц с ослабленным зрением и слухом знакомиться с новыми шведскими фильмами через кино- и видеопрокат.  Объем субсидий на эти цели составил приблизительно 1,5 млн. шведских крон в 2004 году.  1 января 2006 года вступило в силу новое Соглашение о видеопрокате.  Положения, касающиеся предоставления субсидий на устный перевод и перевод на язык жестов, выведены из действующего соглашения.  Взамен этого ответственность за распределение и использование субсидий возложена на Шведский институт кинематографии.  Цель заключается в том, чтобы расширить доступ к кинофильмам для инвалидов и лиц, принадлежащих к группам языковых национальных меньшинств.  Приоритетное внимание уделяется фильмам для детей и молодежи.</w:t>
      </w:r>
    </w:p>
    <w:p w:rsidR="00000000" w:rsidRDefault="00000000"/>
    <w:p w:rsidR="00000000" w:rsidRDefault="00000000">
      <w:r>
        <w:t>493.</w:t>
      </w:r>
      <w:r>
        <w:tab/>
        <w:t xml:space="preserve">Задача Шведской библиотеки </w:t>
      </w:r>
      <w:proofErr w:type="spellStart"/>
      <w:r>
        <w:t>аудиокниг</w:t>
      </w:r>
      <w:proofErr w:type="spellEnd"/>
      <w:r>
        <w:t xml:space="preserve"> и книг для слепых (ТРВ) заключается в том, чтобы литература стала доступной для инвалидов.  Целью является выпуск аудиокниг на уровне 25% годового объема публикаций.  Объем субсидий, предназначенных для выпуска аудиогазет, составил в 2006 году 126,4 млн. шведских крон.  Центр комфортного чтения представляет собой фонд, занимающийся вопросами выпуска новостей и информации в удобной для чтения форме.  Он выпускает легко читаемую газету ("8 СТРАНИЦ)"), которую еженедельно читают около 130 000 человек, испытывающих трудности при чтении или имеющих другие функциональные недостатки.  Что касается литературных произведений, то фонд опубликовал более 750 наименований.  Центр комфортного чтения предназначен выполнять роль центра передовых технологий в области облегчения чтения и восприятия печатной информации.</w:t>
      </w:r>
    </w:p>
    <w:p w:rsidR="00000000" w:rsidRDefault="00000000"/>
    <w:p w:rsidR="00000000" w:rsidRDefault="00000000">
      <w:r>
        <w:t>494.</w:t>
      </w:r>
      <w:r>
        <w:tab/>
        <w:t>Правительство представило в риксдаг предложение по новым условиям функционирования государственного радио- и телевещания, осуществляемого Шведским радио (</w:t>
      </w:r>
      <w:r>
        <w:rPr>
          <w:lang w:val="en-US"/>
        </w:rPr>
        <w:t>Sveriges</w:t>
      </w:r>
      <w:r>
        <w:t xml:space="preserve"> </w:t>
      </w:r>
      <w:r>
        <w:rPr>
          <w:lang w:val="en-US"/>
        </w:rPr>
        <w:t>Radio</w:t>
      </w:r>
      <w:r>
        <w:t xml:space="preserve"> </w:t>
      </w:r>
      <w:r>
        <w:rPr>
          <w:lang w:val="en-US"/>
        </w:rPr>
        <w:t>AB</w:t>
      </w:r>
      <w:r>
        <w:t>) и Шведской образовательной радиовещательной компанией (</w:t>
      </w:r>
      <w:r>
        <w:rPr>
          <w:lang w:val="en-US"/>
        </w:rPr>
        <w:t>Sveriges</w:t>
      </w:r>
      <w:r>
        <w:t xml:space="preserve"> </w:t>
      </w:r>
      <w:r>
        <w:rPr>
          <w:lang w:val="en-US"/>
        </w:rPr>
        <w:t>Utbildningsradio</w:t>
      </w:r>
      <w:r>
        <w:t xml:space="preserve"> </w:t>
      </w:r>
      <w:r>
        <w:rPr>
          <w:lang w:val="en-US"/>
        </w:rPr>
        <w:t>AB</w:t>
      </w:r>
      <w:r>
        <w:t>) в течение следующего лицензионного периода, начинающегося 1 января 2007 года и заканчивающегося 31 декабря 2012 года (правительственный законопроект 2005/06:112).  Правительство предлагает повысить уровень требований к компаниям в отношении вещания с субтитрами для облегчения восприятия инвалидами транслируемых программ посредством применения субтитров, а также продолжить работу по расширению доступа к транслируемым программам.</w:t>
      </w:r>
    </w:p>
    <w:p w:rsidR="00000000" w:rsidRDefault="00000000"/>
    <w:p w:rsidR="00000000" w:rsidRDefault="00000000">
      <w:r>
        <w:t>495.</w:t>
      </w:r>
      <w:r>
        <w:tab/>
        <w:t>Возросли требования к использованию субтитров.  Потребности в использовании субтитров на Шведском телевидении (</w:t>
      </w:r>
      <w:r>
        <w:rPr>
          <w:lang w:val="en-US"/>
        </w:rPr>
        <w:t>Swedish</w:t>
      </w:r>
      <w:r>
        <w:t xml:space="preserve"> </w:t>
      </w:r>
      <w:r>
        <w:rPr>
          <w:lang w:val="en-US"/>
        </w:rPr>
        <w:t>Television</w:t>
      </w:r>
      <w:r>
        <w:t>/</w:t>
      </w:r>
      <w:proofErr w:type="spellStart"/>
      <w:r>
        <w:rPr>
          <w:lang w:val="en-US"/>
        </w:rPr>
        <w:t>Sveriges</w:t>
      </w:r>
      <w:proofErr w:type="spellEnd"/>
      <w:r>
        <w:t xml:space="preserve"> </w:t>
      </w:r>
      <w:r>
        <w:rPr>
          <w:lang w:val="en-US"/>
        </w:rPr>
        <w:t>Television</w:t>
      </w:r>
      <w:r>
        <w:t xml:space="preserve">) в случае трансляции собственно шведских программ возросли с 50 до </w:t>
      </w:r>
      <w:proofErr w:type="spellStart"/>
      <w:r>
        <w:t>65%</w:t>
      </w:r>
      <w:proofErr w:type="spellEnd"/>
      <w:r>
        <w:t>.  Долгосрочная цель заключается в обеспечении доступности всех программ с субтитрами для всех жителей Швеции.  В дополнение к обычным субсидиям Шведскому телевидению выделено в 2002 году 10 млн. шведских крон для финансирования инициатив, направленных на расширение доступа инвалидов к транслируемым программам.  Государственные радио- и телевещательные компании обязаны ежегодно отчитываться перед контролирующими их государственными органами о соблюдении ими стандартов, установленных в их лицензиях на вещание.</w:t>
      </w:r>
    </w:p>
    <w:p w:rsidR="00000000" w:rsidRDefault="00000000"/>
    <w:p w:rsidR="00000000" w:rsidRDefault="00000000">
      <w:r>
        <w:t>496.</w:t>
      </w:r>
      <w:r>
        <w:tab/>
        <w:t>С конца 2005 года 260 из 290 крупнейших библиотек провели опись помещений и подготовили планы действий с использованием средств, выделяемых Национальным советом по делам культуры.  В партнерстве с Центром комфортного чтения Национальный совет по общественным делам обеспечивает подготовку работников учреждений в сфере культуры по составлению легко воспринимаемых текстов.  Работа подготовительных курсов будет продолжаться в 2006 году.</w:t>
      </w:r>
    </w:p>
    <w:p w:rsidR="00000000" w:rsidRDefault="00000000"/>
    <w:p w:rsidR="00000000" w:rsidRDefault="00000000">
      <w:r>
        <w:t>497.</w:t>
      </w:r>
      <w:r>
        <w:tab/>
        <w:t>Правительство представило в риксдаг предложение по новым условиям функционирования государственного радио- и телевещания, осуществляемого Шведским радио (</w:t>
      </w:r>
      <w:r>
        <w:rPr>
          <w:lang w:val="en-US"/>
        </w:rPr>
        <w:t>Sveriges</w:t>
      </w:r>
      <w:r>
        <w:t xml:space="preserve"> </w:t>
      </w:r>
      <w:r>
        <w:rPr>
          <w:lang w:val="en-US"/>
        </w:rPr>
        <w:t>Radio</w:t>
      </w:r>
      <w:r>
        <w:t xml:space="preserve"> </w:t>
      </w:r>
      <w:r>
        <w:rPr>
          <w:lang w:val="en-US"/>
        </w:rPr>
        <w:t>AB</w:t>
      </w:r>
      <w:r>
        <w:t>) и Шведской образовательной радиовещательной компанией (</w:t>
      </w:r>
      <w:r>
        <w:rPr>
          <w:lang w:val="en-US"/>
        </w:rPr>
        <w:t>Sveriges</w:t>
      </w:r>
      <w:r>
        <w:t xml:space="preserve"> </w:t>
      </w:r>
      <w:r>
        <w:rPr>
          <w:lang w:val="en-US"/>
        </w:rPr>
        <w:t>Utbildningsradio</w:t>
      </w:r>
      <w:r>
        <w:t xml:space="preserve"> </w:t>
      </w:r>
      <w:r>
        <w:rPr>
          <w:lang w:val="en-US"/>
        </w:rPr>
        <w:t>AB</w:t>
      </w:r>
      <w:r>
        <w:t>) в течение следующего лицензионного периода, начинающегося 1 января 2007 года и заканчивающегося 31 декабря 2012 года (правительственный законопроект 2005/06:112).  Правительство предлагает повысить уровень требований к компаниям в отношении вещания с субтитрами для облегчения восприятия инвалидами транслируемых программ посредством применения субтитров, а также продолжить работу по расширению доступа к транслируемым программам.</w:t>
      </w:r>
    </w:p>
    <w:p w:rsidR="00000000" w:rsidRDefault="00000000"/>
    <w:p w:rsidR="00000000" w:rsidRDefault="00000000">
      <w:r>
        <w:t>498.</w:t>
      </w:r>
      <w:r>
        <w:tab/>
        <w:t>Государственные полномочия в сфере культурной жизни определяются ограниченным количеством законодательных актов, например законами о сохранении объектов культурного наследия, об архивном деле и телерадиовещании.  Кроме того, действует законодательство, касающееся свободы печати, авторского права и теле- и радиовещания.</w:t>
      </w:r>
    </w:p>
    <w:p w:rsidR="00000000" w:rsidRDefault="00000000"/>
    <w:p w:rsidR="00000000" w:rsidRDefault="00000000">
      <w:r>
        <w:t>499.</w:t>
      </w:r>
      <w:r>
        <w:tab/>
        <w:t>В соответствии с целями политики в области культуры, принятыми в 1974 году, начиная с середины 1970-х годов, благодаря системе государственных субсидий, получили развитие региональные учреждения.  В результате этого в настоящее время в стране существует сеть культурных учреждений и созданы различные формы поддержки местных видов художественного творчества, а также исполнителей художественных произведений.  В целях поддержки деятелей культуры и обеспечения условий для их работы в стране создана система различных видов субсидий и финансирования.  Общественные организации в сфере культуры и организации деятелей культуры, а также подобные учреждения играют важную роль в реализации политики в сфере культуры.  В связи с этим государство, муниципальные органы и ленские советы оказывают широкую поддержку деятельности в области культуры, проводимой неправительственными организациями.</w:t>
      </w:r>
    </w:p>
    <w:p w:rsidR="00000000" w:rsidRDefault="00000000"/>
    <w:p w:rsidR="00000000" w:rsidRDefault="00000000">
      <w:r>
        <w:t>500.</w:t>
      </w:r>
      <w:r>
        <w:tab/>
        <w:t>В 1996 году риксдаг утвердил новые задачи политики в области культуры.  Национальные задачи применяются ко всем сферам общественной жизни в рамках деятельности на уровне государства, муниципалитетов и ленских советов.  Эти задачи имеют также важнейшее значение для принятия соответствующих мер в таких областях, как дошкольное воспитание, школьное обучение, социальное планирование, а также развитие на региональном и местном уровне и представляют собой комплексные национальные рамки руководящих принципов.  Эти задачи направлены также на то, чтобы разъяснить роль и ответственность органов государственной власти в областях, в которых отсутствует общее правовое регулирование.</w:t>
      </w:r>
    </w:p>
    <w:p w:rsidR="00000000" w:rsidRDefault="00000000"/>
    <w:p w:rsidR="00000000" w:rsidRDefault="00000000">
      <w:r>
        <w:t>501.</w:t>
      </w:r>
      <w:r>
        <w:tab/>
        <w:t>Эти задачи заключаются в следующем:  обеспечение осуществления права на свободу выражения мнений и создание реальных возможностей для реализации всеми гражданами этого права;  предоставление каждому человеку возможности участвовать в культурной жизни и пользоваться достижениями культуры, а также заниматься творческой деятельностью;  поощрение культурного многообразия, возрождения художественного творчества и создания в этой области произведений высокого качества в целях противодействия негативным последствиям практики коммерциализации;  обеспечение возможностей для того, чтобы культура играла роль динамичного, стимулирующего и независимого фактора общественного прогресса;  охрана и использование культурного наследия;  поощрение просветительской работы в сфере культуры;  и содействие международному культурному обмену и контактам между представителями различных культур в Швеции.</w:t>
      </w:r>
    </w:p>
    <w:p w:rsidR="00000000" w:rsidRDefault="00000000"/>
    <w:p w:rsidR="00000000" w:rsidRDefault="00000000">
      <w:r>
        <w:t>502.</w:t>
      </w:r>
      <w:r>
        <w:tab/>
        <w:t>Правительство объявило 2006 год Годом культурного многообразия в целях повышения степени понимания важности этнического и культурного разнообразия в культурной жизни.  Цель заключается в развитии этнического и культурного многообразия в рамках финансируемой государством деятельности в сфере культуры по активизации начальных мероприятий Года культурного многообразия 2006.  Это означает, в частности, что все виды деятельности в сфере культуры должны носить многосторонний характер и что доля деятелей искусства, исполнителей и работников, занятых в сфере культуры, из среды лиц нешведского происхождения или меньшинств должна постоянно возрастать и в процентном отношении представлять собой более значительную часть лиц, профессионально занятых во всех сферах культурной жизни, финансируемой государством.</w:t>
      </w:r>
    </w:p>
    <w:p w:rsidR="00000000" w:rsidRDefault="00000000"/>
    <w:p w:rsidR="00000000" w:rsidRDefault="00000000">
      <w:r>
        <w:t>503.</w:t>
      </w:r>
      <w:r>
        <w:tab/>
        <w:t xml:space="preserve">Закон о библиотечном деле, принятый в 1996 году, который, в частности, гарантирует бесплатную выдачу книг, получил дальнейшее развитие после 2005 года, с тем чтобы укрепить сотрудничество в этой сфере и обязать муниципальные органы и </w:t>
      </w:r>
      <w:proofErr w:type="spellStart"/>
      <w:r>
        <w:t>ленские</w:t>
      </w:r>
      <w:proofErr w:type="spellEnd"/>
      <w:r>
        <w:t xml:space="preserve"> советы разработать специальные планы развития библиотек в целях содействия повышению эффективности их работы и справедливому распределению ресурсов библиотек.</w:t>
      </w:r>
    </w:p>
    <w:p w:rsidR="00000000" w:rsidRDefault="00000000"/>
    <w:p w:rsidR="00000000" w:rsidRDefault="00000000">
      <w:r>
        <w:t>504.</w:t>
      </w:r>
      <w:r>
        <w:tab/>
        <w:t>В 2005 году было введение бесплатного посещения большинства государственных музеев в качестве меры, направленной на обеспечение доступа всех граждан к культурному наследию.  Другим приоритетным вопросом является развитие форм работы культурных учреждений по распространению и передаче знаний под их руководством для привлечения в музеи новых групп посетителей.  В этих целях в 2005 году был начат новый этап реализации инициативы в сфере музейного образования, которую правительство проводило уже на протяжении ряда лет.</w:t>
      </w:r>
    </w:p>
    <w:p w:rsidR="00000000" w:rsidRDefault="00000000"/>
    <w:p w:rsidR="00000000" w:rsidRDefault="00000000">
      <w:r>
        <w:t>505.</w:t>
      </w:r>
      <w:r>
        <w:tab/>
        <w:t>Культура для молодежи будет культурной темой года в Швеции в 2007 году - "Молодежная культура 07".  "Молодежная культура 07" последует за Годом культурного многообразия (2006 год) в качестве четвертого года тематических лет в области культуры, утвержденных правительством.  В долгосрочном плане "Молодежная культура 07" направлена на то, чтобы укреплять различные виды искусства и деятельности в сфере культуры для детей и молодежи, посредством их участия и вместе с ними в целях содействия установлению партнерских связей и созданию сетей для более эффективного использования ресурсов, укрепления и распространения передовых методов, а также придания приоритетного значения вопросам детского и молодежного творчества и повышения влияния и расширения участия молодежи в культурной жизни.</w:t>
      </w:r>
    </w:p>
    <w:p w:rsidR="00000000" w:rsidRDefault="00000000"/>
    <w:p w:rsidR="00000000" w:rsidRDefault="00000000">
      <w:r>
        <w:t>506.</w:t>
      </w:r>
      <w:r>
        <w:tab/>
        <w:t xml:space="preserve">В декабре 2005 года риксдаг одобрил следующие цели национальной политики в языковой сфере:  шведский язык является основным языком в Швеции;  шведский язык является всеохватным языком, обслуживающим и объединяющим общество;  шведский язык является высокоразвитым, простым и понятным языком;  и каждый имеет право пользоваться языком, принимать участие в развитии шведского языка и в изучении шведского языка, принимать участие в развитии и использовании своего собственного родного языка и языка национального меньшинства, а также иметь возможность изучать иностранные языки.  В целях достижения этих задач языковой политики с 1 июля 2006 года будет осуществляться координация деятельности и укрепление финансируемого государством органа, занимающегося вопросами сохранения языков.  Под руководством научно-исследовательского института по вопросам диалектологии, ономатологии и народного творчества, являющегося государственным учреждением, будут созданы и внедрены новые и более широкие формы финансирования развития шведского языка, шведского языка жестов, признаваемых в Швеции языков меньшинств:  финского, </w:t>
      </w:r>
      <w:proofErr w:type="spellStart"/>
      <w:r>
        <w:t>мянкиели</w:t>
      </w:r>
      <w:proofErr w:type="spellEnd"/>
      <w:r>
        <w:t>, цыганского языка "</w:t>
      </w:r>
      <w:proofErr w:type="spellStart"/>
      <w:r>
        <w:t>чиб</w:t>
      </w:r>
      <w:proofErr w:type="spellEnd"/>
      <w:r>
        <w:t>" и идиш.  Саамский парламент по</w:t>
      </w:r>
      <w:r>
        <w:noBreakHyphen/>
        <w:t xml:space="preserve">прежнему будет отвечать за деятельность по сохранению языка саами.  </w:t>
      </w:r>
    </w:p>
    <w:p w:rsidR="00000000" w:rsidRDefault="00000000"/>
    <w:p w:rsidR="00000000" w:rsidRDefault="00000000">
      <w:r>
        <w:t>507.</w:t>
      </w:r>
      <w:r>
        <w:tab/>
        <w:t>Весной 2006 года правительство представило в риксдаг письменное сообщение по вопросам интернационализации культурной жизни.  Сообщение содержало программу по расширению культурных обменов и заявление о том, что государство поддерживает меры по последовательной интернационализации культурной жизни, в первую очередь в качестве целостного компонента национальной политики в сфере культуры.  Правительство определило долгосрочные задачи по интернационализации культурной жизни, общие пути дальнейшей реализации государственных инициатив и методы распределения ответственности и задач среди соответствующих государственных органов.  Шведские инициативы характеризуются высоким качеством и целостностью подхода к вопросам художественного творчества, носят долгосрочный характер и основаны на практике культурных обменов.</w:t>
      </w:r>
    </w:p>
    <w:p w:rsidR="00000000" w:rsidRDefault="00000000"/>
    <w:p w:rsidR="00000000" w:rsidRDefault="00000000">
      <w:r>
        <w:t>508.</w:t>
      </w:r>
      <w:r>
        <w:tab/>
        <w:t xml:space="preserve">Правительство особо подчеркивает важность тесных партнерских отношений между высшими учебными заведениями и остальной частью общества.  Поправки, внесенные в 1992 году в Закон о высшем образовании, регулируют вопросы, касающиеся развития партнерских связей, и вводят обязанность высших учебных заведений в качестве их третьей задачи наряду с учебной и исследовательской работой информировать общественность о своей деятельности.  Совет по научно-исследовательской деятельности информирует общественность о текущих исследованиях и результатах исследований через </w:t>
      </w:r>
      <w:proofErr w:type="spellStart"/>
      <w:r>
        <w:t>Интернет</w:t>
      </w:r>
      <w:proofErr w:type="spellEnd"/>
      <w:r>
        <w:t xml:space="preserve"> и специальные издания.  Все шведские университеты и колледжи имеют доступ к информации о текущих исследованиях посредством соответствующей базы данных.  Неправительственная организация, называемая "Общественность и наука", получает государственное финансирование, направленное на содействие развитию контактов и обменов между общественностью и научно-исследовательскими учреждениями.</w:t>
      </w:r>
    </w:p>
    <w:p w:rsidR="00000000" w:rsidRDefault="00000000"/>
    <w:p w:rsidR="00000000" w:rsidRDefault="00000000">
      <w:r>
        <w:t>509.</w:t>
      </w:r>
      <w:r>
        <w:tab/>
        <w:t>Конституцией Швеции установлено, что писатели, художники и фотографы имеют права на свои произведения в соответствии с категориями, предусмотренными законом.  Для конкретизации этих положений должен, в частности, существовать закон об авторском праве, принимаемый риксдагом.  Более подробные положения, касающиеся защиты прав писателей, художников и других подобных категорий держателей прав, отражены в Законе об авторском праве на литературные и художественные произведения (1960:729) (Закон об авторском праве).  В закон неоднократно вносились поправки.</w:t>
      </w:r>
    </w:p>
    <w:p w:rsidR="00000000" w:rsidRDefault="00000000"/>
    <w:p w:rsidR="00000000" w:rsidRDefault="00000000">
      <w:r>
        <w:t>510.</w:t>
      </w:r>
      <w:r>
        <w:tab/>
        <w:t>Первого января 1994 года вступил в силу почти полностью пересмотренный вариант второй главы Закона об авторском праве, касающейся ограничений в отношении авторских прав.  В этот закон также неоднократно вносились поправки с целью выполнения различных директив ЕС.  В начале 1993 года была осуществлена Директива Совета о защите компьютерных программ, а директивы, касающиеся прав аренды и кредитования, спутникового и кабельного вещания, а также правовой защиты баз данных, нашли отражение в шведском законодательстве, принятом соответственно в 1995, 1996 и 1997 годах.</w:t>
      </w:r>
    </w:p>
    <w:p w:rsidR="00000000" w:rsidRDefault="00000000"/>
    <w:p w:rsidR="00000000" w:rsidRDefault="00000000">
      <w:r>
        <w:t>511.</w:t>
      </w:r>
      <w:r>
        <w:tab/>
        <w:t>В Закон об авторских правах был внесен и ряд других поправок.  1 июля 1994 года были расширены возможности правовой защиты от нарушений прав интеллектуальной собственности, когда суды были уполномочены выносить запретительные приказы для прекращения таких нарушений.  Две дополнительные поправки к Закону об авторском праве вступили в силу 1 января 1999</w:t>
      </w:r>
      <w:r>
        <w:rPr>
          <w:lang w:val="en-US"/>
        </w:rPr>
        <w:t> </w:t>
      </w:r>
      <w:r>
        <w:t>года.  Первая поправка ввела "отчисления с продаж кассет", предназначенные для выплаты частичной компенсации владельцам прав за разрешенное законом копирование аудио- и видеоматериалов для домашнего пользования.  Вторая поправка содержит положения о "расследованиях нарушений", что позволяет сохранять доказательства по гражданским делам, касающимся нарушений авторских прав.</w:t>
      </w:r>
    </w:p>
    <w:p w:rsidR="00000000" w:rsidRDefault="00000000"/>
    <w:p w:rsidR="00000000" w:rsidRDefault="00000000">
      <w:r>
        <w:t>512.</w:t>
      </w:r>
      <w:r>
        <w:tab/>
        <w:t>Всеобъемлющие поправки к Закону об авторском праве вступили в силу 1 июля 2005 году.  В основе поправок лежат два международных договора и директива ЕС о согласовании некоторых аспектов авторских прав и связанных с ними прав в информационном обществе.  Новые правила направлены на то, чтобы адаптировать законодательство в области авторского права к новым разработкам в сфере цифровых технологий и касаются, в частности, копирования музыкальных произведений, книг и кинофильмов, а также возможностей использования защищенных авторским правом материалов школами, библиотеками и инвалидами.  В соответствии с новыми правилами запрещено также изготовление продукции в обход технических средств защиты материалов, защищенных авторским правом.</w:t>
      </w:r>
    </w:p>
    <w:p w:rsidR="00000000" w:rsidRDefault="00000000">
      <w:pPr>
        <w:spacing w:line="216" w:lineRule="auto"/>
        <w:rPr>
          <w:sz w:val="16"/>
        </w:rPr>
      </w:pPr>
    </w:p>
    <w:p w:rsidR="00000000" w:rsidRDefault="00000000">
      <w:pPr>
        <w:jc w:val="center"/>
        <w:rPr>
          <w:lang w:val="en-US"/>
        </w:rPr>
      </w:pPr>
      <w:r>
        <w:rPr>
          <w:lang w:val="en-US"/>
        </w:rPr>
        <w:t>-</w:t>
      </w:r>
      <w:r>
        <w:t>-----</w:t>
      </w:r>
    </w:p>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OrigGarmnd BT">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Четвертый периодический доклад (</w:t>
      </w:r>
      <w:r>
        <w:rPr>
          <w:lang w:val="en-US"/>
        </w:rPr>
        <w:t>E</w:t>
      </w:r>
      <w:r>
        <w:t>/</w:t>
      </w:r>
      <w:r>
        <w:rPr>
          <w:lang w:val="en-US"/>
        </w:rPr>
        <w:t>C</w:t>
      </w:r>
      <w:r>
        <w:t>.12/4/</w:t>
      </w:r>
      <w:r>
        <w:rPr>
          <w:lang w:val="en-US"/>
        </w:rPr>
        <w:t>Add</w:t>
      </w:r>
      <w:r>
        <w:t xml:space="preserve">.4) в отношении прав, охватываемых статьями 1-15, был рассмотрен Комитетом по экономическим, социальным и культурным правам на его двадцать седьмой сессии в 2001 году (см. документы </w:t>
      </w:r>
      <w:r>
        <w:rPr>
          <w:lang w:val="en-US"/>
        </w:rPr>
        <w:t>E</w:t>
      </w:r>
      <w:r>
        <w:t>/</w:t>
      </w:r>
      <w:r>
        <w:rPr>
          <w:lang w:val="en-US"/>
        </w:rPr>
        <w:t>C</w:t>
      </w:r>
      <w:r>
        <w:t>.12/2001/</w:t>
      </w:r>
      <w:r>
        <w:rPr>
          <w:lang w:val="en-US"/>
        </w:rPr>
        <w:t>SR</w:t>
      </w:r>
      <w:r>
        <w:t xml:space="preserve">.61-62;  </w:t>
      </w:r>
      <w:r>
        <w:rPr>
          <w:lang w:val="en-US"/>
        </w:rPr>
        <w:t>E</w:t>
      </w:r>
      <w:r>
        <w:t>/</w:t>
      </w:r>
      <w:r>
        <w:rPr>
          <w:lang w:val="en-US"/>
        </w:rPr>
        <w:t>C</w:t>
      </w:r>
      <w:r>
        <w:t>.12/1/</w:t>
      </w:r>
      <w:r>
        <w:rPr>
          <w:lang w:val="en-US"/>
        </w:rPr>
        <w:t>Add</w:t>
      </w:r>
      <w:r>
        <w:t>.70).</w:t>
      </w:r>
    </w:p>
    <w:p w:rsidR="00000000" w:rsidRDefault="00000000">
      <w:pPr>
        <w:pStyle w:val="FootnoteText"/>
      </w:pPr>
    </w:p>
  </w:footnote>
  <w:footnote w:id="2">
    <w:p w:rsidR="00000000" w:rsidRDefault="00000000">
      <w:pPr>
        <w:pStyle w:val="FootnoteText"/>
      </w:pPr>
      <w:r>
        <w:rPr>
          <w:rStyle w:val="FootnoteReference"/>
        </w:rPr>
        <w:t>**</w:t>
      </w:r>
      <w:r>
        <w:tab/>
        <w:t>Информация, представленная Швецией в соответствии с руководящими принципами, касающимися первой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.4/</w:t>
      </w:r>
      <w:r>
        <w:rPr>
          <w:lang w:val="en-US"/>
        </w:rPr>
        <w:t>Rev</w:t>
      </w:r>
      <w:r>
        <w:t>.1).</w:t>
      </w:r>
    </w:p>
    <w:p w:rsidR="00000000" w:rsidRDefault="00000000">
      <w:pPr>
        <w:pStyle w:val="FootnoteText"/>
      </w:pPr>
    </w:p>
  </w:footnote>
  <w:footnote w:id="3">
    <w:p w:rsidR="00000000" w:rsidRDefault="00000000">
      <w:pPr>
        <w:pStyle w:val="FootnoteText"/>
        <w:rPr>
          <w:lang w:val="en-US"/>
        </w:rPr>
      </w:pPr>
      <w:r>
        <w:rPr>
          <w:rStyle w:val="FootnoteReference"/>
        </w:rPr>
        <w:t>***</w:t>
      </w:r>
      <w:r>
        <w:t xml:space="preserve"> </w:t>
      </w:r>
      <w:r>
        <w:tab/>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FootnoteText"/>
        <w:rPr>
          <w:lang w:val="en-US"/>
        </w:rPr>
      </w:pPr>
    </w:p>
    <w:p w:rsidR="00000000" w:rsidRDefault="00000000">
      <w:pPr>
        <w:pStyle w:val="FootnoteText"/>
        <w:rPr>
          <w:lang w:val="en-US"/>
        </w:rPr>
      </w:pPr>
    </w:p>
  </w:footnote>
  <w:footnote w:id="4">
    <w:p w:rsidR="00000000" w:rsidRDefault="00000000">
      <w:pPr>
        <w:pStyle w:val="FootnoteText"/>
      </w:pPr>
      <w:r>
        <w:rPr>
          <w:rStyle w:val="FootnoteReference"/>
        </w:rPr>
        <w:footnoteRef/>
      </w:r>
      <w:r>
        <w:t xml:space="preserve"> </w:t>
      </w:r>
      <w:r>
        <w:tab/>
        <w:t>Директива 2000/43/ЕС от 29 июня 2000 года об осуществлении принципа равного обращения с гражданами независимо от их расового или этнического происхождения и Директива 2000/78/ЕС Совета от 27 ноября 2000 года об установлении общей основы для равного обращения в сфере труда и занятий.</w:t>
      </w:r>
    </w:p>
  </w:footnote>
  <w:footnote w:id="5">
    <w:p w:rsidR="00000000" w:rsidRDefault="00000000">
      <w:pPr>
        <w:pStyle w:val="FootnoteText"/>
      </w:pPr>
      <w:r>
        <w:rPr>
          <w:rStyle w:val="FootnoteReference"/>
        </w:rPr>
        <w:footnoteRef/>
      </w:r>
      <w:r>
        <w:t xml:space="preserve"> </w:t>
      </w:r>
      <w:r>
        <w:tab/>
        <w:t>Ввиду реорганизации государственной статистики (</w:t>
      </w:r>
      <w:r>
        <w:rPr>
          <w:lang w:val="en-US"/>
        </w:rPr>
        <w:t>AKU</w:t>
      </w:r>
      <w:r>
        <w:t>) не представляется возможным сопоставить цифры за 2005 год с соответствующими цифрами за другие годы.  В отношении безработицы Статистическое управление Швеции установило, что безработица в целом возросла на 0,4-процентных пункта.  Вместе с тем соответствующие данные не конкретизировались применительно к женщинам и мужчинам.</w:t>
      </w:r>
    </w:p>
  </w:footnote>
  <w:footnote w:id="6">
    <w:p w:rsidR="00000000" w:rsidRDefault="00000000">
      <w:pPr>
        <w:pStyle w:val="FootnoteText"/>
      </w:pPr>
      <w:r>
        <w:rPr>
          <w:rStyle w:val="FootnoteReference"/>
        </w:rPr>
        <w:footnoteRef/>
      </w:r>
      <w:r>
        <w:t xml:space="preserve"> </w:t>
      </w:r>
      <w:r>
        <w:tab/>
        <w:t>Это относится к тем положениям данного закона, которые касаются состояния условий труда (глава 2), общих обязанностей (глава 3), законных полномочий (глава 4), надзорной деятельности (глава 7), наказаний (глава 8) и апелляций (глава 9).  Кроме того, учащиеся и пациенты медицинских учреждений (пункты 1 и 2) приравниваются к работникам по найму в случае применимости к ним некоторых из содержащихся в главе 5 данного закона положений, касающихся несовершеннолетних.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E/C.12/SWE/5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6237"/>
        <w:tab w:val="left" w:pos="7655"/>
      </w:tabs>
      <w:spacing w:line="240" w:lineRule="auto"/>
      <w:rPr>
        <w:lang w:val="en-US"/>
      </w:rPr>
    </w:pPr>
    <w:r>
      <w:rPr>
        <w:lang w:val="en-US"/>
      </w:rPr>
      <w:tab/>
    </w:r>
    <w:r>
      <w:rPr>
        <w:lang w:val="en-US"/>
      </w:rPr>
      <w:tab/>
    </w:r>
    <w:r>
      <w:rPr>
        <w:lang w:val="en-US"/>
      </w:rPr>
      <w:tab/>
      <w:t>E/C.12/SWE/5</w:t>
    </w:r>
  </w:p>
  <w:p w:rsidR="00000000" w:rsidRDefault="00000000">
    <w:pPr>
      <w:pStyle w:val="Header"/>
      <w:tabs>
        <w:tab w:val="clear" w:pos="8306"/>
        <w:tab w:val="left" w:pos="6237"/>
        <w:tab w:val="left" w:pos="7655"/>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AC84114"/>
    <w:lvl w:ilvl="0">
      <w:start w:val="1"/>
      <w:numFmt w:val="bullet"/>
      <w:lvlText w:val=""/>
      <w:lvlJc w:val="left"/>
      <w:pPr>
        <w:tabs>
          <w:tab w:val="num" w:pos="360"/>
        </w:tabs>
        <w:ind w:left="360" w:hanging="360"/>
      </w:pPr>
      <w:rPr>
        <w:rFonts w:ascii="Symbol" w:hAnsi="Symbol" w:hint="default"/>
      </w:rPr>
    </w:lvl>
  </w:abstractNum>
  <w:abstractNum w:abstractNumId="1">
    <w:nsid w:val="05245F0C"/>
    <w:multiLevelType w:val="hybridMultilevel"/>
    <w:tmpl w:val="503470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B5A561E"/>
    <w:multiLevelType w:val="hybridMultilevel"/>
    <w:tmpl w:val="84DC65F8"/>
    <w:lvl w:ilvl="0" w:tplc="C84C9666">
      <w:start w:val="1"/>
      <w:numFmt w:val="bullet"/>
      <w:lvlText w:val=""/>
      <w:lvlJc w:val="left"/>
      <w:pPr>
        <w:tabs>
          <w:tab w:val="num" w:pos="927"/>
        </w:tabs>
        <w:ind w:left="927" w:hanging="360"/>
      </w:pPr>
      <w:rPr>
        <w:rFonts w:ascii="Symbol" w:hAnsi="Symbol"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5">
    <w:nsid w:val="5F076968"/>
    <w:multiLevelType w:val="hybridMultilevel"/>
    <w:tmpl w:val="FE22E564"/>
    <w:lvl w:ilvl="0" w:tplc="04190001">
      <w:start w:val="1"/>
      <w:numFmt w:val="bullet"/>
      <w:lvlText w:val=""/>
      <w:lvlJc w:val="left"/>
      <w:pPr>
        <w:tabs>
          <w:tab w:val="num" w:pos="-402"/>
        </w:tabs>
        <w:ind w:left="-402" w:hanging="360"/>
      </w:pPr>
      <w:rPr>
        <w:rFonts w:ascii="Symbol" w:hAnsi="Symbol" w:hint="default"/>
      </w:rPr>
    </w:lvl>
    <w:lvl w:ilvl="1" w:tplc="04190003" w:tentative="1">
      <w:start w:val="1"/>
      <w:numFmt w:val="bullet"/>
      <w:lvlText w:val="o"/>
      <w:lvlJc w:val="left"/>
      <w:pPr>
        <w:tabs>
          <w:tab w:val="num" w:pos="318"/>
        </w:tabs>
        <w:ind w:left="318" w:hanging="360"/>
      </w:pPr>
      <w:rPr>
        <w:rFonts w:ascii="Courier New" w:hAnsi="Courier New" w:hint="default"/>
      </w:rPr>
    </w:lvl>
    <w:lvl w:ilvl="2" w:tplc="04190005" w:tentative="1">
      <w:start w:val="1"/>
      <w:numFmt w:val="bullet"/>
      <w:lvlText w:val=""/>
      <w:lvlJc w:val="left"/>
      <w:pPr>
        <w:tabs>
          <w:tab w:val="num" w:pos="1038"/>
        </w:tabs>
        <w:ind w:left="1038" w:hanging="360"/>
      </w:pPr>
      <w:rPr>
        <w:rFonts w:ascii="Wingdings" w:hAnsi="Wingdings" w:hint="default"/>
      </w:rPr>
    </w:lvl>
    <w:lvl w:ilvl="3" w:tplc="04190001" w:tentative="1">
      <w:start w:val="1"/>
      <w:numFmt w:val="bullet"/>
      <w:lvlText w:val=""/>
      <w:lvlJc w:val="left"/>
      <w:pPr>
        <w:tabs>
          <w:tab w:val="num" w:pos="1758"/>
        </w:tabs>
        <w:ind w:left="1758" w:hanging="360"/>
      </w:pPr>
      <w:rPr>
        <w:rFonts w:ascii="Symbol" w:hAnsi="Symbol" w:hint="default"/>
      </w:rPr>
    </w:lvl>
    <w:lvl w:ilvl="4" w:tplc="04190003" w:tentative="1">
      <w:start w:val="1"/>
      <w:numFmt w:val="bullet"/>
      <w:lvlText w:val="o"/>
      <w:lvlJc w:val="left"/>
      <w:pPr>
        <w:tabs>
          <w:tab w:val="num" w:pos="2478"/>
        </w:tabs>
        <w:ind w:left="2478" w:hanging="360"/>
      </w:pPr>
      <w:rPr>
        <w:rFonts w:ascii="Courier New" w:hAnsi="Courier New" w:hint="default"/>
      </w:rPr>
    </w:lvl>
    <w:lvl w:ilvl="5" w:tplc="04190005" w:tentative="1">
      <w:start w:val="1"/>
      <w:numFmt w:val="bullet"/>
      <w:lvlText w:val=""/>
      <w:lvlJc w:val="left"/>
      <w:pPr>
        <w:tabs>
          <w:tab w:val="num" w:pos="3198"/>
        </w:tabs>
        <w:ind w:left="3198" w:hanging="360"/>
      </w:pPr>
      <w:rPr>
        <w:rFonts w:ascii="Wingdings" w:hAnsi="Wingdings" w:hint="default"/>
      </w:rPr>
    </w:lvl>
    <w:lvl w:ilvl="6" w:tplc="04190001" w:tentative="1">
      <w:start w:val="1"/>
      <w:numFmt w:val="bullet"/>
      <w:lvlText w:val=""/>
      <w:lvlJc w:val="left"/>
      <w:pPr>
        <w:tabs>
          <w:tab w:val="num" w:pos="3918"/>
        </w:tabs>
        <w:ind w:left="3918" w:hanging="360"/>
      </w:pPr>
      <w:rPr>
        <w:rFonts w:ascii="Symbol" w:hAnsi="Symbol" w:hint="default"/>
      </w:rPr>
    </w:lvl>
    <w:lvl w:ilvl="7" w:tplc="04190003" w:tentative="1">
      <w:start w:val="1"/>
      <w:numFmt w:val="bullet"/>
      <w:lvlText w:val="o"/>
      <w:lvlJc w:val="left"/>
      <w:pPr>
        <w:tabs>
          <w:tab w:val="num" w:pos="4638"/>
        </w:tabs>
        <w:ind w:left="4638" w:hanging="360"/>
      </w:pPr>
      <w:rPr>
        <w:rFonts w:ascii="Courier New" w:hAnsi="Courier New" w:hint="default"/>
      </w:rPr>
    </w:lvl>
    <w:lvl w:ilvl="8" w:tplc="04190005" w:tentative="1">
      <w:start w:val="1"/>
      <w:numFmt w:val="bullet"/>
      <w:lvlText w:val=""/>
      <w:lvlJc w:val="left"/>
      <w:pPr>
        <w:tabs>
          <w:tab w:val="num" w:pos="5358"/>
        </w:tabs>
        <w:ind w:left="5358" w:hanging="360"/>
      </w:pPr>
      <w:rPr>
        <w:rFonts w:ascii="Wingdings" w:hAnsi="Wingdings" w:hint="default"/>
      </w:rPr>
    </w:lvl>
  </w:abstractNum>
  <w:abstractNum w:abstractNumId="6">
    <w:nsid w:val="7C7F6D74"/>
    <w:multiLevelType w:val="hybridMultilevel"/>
    <w:tmpl w:val="92F66F36"/>
    <w:lvl w:ilvl="0" w:tplc="F8C2DEB0">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61"/>
        </w:tabs>
        <w:ind w:left="-261" w:hanging="360"/>
      </w:pPr>
      <w:rPr>
        <w:rFonts w:ascii="Courier New" w:hAnsi="Courier New" w:hint="default"/>
      </w:rPr>
    </w:lvl>
    <w:lvl w:ilvl="2" w:tplc="04190005" w:tentative="1">
      <w:start w:val="1"/>
      <w:numFmt w:val="bullet"/>
      <w:lvlText w:val=""/>
      <w:lvlJc w:val="left"/>
      <w:pPr>
        <w:tabs>
          <w:tab w:val="num" w:pos="459"/>
        </w:tabs>
        <w:ind w:left="459" w:hanging="360"/>
      </w:pPr>
      <w:rPr>
        <w:rFonts w:ascii="Wingdings" w:hAnsi="Wingdings" w:hint="default"/>
      </w:rPr>
    </w:lvl>
    <w:lvl w:ilvl="3" w:tplc="04190001" w:tentative="1">
      <w:start w:val="1"/>
      <w:numFmt w:val="bullet"/>
      <w:lvlText w:val=""/>
      <w:lvlJc w:val="left"/>
      <w:pPr>
        <w:tabs>
          <w:tab w:val="num" w:pos="1179"/>
        </w:tabs>
        <w:ind w:left="1179" w:hanging="360"/>
      </w:pPr>
      <w:rPr>
        <w:rFonts w:ascii="Symbol" w:hAnsi="Symbol" w:hint="default"/>
      </w:rPr>
    </w:lvl>
    <w:lvl w:ilvl="4" w:tplc="04190003" w:tentative="1">
      <w:start w:val="1"/>
      <w:numFmt w:val="bullet"/>
      <w:lvlText w:val="o"/>
      <w:lvlJc w:val="left"/>
      <w:pPr>
        <w:tabs>
          <w:tab w:val="num" w:pos="1899"/>
        </w:tabs>
        <w:ind w:left="1899" w:hanging="360"/>
      </w:pPr>
      <w:rPr>
        <w:rFonts w:ascii="Courier New" w:hAnsi="Courier New" w:hint="default"/>
      </w:rPr>
    </w:lvl>
    <w:lvl w:ilvl="5" w:tplc="04190005" w:tentative="1">
      <w:start w:val="1"/>
      <w:numFmt w:val="bullet"/>
      <w:lvlText w:val=""/>
      <w:lvlJc w:val="left"/>
      <w:pPr>
        <w:tabs>
          <w:tab w:val="num" w:pos="2619"/>
        </w:tabs>
        <w:ind w:left="2619" w:hanging="360"/>
      </w:pPr>
      <w:rPr>
        <w:rFonts w:ascii="Wingdings" w:hAnsi="Wingdings" w:hint="default"/>
      </w:rPr>
    </w:lvl>
    <w:lvl w:ilvl="6" w:tplc="04190001" w:tentative="1">
      <w:start w:val="1"/>
      <w:numFmt w:val="bullet"/>
      <w:lvlText w:val=""/>
      <w:lvlJc w:val="left"/>
      <w:pPr>
        <w:tabs>
          <w:tab w:val="num" w:pos="3339"/>
        </w:tabs>
        <w:ind w:left="3339" w:hanging="360"/>
      </w:pPr>
      <w:rPr>
        <w:rFonts w:ascii="Symbol" w:hAnsi="Symbol" w:hint="default"/>
      </w:rPr>
    </w:lvl>
    <w:lvl w:ilvl="7" w:tplc="04190003" w:tentative="1">
      <w:start w:val="1"/>
      <w:numFmt w:val="bullet"/>
      <w:lvlText w:val="o"/>
      <w:lvlJc w:val="left"/>
      <w:pPr>
        <w:tabs>
          <w:tab w:val="num" w:pos="4059"/>
        </w:tabs>
        <w:ind w:left="4059" w:hanging="360"/>
      </w:pPr>
      <w:rPr>
        <w:rFonts w:ascii="Courier New" w:hAnsi="Courier New" w:hint="default"/>
      </w:rPr>
    </w:lvl>
    <w:lvl w:ilvl="8" w:tplc="04190005" w:tentative="1">
      <w:start w:val="1"/>
      <w:numFmt w:val="bullet"/>
      <w:lvlText w:val=""/>
      <w:lvlJc w:val="left"/>
      <w:pPr>
        <w:tabs>
          <w:tab w:val="num" w:pos="4779"/>
        </w:tabs>
        <w:ind w:left="4779" w:hanging="360"/>
      </w:pPr>
      <w:rPr>
        <w:rFonts w:ascii="Wingdings" w:hAnsi="Wingdings" w:hint="default"/>
      </w:rPr>
    </w:lvl>
  </w:abstractNum>
  <w:num w:numId="1">
    <w:abstractNumId w:val="4"/>
  </w:num>
  <w:num w:numId="2">
    <w:abstractNumId w:val="4"/>
  </w:num>
  <w:num w:numId="3">
    <w:abstractNumId w:val="0"/>
  </w:num>
  <w:num w:numId="4">
    <w:abstractNumId w:val="2"/>
  </w:num>
  <w:num w:numId="5">
    <w:abstractNumId w:val="5"/>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character" w:styleId="Hyperlink">
    <w:name w:val="Hyperlink"/>
    <w:semiHidden/>
    <w:rPr>
      <w:color w:val="0000FF"/>
      <w:u w:val="single"/>
    </w:rPr>
  </w:style>
  <w:style w:type="paragraph" w:customStyle="1" w:styleId="RKnormal">
    <w:name w:val="RKnormal"/>
    <w:basedOn w:val="Normal"/>
    <w:pPr>
      <w:tabs>
        <w:tab w:val="clear" w:pos="567"/>
        <w:tab w:val="clear" w:pos="1134"/>
        <w:tab w:val="clear" w:pos="1701"/>
        <w:tab w:val="clear" w:pos="2268"/>
        <w:tab w:val="clear" w:pos="6237"/>
        <w:tab w:val="left" w:pos="2835"/>
      </w:tabs>
      <w:overflowPunct w:val="0"/>
      <w:autoSpaceDE w:val="0"/>
      <w:autoSpaceDN w:val="0"/>
      <w:adjustRightInd w:val="0"/>
      <w:spacing w:line="240" w:lineRule="atLeast"/>
      <w:textAlignment w:val="baseline"/>
    </w:pPr>
    <w:rPr>
      <w:rFonts w:ascii="OrigGarmnd BT" w:hAnsi="OrigGarmnd BT"/>
      <w:lang w:val="sv-SE"/>
    </w:rPr>
  </w:style>
  <w:style w:type="paragraph" w:styleId="ListBullet">
    <w:name w:val="List Bullet"/>
    <w:basedOn w:val="Normal"/>
    <w:autoRedefine/>
    <w:semiHidden/>
    <w:pPr>
      <w:numPr>
        <w:numId w:val="4"/>
      </w:numPr>
      <w:tabs>
        <w:tab w:val="left" w:pos="1134"/>
        <w:tab w:val="left" w:pos="1701"/>
        <w:tab w:val="left" w:pos="2268"/>
        <w:tab w:val="left" w:pos="62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nskligarattigheter.se/www.humanrights.gov.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44576</Words>
  <Characters>254088</Characters>
  <Application>Microsoft Office Word</Application>
  <DocSecurity>4</DocSecurity>
  <Lines>2117</Lines>
  <Paragraphs>508</Paragraphs>
  <ScaleCrop>false</ScaleCrop>
  <HeadingPairs>
    <vt:vector size="2" baseType="variant">
      <vt:variant>
        <vt:lpstr>Название</vt:lpstr>
      </vt:variant>
      <vt:variant>
        <vt:i4>1</vt:i4>
      </vt:variant>
    </vt:vector>
  </HeadingPairs>
  <TitlesOfParts>
    <vt:vector size="1" baseType="lpstr">
      <vt:lpstr>0644138.doc</vt:lpstr>
    </vt:vector>
  </TitlesOfParts>
  <Company> </Company>
  <LinksUpToDate>false</LinksUpToDate>
  <CharactersWithSpaces>312037</CharactersWithSpaces>
  <SharedDoc>false</SharedDoc>
  <HLinks>
    <vt:vector size="6" baseType="variant">
      <vt:variant>
        <vt:i4>6226031</vt:i4>
      </vt:variant>
      <vt:variant>
        <vt:i4>16</vt:i4>
      </vt:variant>
      <vt:variant>
        <vt:i4>0</vt:i4>
      </vt:variant>
      <vt:variant>
        <vt:i4>5</vt:i4>
      </vt:variant>
      <vt:variant>
        <vt:lpwstr>http://www.manskligarattigheter.se/_x000b_www.humanrights.gov.se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0644138.doc</dc:title>
  <dc:subject>Klokov</dc:subject>
  <dc:creator>TDudnikova</dc:creator>
  <cp:keywords/>
  <dc:description/>
  <cp:lastModifiedBy>TDudnikova</cp:lastModifiedBy>
  <cp:revision>3</cp:revision>
  <cp:lastPrinted>2006-11-17T12:28:00Z</cp:lastPrinted>
  <dcterms:created xsi:type="dcterms:W3CDTF">2006-11-17T12:27:00Z</dcterms:created>
  <dcterms:modified xsi:type="dcterms:W3CDTF">2006-11-17T12:28:00Z</dcterms:modified>
</cp:coreProperties>
</file>