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04.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40231</w:t>
                  </w:r>
                  <w:r>
                    <w:rPr>
                      <w:lang w:val="en-US"/>
                    </w:rPr>
                    <w:fldChar w:fldCharType="end"/>
                  </w:r>
                  <w:r>
                    <w:rPr>
                      <w:lang w:val="en-US"/>
                    </w:rPr>
                    <w:t xml:space="preserve">   (R)</w:t>
                  </w:r>
                  <w:r>
                    <w:rPr>
                      <w:lang w:val="en-US"/>
                    </w:rPr>
                    <w:tab/>
                    <w:t>030203   0</w:t>
                  </w:r>
                  <w:r>
                    <w:t>7</w:t>
                  </w:r>
                  <w:r>
                    <w:rPr>
                      <w:lang w:val="en-US"/>
                    </w:rPr>
                    <w:t>0203</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rPr>
                <w:sz w:val="20"/>
              </w:rPr>
            </w:pPr>
          </w:p>
          <w:p w:rsidR="00000000" w:rsidRDefault="00000000">
            <w:pPr>
              <w:rPr>
                <w:sz w:val="20"/>
              </w:rPr>
            </w:pPr>
          </w:p>
          <w:p w:rsidR="00000000" w:rsidRDefault="00000000">
            <w:pPr>
              <w:jc w:val="center"/>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E/C.12/2002/11</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20 January 2003</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rPr>
          <w:lang w:val="en-US"/>
        </w:rPr>
      </w:pPr>
    </w:p>
    <w:p w:rsidR="00000000" w:rsidRDefault="00000000">
      <w:pPr>
        <w:spacing w:line="240" w:lineRule="auto"/>
      </w:pPr>
      <w:r>
        <w:t>КОМИТЕТ ПО ЭКОНОМИЧЕСКИМ, СОЦИАЛЬНЫМ</w:t>
      </w:r>
    </w:p>
    <w:p w:rsidR="00000000" w:rsidRDefault="00000000">
      <w:pPr>
        <w:spacing w:line="240" w:lineRule="auto"/>
      </w:pPr>
      <w:r>
        <w:t>И КУЛЬТУРНЫМ ПРАВАМ</w:t>
      </w:r>
    </w:p>
    <w:p w:rsidR="00000000" w:rsidRDefault="00000000">
      <w:pPr>
        <w:spacing w:line="240" w:lineRule="auto"/>
      </w:pPr>
      <w:r>
        <w:t>Двадцать девятая сессия</w:t>
      </w:r>
    </w:p>
    <w:p w:rsidR="00000000" w:rsidRDefault="00000000">
      <w:pPr>
        <w:spacing w:line="240" w:lineRule="auto"/>
      </w:pPr>
      <w:r>
        <w:t>Женева, 11-29 ноября 2002 года</w:t>
      </w:r>
    </w:p>
    <w:p w:rsidR="00000000" w:rsidRDefault="00000000">
      <w:pPr>
        <w:spacing w:line="240" w:lineRule="auto"/>
      </w:pPr>
      <w:r>
        <w:t>Пункт 3 повестки дня</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pStyle w:val="BodyTextIndent"/>
        <w:spacing w:line="288" w:lineRule="auto"/>
        <w:ind w:left="567" w:hanging="6"/>
      </w:pPr>
      <w:r>
        <w:t>ВОПРОСЫ СУЩЕСТВА, ВОЗНИКАЮЩИЕ В ХОДЕ ОСУЩЕСТВЛЕНИЯ МЕЖДУНАРОДНОГО ПАКТА ОБ ЭКОНОМИЧЕСКИХ, СОЦИАЛЬНЫХ</w:t>
      </w:r>
    </w:p>
    <w:p w:rsidR="00000000" w:rsidRDefault="00000000">
      <w:pPr>
        <w:pStyle w:val="16"/>
      </w:pPr>
      <w:r>
        <w:t>И КУЛЬТУРНЫХ ПРАВАХ</w:t>
      </w:r>
    </w:p>
    <w:p w:rsidR="00000000" w:rsidRDefault="00000000">
      <w:pPr>
        <w:pStyle w:val="16"/>
      </w:pPr>
    </w:p>
    <w:p w:rsidR="00000000" w:rsidRDefault="00000000">
      <w:pPr>
        <w:pStyle w:val="16"/>
        <w:rPr>
          <w:b/>
          <w:bCs/>
        </w:rPr>
      </w:pPr>
      <w:r>
        <w:rPr>
          <w:b/>
          <w:bCs/>
        </w:rPr>
        <w:t>Замечание общего порядка № 15 (2002)</w:t>
      </w:r>
    </w:p>
    <w:p w:rsidR="00000000" w:rsidRDefault="00000000">
      <w:pPr>
        <w:pStyle w:val="16"/>
        <w:rPr>
          <w:b/>
          <w:bCs/>
        </w:rPr>
      </w:pPr>
    </w:p>
    <w:p w:rsidR="00000000" w:rsidRDefault="00000000">
      <w:pPr>
        <w:pStyle w:val="16"/>
        <w:rPr>
          <w:b/>
          <w:bCs/>
        </w:rPr>
      </w:pPr>
      <w:r>
        <w:rPr>
          <w:b/>
          <w:bCs/>
        </w:rPr>
        <w:t>Право на воду (статьи 11 и 12 Международного пакта об экономических, социальных и культурных правах)</w:t>
      </w:r>
    </w:p>
    <w:p w:rsidR="00000000" w:rsidRDefault="00000000">
      <w:pPr>
        <w:pStyle w:val="16"/>
        <w:rPr>
          <w:b/>
          <w:bCs/>
        </w:rPr>
      </w:pPr>
    </w:p>
    <w:p w:rsidR="00000000" w:rsidRDefault="00000000">
      <w:pPr>
        <w:pStyle w:val="16"/>
        <w:rPr>
          <w:b/>
          <w:bCs/>
        </w:rPr>
      </w:pPr>
      <w:r>
        <w:rPr>
          <w:b/>
          <w:bCs/>
        </w:rPr>
        <w:t>I.</w:t>
      </w:r>
      <w:r>
        <w:rPr>
          <w:b/>
          <w:bCs/>
        </w:rPr>
        <w:tab/>
        <w:t>ВВЕДЕНИЕ</w:t>
      </w:r>
    </w:p>
    <w:p w:rsidR="00000000" w:rsidRDefault="00000000">
      <w:pPr>
        <w:pStyle w:val="16"/>
        <w:rPr>
          <w:b/>
          <w:bCs/>
        </w:rPr>
      </w:pPr>
    </w:p>
    <w:p w:rsidR="00000000" w:rsidRDefault="00000000">
      <w:r>
        <w:t>1.</w:t>
      </w:r>
      <w:r>
        <w:tab/>
        <w:t xml:space="preserve">Вода является ограниченным натуральным ресурсом и фактором, имеющим определяющее благотворное значение для жизни и здоровья населения.  Право человека на воду является обязательным условием для жизни в условиях соблюдения человеческого достоинства.  Это право является непременным условием для осуществления других прав человека.  Комитет постоянно сталкивается с широкомасштабной проблемой отказа в праве на воду в развивающихся, а также в развитых странах.  Свыше миллиарда людей не имеют надлежащего доступа к базовому </w:t>
      </w:r>
    </w:p>
    <w:p w:rsidR="00000000" w:rsidRDefault="00000000">
      <w:r>
        <w:br w:type="page"/>
        <w:t>водоснабжению, при этом несколько миллиардов людей не имеют доступа к адекватным санитарным системам, что является главной причиной заражения воды и возникновения связанных с водой заболеваний</w:t>
      </w:r>
      <w:r>
        <w:rPr>
          <w:rStyle w:val="FootnoteReference"/>
        </w:rPr>
        <w:footnoteReference w:id="1"/>
      </w:r>
      <w:r>
        <w:t>.  Продолжающий процесс заражения, истощения запасов и несправедливого распределения воды способствует распространению нищеты.  Государства-участники имеют право принимать эффективные меры без какой бы то ни было дискриминации по осуществлению права на воду, как это предусматривается в настоящем замечании общего порядка.</w:t>
      </w:r>
    </w:p>
    <w:p w:rsidR="00000000" w:rsidRDefault="00000000"/>
    <w:p w:rsidR="00000000" w:rsidRDefault="00000000">
      <w:pPr>
        <w:rPr>
          <w:i/>
          <w:iCs/>
        </w:rPr>
      </w:pPr>
      <w:r>
        <w:rPr>
          <w:i/>
          <w:iCs/>
        </w:rPr>
        <w:t>Правовые основы права на воду</w:t>
      </w:r>
    </w:p>
    <w:p w:rsidR="00000000" w:rsidRDefault="00000000">
      <w:pPr>
        <w:rPr>
          <w:i/>
          <w:iCs/>
        </w:rPr>
      </w:pPr>
    </w:p>
    <w:p w:rsidR="00000000" w:rsidRDefault="00000000">
      <w:r>
        <w:t>2.</w:t>
      </w:r>
      <w:r>
        <w:tab/>
        <w:t>Право человека на воду предполагает обеспечение каждому человеку достаточного количества безвредной и доступной в экономическом и физическом плане питьевой воды для удовлетворения его повседневных потребностей.  Адекватное количество безвредной воды является необходимым условием для предупреждения смерти от обезвоживания, сокращения риска заболеваний, связанных с некачественной водой, и повседневного ее потребления, потребления для целей приготовления пищи, личной гигиены и в хозяйственных санитарно-гигиенических нуждах.</w:t>
      </w:r>
    </w:p>
    <w:p w:rsidR="00000000" w:rsidRDefault="00000000"/>
    <w:p w:rsidR="00000000" w:rsidRDefault="00000000">
      <w:r>
        <w:t>3.</w:t>
      </w:r>
      <w:r>
        <w:tab/>
        <w:t>В пункте 1 статьи 11 Пакта конкретно указывается ряд прав, вытекающих из права на достаточный жизненный уровень и необходимых для осуществления этого права, включая "достаточное питание, одежду и жилище".  Слово "включая" свидетельствует о том, что данный перечень отнюдь не является исчерпывающим.  Право на воду, безусловно, относится к категории гарантий, необходимых для обеспечения достаточного жизненного уровня, особенно с учетом того, что вода является важнейшей предпосылкой выживания.  Кроме того, ранее Комитет уже признал, что право на воду является одним из прав человека по смыслу пункта 1 статьи 11 (см. Замечание общего порядка № 6 (1995))</w:t>
      </w:r>
      <w:r>
        <w:rPr>
          <w:rStyle w:val="FootnoteReference"/>
        </w:rPr>
        <w:footnoteReference w:id="2"/>
      </w:r>
      <w:r>
        <w:t>.  Право на воду также неразрывно связано с правом на наивысший достижимый уровень здоровья (пункт 1 статьи 12)</w:t>
      </w:r>
      <w:r>
        <w:rPr>
          <w:rStyle w:val="FootnoteReference"/>
        </w:rPr>
        <w:footnoteReference w:id="3"/>
      </w:r>
      <w:r>
        <w:t xml:space="preserve"> и правами на достаточное жилище и достаточное питание (пункт 1 статьи 11)</w:t>
      </w:r>
      <w:r>
        <w:rPr>
          <w:rStyle w:val="FootnoteReference"/>
        </w:rPr>
        <w:footnoteReference w:id="4"/>
      </w:r>
      <w:r>
        <w:t>.  Данное право надлежит также рассматривать в сочетании с другими правами, закрепленными в Международном билле о правах человека, и прежде всего с правом на жизнь и человеческое достоинство.</w:t>
      </w:r>
    </w:p>
    <w:p w:rsidR="00000000" w:rsidRDefault="00000000"/>
    <w:p w:rsidR="00000000" w:rsidRDefault="00000000">
      <w:r>
        <w:t>4.</w:t>
      </w:r>
      <w:r>
        <w:tab/>
        <w:t>Право на воду признается в целом ряде международных документов, включая договоры, декларации и другие стандарты</w:t>
      </w:r>
      <w:r>
        <w:rPr>
          <w:rStyle w:val="FootnoteReference"/>
        </w:rPr>
        <w:footnoteReference w:id="5"/>
      </w:r>
      <w:r>
        <w:t>.</w:t>
      </w:r>
    </w:p>
    <w:p w:rsidR="00000000" w:rsidRDefault="00000000">
      <w:r>
        <w:br w:type="page"/>
        <w:t>Так, например, статья 14, пункт 2, Конвенции о ликвидации всех форм дискриминации в отношении женщин гласит, что государства-участники обязуются обеспечить право женщин "пользоваться надлежащими условиями жизни, особенно […] водоснабжением".  Пункт 2 статьи 24 Конвенции о правах ребенка обязывает государства-участники принимать меры для борьбы с болезнями и недоеданием "путем… предоставления достаточно питательного продовольствия и чистой питьевой воды".</w:t>
      </w:r>
    </w:p>
    <w:p w:rsidR="00000000" w:rsidRDefault="00000000"/>
    <w:p w:rsidR="00000000" w:rsidRDefault="00000000">
      <w:r>
        <w:t>5.</w:t>
      </w:r>
      <w:r>
        <w:tab/>
        <w:t>Вопрос о праве на воду регулярно поднимается Комитетом в процессе рассмотрения им докладов государств-участников в соответствии с его пересмотренными общими руководящими принципами в отношении представления докладов и замечаниями общего характера, а также содержания докладов, подлежащих представлению государствами-участниками в соответствии со статьями 16 и 17 Международного пакта об экономических, социальных и культурных правах и его замечаниях общего порядка.</w:t>
      </w:r>
    </w:p>
    <w:p w:rsidR="00000000" w:rsidRDefault="00000000"/>
    <w:p w:rsidR="00000000" w:rsidRDefault="00000000">
      <w:r>
        <w:t>6.</w:t>
      </w:r>
      <w:r>
        <w:tab/>
        <w:t>В контексте реализации множества закрепленных в Пакте прав вода необходима для целого ряда целей, помимо целей личного и бытового назначения.  Так, например, вода необходима для производства продовольствия (право на достаточное питание) и обеспечения надлежащих санитарно-гигиенических условий (право на здоровье).  Вода имеет крайне важное значение для обеспечения средств существования (обеспечение права на жизнь с помощью труда) и имеет определенное значение в культурной практике (право на участие в культурной жизни).  Тем не менее приоритетное значение при распределении воды необходимо отдавать праву на доступ к воде для личных и хозяйственных целей.  Кроме того, приоритетное внимание следует уделять водным ресурсам, необходимым для предупреждения голода и заболеваний, а также обеспечению водоснабжения, необходимому для выполнения ключевых обязательств по каждому из предусмотренных в Пакте прав</w:t>
      </w:r>
      <w:r>
        <w:rPr>
          <w:rStyle w:val="FootnoteReference"/>
        </w:rPr>
        <w:footnoteReference w:id="6"/>
      </w:r>
      <w:r>
        <w:t>.</w:t>
      </w:r>
    </w:p>
    <w:p w:rsidR="00000000" w:rsidRDefault="00000000"/>
    <w:p w:rsidR="00000000" w:rsidRDefault="00000000">
      <w:pPr>
        <w:pStyle w:val="12"/>
        <w:jc w:val="left"/>
        <w:rPr>
          <w:iCs/>
        </w:rPr>
      </w:pPr>
      <w:r>
        <w:rPr>
          <w:iCs/>
        </w:rPr>
        <w:t>Вода и закрепленные в Пакте права</w:t>
      </w:r>
    </w:p>
    <w:p w:rsidR="00000000" w:rsidRDefault="00000000">
      <w:pPr>
        <w:pStyle w:val="12"/>
        <w:rPr>
          <w:iCs/>
        </w:rPr>
      </w:pPr>
    </w:p>
    <w:p w:rsidR="00000000" w:rsidRDefault="00000000">
      <w:r>
        <w:t>7.</w:t>
      </w:r>
      <w:r>
        <w:tab/>
        <w:t>Комитет обращает внимание на важность обеспечения устойчивого доступа к водным ресурсам для сельскохозяйственных целей в целях осуществления права на достаточное питание (см. Замечание общего порядка № 12 (1999))</w:t>
      </w:r>
      <w:r>
        <w:rPr>
          <w:rStyle w:val="FootnoteReference"/>
        </w:rPr>
        <w:footnoteReference w:id="7"/>
      </w:r>
      <w:r>
        <w:t>.  Следует уделять внимание обеспечению того, чтобы находящиеся в неблагоприятном положении и обездоленные сельские жители, включая сельских жителей из числа женщин, имели равноправный доступ к воде и водным ресурсам, включая устойчивые поливочные технологии при помощи дождевальных и ирригационных методов.  С учетом закрепленного в пункте 2 статьи 1 Пакта обязательства, согласно которому ни один народ не может ни в коем случае "быть лишен принадлежащих ему средств существования", государства-участники должны обеспечивать наличие адекватного доступа коренных народов к водным ресурсам для целей поддержания сельского хозяйства и обеспечения средств к существованию</w:t>
      </w:r>
      <w:r>
        <w:rPr>
          <w:rStyle w:val="FootnoteReference"/>
        </w:rPr>
        <w:footnoteReference w:id="8"/>
      </w:r>
      <w:r>
        <w:t>.</w:t>
      </w:r>
    </w:p>
    <w:p w:rsidR="00000000" w:rsidRDefault="00000000"/>
    <w:p w:rsidR="00000000" w:rsidRDefault="00000000">
      <w:r>
        <w:t>8.</w:t>
      </w:r>
      <w:r>
        <w:tab/>
        <w:t xml:space="preserve">Санитарные условия окружающей среды, как один из аспектов здоровья, предусмотренные в пункте 2 </w:t>
      </w:r>
      <w:r>
        <w:rPr>
          <w:lang w:val="en-US"/>
        </w:rPr>
        <w:t>b</w:t>
      </w:r>
      <w:r>
        <w:t xml:space="preserve">) статьи 12 Пакта, предполагают принятие мер на </w:t>
      </w:r>
      <w:proofErr w:type="spellStart"/>
      <w:r>
        <w:t>недискриминационной</w:t>
      </w:r>
      <w:proofErr w:type="spellEnd"/>
      <w:r>
        <w:t xml:space="preserve"> основе с целью предупреждения угрозы здоровью в связи с небезопасными и токсичными источниками воды</w:t>
      </w:r>
      <w:r>
        <w:rPr>
          <w:rStyle w:val="FootnoteReference"/>
        </w:rPr>
        <w:footnoteReference w:id="9"/>
      </w:r>
      <w:r>
        <w:t>.  Так, например, государствам-участникам следует обеспечить, чтобы естественные водные ресурсы были защищены от заражения вредоносными веществами и патогенными микробами.  Аналогичным образом государства-участники должны обеспечивать мониторинг и предпринимать соответствующие меры в связи с ситуациями, когда водные экосистемы служат рассадником для переносчиков заболеваний, угрожающих среде обитания человека</w:t>
      </w:r>
      <w:r>
        <w:rPr>
          <w:rStyle w:val="FootnoteReference"/>
        </w:rPr>
        <w:footnoteReference w:id="10"/>
      </w:r>
      <w:r>
        <w:t>.</w:t>
      </w:r>
    </w:p>
    <w:p w:rsidR="00000000" w:rsidRDefault="00000000"/>
    <w:p w:rsidR="00000000" w:rsidRDefault="00000000">
      <w:r>
        <w:t>9.</w:t>
      </w:r>
      <w:r>
        <w:tab/>
        <w:t>В целях содействия осуществлению государствами-участниками положений Пакта и выполнения ими обязательств по представлению докладов в настоящем Замечании общего порядка фокусируется внимание на нормативном содержании права на воду, вытекающего из пункта 1 статьи 11 и статьи 12 (раздел </w:t>
      </w:r>
      <w:r>
        <w:rPr>
          <w:lang w:val="en-US"/>
        </w:rPr>
        <w:t>II</w:t>
      </w:r>
      <w:r>
        <w:t>), на обязательствах государств-участников (раздел </w:t>
      </w:r>
      <w:r>
        <w:rPr>
          <w:lang w:val="en-US"/>
        </w:rPr>
        <w:t>III</w:t>
      </w:r>
      <w:r>
        <w:t>), на нарушениях (раздел </w:t>
      </w:r>
      <w:r>
        <w:rPr>
          <w:lang w:val="en-US"/>
        </w:rPr>
        <w:t>IV</w:t>
      </w:r>
      <w:r>
        <w:t>) и на осуществлении на национальном уровне (раздел </w:t>
      </w:r>
      <w:r>
        <w:rPr>
          <w:lang w:val="en-US"/>
        </w:rPr>
        <w:t>V</w:t>
      </w:r>
      <w:r>
        <w:t xml:space="preserve">), тогда как обязательства субъектов, помимо государств-участников, рассматривается в части </w:t>
      </w:r>
      <w:r>
        <w:rPr>
          <w:lang w:val="en-US"/>
        </w:rPr>
        <w:t>VI</w:t>
      </w:r>
      <w:r>
        <w:t>.</w:t>
      </w:r>
    </w:p>
    <w:p w:rsidR="00000000" w:rsidRDefault="00000000"/>
    <w:p w:rsidR="00000000" w:rsidRDefault="00000000">
      <w:pPr>
        <w:keepNext/>
        <w:jc w:val="center"/>
      </w:pPr>
      <w:r>
        <w:rPr>
          <w:b/>
          <w:bCs/>
          <w:lang w:val="en-US"/>
        </w:rPr>
        <w:t>II</w:t>
      </w:r>
      <w:r>
        <w:rPr>
          <w:b/>
          <w:bCs/>
        </w:rPr>
        <w:t>.</w:t>
      </w:r>
      <w:r>
        <w:rPr>
          <w:b/>
          <w:bCs/>
        </w:rPr>
        <w:tab/>
        <w:t>НОРМАТИВНОЕ СОДЕРЖАНИЕ ПРАВА НА ВОДУ</w:t>
      </w:r>
    </w:p>
    <w:p w:rsidR="00000000" w:rsidRDefault="00000000">
      <w:pPr>
        <w:keepNext/>
        <w:jc w:val="center"/>
      </w:pPr>
    </w:p>
    <w:p w:rsidR="00000000" w:rsidRDefault="00000000">
      <w:pPr>
        <w:keepNext/>
      </w:pPr>
      <w:r>
        <w:t>10.</w:t>
      </w:r>
      <w:r>
        <w:tab/>
        <w:t>Право на воду включает как свободу, так и права.  Свобода включает право на получение доступа к существующим водным ресурсам, необходимым для осуществления права на воду, и право на невмешательство, предполагающее право на недопустимость произвольного отсоединения или заражения объектов водоснабжения.  В свою очередь соответствующие права включают право на пользование системой водоснабжения и удаления сточных отходов, что позволяет обеспечить равноправие людей при осуществлении права на воду.</w:t>
      </w:r>
    </w:p>
    <w:p w:rsidR="00000000" w:rsidRDefault="00000000"/>
    <w:p w:rsidR="00000000" w:rsidRDefault="00000000">
      <w:r>
        <w:t>11.</w:t>
      </w:r>
      <w:r>
        <w:tab/>
        <w:t xml:space="preserve">Элементы права на воду должны быть </w:t>
      </w:r>
      <w:r>
        <w:rPr>
          <w:i/>
          <w:iCs/>
        </w:rPr>
        <w:t>адекватными</w:t>
      </w:r>
      <w:r>
        <w:t xml:space="preserve"> для целей соблюдения человеческого достоинства, жизни и здоровья в соответствии с пунктом 1 статьи 11 и статьей 12.  Адекватность водоснабжения не следует толковать в узком смысле путем простой ссылки на количественные и технологические характеристики.  Воду следует рассматривать не только в качестве экономического, но и в качестве социального и культурного блага.  Форма реализации права на доступ к воде также должна быть устойчивой и обеспечивающей возможность осуществления этого права для нынешних и будущих поколений</w:t>
      </w:r>
      <w:r>
        <w:rPr>
          <w:rStyle w:val="FootnoteReference"/>
        </w:rPr>
        <w:footnoteReference w:id="11"/>
      </w:r>
      <w:r>
        <w:t>.</w:t>
      </w:r>
    </w:p>
    <w:p w:rsidR="00000000" w:rsidRDefault="00000000"/>
    <w:p w:rsidR="00000000" w:rsidRDefault="00000000">
      <w:pPr>
        <w:pStyle w:val="FootnoteText"/>
        <w:spacing w:line="288" w:lineRule="auto"/>
      </w:pPr>
      <w:r>
        <w:t>12.</w:t>
      </w:r>
      <w:r>
        <w:tab/>
        <w:t>Хотя адекватность воды, необходимой для осуществления права на воду, может варьироваться с учетом различных характеристик, во всех случаях следует применять следующие факторы:</w:t>
      </w:r>
    </w:p>
    <w:p w:rsidR="00000000" w:rsidRDefault="00000000">
      <w:pPr>
        <w:pStyle w:val="FootnoteText"/>
        <w:spacing w:line="288" w:lineRule="auto"/>
      </w:pPr>
    </w:p>
    <w:p w:rsidR="00000000" w:rsidRDefault="00000000">
      <w:pPr>
        <w:pStyle w:val="FootnoteText"/>
        <w:spacing w:line="288" w:lineRule="auto"/>
      </w:pPr>
      <w:r>
        <w:tab/>
      </w:r>
      <w:r>
        <w:rPr>
          <w:i/>
          <w:iCs/>
        </w:rPr>
        <w:t>а)</w:t>
      </w:r>
      <w:r>
        <w:rPr>
          <w:i/>
          <w:iCs/>
        </w:rPr>
        <w:tab/>
        <w:t>Наличие.</w:t>
      </w:r>
      <w:r>
        <w:t xml:space="preserve">  Водоснабжение для каждого человека должно быть достаточным и непрерывным для целей личного и бытового назначения</w:t>
      </w:r>
      <w:r>
        <w:rPr>
          <w:rStyle w:val="FootnoteReference"/>
        </w:rPr>
        <w:footnoteReference w:id="12"/>
      </w:r>
      <w:r>
        <w:t xml:space="preserve">.  Такое использование, как правило, включает потребление воды человеком, личную санитарию, стирку одежды, </w:t>
      </w:r>
    </w:p>
    <w:p w:rsidR="00000000" w:rsidRDefault="00000000">
      <w:pPr>
        <w:pStyle w:val="FootnoteText"/>
        <w:spacing w:line="288" w:lineRule="auto"/>
      </w:pPr>
      <w:r>
        <w:br w:type="page"/>
        <w:t>приготовление пищи, личную и бытовую гигиену</w:t>
      </w:r>
      <w:r>
        <w:rPr>
          <w:rStyle w:val="FootnoteReference"/>
        </w:rPr>
        <w:footnoteReference w:id="13"/>
      </w:r>
      <w:r>
        <w:t>.  Количество доступной для каждого человека воды должно соответствовать руководящим принципам Всемирной организации здравоохранения (ВОЗ)</w:t>
      </w:r>
      <w:r>
        <w:rPr>
          <w:rStyle w:val="FootnoteReference"/>
        </w:rPr>
        <w:footnoteReference w:id="14"/>
      </w:r>
      <w:r>
        <w:t>.  Некоторые лица и группы могут требовать также дополнительной воды с учетом состояния их здоровья, климата и условий труда.</w:t>
      </w:r>
    </w:p>
    <w:p w:rsidR="00000000" w:rsidRDefault="00000000">
      <w:pPr>
        <w:pStyle w:val="FootnoteText"/>
        <w:spacing w:line="288" w:lineRule="auto"/>
      </w:pPr>
    </w:p>
    <w:p w:rsidR="00000000" w:rsidRDefault="00000000">
      <w:pPr>
        <w:pStyle w:val="FootnoteText"/>
        <w:spacing w:line="288" w:lineRule="auto"/>
      </w:pPr>
      <w:r>
        <w:tab/>
      </w:r>
      <w:r>
        <w:rPr>
          <w:i/>
          <w:iCs/>
        </w:rPr>
        <w:t>b)</w:t>
      </w:r>
      <w:r>
        <w:rPr>
          <w:i/>
          <w:iCs/>
        </w:rPr>
        <w:tab/>
        <w:t>Качество.</w:t>
      </w:r>
      <w:r>
        <w:t xml:space="preserve">  Вода, необходимая для каждого человека и для целей бытового использования, должна быть безопасной, а следовательно, в ней должны отсутствовать микроорганизмы, химические вещества и радиоактивные отходы, представляющие опасность для здоровья человека</w:t>
      </w:r>
      <w:r>
        <w:rPr>
          <w:rStyle w:val="FootnoteReference"/>
        </w:rPr>
        <w:footnoteReference w:id="15"/>
      </w:r>
      <w:r>
        <w:t>.  Кроме того, вода должна быть приемлемого цвета, запаха и вкуса для целей ее потребления человеком или для целей бытового использования.</w:t>
      </w:r>
    </w:p>
    <w:p w:rsidR="00000000" w:rsidRDefault="00000000">
      <w:pPr>
        <w:pStyle w:val="FootnoteText"/>
        <w:spacing w:line="288" w:lineRule="auto"/>
      </w:pPr>
    </w:p>
    <w:p w:rsidR="00000000" w:rsidRDefault="00000000">
      <w:pPr>
        <w:pStyle w:val="FootnoteText"/>
        <w:spacing w:line="288" w:lineRule="auto"/>
      </w:pPr>
      <w:r>
        <w:tab/>
      </w:r>
      <w:r>
        <w:rPr>
          <w:i/>
          <w:iCs/>
        </w:rPr>
        <w:t>с)</w:t>
      </w:r>
      <w:r>
        <w:rPr>
          <w:i/>
          <w:iCs/>
        </w:rPr>
        <w:tab/>
        <w:t>Доступность.</w:t>
      </w:r>
      <w:r>
        <w:t xml:space="preserve">  Вода и системы и объекты водоснабжения должны быть доступными для </w:t>
      </w:r>
      <w:r>
        <w:rPr>
          <w:i/>
          <w:iCs/>
        </w:rPr>
        <w:t>каждого человека</w:t>
      </w:r>
      <w:r>
        <w:t xml:space="preserve"> без какой бы то ни было дискриминации в пределах юрисдикции государства-участника.  Доступность включает четыре следующих взаимопересекающихся аспекта:</w:t>
      </w:r>
    </w:p>
    <w:p w:rsidR="00000000" w:rsidRDefault="00000000">
      <w:pPr>
        <w:pStyle w:val="FootnoteText"/>
        <w:spacing w:line="288" w:lineRule="auto"/>
      </w:pPr>
    </w:p>
    <w:p w:rsidR="00000000" w:rsidRDefault="00000000">
      <w:pPr>
        <w:pStyle w:val="FootnoteText"/>
        <w:numPr>
          <w:ilvl w:val="0"/>
          <w:numId w:val="3"/>
        </w:numPr>
        <w:tabs>
          <w:tab w:val="clear" w:pos="1140"/>
        </w:tabs>
        <w:spacing w:line="288" w:lineRule="auto"/>
        <w:ind w:left="1701"/>
      </w:pPr>
      <w:r>
        <w:rPr>
          <w:i/>
          <w:iCs/>
        </w:rPr>
        <w:t>Физическая доступность:</w:t>
      </w:r>
      <w:r>
        <w:t xml:space="preserve">  Вода и адекватные системы и объекты водоснабжения должны обеспечивать физическую безопасность всех слоев населения.  Достаточность, безопасность и приемлемость воды должны быть доступными или в пределах непосредственной близости от каждого домашнего хозяйства, учебного заведения или рабочего места</w:t>
      </w:r>
      <w:r>
        <w:rPr>
          <w:rStyle w:val="FootnoteReference"/>
        </w:rPr>
        <w:footnoteReference w:id="16"/>
      </w:r>
      <w:r>
        <w:t>.  Все системы и объекты водоснабжения должны быть достаточно качественными, адекватными с культурной точки зрения и отвечать требованиям гендера, длительного жизненного цикла и фактора личной конфиденциальности.  Процесс обеспечения доступа людей к системам и объектам водоснабжения не должен ставить под угрозу их физическую безопасность;</w:t>
      </w:r>
    </w:p>
    <w:p w:rsidR="00000000" w:rsidRDefault="00000000">
      <w:pPr>
        <w:pStyle w:val="FootnoteText"/>
        <w:tabs>
          <w:tab w:val="clear" w:pos="1134"/>
        </w:tabs>
        <w:spacing w:line="288" w:lineRule="auto"/>
        <w:ind w:left="573"/>
      </w:pPr>
    </w:p>
    <w:p w:rsidR="00000000" w:rsidRDefault="00000000">
      <w:pPr>
        <w:pStyle w:val="FootnoteText"/>
        <w:numPr>
          <w:ilvl w:val="0"/>
          <w:numId w:val="3"/>
        </w:numPr>
        <w:tabs>
          <w:tab w:val="clear" w:pos="1140"/>
        </w:tabs>
        <w:spacing w:line="288" w:lineRule="auto"/>
        <w:ind w:left="1701"/>
      </w:pPr>
      <w:r>
        <w:rPr>
          <w:i/>
          <w:iCs/>
        </w:rPr>
        <w:t>Экономическая доступность:</w:t>
      </w:r>
      <w:r>
        <w:t xml:space="preserve">  Вода и системы и объекты водоснабжения должны быть доступными для всех.  Прямые и косвенные расходы и затраты, связанные с обеспечением водоснабжения, должны быть приемлемыми и не должны подрывать или ставить под угрозу осуществление других предусмотренных Пактом прав;</w:t>
      </w:r>
    </w:p>
    <w:p w:rsidR="00000000" w:rsidRDefault="00000000">
      <w:pPr>
        <w:pStyle w:val="FootnoteText"/>
        <w:tabs>
          <w:tab w:val="clear" w:pos="1134"/>
        </w:tabs>
        <w:spacing w:line="288" w:lineRule="auto"/>
        <w:ind w:left="573"/>
      </w:pPr>
    </w:p>
    <w:p w:rsidR="00000000" w:rsidRDefault="00000000">
      <w:pPr>
        <w:pStyle w:val="FootnoteText"/>
        <w:numPr>
          <w:ilvl w:val="0"/>
          <w:numId w:val="3"/>
        </w:numPr>
        <w:tabs>
          <w:tab w:val="clear" w:pos="1140"/>
        </w:tabs>
        <w:spacing w:line="288" w:lineRule="auto"/>
        <w:ind w:left="1701"/>
      </w:pPr>
      <w:r>
        <w:rPr>
          <w:i/>
          <w:iCs/>
        </w:rPr>
        <w:t>Недискриминация:</w:t>
      </w:r>
      <w:r>
        <w:t xml:space="preserve">  Вода и системы и объекты водоснабжения должны быть доступными для всех, включая наиболее уязвимые или обездоленные слои населения, как по закону, так и на практике, без какой бы то ни было дискриминации по любым запрещенным признакам;  и</w:t>
      </w:r>
    </w:p>
    <w:p w:rsidR="00000000" w:rsidRDefault="00000000">
      <w:pPr>
        <w:pStyle w:val="FootnoteText"/>
        <w:tabs>
          <w:tab w:val="clear" w:pos="1134"/>
        </w:tabs>
        <w:spacing w:line="288" w:lineRule="auto"/>
        <w:ind w:left="573"/>
      </w:pPr>
    </w:p>
    <w:p w:rsidR="00000000" w:rsidRDefault="00000000">
      <w:pPr>
        <w:pStyle w:val="FootnoteText"/>
        <w:numPr>
          <w:ilvl w:val="0"/>
          <w:numId w:val="3"/>
        </w:numPr>
        <w:tabs>
          <w:tab w:val="clear" w:pos="1140"/>
        </w:tabs>
        <w:spacing w:line="288" w:lineRule="auto"/>
        <w:ind w:left="1701"/>
      </w:pPr>
      <w:r>
        <w:rPr>
          <w:i/>
          <w:iCs/>
        </w:rPr>
        <w:t>Доступ к информации:</w:t>
      </w:r>
      <w:r>
        <w:t xml:space="preserve">  Доступ к информации включает право искать, получать и распространять информацию по вопросам, касающимся воды</w:t>
      </w:r>
      <w:r>
        <w:rPr>
          <w:rStyle w:val="FootnoteReference"/>
        </w:rPr>
        <w:footnoteReference w:id="17"/>
      </w:r>
      <w:r>
        <w:t>.</w:t>
      </w:r>
    </w:p>
    <w:p w:rsidR="00000000" w:rsidRDefault="00000000">
      <w:pPr>
        <w:pStyle w:val="FootnoteText"/>
        <w:tabs>
          <w:tab w:val="clear" w:pos="1134"/>
        </w:tabs>
        <w:spacing w:line="288" w:lineRule="auto"/>
        <w:ind w:left="573"/>
      </w:pPr>
    </w:p>
    <w:p w:rsidR="00000000" w:rsidRDefault="00000000">
      <w:pPr>
        <w:pStyle w:val="Heading1"/>
        <w:jc w:val="center"/>
        <w:rPr>
          <w:bCs/>
        </w:rPr>
      </w:pPr>
      <w:r>
        <w:rPr>
          <w:bCs/>
        </w:rPr>
        <w:t>Конкретные темы широкого применения</w:t>
      </w:r>
    </w:p>
    <w:p w:rsidR="00000000" w:rsidRDefault="00000000">
      <w:pPr>
        <w:pStyle w:val="Heading1"/>
        <w:jc w:val="center"/>
        <w:rPr>
          <w:bCs/>
        </w:rPr>
      </w:pPr>
    </w:p>
    <w:p w:rsidR="00000000" w:rsidRDefault="00000000">
      <w:pPr>
        <w:pStyle w:val="Heading3"/>
        <w:rPr>
          <w:iCs/>
        </w:rPr>
      </w:pPr>
      <w:proofErr w:type="spellStart"/>
      <w:r>
        <w:rPr>
          <w:iCs/>
        </w:rPr>
        <w:t>Недискриминация</w:t>
      </w:r>
      <w:proofErr w:type="spellEnd"/>
      <w:r>
        <w:rPr>
          <w:iCs/>
        </w:rPr>
        <w:t xml:space="preserve"> и равенство</w:t>
      </w:r>
    </w:p>
    <w:p w:rsidR="00000000" w:rsidRDefault="00000000">
      <w:pPr>
        <w:pStyle w:val="Heading3"/>
        <w:rPr>
          <w:iCs/>
        </w:rPr>
      </w:pPr>
    </w:p>
    <w:p w:rsidR="00000000" w:rsidRDefault="00000000">
      <w:r>
        <w:t>13.</w:t>
      </w:r>
      <w:r>
        <w:tab/>
        <w:t xml:space="preserve">Обязанность государств-участников гарантировать осуществление права на воду на недискриминационной основе (пункт 2 статьи 2) и на принципе равенства мужчин и женщин (статья 3) распространяется на все обязательства по Пакту.  Таким образом, Пакт запрещает любую дискриминацию по признаку расы, цвета кожи, пола, возраста, языка, религии, политических или иных убеждений, национального или социального происхождения, имущества, рождения, физической или психической недееспособности, состояния здоровья (включая ВИЧ/СПИД), сексуальную ориентацию и гражданский, политический, социальный или иной статус, целью или следствием которого является уничтожение или умаление равного осуществления или применения права на воду.  Комитет ссылается на пункт 12 Замечания общего порядка № 3 (1990), в котором говорится, что даже в периоды жесткого ограничения ресурсов необходимо обеспечивать защиту уязвимых членов общества путем принятия относительно </w:t>
      </w:r>
      <w:proofErr w:type="spellStart"/>
      <w:r>
        <w:t>недорогостоящих</w:t>
      </w:r>
      <w:proofErr w:type="spellEnd"/>
      <w:r>
        <w:t xml:space="preserve"> целевых программ.</w:t>
      </w:r>
    </w:p>
    <w:p w:rsidR="00000000" w:rsidRDefault="00000000"/>
    <w:p w:rsidR="00000000" w:rsidRDefault="00000000">
      <w:r>
        <w:t>14.</w:t>
      </w:r>
      <w:r>
        <w:tab/>
        <w:t>Государства-участники должны принимать меры с целью фактического устранения дискриминации по запрещенным признакам в тех случаях, когда отдельные лица и группы лиц лишены возможностей или средств, необходимых для пользования правом на воду.  Государствам-участникам надлежит обеспечить условия к тому, чтобы порядок распределения водных ресурсов и капиталовложения в водное хозяйство способствовали обеспечению доступа к воде для всех членов общества.  Неадекватное распределение ресурсов может привести к дискриминации, которая может носить скрытый характер.  Так, например, инвестиции не следует чрезмерно щедро направлять на поддержание дорогих систем и установок водоснабжения, которые зачастую являются доступными лишь для небольших, привилегированных слоев населения;  вместо этого необходимо направлять инвестиции на развитие объектов и систем водоснабжения в интересах более широких слоев населения.</w:t>
      </w:r>
    </w:p>
    <w:p w:rsidR="00000000" w:rsidRDefault="00000000"/>
    <w:p w:rsidR="00000000" w:rsidRDefault="00000000">
      <w:r>
        <w:t>15.</w:t>
      </w:r>
      <w:r>
        <w:tab/>
        <w:t xml:space="preserve">В контексте права на воду государства-участники конкретно обязаны обеспечивать необходимыми водными ресурсами и водоснабжением тех, кто не располагает для этого достаточными средствами, и предупреждать любую дискриминацию по запрещенным международным правом признакам в сфере водоснабжения и предоставления связанных с водой услуг. </w:t>
      </w:r>
    </w:p>
    <w:p w:rsidR="00000000" w:rsidRDefault="00000000"/>
    <w:p w:rsidR="00000000" w:rsidRDefault="00000000">
      <w:r>
        <w:t>16.</w:t>
      </w:r>
      <w:r>
        <w:tab/>
        <w:t>Поскольку право на воду применяется к каждому человеку, государствам-участникам следует уделять особое внимание тем лицам и группам, которые традиционно сталкиваются с трудностями в деле осуществления данного права, в том числе женщинам, детям, группам меньшинств, коренным народам, беженцам, просителям убежища, внутренним перемещенным лицам, трудящимся-мигрантам, заключенным и лицам, содержащимся под стражей.  В частности, государства-участники должны принимать меры по обеспечению того, чтобы:</w:t>
      </w:r>
    </w:p>
    <w:p w:rsidR="00000000" w:rsidRDefault="00000000"/>
    <w:p w:rsidR="00000000" w:rsidRDefault="00000000">
      <w:r>
        <w:tab/>
        <w:t>а)</w:t>
      </w:r>
      <w:r>
        <w:tab/>
        <w:t>женщины не отстранялись от процесса принятия решений, касающихся водных ресурсов и права пользования ими, и облегчить выпадающее на их долю несоразмерно тяжкое бремя, связанное с добыванием воды;</w:t>
      </w:r>
    </w:p>
    <w:p w:rsidR="00000000" w:rsidRDefault="00000000"/>
    <w:p w:rsidR="00000000" w:rsidRDefault="00000000">
      <w:r>
        <w:tab/>
        <w:t>b)</w:t>
      </w:r>
      <w:r>
        <w:tab/>
        <w:t>дети не ущемлялись в их правах человека ввиду отсутствия адекватной питьевой воды в учебных заведениях и в домашних хозяйствах или ввиду их привлечения к тяжелой работе по поставке воды.  Надлежит в неотложном порядке решить вопрос о снабжении питьевой водой учебных заведений, которые в настоящее время не обеспечены достаточным количеством надлежащей питьевой воды;</w:t>
      </w:r>
    </w:p>
    <w:p w:rsidR="00000000" w:rsidRDefault="00000000"/>
    <w:p w:rsidR="00000000" w:rsidRDefault="00000000">
      <w:r>
        <w:tab/>
        <w:t>с)</w:t>
      </w:r>
      <w:r>
        <w:tab/>
        <w:t>сельские жители и жители обездоленных городских районов имели доступ к должным образом обустроенным объектам водоснабжения.  Необходимо защищать традиционные источники воды от незаконного посягательства и загрязнения.  Жители обездоленных городских районов, включая обитателей стихийных поселений и бездомных, имели доступ к должным образом обустроенным объектам водоснабжения.  Никакое домашнее хозяйство не должно лишаться права на доступ к воде в силу своего жилищного или земельного статуса;</w:t>
      </w:r>
    </w:p>
    <w:p w:rsidR="00000000" w:rsidRDefault="00000000"/>
    <w:p w:rsidR="00000000" w:rsidRDefault="00000000">
      <w:r>
        <w:tab/>
        <w:t>d)</w:t>
      </w:r>
      <w:r>
        <w:tab/>
        <w:t>коренные народы, проживающие на своих исконных землях, имели доступ к источникам воды, пользующимися защитой от незаконного посягательства и загрязнения.  Государства должны снабжать коренные народы ресурсами для целей обеспечения доступа к водным ресурсам и контроля за этим доступом;</w:t>
      </w:r>
    </w:p>
    <w:p w:rsidR="00000000" w:rsidRDefault="00000000"/>
    <w:p w:rsidR="00000000" w:rsidRDefault="00000000">
      <w:r>
        <w:tab/>
        <w:t>е)</w:t>
      </w:r>
      <w:r>
        <w:tab/>
        <w:t>кочевые и неоседлые племена имели доступ к адекватной питьевой воде на традиционных или намеченных для них местах стоянок;</w:t>
      </w:r>
    </w:p>
    <w:p w:rsidR="00000000" w:rsidRDefault="00000000"/>
    <w:p w:rsidR="00000000" w:rsidRDefault="00000000">
      <w:r>
        <w:tab/>
      </w:r>
      <w:r>
        <w:rPr>
          <w:lang w:val="en-US"/>
        </w:rPr>
        <w:t>f</w:t>
      </w:r>
      <w:r>
        <w:t>)</w:t>
      </w:r>
      <w:r>
        <w:tab/>
        <w:t>беженцы, просители убежища, внутренние перемещенные лица и возвращающиеся лица имели доступ к достаточному количеству надлежащей питьевой воды вне зависимости от того, размещаются ли они в лагерях или в городских районах.  Беженцам и лицам, ищущим убежище, право на воду должно предоставляться на тех же условиях, что и гражданам страны;</w:t>
      </w:r>
    </w:p>
    <w:p w:rsidR="00000000" w:rsidRDefault="00000000"/>
    <w:p w:rsidR="00000000" w:rsidRDefault="00000000">
      <w:r>
        <w:tab/>
      </w:r>
      <w:r>
        <w:rPr>
          <w:lang w:val="en-US"/>
        </w:rPr>
        <w:t>g</w:t>
      </w:r>
      <w:r>
        <w:t>)</w:t>
      </w:r>
      <w:r>
        <w:tab/>
        <w:t>заключенные и лица, содержащиеся под стражей, имели достаточное количество безвредной питьевой воды, необходимой для удовлетворения их повседневных конкретных потребностей, с учетом требований международного гуманитарного права и Минимальных стандартных правил обращения с заключенными, принятых Организацией Объединенных Наций</w:t>
      </w:r>
      <w:r>
        <w:rPr>
          <w:rStyle w:val="FootnoteReference"/>
        </w:rPr>
        <w:footnoteReference w:id="18"/>
      </w:r>
      <w:r>
        <w:t>;</w:t>
      </w:r>
    </w:p>
    <w:p w:rsidR="00000000" w:rsidRDefault="00000000"/>
    <w:p w:rsidR="00000000" w:rsidRDefault="00000000">
      <w:r>
        <w:tab/>
      </w:r>
      <w:r>
        <w:rPr>
          <w:lang w:val="en-US"/>
        </w:rPr>
        <w:t>h</w:t>
      </w:r>
      <w:r>
        <w:t>)</w:t>
      </w:r>
      <w:r>
        <w:tab/>
        <w:t>группы, сталкивающиеся с трудностями в плане физического доступа к необходимой для их потребностей в питьевой воде, включая инвалидов, жертвы стихийных бедствий, людей, проживающих в районах, подверженных стихийным бедствиям, а также людей, проживающих в засушливых и полузасушливых районах или на небольших островах, обеспечивались в достаточном количестве безопасной питьевой водой.</w:t>
      </w:r>
    </w:p>
    <w:p w:rsidR="00000000" w:rsidRDefault="00000000"/>
    <w:p w:rsidR="00000000" w:rsidRDefault="00000000">
      <w:pPr>
        <w:pStyle w:val="10"/>
        <w:rPr>
          <w:bCs/>
        </w:rPr>
      </w:pPr>
      <w:proofErr w:type="spellStart"/>
      <w:r>
        <w:rPr>
          <w:bCs/>
        </w:rPr>
        <w:t>III</w:t>
      </w:r>
      <w:proofErr w:type="spellEnd"/>
      <w:r>
        <w:rPr>
          <w:bCs/>
        </w:rPr>
        <w:t>.</w:t>
      </w:r>
      <w:r>
        <w:rPr>
          <w:bCs/>
        </w:rPr>
        <w:tab/>
        <w:t>ОБЯЗАННОСТИ ГОСУДАРСТВ-УЧАСТНИКОВ</w:t>
      </w:r>
    </w:p>
    <w:p w:rsidR="00000000" w:rsidRDefault="00000000">
      <w:pPr>
        <w:pStyle w:val="10"/>
        <w:rPr>
          <w:bCs/>
        </w:rPr>
      </w:pPr>
    </w:p>
    <w:p w:rsidR="00000000" w:rsidRDefault="00000000">
      <w:pPr>
        <w:pStyle w:val="Heading3"/>
        <w:rPr>
          <w:iCs/>
        </w:rPr>
      </w:pPr>
      <w:r>
        <w:rPr>
          <w:iCs/>
        </w:rPr>
        <w:t>Общие правовые обязанности</w:t>
      </w:r>
    </w:p>
    <w:p w:rsidR="00000000" w:rsidRDefault="00000000">
      <w:pPr>
        <w:pStyle w:val="Heading3"/>
        <w:rPr>
          <w:iCs/>
        </w:rPr>
      </w:pPr>
    </w:p>
    <w:p w:rsidR="00000000" w:rsidRDefault="00000000">
      <w:r>
        <w:t>17.</w:t>
      </w:r>
      <w:r>
        <w:tab/>
        <w:t>Хотя Пакт предусматривает принцип постепенной реализации и признает трудности, связанные с ограниченностью имеющихся ресурсов, он также налагает на государства-участники целый ряд обязательств, требующих немедленного выполнения.  К числу обязательств государств-участников, требующих незамедлительного выполнения в связи с правом на воду, относятся, в частности, гарантия, согласно которой это право будет осуществляться без какой бы то ни было дискриминации (пункт 2 статьи 2) и обязательство принимать меры (пункты 1 статьи 2), направленные на полное осуществление положений, предусмотренных в пункте 1 статьи 11 и в статье 12.  Такие меры должны быть надлежащими, конкретными и нацеленными на полное осуществление права на воду.</w:t>
      </w:r>
    </w:p>
    <w:p w:rsidR="00000000" w:rsidRDefault="00000000"/>
    <w:p w:rsidR="00000000" w:rsidRDefault="00000000">
      <w:r>
        <w:t>18.</w:t>
      </w:r>
      <w:r>
        <w:tab/>
        <w:t>В соответствии с Пактом государства-участники обязаны принимать неустанные и неуклонные усилия с целью максимально эффективного продвижения по пути полной реализации права на воду.  Осуществление этого права должно быть осуществимым на практике, поскольку все государства-участники осуществляют контроль над широким набором ресурсов, включая воды, технологию, финансовые ресурсы и опираются на международную помощь;  аналогичный принцип должен распространяться на все другие закрепленные в Пакте права.</w:t>
      </w:r>
    </w:p>
    <w:p w:rsidR="00000000" w:rsidRDefault="00000000"/>
    <w:p w:rsidR="00000000" w:rsidRDefault="00000000">
      <w:r>
        <w:t>19.</w:t>
      </w:r>
      <w:r>
        <w:tab/>
        <w:t>Существуют веские основания для предположения, что ретроактивные меры, принимаемые в связи с правом на воду, запрещаются в соответствии с Пактом</w:t>
      </w:r>
      <w:r>
        <w:rPr>
          <w:rStyle w:val="FootnoteReference"/>
        </w:rPr>
        <w:footnoteReference w:id="19"/>
      </w:r>
      <w:r>
        <w:t xml:space="preserve">.  В случае принятия любых преднамеренных ретроактивных мер государство-участник обязано доказать, что эти меры вводятся после крайне тщательного изучения всех возможных </w:t>
      </w:r>
    </w:p>
    <w:p w:rsidR="00000000" w:rsidRDefault="00000000">
      <w:r>
        <w:br w:type="page"/>
        <w:t xml:space="preserve">альтернатив и что они являются должным образом оправданными применительно ко всей </w:t>
      </w:r>
    </w:p>
    <w:p w:rsidR="00000000" w:rsidRDefault="00000000">
      <w:r>
        <w:t>совокупности прав, предусмотренных в Пакте в контексте всестороннего применения государством-участником максимальных имеющихся ресурсов.</w:t>
      </w:r>
    </w:p>
    <w:p w:rsidR="00000000" w:rsidRDefault="00000000"/>
    <w:p w:rsidR="00000000" w:rsidRDefault="00000000">
      <w:pPr>
        <w:pStyle w:val="Heading3"/>
        <w:rPr>
          <w:iCs/>
        </w:rPr>
      </w:pPr>
      <w:r>
        <w:rPr>
          <w:iCs/>
        </w:rPr>
        <w:t>Конкретные правовые обязательства</w:t>
      </w:r>
    </w:p>
    <w:p w:rsidR="00000000" w:rsidRDefault="00000000">
      <w:pPr>
        <w:pStyle w:val="Heading3"/>
        <w:rPr>
          <w:iCs/>
        </w:rPr>
      </w:pPr>
    </w:p>
    <w:p w:rsidR="00000000" w:rsidRDefault="00000000">
      <w:r>
        <w:t>20.</w:t>
      </w:r>
      <w:r>
        <w:tab/>
        <w:t xml:space="preserve">Право на воду, как и любое другое право человека, налагает на государства-участники обязательства </w:t>
      </w:r>
      <w:r>
        <w:rPr>
          <w:i/>
          <w:iCs/>
        </w:rPr>
        <w:t>уважать</w:t>
      </w:r>
      <w:r>
        <w:t xml:space="preserve">, обязательства </w:t>
      </w:r>
      <w:r>
        <w:rPr>
          <w:i/>
          <w:iCs/>
        </w:rPr>
        <w:t>защищать</w:t>
      </w:r>
      <w:r>
        <w:t xml:space="preserve"> и обязательства </w:t>
      </w:r>
      <w:r>
        <w:rPr>
          <w:i/>
          <w:iCs/>
        </w:rPr>
        <w:t>осуществлять</w:t>
      </w:r>
      <w:r>
        <w:t>.</w:t>
      </w:r>
    </w:p>
    <w:p w:rsidR="00000000" w:rsidRDefault="00000000"/>
    <w:p w:rsidR="00000000" w:rsidRDefault="00000000">
      <w:r>
        <w:rPr>
          <w:i/>
          <w:iCs/>
        </w:rPr>
        <w:t>а)</w:t>
      </w:r>
      <w:r>
        <w:rPr>
          <w:i/>
          <w:iCs/>
        </w:rPr>
        <w:tab/>
        <w:t>Обязательства уважать</w:t>
      </w:r>
    </w:p>
    <w:p w:rsidR="00000000" w:rsidRDefault="00000000"/>
    <w:p w:rsidR="00000000" w:rsidRDefault="00000000">
      <w:pPr>
        <w:rPr>
          <w:lang w:val="en-US"/>
        </w:rPr>
      </w:pPr>
      <w:r>
        <w:t>21.</w:t>
      </w:r>
      <w:r>
        <w:tab/>
        <w:t xml:space="preserve">Обязательство </w:t>
      </w:r>
      <w:r>
        <w:rPr>
          <w:i/>
          <w:iCs/>
        </w:rPr>
        <w:t>уважать</w:t>
      </w:r>
      <w:r>
        <w:t xml:space="preserve"> требует от государств-участников воздерживаться от прямого или косвенного посягательства на осуществление права на воду.  Это обязательство включает, среди прочего, отказ от проведения любой практики или от участия в любой деятельности, связанных с пресечением или ограничением равного доступа к надлежащей воде;  от произвольного вмешательства в установившиеся или традиционные схемы распределения воды;  от незаконного сокращения объема или загрязнения водных ресурсов, например, в результате сброса отходов государственных предприятий, применения или испытания оружия;  или от ограничения доступа к водным ресурсам, системам водоснабжения и объектам инфраструктуры либо их разрушения в качестве карательной меры, например, в ходе вооруженных конфликтов, в нарушение норм международного гуманитарного права.</w:t>
      </w:r>
    </w:p>
    <w:p w:rsidR="00000000" w:rsidRDefault="00000000">
      <w:pPr>
        <w:rPr>
          <w:lang w:val="en-US"/>
        </w:rPr>
      </w:pPr>
    </w:p>
    <w:p w:rsidR="00000000" w:rsidRDefault="00000000">
      <w:r>
        <w:t>22.</w:t>
      </w:r>
      <w:r>
        <w:tab/>
        <w:t>Комитет отмечает, что во время вооруженных конфликтов, чрезвычайных ситуаций и стихийных бедствий право на воду включает такие обязательства, которыми государства-участники связаны в соответствии с международным гуманитарным правом</w:t>
      </w:r>
      <w:r>
        <w:rPr>
          <w:rStyle w:val="FootnoteReference"/>
        </w:rPr>
        <w:footnoteReference w:id="20"/>
      </w:r>
      <w:r>
        <w:t>.  Эти обязательства включают защиту объектов, необходимых для выживания гражданского населения, в том числе запасы питьевой воды и системы снабжения питьевой водой и ирригационные установки, защиту естественной среды от широкомасштабного, долговременного и тяжкого ущерба и обеспечение того, чтобы гражданские лица, интернированные лица и военнопленные имели доступ к адекватной питьевой воде</w:t>
      </w:r>
      <w:r>
        <w:rPr>
          <w:rStyle w:val="FootnoteReference"/>
        </w:rPr>
        <w:footnoteReference w:id="21"/>
      </w:r>
      <w:r>
        <w:t>.</w:t>
      </w:r>
    </w:p>
    <w:p w:rsidR="00000000" w:rsidRDefault="00000000"/>
    <w:p w:rsidR="00000000" w:rsidRDefault="00000000">
      <w:r>
        <w:rPr>
          <w:i/>
          <w:iCs/>
        </w:rPr>
        <w:t>b)</w:t>
      </w:r>
      <w:r>
        <w:rPr>
          <w:i/>
          <w:iCs/>
        </w:rPr>
        <w:tab/>
        <w:t>Обязательства защищать</w:t>
      </w:r>
    </w:p>
    <w:p w:rsidR="00000000" w:rsidRDefault="00000000"/>
    <w:p w:rsidR="00000000" w:rsidRDefault="00000000">
      <w:r>
        <w:t>23.</w:t>
      </w:r>
      <w:r>
        <w:tab/>
        <w:t xml:space="preserve">Обязательство </w:t>
      </w:r>
      <w:r>
        <w:rPr>
          <w:i/>
          <w:iCs/>
        </w:rPr>
        <w:t>защищать</w:t>
      </w:r>
      <w:r>
        <w:t xml:space="preserve"> требует от государств-участников принятия мер для недопущения какого-либо посягательства на осуществление права на воду третьими сторонами.  К третьим сторонам относятся физические лица, юридические лица и прочие субъекты права, а также агенты, действующие под их началом.  Это обязательство включает, среди прочего, принятие необходимых и эффективных законодательных и иных мер, с тем чтобы воспрепятствовать, например, осуществлению третьими сторонами действий, связанных с отказом в равном доступе к надлежащей воде, с загрязнением водных ресурсов, включая естественные источники, колодцы и другие системы распределения воды, и с их неравноправным использованием.</w:t>
      </w:r>
    </w:p>
    <w:p w:rsidR="00000000" w:rsidRDefault="00000000"/>
    <w:p w:rsidR="00000000" w:rsidRDefault="00000000">
      <w:r>
        <w:t>24.</w:t>
      </w:r>
      <w:r>
        <w:tab/>
        <w:t>Государства-участники должны обеспечивать условия к тому, чтобы третьи стороны, эксплуатирующие или контролирующие системы водоснабжения и водные ресурсы (например, водопроводные сети, резервуары, водоразборные колонки и скважины), не ставили под угрозу и не подвергали риску осуществление данного права с точки зрения достаточности, безвредности, экономической и физической доступности воды.  Для предупреждения таких злоупотреблений должна быть создана эффективная система регулирования в соответствии с Пактом и настоящим Замечанием общего порядке, что предполагает наличие независимого механизма контроля, подлинное участие общественности и наложение санкций в случае несоблюдения.</w:t>
      </w:r>
    </w:p>
    <w:p w:rsidR="00000000" w:rsidRDefault="00000000"/>
    <w:p w:rsidR="00000000" w:rsidRDefault="00000000">
      <w:r>
        <w:rPr>
          <w:i/>
          <w:iCs/>
        </w:rPr>
        <w:t>с)</w:t>
      </w:r>
      <w:r>
        <w:rPr>
          <w:i/>
          <w:iCs/>
        </w:rPr>
        <w:tab/>
        <w:t>Обязательства осуществлять</w:t>
      </w:r>
    </w:p>
    <w:p w:rsidR="00000000" w:rsidRDefault="00000000"/>
    <w:p w:rsidR="00000000" w:rsidRDefault="00000000">
      <w:r>
        <w:t>25.</w:t>
      </w:r>
      <w:r>
        <w:tab/>
        <w:t xml:space="preserve">Обязательство </w:t>
      </w:r>
      <w:r>
        <w:rPr>
          <w:i/>
          <w:iCs/>
        </w:rPr>
        <w:t>осуществлять</w:t>
      </w:r>
      <w:r>
        <w:t xml:space="preserve"> может быть разбито на обязательство содействовать, поощрять и предоставлять.  Обязательство содействовать требует от государства принятия позитивных мер для оказания отдельным лицам и общинам помощи с целью осуществления этого права.  Обязательство поощрять обязывает государство-участника принимать меры, обеспечивающие надлежащее просвещение относительно гигиены использования воды, защиты водных источников и методов сведения к минимуму расхода воды.  Кроме того, государства-участники обязаны осуществлять (обеспечивать) это право в тех случаях, когда отдельные лица или группа лиц не в состоянии по независящим от них причинам осуществлять это право самостоятельно с помощью имеющихся в их распоряжении средств.</w:t>
      </w:r>
    </w:p>
    <w:p w:rsidR="00000000" w:rsidRDefault="00000000"/>
    <w:p w:rsidR="00000000" w:rsidRDefault="00000000">
      <w:r>
        <w:t>26.</w:t>
      </w:r>
      <w:r>
        <w:tab/>
        <w:t xml:space="preserve">Обязательство </w:t>
      </w:r>
      <w:r>
        <w:rPr>
          <w:i/>
          <w:iCs/>
        </w:rPr>
        <w:t>осуществлять</w:t>
      </w:r>
      <w:r>
        <w:t xml:space="preserve"> требует от государства-участника принятия необходимых мер, направленных на реализацию в полном объеме права на воду.  Это обязательство включая, среди прочего, надлежащее признание указанного права в рамках национальных политических и правовой систем, предпочтительно посредством закрепления его законодательно;  разработку национальной стратегии в области водоснабжения и принятие соответствующего плана действий;  обеспечение условий к тому, чтобы в экономическом плане это право было доступно каждому;  а также облегчение возможностей для более полного и стабильного доступа к воде, особенно в сельской местности и в районах проживания городской бедноты.</w:t>
      </w:r>
    </w:p>
    <w:p w:rsidR="00000000" w:rsidRDefault="00000000"/>
    <w:p w:rsidR="00000000" w:rsidRDefault="00000000">
      <w:r>
        <w:t>27.</w:t>
      </w:r>
      <w:r>
        <w:tab/>
        <w:t>В целях обеспечения доступности воды в экономическом плане государства-участники должны принять необходимые меры, которые могут включать, среди прочего:  а)</w:t>
      </w:r>
      <w:r>
        <w:rPr>
          <w:lang w:val="en-US"/>
        </w:rPr>
        <w:t>  </w:t>
      </w:r>
      <w:r>
        <w:t xml:space="preserve">использование ряда надлежащих </w:t>
      </w:r>
      <w:proofErr w:type="spellStart"/>
      <w:r>
        <w:t>малозатратных</w:t>
      </w:r>
      <w:proofErr w:type="spellEnd"/>
      <w:r>
        <w:t xml:space="preserve"> методов и технологий;  b)  проведение надлежащей ценовой политики, включая, в частности, снабжение бесплатной или дешевой водой;  и  с)</w:t>
      </w:r>
      <w:r>
        <w:rPr>
          <w:lang w:val="en-US"/>
        </w:rPr>
        <w:t>  </w:t>
      </w:r>
      <w:r>
        <w:t>предоставление субсидий.  Любая оплата услуг за водоснабжение должна базироваться на принципе равенства и обеспечивать, чтобы эти услуги, будь то частного или государственного характера, были доступны в экономическом плане всему населению, включая малообеспеченные его группы.  Принцип равенства требует, чтобы на более бедные домашние хозяйства не ложилась чрезмерная нагрузка по оплате услуг за водоснабжение по сравнению с той нагрузкой, которая ложится на более богатые домашние хозяйства.</w:t>
      </w:r>
    </w:p>
    <w:p w:rsidR="00000000" w:rsidRDefault="00000000"/>
    <w:p w:rsidR="00000000" w:rsidRDefault="00000000">
      <w:r>
        <w:t>28.</w:t>
      </w:r>
      <w:r>
        <w:tab/>
        <w:t>Государствам-участникам следует принять всеобъемлющие и комплексные стратегии и программы в порядке обеспечения для нынешнего и будущего поколений достаточного количества безвредной питьевой воды</w:t>
      </w:r>
      <w:r>
        <w:rPr>
          <w:rStyle w:val="FootnoteReference"/>
        </w:rPr>
        <w:footnoteReference w:id="22"/>
      </w:r>
      <w:r>
        <w:t>.  Такими стратегиями и программами могут предусматриваться:  а)</w:t>
      </w:r>
      <w:r>
        <w:rPr>
          <w:lang w:val="en-US"/>
        </w:rPr>
        <w:t>  </w:t>
      </w:r>
      <w:r>
        <w:t xml:space="preserve">сокращение истощения водных ресурсов путем бессистемного расходования, изменения русла и каптажа;  b)  снижение уровня загрязнения и очищение водосборных площадей и водосборных экосистем, например, от радиоактивных веществ, вредных химикатов и экскрементов;  с)  контроль за запасами водных ресурсов;  d)  обеспечение условий тому, чтобы предлагаемые усовершенствования не препятствовали допуску к надлежащей воде;  е)  оценка эффекта действий, которые могут затруднить доступ к водным ресурсам и водосборным площадям естественных экосистем, включая, в частности, изменение климата, опустынивание и ускорение процесса засаливания земель, обезлесение и утрата </w:t>
      </w:r>
      <w:proofErr w:type="spellStart"/>
      <w:r>
        <w:t>биоразнообразия</w:t>
      </w:r>
      <w:proofErr w:type="spellEnd"/>
      <w:r>
        <w:rPr>
          <w:rStyle w:val="FootnoteReference"/>
        </w:rPr>
        <w:footnoteReference w:id="23"/>
      </w:r>
      <w:r>
        <w:t xml:space="preserve">;  </w:t>
      </w:r>
      <w:r>
        <w:rPr>
          <w:lang w:val="en-US"/>
        </w:rPr>
        <w:t>f</w:t>
      </w:r>
      <w:r>
        <w:t xml:space="preserve">)  более эффективное использование воды конечными пользователями;  </w:t>
      </w:r>
      <w:r>
        <w:rPr>
          <w:lang w:val="en-US"/>
        </w:rPr>
        <w:t>g</w:t>
      </w:r>
      <w:r>
        <w:t xml:space="preserve">)  снижение потерь воды при распределении;  </w:t>
      </w:r>
      <w:r>
        <w:rPr>
          <w:lang w:val="en-US"/>
        </w:rPr>
        <w:t>h</w:t>
      </w:r>
      <w:r>
        <w:t xml:space="preserve">)  налаживание механизмов на случай возникновения чрезвычайных ситуаций;  и  </w:t>
      </w:r>
      <w:r>
        <w:rPr>
          <w:lang w:val="en-US"/>
        </w:rPr>
        <w:t>i</w:t>
      </w:r>
      <w:r>
        <w:t>)  создание соответствующих ведомств и надлежащих институциональных механизмов по осуществлению стратегий и программ.</w:t>
      </w:r>
    </w:p>
    <w:p w:rsidR="00000000" w:rsidRDefault="00000000"/>
    <w:p w:rsidR="00000000" w:rsidRDefault="00000000">
      <w:r>
        <w:t>29.</w:t>
      </w:r>
      <w:r>
        <w:tab/>
        <w:t>Обеспечение положений, при котором каждый человек имел бы доступ к адекватным санитарным условиям, является не только основополагающим требованием для целей уважения человеческого достоинства и его личной жизни, но и является одним из основных механизмов по защите качества систем снабжения и ресурсов питьевой воды</w:t>
      </w:r>
      <w:r>
        <w:rPr>
          <w:rStyle w:val="FootnoteReference"/>
        </w:rPr>
        <w:footnoteReference w:id="24"/>
      </w:r>
      <w:r>
        <w:t>.  В соответствии с правом на здоровье и правом на достаточное жилище (см. Замечание общего порядка № 4 (1991) и 14 (2000)) государства-участники обязаны постепенно распространять безопасные санитарные услуги, в частности на сельские и обездоленные городские районы с учетом потребностей женщин и детей.</w:t>
      </w:r>
    </w:p>
    <w:p w:rsidR="00000000" w:rsidRDefault="00000000"/>
    <w:p w:rsidR="00000000" w:rsidRDefault="00000000">
      <w:pPr>
        <w:pStyle w:val="Heading3"/>
        <w:rPr>
          <w:iCs/>
        </w:rPr>
      </w:pPr>
      <w:r>
        <w:rPr>
          <w:iCs/>
        </w:rPr>
        <w:t>Международные обязательства</w:t>
      </w:r>
    </w:p>
    <w:p w:rsidR="00000000" w:rsidRDefault="00000000">
      <w:pPr>
        <w:pStyle w:val="Heading3"/>
        <w:rPr>
          <w:iCs/>
        </w:rPr>
      </w:pPr>
    </w:p>
    <w:p w:rsidR="00000000" w:rsidRDefault="00000000">
      <w:r>
        <w:t>30.</w:t>
      </w:r>
      <w:r>
        <w:tab/>
        <w:t>В соответствии с требованиями пункта 1 статьи 2, пункта 1 статьи 11 и статьи 23 Пакта государства-участники должны признавать жизненно важную роль международного сотрудничества и помощи и принимать совместные и индивидуальные меры в целях обеспечения полного осуществления права на воду.</w:t>
      </w:r>
    </w:p>
    <w:p w:rsidR="00000000" w:rsidRDefault="00000000"/>
    <w:p w:rsidR="00000000" w:rsidRDefault="00000000">
      <w:r>
        <w:t>31.</w:t>
      </w:r>
      <w:r>
        <w:tab/>
        <w:t>В целях выполнения своих международных обязательств в связи с правом на воду государства-участники должны соблюдать осуществление этого права в других странах.  В рамках международного сотрудничества от государств-участников требуется воздерживаться от любых действий, которые прямо или косвенно затрагивают осуществление прав на воду в других странах.  Любые шаги, предпринимаемые под юрисдикцией государства-участника, не должны лишать другую страну возможности реализовывать это право в интересах лиц, находящихся под ее юрисдикцией</w:t>
      </w:r>
      <w:r>
        <w:rPr>
          <w:rStyle w:val="FootnoteReference"/>
        </w:rPr>
        <w:footnoteReference w:id="25"/>
      </w:r>
      <w:r>
        <w:t>.</w:t>
      </w:r>
    </w:p>
    <w:p w:rsidR="00000000" w:rsidRDefault="00000000"/>
    <w:p w:rsidR="00000000" w:rsidRDefault="00000000">
      <w:r>
        <w:t>32.</w:t>
      </w:r>
      <w:r>
        <w:tab/>
        <w:t>Государствам-участникам следует воздерживаться от введения прямого или косвенного эмбарго в отношении другой страны и принятия других аналогичных мер, препятствующих водоснабжению и предоставлению услуг, необходимых для обеспечения права на воду</w:t>
      </w:r>
      <w:r>
        <w:rPr>
          <w:rStyle w:val="FootnoteReference"/>
        </w:rPr>
        <w:footnoteReference w:id="26"/>
      </w:r>
      <w:r>
        <w:t>.  Вода никогда не должна использоваться в качестве инструмента политического и экономического давления.  В этой связи Комитет напоминает о своей позиции, изложенной в его Замечании общего порядка № 8 (1997), о взаимосвязи между экономическими санкциями и соблюдением экономических, социальных и культурных прав.</w:t>
      </w:r>
    </w:p>
    <w:p w:rsidR="00000000" w:rsidRDefault="00000000"/>
    <w:p w:rsidR="00000000" w:rsidRDefault="00000000">
      <w:r>
        <w:t>33.</w:t>
      </w:r>
      <w:r>
        <w:tab/>
        <w:t>Государства-участники должны принимать меры в целях предупреждения того, чтобы их собственные граждане и компании не нарушали в других странах право отдельных лиц и общин на воду.  Если государства-участники в состоянии оказывать воздействие на прочие третьи стороны для целей реализации данного права юридическими или политическими средствами, то они должны делать это в соответствии с Уставом Организации Объединенных Наций и применимым международным правом.</w:t>
      </w:r>
    </w:p>
    <w:p w:rsidR="00000000" w:rsidRDefault="00000000"/>
    <w:p w:rsidR="00000000" w:rsidRDefault="00000000">
      <w:r>
        <w:t>34.</w:t>
      </w:r>
      <w:r>
        <w:tab/>
        <w:t>В зависимости от наличия ресурсов государства должны способствовать реализации права на воду в других странах, например путем предоставления водных ресурсов, оказания финансовой и технической помощи и предоставления при необходимости надлежащей помощи.  При оказании помощи в целях преодоления последствий стихийного бедствия или чрезвычайной ситуации, включая оказание помощи беженцам и перемещенным лицам, первоочередное внимание следует уделять закрепленным в Пакте правам, включая предоставление адекватной воды.  Международная помощь должна оказываться таким образом, чтобы это было совместимо с положениями Пакта или другими стандартами в области прав человека, причем на стабильной основе и с учетом культурных особенностей.  Экономически развитые государства-участники особо обязаны и заинтересованы в оказании соответствующей помощи более бедным развивающимся странам.</w:t>
      </w:r>
    </w:p>
    <w:p w:rsidR="00000000" w:rsidRDefault="00000000"/>
    <w:p w:rsidR="00000000" w:rsidRDefault="00000000">
      <w:r>
        <w:t>35.</w:t>
      </w:r>
      <w:r>
        <w:tab/>
        <w:t>Государствам-участникам следует обеспечить, чтобы при осуществлении права на воду должным образом учитывались международные соглашения, и в этой связи следует разрабатывать дополнительные нормативные акты.  Что касается заключения и осуществления других международных и региональных соглашений, то государствам-участникам следует принимать меры для обеспечения того, чтобы эти соглашения не оказывали неблагоприятного воздействия на право на воду.  Соглашения о либерализации торговли не должны ограничивать или ущемлять возможности какой-либо страны по обеспечению полного осуществления права на воду.</w:t>
      </w:r>
    </w:p>
    <w:p w:rsidR="00000000" w:rsidRDefault="00000000"/>
    <w:p w:rsidR="00000000" w:rsidRDefault="00000000">
      <w:r>
        <w:t>36.</w:t>
      </w:r>
      <w:r>
        <w:tab/>
        <w:t>Государствам-участникам надлежит обеспечивать, чтобы в их деятельности как членов международных организаций должным образом учитывалось право на воду.  Соответственно государствам-участникам, являющимся членами международных финансовых учреждений, в частности Международного валютного фонда, Всемирного банка и региональных банков развития, следует принимать меры в целях обеспечения того, чтобы право на воду учитывалось в рамках проводимой политики кредитования, заключаемых заемных соглашений и других международных мер этих учреждений.</w:t>
      </w:r>
    </w:p>
    <w:p w:rsidR="00000000" w:rsidRDefault="00000000"/>
    <w:p w:rsidR="00000000" w:rsidRDefault="00000000">
      <w:pPr>
        <w:pStyle w:val="Heading3"/>
        <w:rPr>
          <w:iCs/>
        </w:rPr>
      </w:pPr>
      <w:r>
        <w:rPr>
          <w:iCs/>
        </w:rPr>
        <w:t>Основные обязательства</w:t>
      </w:r>
    </w:p>
    <w:p w:rsidR="00000000" w:rsidRDefault="00000000">
      <w:pPr>
        <w:pStyle w:val="Heading3"/>
        <w:rPr>
          <w:iCs/>
        </w:rPr>
      </w:pPr>
    </w:p>
    <w:p w:rsidR="00000000" w:rsidRDefault="00000000">
      <w:r>
        <w:t>37.</w:t>
      </w:r>
      <w:r>
        <w:tab/>
        <w:t>В Замечании общего порядка № 3 (1990) Комитет вновь подтверждает, что на государствах-участниках лежит основное обязательство обеспечивать осуществление каждого из прав, хотя бы на минимальном уровне.  По мнению Комитета, можно выделить по меньшей мере следующий ряд основных обязательств в контексте права на воду, которые требуют немедленной их реализации:</w:t>
      </w:r>
    </w:p>
    <w:p w:rsidR="00000000" w:rsidRDefault="00000000"/>
    <w:p w:rsidR="00000000" w:rsidRDefault="00000000">
      <w:r>
        <w:tab/>
        <w:t>а)</w:t>
      </w:r>
      <w:r>
        <w:tab/>
        <w:t>обеспечение доступа к минимально необходимому количеству воды, которая является достаточной и безопасной для целей личного и бытового использования для предупреждения заболеваний;</w:t>
      </w:r>
    </w:p>
    <w:p w:rsidR="00000000" w:rsidRDefault="00000000"/>
    <w:p w:rsidR="00000000" w:rsidRDefault="00000000">
      <w:r>
        <w:tab/>
        <w:t>b)</w:t>
      </w:r>
      <w:r>
        <w:tab/>
        <w:t xml:space="preserve">обеспечение права на доступ к воде и водным системам и службам на </w:t>
      </w:r>
      <w:proofErr w:type="spellStart"/>
      <w:r>
        <w:t>недискриминационной</w:t>
      </w:r>
      <w:proofErr w:type="spellEnd"/>
      <w:r>
        <w:t xml:space="preserve"> основе, особенно для малообеспеченных или обездоленных групп населения;</w:t>
      </w:r>
    </w:p>
    <w:p w:rsidR="00000000" w:rsidRDefault="00000000"/>
    <w:p w:rsidR="00000000" w:rsidRDefault="00000000">
      <w:r>
        <w:tab/>
        <w:t>с)</w:t>
      </w:r>
      <w:r>
        <w:tab/>
        <w:t>обеспечение физического доступа к водным системам или объектам, которые обеспечивают достаточное, безопасное и регулярное водоснабжение при достаточном количестве водотоков во избежание возможных заторов и на разумном расстоянии от домашних хозяйств;</w:t>
      </w:r>
    </w:p>
    <w:p w:rsidR="00000000" w:rsidRDefault="00000000"/>
    <w:p w:rsidR="00000000" w:rsidRDefault="00000000">
      <w:r>
        <w:tab/>
        <w:t>d)</w:t>
      </w:r>
      <w:r>
        <w:tab/>
        <w:t>обеспечение отсутствия угрозы для личной безопасности при физическом доступе к воде;</w:t>
      </w:r>
    </w:p>
    <w:p w:rsidR="00000000" w:rsidRDefault="00000000"/>
    <w:p w:rsidR="00000000" w:rsidRDefault="00000000">
      <w:r>
        <w:tab/>
        <w:t>е)</w:t>
      </w:r>
      <w:r>
        <w:tab/>
        <w:t>обеспечение равномерного распределения воды в рамках всех имеющихся систем и объектов водоснабжения;</w:t>
      </w:r>
    </w:p>
    <w:p w:rsidR="00000000" w:rsidRDefault="00000000"/>
    <w:p w:rsidR="00000000" w:rsidRDefault="00000000">
      <w:r>
        <w:tab/>
        <w:t>f)</w:t>
      </w:r>
      <w:r>
        <w:tab/>
        <w:t>принятие и осуществление национальной стратегии и планов действий в области водоснабжения, охватывающих все население;  стратегии и планы действий должны разрабатываться и периодически пересматриваться с учетом принципов партисипативности и транспарентности;  соответствующие меры должны включать такие методы, как право на водные показатели и ориентиры, обеспечивающие тщательное наблюдение за ходом водоснабжения;  в процессе разработки стратегии и плана действий, а также содержание этих документов должны предусматривать уделение особого внимания малообеспеченным и обездоленным группам населения;</w:t>
      </w:r>
    </w:p>
    <w:p w:rsidR="00000000" w:rsidRDefault="00000000"/>
    <w:p w:rsidR="00000000" w:rsidRDefault="00000000">
      <w:r>
        <w:tab/>
      </w:r>
      <w:proofErr w:type="spellStart"/>
      <w:r>
        <w:t>g</w:t>
      </w:r>
      <w:proofErr w:type="spellEnd"/>
      <w:r>
        <w:t>)</w:t>
      </w:r>
      <w:r>
        <w:tab/>
        <w:t>наблюдение за степенью реализации или нереализации права на воду;</w:t>
      </w:r>
    </w:p>
    <w:p w:rsidR="00000000" w:rsidRDefault="00000000"/>
    <w:p w:rsidR="00000000" w:rsidRDefault="00000000">
      <w:r>
        <w:tab/>
      </w:r>
      <w:proofErr w:type="spellStart"/>
      <w:r>
        <w:t>h</w:t>
      </w:r>
      <w:proofErr w:type="spellEnd"/>
      <w:r>
        <w:t>)</w:t>
      </w:r>
      <w:r>
        <w:tab/>
        <w:t>принятие сравнительно недорогостоящих целевых программ водоснабжения с целью защиты уязвимых и обездоленных групп населения;</w:t>
      </w:r>
    </w:p>
    <w:p w:rsidR="00000000" w:rsidRDefault="00000000"/>
    <w:p w:rsidR="00000000" w:rsidRDefault="00000000">
      <w:r>
        <w:tab/>
        <w:t>i)</w:t>
      </w:r>
      <w:r>
        <w:tab/>
        <w:t>принятие мер для профилактики, лечения и контроля заболеваний, связанных с водной средой, в частности обеспечение доступа населения к адекватным санитарным средствам.</w:t>
      </w:r>
    </w:p>
    <w:p w:rsidR="00000000" w:rsidRDefault="00000000"/>
    <w:p w:rsidR="00000000" w:rsidRDefault="00000000">
      <w:r>
        <w:t>38.</w:t>
      </w:r>
      <w:r>
        <w:tab/>
        <w:t>Во избежание каких-либо сомнений Комитет хотел бы подчеркнуть, что государства-участники и другие субъекты, способные оказывать помощь, несут особую ответственность за оказание международной помощи и развитие сотрудничества, особенно экономического и технического характера, позволяющего развивающимся странам выполнять свои основные обязательства, перечисленные в пункте 37 выше.</w:t>
      </w:r>
    </w:p>
    <w:p w:rsidR="00000000" w:rsidRDefault="00000000"/>
    <w:p w:rsidR="00000000" w:rsidRDefault="00000000">
      <w:pPr>
        <w:jc w:val="center"/>
        <w:rPr>
          <w:b/>
          <w:bCs/>
        </w:rPr>
      </w:pPr>
      <w:r>
        <w:rPr>
          <w:b/>
          <w:bCs/>
        </w:rPr>
        <w:t>IV.</w:t>
      </w:r>
      <w:r>
        <w:rPr>
          <w:b/>
          <w:bCs/>
        </w:rPr>
        <w:tab/>
        <w:t>НАРУШЕНИЯ</w:t>
      </w:r>
    </w:p>
    <w:p w:rsidR="00000000" w:rsidRDefault="00000000">
      <w:pPr>
        <w:jc w:val="center"/>
        <w:rPr>
          <w:b/>
          <w:bCs/>
        </w:rPr>
      </w:pPr>
    </w:p>
    <w:p w:rsidR="00000000" w:rsidRDefault="00000000">
      <w:r>
        <w:t>39.</w:t>
      </w:r>
      <w:r>
        <w:tab/>
        <w:t>Когда нормативное содержание права на воду (см. раздел II) применяется к обязательствам государств-участников (раздел III), то вводится в действие процесс, способствующий выявлению нарушений права на воду.  В нижеследующих пунктах приводятся примеры нарушения права на воду.</w:t>
      </w:r>
    </w:p>
    <w:p w:rsidR="00000000" w:rsidRDefault="00000000"/>
    <w:p w:rsidR="00000000" w:rsidRDefault="00000000">
      <w:r>
        <w:t>40.</w:t>
      </w:r>
      <w:r>
        <w:tab/>
        <w:t>С тем чтобы продемонстрировать соблюдение своих общих и конкретных обязательств, государства-участники должны удостовериться, что ими были приняты необходимые и реальные меры с целью осуществления права на воду.  В соответствии с международным правом неспособность действовать добросовестным образом приравнивается к нарушению этого права.  Следует подчеркнуть, что государство-участник не вправе оправдывать несоблюдение основных обязательств, изложенных в пункте 37 выше, отступление от которых квалифицируется как недопустимое.</w:t>
      </w:r>
    </w:p>
    <w:p w:rsidR="00000000" w:rsidRDefault="00000000"/>
    <w:p w:rsidR="00000000" w:rsidRDefault="00000000">
      <w:r>
        <w:t>41.</w:t>
      </w:r>
      <w:r>
        <w:tab/>
        <w:t>При определении того, какие действия или упущения можно считать равносильными нарушению права на воду, представляется важным проводить различия между неспособностью и нежеланием государства-участника выполнять свои обязательства в связи с правом на воду.  Такой подход вытекает из пункта 1 статьи 11 и статьи 12 Пакта, где говорится о праве на достаточный уровень жизни и праве на здоровье, а также из пункта 1 статьи 2 Пакта, который обязывает каждое государство-участник принимать необходимые меры в максимальных пределах имеющихся ресурсов.  Государство, которое не желает использовать максимальные имеющиеся ресурсы для целей реализации права на воду, нарушает свои обязательства по Пакту.  Если нехватка ресурсов не позволяет государству-участнику в полном объеме выполнять свои обязательства по Пакту, то оно обязано подтвердить, что, несмотря на данное обстоятельство, им были предприняты все усилия в рамках всех имеющихся в его распоряжении ресурсов для целей соблюдения в приоритетном порядке вышеуказанных обязательств.</w:t>
      </w:r>
    </w:p>
    <w:p w:rsidR="00000000" w:rsidRDefault="00000000"/>
    <w:p w:rsidR="00000000" w:rsidRDefault="00000000">
      <w:r>
        <w:t>42.</w:t>
      </w:r>
      <w:r>
        <w:tab/>
        <w:t xml:space="preserve">Нарушение права на воду может происходить в рамках </w:t>
      </w:r>
      <w:r>
        <w:rPr>
          <w:i/>
          <w:iCs/>
        </w:rPr>
        <w:t>акта совершения</w:t>
      </w:r>
      <w:r>
        <w:t xml:space="preserve"> прямых действий государством-участником или другими субъектами, которые в недостаточной степени регулируются государствами.  Нарушения могут включать, в частности, принятие регрессивных мер, несовместимых с основными обязательствами (перечисленными в пункте 37 выше), формальное аннулирование или приостановление законодательства, необходимого для продолжения осуществления права на воду законодательства, или принятие законодательства или стратегий, которые явно несовместимы с существовавшими до этого внутригосударственными или международными правовыми обязательствами в контексте права на воду.</w:t>
      </w:r>
    </w:p>
    <w:p w:rsidR="00000000" w:rsidRDefault="00000000"/>
    <w:p w:rsidR="00000000" w:rsidRDefault="00000000">
      <w:r>
        <w:t>43.</w:t>
      </w:r>
      <w:r>
        <w:tab/>
        <w:t xml:space="preserve">Нарушение путем </w:t>
      </w:r>
      <w:r>
        <w:rPr>
          <w:i/>
          <w:iCs/>
        </w:rPr>
        <w:t>актов упущения</w:t>
      </w:r>
      <w:r>
        <w:t xml:space="preserve"> включают непринятие надлежащих мер в целях реализации в полном объеме права каждого человека на воду, непринятие мер по разработке национальной политики в области водоснабжения и непринятие мер по обеспечению соответствующих законов.</w:t>
      </w:r>
    </w:p>
    <w:p w:rsidR="00000000" w:rsidRDefault="00000000"/>
    <w:p w:rsidR="00000000" w:rsidRDefault="00000000">
      <w:r>
        <w:t>44.</w:t>
      </w:r>
      <w:r>
        <w:tab/>
        <w:t>Хотя наметить заранее полный перечень нарушений не представляется возможным, можно выделить ряд вытекающих из работы Комитета типичных примеров применительно к уровням обязательств:</w:t>
      </w:r>
    </w:p>
    <w:p w:rsidR="00000000" w:rsidRDefault="00000000"/>
    <w:p w:rsidR="00000000" w:rsidRDefault="00000000">
      <w:r>
        <w:tab/>
        <w:t>а)</w:t>
      </w:r>
      <w:r>
        <w:tab/>
        <w:t>нарушения обязательства уважать вытекают из вмешательства государства-участника в реализацию права на воду.  Эти нарушения включают, среди прочего:  i)  произвольное или необоснованное ограничение доступа к системам или объектам водоснабжения или отказ в таком доступе;  ii)  дискриминационное или несоразмерное увеличение платы за воду;  и  iii)  пагубное для здоровья человека загрязнение и уменьшение объема водных ресурсов;</w:t>
      </w:r>
    </w:p>
    <w:p w:rsidR="00000000" w:rsidRDefault="00000000"/>
    <w:p w:rsidR="00000000" w:rsidRDefault="00000000">
      <w:r>
        <w:tab/>
        <w:t>b)</w:t>
      </w:r>
      <w:r>
        <w:tab/>
        <w:t>нарушения обязательства защищать вытекают из непринятия государством всех необходимых мер, гарантирующих в пределах его юрисдикции лицам защиту от вмешательства со стороны третьих сторон в осуществление права на воду</w:t>
      </w:r>
      <w:r>
        <w:rPr>
          <w:rStyle w:val="FootnoteReference"/>
        </w:rPr>
        <w:footnoteReference w:id="27"/>
      </w:r>
      <w:r>
        <w:t>.  Эти нарушения включают, среди прочего:  i)  необеспечение принятия или применения законов в целях предотвращения загрязнения воды и ее несправедливого забора;  ii)  непринятие мер в целях эффективного регулирования деятельности предприятий водоснабжения и контроля за ней;  iv)  необеспечение защиты водораспределительных систем (например, трубопроводных сетей и колодцев) от вмешательства в их функционирование, от нанесения им ущерба и их разрушения;  и</w:t>
      </w:r>
    </w:p>
    <w:p w:rsidR="00000000" w:rsidRDefault="00000000"/>
    <w:p w:rsidR="00000000" w:rsidRDefault="00000000">
      <w:r>
        <w:tab/>
        <w:t>с)</w:t>
      </w:r>
      <w:r>
        <w:tab/>
        <w:t>нарушения обязательства осуществлять проистекают из непринятия государствами-участниками всех необходимых мер по обеспечению реализации права на воду.  Такие нарушения включают, среди прочего:  i)  </w:t>
      </w:r>
      <w:proofErr w:type="spellStart"/>
      <w:r>
        <w:t>необеспечение</w:t>
      </w:r>
      <w:proofErr w:type="spellEnd"/>
      <w:r>
        <w:t xml:space="preserve"> принятия и реализации национальной стратегии в области водоснабжения, направленной на обеспечение права каждого на воду;  ii)  недостаточное выделение или неправильное использование государственных ресурсов, что приводит к лишению возможности пользоваться правом на воду отдельными лицами или группами лиц, включая, в частности, уязвимые или обездоленные слои населения;  iii)  </w:t>
      </w:r>
      <w:proofErr w:type="spellStart"/>
      <w:r>
        <w:t>необеспечение</w:t>
      </w:r>
      <w:proofErr w:type="spellEnd"/>
      <w:r>
        <w:t xml:space="preserve"> контроля за осуществлением права на воду на национальном уровне, например путем определения показателей и ориентиров в связи с правом на воду;  iv)  непринятие мер с целью ограничения несправедливого распределения водохозяйственных сооружений и объектов;  v)  </w:t>
      </w:r>
      <w:proofErr w:type="spellStart"/>
      <w:r>
        <w:t>необеспечение</w:t>
      </w:r>
      <w:proofErr w:type="spellEnd"/>
      <w:r>
        <w:t xml:space="preserve"> соответствующих механизмов для оказания чрезвычайной помощи;  </w:t>
      </w:r>
      <w:proofErr w:type="spellStart"/>
      <w:r>
        <w:t>vi</w:t>
      </w:r>
      <w:proofErr w:type="spellEnd"/>
      <w:r>
        <w:t>)  </w:t>
      </w:r>
      <w:proofErr w:type="spellStart"/>
      <w:r>
        <w:t>необеспечение</w:t>
      </w:r>
      <w:proofErr w:type="spellEnd"/>
      <w:r>
        <w:t xml:space="preserve"> каждому человеку возможности пользоваться этим правом на минимальном базовом уровне;  </w:t>
      </w:r>
      <w:proofErr w:type="spellStart"/>
      <w:r>
        <w:t>vii</w:t>
      </w:r>
      <w:proofErr w:type="spellEnd"/>
      <w:r>
        <w:t xml:space="preserve">)  непринятие государством мер с целью учета своих международных правовых обязательств относительно права на воду при заключении соглашений с другими государствами или международными организациями.  </w:t>
      </w:r>
    </w:p>
    <w:p w:rsidR="00000000" w:rsidRDefault="00000000"/>
    <w:p w:rsidR="00000000" w:rsidRDefault="00000000">
      <w:pPr>
        <w:jc w:val="center"/>
        <w:rPr>
          <w:b/>
          <w:bCs/>
        </w:rPr>
      </w:pPr>
      <w:proofErr w:type="spellStart"/>
      <w:r>
        <w:rPr>
          <w:b/>
          <w:bCs/>
        </w:rPr>
        <w:t>V</w:t>
      </w:r>
      <w:proofErr w:type="spellEnd"/>
      <w:r>
        <w:rPr>
          <w:b/>
          <w:bCs/>
        </w:rPr>
        <w:t>.</w:t>
      </w:r>
      <w:r>
        <w:rPr>
          <w:b/>
          <w:bCs/>
        </w:rPr>
        <w:tab/>
        <w:t>ОСУЩЕСТВЛЕНИЕ НА НАЦИОНАЛЬНОМ УРОВНЕ</w:t>
      </w:r>
    </w:p>
    <w:p w:rsidR="00000000" w:rsidRDefault="00000000">
      <w:pPr>
        <w:jc w:val="center"/>
        <w:rPr>
          <w:b/>
          <w:bCs/>
        </w:rPr>
      </w:pPr>
    </w:p>
    <w:p w:rsidR="00000000" w:rsidRDefault="00000000">
      <w:r>
        <w:t>45.</w:t>
      </w:r>
      <w:r>
        <w:tab/>
        <w:t>Согласно пункту 1 статьи 2 Пакта от государств-участников требуется при осуществлении ими своих обязательств по Пакту прибегать к использованию "всех надлежащих способов, включая, в частности, принятие законодательных мер".  Каждое государство-участник обладает рамками дискреционных полномочий в контексте оценки того, какие меры являются наиболее подходящими с учетом конкретных обстоятельство.  Вместе с тем Пакт однозначно налагает на каждое государство-участник обязательство принимать такие меры, которые являются необходимыми для как можно более оперативного обеспечения того, чтобы каждый человек мог осуществлять свое право на воду.  Любые национальные меры, ориентированные на реализацию права на воду, не должны препятствовать осуществлению других прав человека.</w:t>
      </w:r>
    </w:p>
    <w:p w:rsidR="00000000" w:rsidRDefault="00000000"/>
    <w:p w:rsidR="00000000" w:rsidRDefault="00000000">
      <w:r>
        <w:rPr>
          <w:i/>
          <w:iCs/>
        </w:rPr>
        <w:t>Законодательство, стратегии и политика</w:t>
      </w:r>
    </w:p>
    <w:p w:rsidR="00000000" w:rsidRDefault="00000000"/>
    <w:p w:rsidR="00000000" w:rsidRDefault="00000000">
      <w:r>
        <w:t>46.</w:t>
      </w:r>
      <w:r>
        <w:tab/>
        <w:t xml:space="preserve">Существующие законодательные положения, стратегия и политика должны быть пересмотрены в порядке обеспечения их совместимости с обязательствами, вытекающими из права на воду, а если они не согласуются с требованиями Пакта, то они должны быть отменены, скорректированы или изменены.  </w:t>
      </w:r>
    </w:p>
    <w:p w:rsidR="00000000" w:rsidRDefault="00000000"/>
    <w:p w:rsidR="00000000" w:rsidRDefault="00000000">
      <w:r>
        <w:t>47.</w:t>
      </w:r>
      <w:r>
        <w:tab/>
        <w:t xml:space="preserve">Это обязательство однозначно предполагает, что государствам-участникам надлежит выработать национальную стратегию или план действий по реализации права на воду.  Эта стратегия должна:  а)  базироваться на нормах и принципах в области прав человека;  </w:t>
      </w:r>
      <w:r>
        <w:rPr>
          <w:lang w:val="en-US"/>
        </w:rPr>
        <w:t>b</w:t>
      </w:r>
      <w:r>
        <w:t xml:space="preserve">)  охватывать все аспекты права на воду и соответствующие обязательства государств-участников;  с)  четко определять задачи;  </w:t>
      </w:r>
      <w:r>
        <w:rPr>
          <w:lang w:val="en-US"/>
        </w:rPr>
        <w:t>d</w:t>
      </w:r>
      <w:r>
        <w:t>)  устанавливать подлежащие достижению цели и сроки, отводимые для осуществления;  е)  оговаривать надлежащие стратегические меры, а также соответствующие ориентиры и показатели.  Кроме того, стратегия должна предусматривать наличие соответствующей институциональной ответственности в рамках этого процесса;  определять доступные ресурсы для достижения задач, целей и ориентиров;  предусматривать распределение надлежащих ресурсов в соответствии с принципом институциональной ответственности и предусматривать наличие механизмов отчетности с целью гарантировать осуществление стратегии.  При разработке и осуществлении национальных стратегий по осуществлению права на воду государствам-участникам следует опираться на техническое содействие и сотрудничество со стороны специализированных учреждений Организации Объединенных Наций (см. раздел </w:t>
      </w:r>
      <w:r>
        <w:rPr>
          <w:lang w:val="en-US"/>
        </w:rPr>
        <w:t>VI</w:t>
      </w:r>
      <w:r>
        <w:t xml:space="preserve"> ниже).</w:t>
      </w:r>
    </w:p>
    <w:p w:rsidR="00000000" w:rsidRDefault="00000000"/>
    <w:p w:rsidR="00000000" w:rsidRDefault="00000000">
      <w:r>
        <w:t>48.</w:t>
      </w:r>
      <w:r>
        <w:tab/>
        <w:t>При разработке и осуществлении национальных стратегий и планов действий в сфере водоснабжения следует учитывать, среди прочего, принцип недискриминации и участия населения.  Право отдельных лиц и групп лиц участвовать в процессе принятия решений, которые могут отразиться на осуществлении ими права на воду, должно стать неотъемлемой частью любой политики, программы или стратегии в области водных ресурсов.  Отдельные лица и группы лиц должны иметь полный и равноправный доступ к информации относительно водных ресурсов, систем водоснабжения и окружающей среды, которой располагают государственные власти или третьи стороны.</w:t>
      </w:r>
    </w:p>
    <w:p w:rsidR="00000000" w:rsidRDefault="00000000"/>
    <w:p w:rsidR="00000000" w:rsidRDefault="00000000">
      <w:r>
        <w:t>49.</w:t>
      </w:r>
      <w:r>
        <w:tab/>
        <w:t xml:space="preserve">Кроме того, национальные стратегии и планы действий в области водных ресурсов должны также базироваться на принципах отчетности, </w:t>
      </w:r>
      <w:proofErr w:type="spellStart"/>
      <w:r>
        <w:t>транспарентности</w:t>
      </w:r>
      <w:proofErr w:type="spellEnd"/>
      <w:r>
        <w:t xml:space="preserve"> и независимости судебной власти, поскольку принцип благого управления имеет основополагающее значение для целей эффективного осуществления всех прав человека, включая реализацию права на воду.  В целях создания благоприятного климата для осуществления такого права государства-участники должны принимать надлежащие меры для обеспечения того, чтобы частный предпринимательский сектор и гражданское общество сознавали и учитывали важное значение права на воду в контексте осуществляемой ими деятельности.</w:t>
      </w:r>
    </w:p>
    <w:p w:rsidR="00000000" w:rsidRDefault="00000000"/>
    <w:p w:rsidR="00000000" w:rsidRDefault="00000000">
      <w:r>
        <w:t>50.</w:t>
      </w:r>
      <w:r>
        <w:tab/>
        <w:t xml:space="preserve">Государства-участники могут счесть целесообразным принять рамочное законодательство для обеспечения практического осуществления своей стратегии, касающейся права на воду.  В таком законодательстве должны содержаться положения относительно:  а)  поставленных целей и задач и сроков их выполнения;  </w:t>
      </w:r>
      <w:r>
        <w:rPr>
          <w:lang w:val="en-US"/>
        </w:rPr>
        <w:t>b</w:t>
      </w:r>
      <w:r>
        <w:t xml:space="preserve">)  средств для достижения намеченной цели;  с)  планируемого сотрудничества с гражданским обществом, частным сектором и международными организациями;  </w:t>
      </w:r>
      <w:r>
        <w:rPr>
          <w:lang w:val="en-US"/>
        </w:rPr>
        <w:t>d</w:t>
      </w:r>
      <w:r>
        <w:t xml:space="preserve">)  институтов, отвечающих за соответствующий процесс;  е)  национальных механизмов контроля за его реализацией;  и  </w:t>
      </w:r>
      <w:r>
        <w:rPr>
          <w:lang w:val="en-US"/>
        </w:rPr>
        <w:t>f</w:t>
      </w:r>
      <w:r>
        <w:t>)  средств правовой защиты и процедур обжалования.</w:t>
      </w:r>
    </w:p>
    <w:p w:rsidR="00000000" w:rsidRDefault="00000000"/>
    <w:p w:rsidR="00000000" w:rsidRDefault="00000000">
      <w:r>
        <w:t>51.</w:t>
      </w:r>
      <w:r>
        <w:tab/>
        <w:t>Следует принять меры для обеспечения достаточно эффективной координации между национальными министерствами, региональными и местными властями в целях согласования стратегии в области водных ресурсов.  В тех случаях, когда осуществление права на воду поручается региональным или местным властям, государство-участник по</w:t>
      </w:r>
      <w:r>
        <w:noBreakHyphen/>
        <w:t>прежнему сохраняет за собой ответственность за выполнение своих обязательств по Пакту, и в этой связи следует обеспечить, чтобы эти власти имели в своем распоряжении достаточные средства для эксплуатации и совершенствования необходимых систем и объектов водоснабжения.  Кроме того, государствам-участникам надлежит обеспечивать, чтобы такие власти не отказывали в доступе к соответствующим услугам на дискриминационной основе.</w:t>
      </w:r>
    </w:p>
    <w:p w:rsidR="00000000" w:rsidRDefault="00000000"/>
    <w:p w:rsidR="00000000" w:rsidRDefault="00000000">
      <w:r>
        <w:t>52.</w:t>
      </w:r>
      <w:r>
        <w:tab/>
        <w:t>Государства-участники обязаны осуществлять эффективный контроль за реализацией права на воду.  В процессе контроля за реализацией права на воду государства-участники должны выявлять факторы и трудности, препятствующие осуществлению их обязательств.</w:t>
      </w:r>
    </w:p>
    <w:p w:rsidR="00000000" w:rsidRDefault="00000000"/>
    <w:p w:rsidR="00000000" w:rsidRDefault="00000000">
      <w:r>
        <w:rPr>
          <w:i/>
          <w:iCs/>
        </w:rPr>
        <w:t>Показатели и ориентиры</w:t>
      </w:r>
    </w:p>
    <w:p w:rsidR="00000000" w:rsidRDefault="00000000"/>
    <w:p w:rsidR="00000000" w:rsidRDefault="00000000">
      <w:r>
        <w:t>53.</w:t>
      </w:r>
      <w:r>
        <w:tab/>
        <w:t xml:space="preserve">В целях содействия осуществлению процесса контроля в рамках национальных стратегий или планов действий в области водоснабжения необходимо определить соответствующие показатели, касающиеся права на воду.  Эти показатели должны разрабатываться для целей осуществления контроля за осуществлением на национальном и международном уровнях обязательств государств-участников по пункту 1 статьи 11 и статьи 12 Пакта.  Такие показатели должны отражать различные компоненты права на адекватную воду (например, достаточность, безвредность и приемлемость, экономическую и физическую доступность), предусматривать </w:t>
      </w:r>
      <w:proofErr w:type="spellStart"/>
      <w:r>
        <w:t>дезагрегирование</w:t>
      </w:r>
      <w:proofErr w:type="spellEnd"/>
      <w:r>
        <w:t xml:space="preserve"> данных по запрещенным признакам дискриминации и охватывать всех лиц, проживающих на территории под юрисдикцией или под контролем соответствующего государства-участника.  Для определения надлежащих показателей государства-участники могут обращаться за рекомендациями к ВОЗ, Продовольственной и сельскохозяйственной организации Объединенных Наций (</w:t>
      </w:r>
      <w:proofErr w:type="spellStart"/>
      <w:r>
        <w:t>ФАО</w:t>
      </w:r>
      <w:proofErr w:type="spellEnd"/>
      <w:r>
        <w:t>), Центру Организации Объединенных Наций по населенным пунктам (</w:t>
      </w:r>
      <w:proofErr w:type="spellStart"/>
      <w:r>
        <w:t>Хабитат</w:t>
      </w:r>
      <w:proofErr w:type="spellEnd"/>
      <w:r>
        <w:t>), Международной организации труда (МОТ), Детскому фонду Организации Объединенных Наций (ЮНИСЕФ), Программе Организации Объединенных Наций по окружающей среде (</w:t>
      </w:r>
      <w:proofErr w:type="spellStart"/>
      <w:r>
        <w:t>ЮНЕП</w:t>
      </w:r>
      <w:proofErr w:type="spellEnd"/>
      <w:r>
        <w:t>), Программе развития Организации Объединенных Наций (ПРООН) и Комиссии по правам человека Организации Объединенных Наций, которые продолжают осуществлять деятельность в соответствующей области.</w:t>
      </w:r>
    </w:p>
    <w:p w:rsidR="00000000" w:rsidRDefault="00000000"/>
    <w:p w:rsidR="00000000" w:rsidRDefault="00000000">
      <w:r>
        <w:t>54.</w:t>
      </w:r>
      <w:r>
        <w:tab/>
        <w:t>После определения надлежащих показателей в контексте права на воду государствам-участникам предлагается установить соответствующие национальные ориентиры в связи с каждым показателем</w:t>
      </w:r>
      <w:r>
        <w:rPr>
          <w:rStyle w:val="FootnoteReference"/>
        </w:rPr>
        <w:footnoteReference w:id="28"/>
      </w:r>
      <w:r>
        <w:t>.  В ходе периодической процедуры представления отчетов Комитет вступит в коллегиальный процесс с государством-участником.  Этот коллегиальный процесс предполагает совместное рассмотрение государством-участником и Комитетом показателей и национальных ориентиров, которые затем будут определены в качестве целей, подлежащих осуществлению в последующий отчетный период.  В течение последующих пяти лет государство-участник будет использовать эти национальные ориентиры в целях содействия контролю за осуществлением права на воду.  Соответственно в рамках последующего процесса отчетности государство-участник и Комитет будут рассматривать вопрос выполнения или невыполнения этих ориентиров, а также причины возможного возникновения каких-либо трудностей (см. Замечание общего порядка № 14 (2000), пункт 58).  Кроме того, при определении ориентиров и подготовки своих докладов государства-участники должны опираться на обширную информацию и консультативные услуги специализированных учреждений для целей сбора данных и их представления в дезагрегированной форме.</w:t>
      </w:r>
    </w:p>
    <w:p w:rsidR="00000000" w:rsidRDefault="00000000"/>
    <w:p w:rsidR="00000000" w:rsidRDefault="00000000">
      <w:pPr>
        <w:pStyle w:val="Heading3"/>
        <w:rPr>
          <w:iCs/>
        </w:rPr>
      </w:pPr>
      <w:r>
        <w:rPr>
          <w:iCs/>
        </w:rPr>
        <w:t>Средства правовой защиты и подотчетность</w:t>
      </w:r>
    </w:p>
    <w:p w:rsidR="00000000" w:rsidRDefault="00000000">
      <w:pPr>
        <w:pStyle w:val="Heading3"/>
        <w:rPr>
          <w:iCs/>
        </w:rPr>
      </w:pPr>
    </w:p>
    <w:p w:rsidR="00000000" w:rsidRDefault="00000000">
      <w:r>
        <w:t>55.</w:t>
      </w:r>
      <w:r>
        <w:tab/>
        <w:t>Любые лица или группы лиц, которым было отказано в праве на воду, должны иметь доступ к эффективным судебным или иным соответствующим средствам правовой защиты на национальном и международном уровнях (см. Замечание общего порядка № 9 (1998), пункт 4, и принцип 10 Рио-де-Жанейрской декларации)</w:t>
      </w:r>
      <w:r>
        <w:rPr>
          <w:rStyle w:val="FootnoteReference"/>
        </w:rPr>
        <w:footnoteReference w:id="29"/>
      </w:r>
      <w:r>
        <w:t>.  Комитет отмечает, что имели место случаи конституционного посягательства на данное право со стороны ряда государств, которые стали предметом разбирательства в национальных судах.  Все жертвы нарушений права на воду должны иметь право на адекватное возмещение ущерба, включая реституцию, компенсацию, сатисфакцию или гарантии неповторения.  Национальным уполномоченным, комиссиям по правам человека и аналогичным учреждениям должна быть предоставлена возможность вести борьбу с нарушениями данного права.</w:t>
      </w:r>
    </w:p>
    <w:p w:rsidR="00000000" w:rsidRDefault="00000000"/>
    <w:p w:rsidR="00000000" w:rsidRDefault="00000000">
      <w:r>
        <w:t>56.</w:t>
      </w:r>
      <w:r>
        <w:tab/>
        <w:t>Перед осуществлением государством-участником или какой-либо третьей стороной какого-либо действия, представляющего собой вмешательство в право индивида на воду, соответствующие власти должны обеспечить, чтобы такие действия осуществлялись во исполнение закона, соответствовали Пакту и предусматривали:  a)  возможность проведения реальной консультации с затрагиваемой стороной;  b)  своевременное и полное обнародование информации о предполагаемых мерах;  c)  разумное уведомление о предлагаемых мерах;  d)  наличие средств правовой защиты и обжалование для затрагиваемой стороны;  и  e)  наличие правовой помощи для целей использования соответствующих средств правовой защиты (см. также Замечание общего порядка № 4 (1991) и № 7 (1997)).  В тех случаях, когда в основе таких действий лежит неспособность какого-либо лица оплатить услуги за водоснабжение, должны приниматься во внимание имеющиеся у этого лица возможности для такой оплаты. Ни в коем случае никакое лицо не может быть лишено права на минимально допустимый уровень водоснабжения.</w:t>
      </w:r>
    </w:p>
    <w:p w:rsidR="00000000" w:rsidRDefault="00000000"/>
    <w:p w:rsidR="00000000" w:rsidRDefault="00000000">
      <w:r>
        <w:t>57.</w:t>
      </w:r>
      <w:r>
        <w:tab/>
        <w:t>Включение во внутригосударственное законодательство международных договоров, признающих право на воду, может существенно расширить диапазон и эффективность средств правовой защиты и должно во всех случаях поощряться.  Процедура инкорпорации позволяет местным судам выносить решения по делам о нарушениях права на воду или по меньшей мере о нарушении основных обязательств, о которых непосредственно говорится в Пакте.</w:t>
      </w:r>
    </w:p>
    <w:p w:rsidR="00000000" w:rsidRDefault="00000000"/>
    <w:p w:rsidR="00000000" w:rsidRDefault="00000000">
      <w:r>
        <w:t>58.</w:t>
      </w:r>
      <w:r>
        <w:tab/>
        <w:t>Государства-участники должны призывать судей, арбитров и юристов уделять более пристальное внимание случаям нарушения права на воду в ходе осуществления своих функций.</w:t>
      </w:r>
    </w:p>
    <w:p w:rsidR="00000000" w:rsidRDefault="00000000"/>
    <w:p w:rsidR="00000000" w:rsidRDefault="00000000">
      <w:r>
        <w:t>59.</w:t>
      </w:r>
      <w:r>
        <w:tab/>
        <w:t>Государствам-участникам следует уважать, защищать, поощрять и пропагандировать деятельность правозащитников и других активистов гражданского общества с целью оказания помощи уязвимым или обездоленным группам в интересах осуществления их права на воду.</w:t>
      </w:r>
    </w:p>
    <w:p w:rsidR="00000000" w:rsidRDefault="00000000"/>
    <w:p w:rsidR="00000000" w:rsidRDefault="00000000">
      <w:pPr>
        <w:jc w:val="center"/>
        <w:rPr>
          <w:b/>
          <w:bCs/>
        </w:rPr>
      </w:pPr>
      <w:r>
        <w:rPr>
          <w:b/>
          <w:bCs/>
          <w:lang w:val="en-US"/>
        </w:rPr>
        <w:t>VI</w:t>
      </w:r>
      <w:r>
        <w:rPr>
          <w:b/>
          <w:bCs/>
        </w:rPr>
        <w:t>.</w:t>
      </w:r>
      <w:r>
        <w:rPr>
          <w:b/>
          <w:bCs/>
        </w:rPr>
        <w:tab/>
        <w:t>ОБЯЗАТЕЛЬСТВА ДРУГИХ СУБЪЕКТОВ, ПОМИМО ГОСУДАРСТВ</w:t>
      </w:r>
    </w:p>
    <w:p w:rsidR="00000000" w:rsidRDefault="00000000">
      <w:pPr>
        <w:jc w:val="center"/>
        <w:rPr>
          <w:b/>
          <w:bCs/>
        </w:rPr>
      </w:pPr>
    </w:p>
    <w:p w:rsidR="00000000" w:rsidRDefault="00000000">
      <w:r>
        <w:t>60.</w:t>
      </w:r>
      <w:r>
        <w:tab/>
        <w:t>Учреждения Организации Объединенных Наций и другие международные организации, занимающиеся проблемой водных ресурсов, как, например, ВОЗ, ФАО, ЮНИСЕФ, ЮНЕП, ООН-Хабитат, МОТ, ПРООН, Международный фонд сельскохозяйственного развития (МФСР), а также международные организации, занимающиеся проблемами торговли, такие, как Всемирная торговая организация (ВТО), должны, используя накопленный ими опыт, эффективно сотрудничать с государствами-участниками в процессе осуществления права на воду на национальном уровне.  Международным финансовым учреждениям, в особенности Международному валютному фонду и Всемирному банку, следует учитывать право на воду в рамках своей политики кредитования, заемных соглашений, программ структурной перестройки и прочих проектах в интересах развития (см. Замечание общего порядка № 2 (1990)) в целях содействия осуществления права на воду.  При рассмотрении докладов государств-участников и их возможности выполнять обязательства по реализации права на воду Комитет будет рассматривать впоследствии помощь со стороны всех других субъектов.  Включение норм и принципов права прав человека в осуществляемые международными организациями программы и стратегии будет содействовать значительному повышению эффективности осуществлению права на воду.  Роль Международной федерации Красного Креста и Общества Красного Полумесяца, Международного комитета Красного Креста, Управления Верховного комиссара Организации Объединенных Наций по делам беженцев (УВКБ), ВОЗ и ЮНИСЕФ, а также неправительственных организаций и других ассоциаций имеет особо важное значение в контексте устранения последствий стихийных бедствий и оказания гуманитарной помощи в периоды чрезвычайных ситуаций.  При оказании помощи, распределении и рациональном использовании водных ресурсов и систем водообеспечения следует уделять приоритетное внимание наиболее уязвимым или обездоленным группам населения.</w:t>
      </w:r>
    </w:p>
    <w:p w:rsidR="00000000" w:rsidRDefault="00000000"/>
    <w:p w:rsidR="00000000" w:rsidRDefault="00000000">
      <w:pPr>
        <w:jc w:val="center"/>
      </w:pPr>
      <w:r>
        <w:t>------</w:t>
      </w: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 xml:space="preserve">По оценкам Всемирной организации здравоохранения, в 2000 году 1,1 млрд. не имели доступа к улучшенной системе водоснабжения (80% из них являлись сельскими жителями), обеспечивающей снабжение водой не менее 20 л безопасной воды на человека в день;  согласно оценкам 2,4 млрд. человек не имели доступа к системам водоснабжения и канализации.  </w:t>
      </w:r>
      <w:r>
        <w:rPr>
          <w:lang w:val="en-US"/>
        </w:rPr>
        <w:t>(</w:t>
      </w:r>
      <w:r>
        <w:t>См</w:t>
      </w:r>
      <w:r>
        <w:rPr>
          <w:lang w:val="en-US"/>
        </w:rPr>
        <w:t xml:space="preserve">. </w:t>
      </w:r>
      <w:r>
        <w:t>ВОЗ</w:t>
      </w:r>
      <w:r>
        <w:rPr>
          <w:lang w:val="en-US"/>
        </w:rPr>
        <w:t xml:space="preserve">, </w:t>
      </w:r>
      <w:r>
        <w:rPr>
          <w:i/>
          <w:iCs/>
          <w:lang w:val="en-US"/>
        </w:rPr>
        <w:t>Global Water Supply and Sanitation Assessment 2000,</w:t>
      </w:r>
      <w:r>
        <w:rPr>
          <w:lang w:val="en-US"/>
        </w:rPr>
        <w:t xml:space="preserve"> Geneva, 2002, p. 1.)  </w:t>
      </w:r>
      <w:r>
        <w:t>Кроме того, 2,3 млрд. людей ежегодно страдают от болезней, связанных с потреблением некачественной воды (см. Организация Объединенных Наций, Комиссия по устойчивому развитию, "Всеобъемлющая оценка мировых ресурсов пресных вод", Нью</w:t>
      </w:r>
      <w:r>
        <w:noBreakHyphen/>
        <w:t>Йорк, 1997 год, стр. 39.</w:t>
      </w:r>
    </w:p>
  </w:footnote>
  <w:footnote w:id="2">
    <w:p w:rsidR="00000000" w:rsidRDefault="00000000">
      <w:pPr>
        <w:pStyle w:val="FootnoteText"/>
      </w:pPr>
    </w:p>
    <w:p w:rsidR="00000000" w:rsidRDefault="00000000">
      <w:pPr>
        <w:pStyle w:val="FootnoteText"/>
      </w:pPr>
      <w:r>
        <w:rPr>
          <w:rStyle w:val="FootnoteReference"/>
        </w:rPr>
        <w:footnoteRef/>
      </w:r>
      <w:r>
        <w:t xml:space="preserve"> </w:t>
      </w:r>
      <w:r>
        <w:tab/>
        <w:t>См. пункты 5 и 32 принятого Комитетом Замечания общего порядка № 6 (1995) об экономических, социальных и культурных правах пожилых людей.</w:t>
      </w:r>
    </w:p>
  </w:footnote>
  <w:footnote w:id="3">
    <w:p w:rsidR="00000000" w:rsidRDefault="00000000">
      <w:pPr>
        <w:pStyle w:val="FootnoteText"/>
      </w:pPr>
      <w:r>
        <w:rPr>
          <w:rStyle w:val="FootnoteReference"/>
        </w:rPr>
        <w:footnoteRef/>
      </w:r>
      <w:r>
        <w:t xml:space="preserve"> </w:t>
      </w:r>
      <w:r>
        <w:tab/>
        <w:t xml:space="preserve">См. Замечание общего порядка № 14 (2000) о праве на наивысший достижимый уровень здоровья, а именно пункты 11, 12 </w:t>
      </w:r>
      <w:r>
        <w:rPr>
          <w:i/>
          <w:iCs/>
        </w:rPr>
        <w:t>а)</w:t>
      </w:r>
      <w:r>
        <w:t xml:space="preserve">, </w:t>
      </w:r>
      <w:r>
        <w:rPr>
          <w:i/>
          <w:iCs/>
        </w:rPr>
        <w:t>b)</w:t>
      </w:r>
      <w:r>
        <w:t xml:space="preserve"> и </w:t>
      </w:r>
      <w:r>
        <w:rPr>
          <w:i/>
          <w:iCs/>
        </w:rPr>
        <w:t>d)</w:t>
      </w:r>
      <w:r>
        <w:t>, 15, 34, 36, 40, 43 и 51.</w:t>
      </w:r>
    </w:p>
  </w:footnote>
  <w:footnote w:id="4">
    <w:p w:rsidR="00000000" w:rsidRDefault="00000000">
      <w:pPr>
        <w:pStyle w:val="FootnoteText"/>
      </w:pPr>
    </w:p>
    <w:p w:rsidR="00000000" w:rsidRDefault="00000000">
      <w:pPr>
        <w:pStyle w:val="FootnoteText"/>
      </w:pPr>
      <w:r>
        <w:rPr>
          <w:rStyle w:val="FootnoteReference"/>
        </w:rPr>
        <w:footnoteRef/>
      </w:r>
      <w:r>
        <w:t xml:space="preserve"> </w:t>
      </w:r>
      <w:r>
        <w:tab/>
        <w:t xml:space="preserve">См. пункт 8 </w:t>
      </w:r>
      <w:r>
        <w:rPr>
          <w:i/>
          <w:iCs/>
        </w:rPr>
        <w:t>b)</w:t>
      </w:r>
      <w:r>
        <w:t xml:space="preserve"> Замечания общего порядка № 4 (1991).  См. также доклад Специального докладчика Комиссии по правам человека по вопросу о праве на достаточное жилище как одном из компонентов права на достаточный уровень жизни, г</w:t>
      </w:r>
      <w:r>
        <w:noBreakHyphen/>
        <w:t>на Милуна Котхари (</w:t>
      </w:r>
      <w:r>
        <w:rPr>
          <w:lang w:val="en-US"/>
        </w:rPr>
        <w:t>E</w:t>
      </w:r>
      <w:r>
        <w:t>/</w:t>
      </w:r>
      <w:r>
        <w:rPr>
          <w:lang w:val="en-US"/>
        </w:rPr>
        <w:t>CN</w:t>
      </w:r>
      <w:r>
        <w:t>.4/2002/59), представленный в соответствии с резолюцией 2001/28 Комиссии от 20 апреля 2001 года.  В связи с правом на достаточное питание см. доклад Специального докладчика Комиссии по вопросу о праве на питание г</w:t>
      </w:r>
      <w:r>
        <w:noBreakHyphen/>
        <w:t>на Жана Зиглера (</w:t>
      </w:r>
      <w:r>
        <w:rPr>
          <w:lang w:val="en-US"/>
        </w:rPr>
        <w:t>E</w:t>
      </w:r>
      <w:r>
        <w:t>/</w:t>
      </w:r>
      <w:r>
        <w:rPr>
          <w:lang w:val="en-US"/>
        </w:rPr>
        <w:t>CN</w:t>
      </w:r>
      <w:r>
        <w:t>.4/2002/58), представленный в соответствии с резолюцией 2001/25 Комиссии от 20 апреля 2001 года.</w:t>
      </w:r>
    </w:p>
  </w:footnote>
  <w:footnote w:id="5">
    <w:p w:rsidR="00000000" w:rsidRDefault="00000000">
      <w:pPr>
        <w:pStyle w:val="FootnoteText"/>
      </w:pPr>
    </w:p>
    <w:p w:rsidR="00000000" w:rsidRDefault="00000000">
      <w:pPr>
        <w:pStyle w:val="FootnoteText"/>
        <w:rPr>
          <w:i/>
          <w:iCs/>
        </w:rPr>
      </w:pPr>
      <w:r>
        <w:rPr>
          <w:rStyle w:val="FootnoteReference"/>
        </w:rPr>
        <w:footnoteRef/>
      </w:r>
      <w:r>
        <w:t xml:space="preserve"> </w:t>
      </w:r>
      <w:r>
        <w:tab/>
        <w:t xml:space="preserve">См. статью 14.2 </w:t>
      </w:r>
      <w:r>
        <w:rPr>
          <w:i/>
          <w:iCs/>
        </w:rPr>
        <w:t>h)</w:t>
      </w:r>
      <w:r>
        <w:t xml:space="preserve"> Конвенции о ликвидации всех форм дискриминации в отношении женщин;  пункт 2 </w:t>
      </w:r>
      <w:r>
        <w:rPr>
          <w:i/>
          <w:iCs/>
        </w:rPr>
        <w:t>с)</w:t>
      </w:r>
      <w:r>
        <w:t xml:space="preserve"> статьи 24 Конвенции о правах ребенка;  статьи 20, 26, 29 и 46 Женевской конвенции 1949 года об обращении с военнопленными;  статьи 85, 89 и 127 Женевской конвенции 1949 года о защите гражданского населения во время войны;  статьи 54 и 55 Дополнительного протокола I к Женевским конвенциям 1977 года;  статьи 5 м 14 Дополнительного протокола II 1977 года;  преамбулу Мар-дель-платского плана действий Конференции Организации Объединенных Наций по водным ресурсам;  см. пункт 18.47 Повестки дня на ХХI век, "Доклад Конференции Организации Объединенных Наций по окружающей среде и развитию", Рио-де-Жанейро, 3-14 июня 1992 года (</w:t>
      </w:r>
      <w:r>
        <w:rPr>
          <w:lang w:val="en-US"/>
        </w:rPr>
        <w:t>A</w:t>
      </w:r>
      <w:r>
        <w:t>/</w:t>
      </w:r>
      <w:r>
        <w:rPr>
          <w:lang w:val="en-US"/>
        </w:rPr>
        <w:t>CONF</w:t>
      </w:r>
      <w:r>
        <w:t>.151/26/</w:t>
      </w:r>
      <w:r>
        <w:rPr>
          <w:lang w:val="en-US"/>
        </w:rPr>
        <w:t>Rev</w:t>
      </w:r>
      <w:r>
        <w:t>.1 (</w:t>
      </w:r>
      <w:r>
        <w:rPr>
          <w:lang w:val="en-US"/>
        </w:rPr>
        <w:t>Vol</w:t>
      </w:r>
      <w:r>
        <w:t xml:space="preserve">. </w:t>
      </w:r>
      <w:r>
        <w:rPr>
          <w:lang w:val="en-US"/>
        </w:rPr>
        <w:t xml:space="preserve">I </w:t>
      </w:r>
      <w:r>
        <w:t>и</w:t>
      </w:r>
      <w:r>
        <w:rPr>
          <w:lang w:val="en-US"/>
        </w:rPr>
        <w:t xml:space="preserve"> Vol. I/Corr.1, Vol. II</w:t>
      </w:r>
      <w:r>
        <w:t xml:space="preserve">, </w:t>
      </w:r>
      <w:r>
        <w:rPr>
          <w:lang w:val="en-US"/>
        </w:rPr>
        <w:t>Vol</w:t>
      </w:r>
      <w:r>
        <w:t xml:space="preserve">. </w:t>
      </w:r>
      <w:r>
        <w:rPr>
          <w:lang w:val="en-US"/>
        </w:rPr>
        <w:t>III</w:t>
      </w:r>
      <w:r>
        <w:t xml:space="preserve"> и </w:t>
      </w:r>
      <w:r>
        <w:rPr>
          <w:lang w:val="en-US"/>
        </w:rPr>
        <w:t>Vol</w:t>
      </w:r>
      <w:r>
        <w:t xml:space="preserve">. </w:t>
      </w:r>
      <w:r>
        <w:rPr>
          <w:lang w:val="en-US"/>
        </w:rPr>
        <w:t>III</w:t>
      </w:r>
      <w:r>
        <w:t>/</w:t>
      </w:r>
      <w:r>
        <w:rPr>
          <w:lang w:val="en-US"/>
        </w:rPr>
        <w:t>Corr</w:t>
      </w:r>
      <w:r>
        <w:t>.1) (</w:t>
      </w:r>
      <w:r>
        <w:rPr>
          <w:lang w:val="en-US"/>
        </w:rPr>
        <w:t>United</w:t>
      </w:r>
      <w:r>
        <w:t xml:space="preserve"> </w:t>
      </w:r>
      <w:r>
        <w:rPr>
          <w:lang w:val="en-US"/>
        </w:rPr>
        <w:t>Nations</w:t>
      </w:r>
      <w:r>
        <w:t xml:space="preserve"> </w:t>
      </w:r>
      <w:r>
        <w:rPr>
          <w:lang w:val="en-US"/>
        </w:rPr>
        <w:t>publication</w:t>
      </w:r>
      <w:r>
        <w:t xml:space="preserve">, </w:t>
      </w:r>
      <w:r>
        <w:rPr>
          <w:lang w:val="en-US"/>
        </w:rPr>
        <w:t>Sales</w:t>
      </w:r>
      <w:r>
        <w:t xml:space="preserve"> </w:t>
      </w:r>
      <w:r>
        <w:rPr>
          <w:lang w:val="en-US"/>
        </w:rPr>
        <w:t>No</w:t>
      </w:r>
      <w:r>
        <w:t xml:space="preserve">. </w:t>
      </w:r>
      <w:r>
        <w:rPr>
          <w:lang w:val="en-US"/>
        </w:rPr>
        <w:t>E</w:t>
      </w:r>
      <w:r>
        <w:t>.93.</w:t>
      </w:r>
      <w:r>
        <w:rPr>
          <w:lang w:val="en-US"/>
        </w:rPr>
        <w:t>I</w:t>
      </w:r>
      <w:r>
        <w:t xml:space="preserve">.8), том I:  </w:t>
      </w:r>
      <w:r>
        <w:rPr>
          <w:i/>
          <w:iCs/>
        </w:rPr>
        <w:t xml:space="preserve">Резолюции, принятые Конференцией, </w:t>
      </w:r>
      <w:r>
        <w:t>резолюция 1, приложение II, Принцип № 3, Дублинское заявление по водным ресурсам и устойчивому развитию, Международная конференция по водным ресурсам и окружающей среде (</w:t>
      </w:r>
      <w:r>
        <w:rPr>
          <w:lang w:val="en-US"/>
        </w:rPr>
        <w:t>A</w:t>
      </w:r>
      <w:r>
        <w:t>/</w:t>
      </w:r>
      <w:r>
        <w:rPr>
          <w:lang w:val="en-US"/>
        </w:rPr>
        <w:t>CONF</w:t>
      </w:r>
      <w:r>
        <w:t>.151/</w:t>
      </w:r>
      <w:r>
        <w:rPr>
          <w:lang w:val="en-US"/>
        </w:rPr>
        <w:t>PC</w:t>
      </w:r>
      <w:r>
        <w:t xml:space="preserve">/112);  Принцип № 2, Программа действий, </w:t>
      </w:r>
      <w:r>
        <w:rPr>
          <w:i/>
          <w:iCs/>
        </w:rPr>
        <w:t>Доклад Международной конференции Организации Объединенных Наций по народонаселению и развитию, Каир, 5-13 сентября 1994 года</w:t>
      </w:r>
      <w:r>
        <w:t xml:space="preserve"> (</w:t>
      </w:r>
      <w:r>
        <w:rPr>
          <w:lang w:val="en-US"/>
        </w:rPr>
        <w:t>United</w:t>
      </w:r>
      <w:r>
        <w:t xml:space="preserve"> </w:t>
      </w:r>
      <w:r>
        <w:rPr>
          <w:lang w:val="en-US"/>
        </w:rPr>
        <w:t>Nations</w:t>
      </w:r>
      <w:r>
        <w:t xml:space="preserve"> </w:t>
      </w:r>
      <w:r>
        <w:rPr>
          <w:lang w:val="en-US"/>
        </w:rPr>
        <w:t>publication</w:t>
      </w:r>
      <w:r>
        <w:t xml:space="preserve">, </w:t>
      </w:r>
      <w:r>
        <w:rPr>
          <w:lang w:val="en-US"/>
        </w:rPr>
        <w:t>Sales</w:t>
      </w:r>
      <w:r>
        <w:t> </w:t>
      </w:r>
      <w:r>
        <w:rPr>
          <w:lang w:val="en-US"/>
        </w:rPr>
        <w:t>No</w:t>
      </w:r>
      <w:r>
        <w:t>. </w:t>
      </w:r>
      <w:r>
        <w:rPr>
          <w:lang w:val="en-US"/>
        </w:rPr>
        <w:t>E</w:t>
      </w:r>
      <w:r>
        <w:t>.95.</w:t>
      </w:r>
      <w:r>
        <w:rPr>
          <w:lang w:val="en-US"/>
        </w:rPr>
        <w:t>XIII</w:t>
      </w:r>
      <w:r>
        <w:t>.18), глава I, резолюция 1, приложение;  пункты 5 и 19, рекомендация (2001) 14 Комитета министров при государствах - членах Европейской хартии по водным ресурсам, резолюция 2002/6 Подкомиссии Организации Объединенных Наций по поощрению и защите прав человека о содействии осуществлению права на доступ к питьевой воде и санитарным услугам.  См.</w:t>
      </w:r>
      <w:r>
        <w:rPr>
          <w:lang w:val="en-US"/>
        </w:rPr>
        <w:t> </w:t>
      </w:r>
      <w:r>
        <w:t>также Доклад о взаимосвязи между осуществлением экономических, социальных и культурных прав и содействием осуществлению права на доступ к питьевой воде и санитарным услугам (</w:t>
      </w:r>
      <w:r>
        <w:rPr>
          <w:lang w:val="en-US"/>
        </w:rPr>
        <w:t>E</w:t>
      </w:r>
      <w:r>
        <w:t>/</w:t>
      </w:r>
      <w:r>
        <w:rPr>
          <w:lang w:val="en-US"/>
        </w:rPr>
        <w:t>CN</w:t>
      </w:r>
      <w:r>
        <w:t>.4/</w:t>
      </w:r>
      <w:r>
        <w:rPr>
          <w:lang w:val="en-US"/>
        </w:rPr>
        <w:t>Sub</w:t>
      </w:r>
      <w:r>
        <w:t>.2/2002/10), представленный Специальным докладчиком Подкомиссии по вопросу о праве на снабжение питьевой водой и санитарных услугах г</w:t>
      </w:r>
      <w:r>
        <w:noBreakHyphen/>
        <w:t>ном Эль-Хаджи Гиссе.</w:t>
      </w:r>
    </w:p>
  </w:footnote>
  <w:footnote w:id="6">
    <w:p w:rsidR="00000000" w:rsidRDefault="00000000">
      <w:pPr>
        <w:pStyle w:val="FootnoteText"/>
      </w:pPr>
      <w:r>
        <w:rPr>
          <w:rStyle w:val="FootnoteReference"/>
        </w:rPr>
        <w:footnoteRef/>
      </w:r>
      <w:r>
        <w:t xml:space="preserve"> </w:t>
      </w:r>
      <w:r>
        <w:tab/>
        <w:t>См. также Всемирную встречу на высшем уровне по устойчивому развитию, план выполнения решений на 2002 год, пункт 25 с).</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 xml:space="preserve">Речь идет как о </w:t>
      </w:r>
      <w:r>
        <w:rPr>
          <w:i/>
          <w:iCs/>
        </w:rPr>
        <w:t>наличии</w:t>
      </w:r>
      <w:r>
        <w:t xml:space="preserve">, так и </w:t>
      </w:r>
      <w:r>
        <w:rPr>
          <w:i/>
          <w:iCs/>
        </w:rPr>
        <w:t>доступности</w:t>
      </w:r>
      <w:r>
        <w:t xml:space="preserve"> права на достаточное питание (см. Замечание общего порядка № 12 (1999), пункты 12 и 13).</w:t>
      </w:r>
    </w:p>
  </w:footnote>
  <w:footnote w:id="8">
    <w:p w:rsidR="00000000" w:rsidRDefault="00000000">
      <w:pPr>
        <w:pStyle w:val="FootnoteText"/>
      </w:pPr>
      <w:r>
        <w:rPr>
          <w:rStyle w:val="FootnoteReference"/>
        </w:rPr>
        <w:footnoteRef/>
      </w:r>
      <w:r>
        <w:t xml:space="preserve"> </w:t>
      </w:r>
      <w:r>
        <w:tab/>
        <w:t>См. также Заявление о понимании, приобщаемое к Конвенции Организации Объединенных Наций о праве несудоходных видов использования международных водотоков (А/51/869 от 11 апреля 1997 года), в котором оговаривается, что при определении насущных человеческих нужд в случае возникновения противоречий относительно использования водотоков "особое внимание должно уделяться обеспечению достаточного для поддержания человеческой жизни количества воды, включая как питьевую воду, так и воду, требующуюся для производства продовольствия в целях предотвращения голода…".</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См. также пункт 15 Замечания общего порядка № 14.</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Согласно классификации ВОЗ к числу трансмиссивных заболеваний относятся заболевания, переносимые насекомыми (малярия, филяриатоз, денге, японский энцефалит и желтая лихорадка), т.е. заболевания, для которых промежуточными хозяевами являются водные насекомые (шистосомоз) и водоемы (зооноз).</w:t>
      </w:r>
    </w:p>
  </w:footnote>
  <w:footnote w:id="11">
    <w:p w:rsidR="00000000" w:rsidRDefault="00000000">
      <w:pPr>
        <w:pStyle w:val="FootnoteText"/>
      </w:pPr>
      <w:r>
        <w:rPr>
          <w:rStyle w:val="FootnoteReference"/>
        </w:rPr>
        <w:footnoteRef/>
      </w:r>
      <w:r>
        <w:t xml:space="preserve"> </w:t>
      </w:r>
      <w:r>
        <w:tab/>
        <w:t xml:space="preserve">Понятие устойчивости см. в </w:t>
      </w:r>
      <w:r>
        <w:rPr>
          <w:i/>
          <w:iCs/>
        </w:rPr>
        <w:t>Докладе Конференции Организации Объединенных Наций по окружающей среде и развитию, Рио-де-Жанейро, 3-14 июня 1992 года</w:t>
      </w:r>
      <w:r>
        <w:t>, в Декларации об окружающей среде и развитии, принципы 1, 8, 9, 10, 12 и 15;  и в Повестке дня XXI, в частности в пунктах 5.3, 7.27, 7.28, 7.35, 7.39, 7.41, 18.3, 18.8, 18.35, 18.40, 18.48, 18.50, 18.59 и 18.68.</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Термин "непрерывность" означает, что регулярность водоснабжения является достаточной для личного и бытового назначения.</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В этом контексте "потребление воды" означает ее потребление в форме питья и потребления пищи.  "Личная санитария" означает удаление нечистот.  О воде, необходимой для личной санитарии, идет речь в тех случаях, когда для вышеуказанных целей применяются средства, связанные с использованием воды.  "Приготовление пищи" включает гигиену при приготовлении пищи и приготовление самой пищи вне зависимости от того, применяется ли вода для приготовления пищи или используется лишь в качестве вспомогательного средства.  "Личная и бытовая гигиена" означает соблюдение человеком правил чистоты и гигиены в быту.</w:t>
      </w:r>
    </w:p>
    <w:p w:rsidR="00000000" w:rsidRDefault="00000000">
      <w:pPr>
        <w:pStyle w:val="FootnoteText"/>
      </w:pPr>
    </w:p>
  </w:footnote>
  <w:footnote w:id="14">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J. Bartram and G. Howard, "Domestic water quantity, service level and health:  what should be the goal for water and health sectors", WHO, 2000.  </w:t>
      </w:r>
      <w:r>
        <w:t>См</w:t>
      </w:r>
      <w:r>
        <w:rPr>
          <w:lang w:val="en-US"/>
        </w:rPr>
        <w:t>. </w:t>
      </w:r>
      <w:r>
        <w:t>также</w:t>
      </w:r>
      <w:r>
        <w:rPr>
          <w:lang w:val="en-US"/>
        </w:rPr>
        <w:t xml:space="preserve"> P.H. Gleick (1996), "Basic water requirements for human activities:  meeting basic needs",  </w:t>
      </w:r>
      <w:r>
        <w:rPr>
          <w:i/>
          <w:iCs/>
          <w:lang w:val="en-US"/>
        </w:rPr>
        <w:t>Water International</w:t>
      </w:r>
      <w:r>
        <w:rPr>
          <w:lang w:val="en-US"/>
        </w:rPr>
        <w:t>, 21, pp. 83</w:t>
      </w:r>
      <w:r>
        <w:rPr>
          <w:lang w:val="en-US"/>
        </w:rPr>
        <w:noBreakHyphen/>
        <w:t>92.</w:t>
      </w:r>
    </w:p>
    <w:p w:rsidR="00000000" w:rsidRDefault="00000000">
      <w:pPr>
        <w:pStyle w:val="FootnoteText"/>
        <w:rPr>
          <w:lang w:val="en-US"/>
        </w:rPr>
      </w:pPr>
    </w:p>
  </w:footnote>
  <w:footnote w:id="15">
    <w:p w:rsidR="00000000" w:rsidRDefault="00000000">
      <w:pPr>
        <w:pStyle w:val="FootnoteText"/>
      </w:pPr>
      <w:r>
        <w:rPr>
          <w:rStyle w:val="FootnoteReference"/>
        </w:rPr>
        <w:footnoteRef/>
      </w:r>
      <w:r>
        <w:t xml:space="preserve"> </w:t>
      </w:r>
      <w:r>
        <w:tab/>
        <w:t>Комитет рекомендует вниманию государств-участников публикацию ВОЗ "Руководящие принципы в отношении качества питьевой воды", второе издание, тома 1</w:t>
      </w:r>
      <w:r>
        <w:noBreakHyphen/>
        <w:t>3 (Женева, 1993 год), "призванные служить в качестве основы для разработки национальных стандартов, которые в случае их надлежащего применения будут обеспечивать снабжение безопасной питьевой водой путем ликвидации или сведения к минимуму содержащейся в воде концентрации элементов, которые, как известно, являются опасными для здоровья".</w:t>
      </w:r>
    </w:p>
  </w:footnote>
  <w:footnote w:id="16">
    <w:p w:rsidR="00000000" w:rsidRDefault="00000000">
      <w:pPr>
        <w:pStyle w:val="FootnoteText"/>
      </w:pPr>
      <w:r>
        <w:rPr>
          <w:rStyle w:val="FootnoteReference"/>
        </w:rPr>
        <w:footnoteRef/>
      </w:r>
      <w:r>
        <w:t xml:space="preserve"> </w:t>
      </w:r>
      <w:r>
        <w:tab/>
        <w:t>См. также Замечание общего порядка № 4 (1991), пункт 8 b), Замечание общего порядка № 13 (1999), пункт 6 а) и Замечание общего порядка № 14 (2000), пункты 8 а) и b).  К домашнему хозяйству относится постоянное или полупостоянное жилище либо временное прибежище.</w:t>
      </w:r>
    </w:p>
    <w:p w:rsidR="00000000" w:rsidRDefault="00000000">
      <w:pPr>
        <w:pStyle w:val="FootnoteText"/>
      </w:pPr>
    </w:p>
  </w:footnote>
  <w:footnote w:id="17">
    <w:p w:rsidR="00000000" w:rsidRDefault="00000000">
      <w:pPr>
        <w:pStyle w:val="FootnoteText"/>
        <w:spacing w:line="720" w:lineRule="auto"/>
      </w:pPr>
      <w:r>
        <w:rPr>
          <w:rStyle w:val="FootnoteReference"/>
        </w:rPr>
        <w:footnoteRef/>
      </w:r>
      <w:r>
        <w:t xml:space="preserve"> </w:t>
      </w:r>
      <w:r>
        <w:tab/>
        <w:t>См. пункт 48 настоящего Замечания общего порядка.</w:t>
      </w:r>
    </w:p>
  </w:footnote>
  <w:footnote w:id="18">
    <w:p w:rsidR="00000000" w:rsidRDefault="00000000">
      <w:pPr>
        <w:pStyle w:val="FootnoteText"/>
      </w:pPr>
      <w:r>
        <w:rPr>
          <w:rStyle w:val="FootnoteReference"/>
        </w:rPr>
        <w:footnoteRef/>
      </w:r>
      <w:r>
        <w:t xml:space="preserve"> </w:t>
      </w:r>
      <w:r>
        <w:tab/>
        <w:t>См. статьи 20, 26, 29 и 46 третьей Женевской конвенции от 12 августа 1949 года;  статьи 85, 89 и 127 четвертой Женевской конвенции от 12 августа 1949 года;  статьи 15 и 20 (2) Минимальных стандартных правил обращения с заключенными, принятых Организацией Объединенных Наций в сборнике "Права человека:  Сборник международных договоров" (</w:t>
      </w:r>
      <w:r>
        <w:rPr>
          <w:lang w:val="en-US"/>
        </w:rPr>
        <w:t>United</w:t>
      </w:r>
      <w:r>
        <w:t xml:space="preserve"> </w:t>
      </w:r>
      <w:r>
        <w:rPr>
          <w:lang w:val="en-US"/>
        </w:rPr>
        <w:t>Nations</w:t>
      </w:r>
      <w:r>
        <w:t xml:space="preserve"> </w:t>
      </w:r>
      <w:r>
        <w:rPr>
          <w:lang w:val="en-US"/>
        </w:rPr>
        <w:t>publication</w:t>
      </w:r>
      <w:r>
        <w:t xml:space="preserve">, </w:t>
      </w:r>
      <w:r>
        <w:rPr>
          <w:lang w:val="en-US"/>
        </w:rPr>
        <w:t>Sales</w:t>
      </w:r>
      <w:r>
        <w:t xml:space="preserve"> </w:t>
      </w:r>
      <w:r>
        <w:rPr>
          <w:lang w:val="en-US"/>
        </w:rPr>
        <w:t>No</w:t>
      </w:r>
      <w:r>
        <w:t xml:space="preserve">. </w:t>
      </w:r>
      <w:r>
        <w:rPr>
          <w:lang w:val="en-US"/>
        </w:rPr>
        <w:t>E</w:t>
      </w:r>
      <w:r>
        <w:t>.88.</w:t>
      </w:r>
      <w:r>
        <w:rPr>
          <w:lang w:val="en-US"/>
        </w:rPr>
        <w:t>XIV</w:t>
      </w:r>
      <w:r>
        <w:t>.1).</w:t>
      </w:r>
    </w:p>
  </w:footnote>
  <w:footnote w:id="19">
    <w:p w:rsidR="00000000" w:rsidRDefault="00000000">
      <w:pPr>
        <w:pStyle w:val="FootnoteText"/>
      </w:pPr>
      <w:r>
        <w:rPr>
          <w:rStyle w:val="FootnoteReference"/>
        </w:rPr>
        <w:footnoteRef/>
      </w:r>
      <w:r>
        <w:t xml:space="preserve"> </w:t>
      </w:r>
      <w:r>
        <w:tab/>
        <w:t>См. Замечания общего порядка № 3 (1990), пункт 9.</w:t>
      </w:r>
    </w:p>
  </w:footnote>
  <w:footnote w:id="20">
    <w:p w:rsidR="00000000" w:rsidRDefault="00000000">
      <w:pPr>
        <w:pStyle w:val="FootnoteText"/>
      </w:pPr>
      <w:r>
        <w:rPr>
          <w:rStyle w:val="FootnoteReference"/>
        </w:rPr>
        <w:footnoteRef/>
      </w:r>
      <w:r>
        <w:t xml:space="preserve"> </w:t>
      </w:r>
      <w:r>
        <w:tab/>
        <w:t xml:space="preserve">В связи с вопросом о взаимосвязи между правом прав человека и гуманитарным правом Комитет обращает внимание на выводы Международного Суда в </w:t>
      </w:r>
      <w:r>
        <w:rPr>
          <w:i/>
          <w:iCs/>
          <w:lang w:val="en-US"/>
        </w:rPr>
        <w:t>Legality</w:t>
      </w:r>
      <w:r>
        <w:rPr>
          <w:i/>
          <w:iCs/>
        </w:rPr>
        <w:t xml:space="preserve"> </w:t>
      </w:r>
      <w:r>
        <w:rPr>
          <w:i/>
          <w:iCs/>
          <w:lang w:val="en-US"/>
        </w:rPr>
        <w:t>of</w:t>
      </w:r>
      <w:r>
        <w:rPr>
          <w:i/>
          <w:iCs/>
        </w:rPr>
        <w:t xml:space="preserve"> </w:t>
      </w:r>
      <w:r>
        <w:rPr>
          <w:i/>
          <w:iCs/>
          <w:lang w:val="en-US"/>
        </w:rPr>
        <w:t>the</w:t>
      </w:r>
      <w:r>
        <w:rPr>
          <w:i/>
          <w:iCs/>
        </w:rPr>
        <w:t xml:space="preserve"> </w:t>
      </w:r>
      <w:r>
        <w:rPr>
          <w:i/>
          <w:iCs/>
          <w:lang w:val="en-US"/>
        </w:rPr>
        <w:t>Threat</w:t>
      </w:r>
      <w:r>
        <w:rPr>
          <w:i/>
          <w:iCs/>
        </w:rPr>
        <w:t xml:space="preserve"> </w:t>
      </w:r>
      <w:r>
        <w:rPr>
          <w:i/>
          <w:iCs/>
          <w:lang w:val="en-US"/>
        </w:rPr>
        <w:t>or</w:t>
      </w:r>
      <w:r>
        <w:rPr>
          <w:i/>
          <w:iCs/>
        </w:rPr>
        <w:t xml:space="preserve"> </w:t>
      </w:r>
      <w:r>
        <w:rPr>
          <w:i/>
          <w:iCs/>
          <w:lang w:val="en-US"/>
        </w:rPr>
        <w:t>Use</w:t>
      </w:r>
      <w:r>
        <w:rPr>
          <w:i/>
          <w:iCs/>
        </w:rPr>
        <w:t xml:space="preserve"> </w:t>
      </w:r>
      <w:r>
        <w:rPr>
          <w:i/>
          <w:iCs/>
          <w:lang w:val="en-US"/>
        </w:rPr>
        <w:t>of</w:t>
      </w:r>
      <w:r>
        <w:rPr>
          <w:i/>
          <w:iCs/>
        </w:rPr>
        <w:t xml:space="preserve"> </w:t>
      </w:r>
      <w:r>
        <w:rPr>
          <w:i/>
          <w:iCs/>
          <w:lang w:val="en-US"/>
        </w:rPr>
        <w:t>Nuclear</w:t>
      </w:r>
      <w:r>
        <w:rPr>
          <w:i/>
          <w:iCs/>
        </w:rPr>
        <w:t xml:space="preserve"> </w:t>
      </w:r>
      <w:r>
        <w:rPr>
          <w:i/>
          <w:iCs/>
          <w:lang w:val="en-US"/>
        </w:rPr>
        <w:t>Weapons</w:t>
      </w:r>
      <w:r>
        <w:t xml:space="preserve"> (</w:t>
      </w:r>
      <w:r>
        <w:rPr>
          <w:lang w:val="en-US"/>
        </w:rPr>
        <w:t>Request</w:t>
      </w:r>
      <w:r>
        <w:t xml:space="preserve"> </w:t>
      </w:r>
      <w:r>
        <w:rPr>
          <w:lang w:val="en-US"/>
        </w:rPr>
        <w:t>by</w:t>
      </w:r>
      <w:r>
        <w:t xml:space="preserve"> </w:t>
      </w:r>
      <w:r>
        <w:rPr>
          <w:lang w:val="en-US"/>
        </w:rPr>
        <w:t>the</w:t>
      </w:r>
      <w:r>
        <w:t xml:space="preserve"> </w:t>
      </w:r>
      <w:r>
        <w:rPr>
          <w:lang w:val="en-US"/>
        </w:rPr>
        <w:t>General</w:t>
      </w:r>
      <w:r>
        <w:t xml:space="preserve"> </w:t>
      </w:r>
      <w:r>
        <w:rPr>
          <w:lang w:val="en-US"/>
        </w:rPr>
        <w:t>Assembly</w:t>
      </w:r>
      <w:r>
        <w:t xml:space="preserve">), </w:t>
      </w:r>
      <w:r>
        <w:rPr>
          <w:lang w:val="en-US"/>
        </w:rPr>
        <w:t>ICJ</w:t>
      </w:r>
      <w:r>
        <w:t xml:space="preserve"> </w:t>
      </w:r>
      <w:r>
        <w:rPr>
          <w:lang w:val="en-US"/>
        </w:rPr>
        <w:t>Reports</w:t>
      </w:r>
      <w:r>
        <w:t xml:space="preserve"> (1996) </w:t>
      </w:r>
      <w:r>
        <w:rPr>
          <w:lang w:val="en-US"/>
        </w:rPr>
        <w:t>at</w:t>
      </w:r>
      <w:r>
        <w:t xml:space="preserve"> </w:t>
      </w:r>
      <w:r>
        <w:rPr>
          <w:lang w:val="en-US"/>
        </w:rPr>
        <w:t>p</w:t>
      </w:r>
      <w:r>
        <w:t>.</w:t>
      </w:r>
      <w:r>
        <w:rPr>
          <w:lang w:val="en-US"/>
        </w:rPr>
        <w:t> </w:t>
      </w:r>
      <w:r>
        <w:t xml:space="preserve">226, </w:t>
      </w:r>
      <w:r>
        <w:rPr>
          <w:lang w:val="en-US"/>
        </w:rPr>
        <w:t>para</w:t>
      </w:r>
      <w:r>
        <w:t xml:space="preserve"> 25.</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См. статьи 54 и 56 Дополнительного протокола I к Женевским конвенциям (1977 года);  статью 54 Дополнительного протокола II к Женевским конвенциям (1977);  статьи 20 и 46 третьей Женевской конвенции от 12 августа 1949 года, и общую статью 3 Женевских конвенций от 12 августа 1949 года.</w:t>
      </w:r>
    </w:p>
  </w:footnote>
  <w:footnote w:id="22">
    <w:p w:rsidR="00000000" w:rsidRDefault="00000000">
      <w:pPr>
        <w:pStyle w:val="FootnoteText"/>
      </w:pPr>
      <w:r>
        <w:rPr>
          <w:rStyle w:val="FootnoteReference"/>
        </w:rPr>
        <w:footnoteRef/>
      </w:r>
      <w:r>
        <w:t xml:space="preserve"> </w:t>
      </w:r>
      <w:r>
        <w:tab/>
        <w:t xml:space="preserve">См. сноску 5 выше, Повестка дня ХХI , главы 5, 7 и 18;  и Всемирная встреча по устойчивому развитию, План осуществления (2002 год), пункты 6 а), </w:t>
      </w:r>
      <w:r>
        <w:rPr>
          <w:lang w:val="en-US"/>
        </w:rPr>
        <w:t>l</w:t>
      </w:r>
      <w:r>
        <w:t xml:space="preserve">) и </w:t>
      </w:r>
      <w:r>
        <w:rPr>
          <w:lang w:val="en-US"/>
        </w:rPr>
        <w:t>m</w:t>
      </w:r>
      <w:r>
        <w:t xml:space="preserve">), 7, 36 и 38.  </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См. Конвенцию о биологическом разнообразии, Конвенцию по борьбе с опустыниванием, Рамочную конвенцию Организации Объединенных Наций по изменению климата и последующие протоколы.</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В пункте 2 статьи 14 Конвенции о ликвидации всех форм дискриминации в отношении женщин говорится, что государства обеспечивают женщинам право "пользоваться надлежащими условиями жизни, особенно […] санитарными услугами".  Пункт 2 статьи 24 Конвенции о правах ребенка требует от государств-участников "обеспечение осведомленности всех слоев общества […] о […] преимуществах грудного кормления, гигиене, санитарии и среды обитания ребенка […], а также доступа [детей] к образованию и их поддержки в использовании таких знаний".</w:t>
      </w:r>
    </w:p>
  </w:footnote>
  <w:footnote w:id="25">
    <w:p w:rsidR="00000000" w:rsidRDefault="00000000">
      <w:pPr>
        <w:pStyle w:val="FootnoteText"/>
      </w:pPr>
      <w:r>
        <w:rPr>
          <w:rStyle w:val="FootnoteReference"/>
        </w:rPr>
        <w:footnoteRef/>
      </w:r>
      <w:r>
        <w:t xml:space="preserve"> </w:t>
      </w:r>
      <w:r>
        <w:tab/>
        <w:t>Комитет отмечает, что согласно требованиям Конвенции Организации Объединенных Наций о праве несудоходных видов использования международных водотоков при определении путей и способов справедливого использования водотоков надлежит учитывать социальные и человеческие нужды и что государства-участники принимают меры для предотвращения нанесения значительного ущерба, а в случае возникновения противоречия особое внимание надлежит уделять требованиям удовлетворения насущных человеческих нужд (см. статьи 5, 7 и 10 Конвенции).</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В Замечании общего порядка № 8 (1997) Комитет отмечает, что санкции могут приводить к ухудшению санитарных условий и нехватке питьевой воды и что режимом санкций должно предусматриваться восстановление объектов инфраструктуры, имеющих жизненно важное значение для водоснабжения чистой питьевой водой.</w:t>
      </w:r>
    </w:p>
  </w:footnote>
  <w:footnote w:id="27">
    <w:p w:rsidR="00000000" w:rsidRDefault="00000000">
      <w:pPr>
        <w:pStyle w:val="FootnoteText"/>
      </w:pPr>
      <w:r>
        <w:rPr>
          <w:rStyle w:val="FootnoteReference"/>
        </w:rPr>
        <w:footnoteRef/>
      </w:r>
      <w:r>
        <w:t xml:space="preserve"> </w:t>
      </w:r>
      <w:r>
        <w:tab/>
        <w:t>См. пункт 23 определения "третьи стороны".</w:t>
      </w:r>
    </w:p>
    <w:p w:rsidR="00000000" w:rsidRDefault="00000000">
      <w:pPr>
        <w:pStyle w:val="FootnoteText"/>
      </w:pPr>
    </w:p>
  </w:footnote>
  <w:footnote w:id="28">
    <w:p w:rsidR="00000000" w:rsidRDefault="00000000">
      <w:pPr>
        <w:pStyle w:val="FootnoteText"/>
      </w:pPr>
      <w:r>
        <w:rPr>
          <w:rStyle w:val="FootnoteReference"/>
        </w:rPr>
        <w:footnoteRef/>
      </w:r>
      <w:r>
        <w:rPr>
          <w:lang w:val="en-US"/>
        </w:rPr>
        <w:t xml:space="preserve"> </w:t>
      </w:r>
      <w:r>
        <w:rPr>
          <w:lang w:val="en-US"/>
        </w:rPr>
        <w:tab/>
      </w:r>
      <w:r>
        <w:t>См</w:t>
      </w:r>
      <w:r>
        <w:rPr>
          <w:lang w:val="en-US"/>
        </w:rPr>
        <w:t xml:space="preserve">. E. Riedel, "New bearings to the State reporting procedure:  practical ways to operationalize economic, social and cultural rights - The example of the right to health", in S. von Schorlemer (ed.), </w:t>
      </w:r>
      <w:r>
        <w:rPr>
          <w:i/>
          <w:iCs/>
          <w:lang w:val="en-US"/>
        </w:rPr>
        <w:t xml:space="preserve">Praxishandbuch UNO, </w:t>
      </w:r>
      <w:r>
        <w:rPr>
          <w:lang w:val="en-US"/>
        </w:rPr>
        <w:t xml:space="preserve">2002, pp. 345-358.  </w:t>
      </w:r>
      <w:r>
        <w:t>Комитет отмечает, в частности, содержащиеся в принятом в 2002 году Плане выполнения решений Всемирной встречи на высшем уровне по устойчивому развитию обязательства сократить вдвое к 2015 году долю населения Земного шара, не имеющего доступа к безопасной питьевой воде (как это отмечается в Декларации тысячелетия), и долю населения, не имеющего доступа к базовым санитарным средствам.</w:t>
      </w:r>
    </w:p>
  </w:footnote>
  <w:footnote w:id="29">
    <w:p w:rsidR="00000000" w:rsidRDefault="00000000">
      <w:pPr>
        <w:pStyle w:val="FootnoteText"/>
      </w:pPr>
      <w:r>
        <w:rPr>
          <w:rStyle w:val="FootnoteReference"/>
        </w:rPr>
        <w:footnoteRef/>
      </w:r>
      <w:r>
        <w:t xml:space="preserve"> </w:t>
      </w:r>
      <w:r>
        <w:tab/>
        <w:t>Принцип 10 Рио-де-Жанейской декларации по окружающей среде и развитию (</w:t>
      </w:r>
      <w:r>
        <w:rPr>
          <w:i/>
          <w:iCs/>
        </w:rPr>
        <w:t>Доклад Конференции Организации Объединенных Наций по окружающей среде и развитию</w:t>
      </w:r>
      <w:r>
        <w:t>, см. сноску 5 выше) гласит в отношении экологических вопросов, что "обеспечивается эффективная возможность использовать судебные и административные процедуры, включая возмещение и средства судебной защиты".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E/C.12/2002/11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E/C.12/2002/11</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6B6C"/>
    <w:multiLevelType w:val="hybridMultilevel"/>
    <w:tmpl w:val="B1D23A24"/>
    <w:lvl w:ilvl="0" w:tplc="21D438C4">
      <w:start w:val="1"/>
      <w:numFmt w:val="lowerRoman"/>
      <w:lvlText w:val="%1)"/>
      <w:lvlJc w:val="right"/>
      <w:pPr>
        <w:tabs>
          <w:tab w:val="num" w:pos="1140"/>
        </w:tabs>
        <w:ind w:left="1140" w:hanging="567"/>
      </w:pPr>
      <w:rPr>
        <w:rFonts w:hint="default"/>
      </w:rPr>
    </w:lvl>
    <w:lvl w:ilvl="1" w:tplc="04190003" w:tentative="1">
      <w:start w:val="1"/>
      <w:numFmt w:val="bullet"/>
      <w:lvlText w:val="o"/>
      <w:lvlJc w:val="left"/>
      <w:pPr>
        <w:tabs>
          <w:tab w:val="num" w:pos="2013"/>
        </w:tabs>
        <w:ind w:left="2013" w:hanging="360"/>
      </w:pPr>
      <w:rPr>
        <w:rFonts w:ascii="Courier New" w:hAnsi="Courier New" w:hint="default"/>
      </w:rPr>
    </w:lvl>
    <w:lvl w:ilvl="2" w:tplc="04190005" w:tentative="1">
      <w:start w:val="1"/>
      <w:numFmt w:val="bullet"/>
      <w:lvlText w:val=""/>
      <w:lvlJc w:val="left"/>
      <w:pPr>
        <w:tabs>
          <w:tab w:val="num" w:pos="2733"/>
        </w:tabs>
        <w:ind w:left="2733" w:hanging="360"/>
      </w:pPr>
      <w:rPr>
        <w:rFonts w:ascii="Wingdings" w:hAnsi="Wingdings" w:hint="default"/>
      </w:rPr>
    </w:lvl>
    <w:lvl w:ilvl="3" w:tplc="04190001" w:tentative="1">
      <w:start w:val="1"/>
      <w:numFmt w:val="bullet"/>
      <w:lvlText w:val=""/>
      <w:lvlJc w:val="left"/>
      <w:pPr>
        <w:tabs>
          <w:tab w:val="num" w:pos="3453"/>
        </w:tabs>
        <w:ind w:left="3453" w:hanging="360"/>
      </w:pPr>
      <w:rPr>
        <w:rFonts w:ascii="Symbol" w:hAnsi="Symbol" w:hint="default"/>
      </w:rPr>
    </w:lvl>
    <w:lvl w:ilvl="4" w:tplc="04190003" w:tentative="1">
      <w:start w:val="1"/>
      <w:numFmt w:val="bullet"/>
      <w:lvlText w:val="o"/>
      <w:lvlJc w:val="left"/>
      <w:pPr>
        <w:tabs>
          <w:tab w:val="num" w:pos="4173"/>
        </w:tabs>
        <w:ind w:left="4173" w:hanging="360"/>
      </w:pPr>
      <w:rPr>
        <w:rFonts w:ascii="Courier New" w:hAnsi="Courier New" w:hint="default"/>
      </w:rPr>
    </w:lvl>
    <w:lvl w:ilvl="5" w:tplc="04190005" w:tentative="1">
      <w:start w:val="1"/>
      <w:numFmt w:val="bullet"/>
      <w:lvlText w:val=""/>
      <w:lvlJc w:val="left"/>
      <w:pPr>
        <w:tabs>
          <w:tab w:val="num" w:pos="4893"/>
        </w:tabs>
        <w:ind w:left="4893" w:hanging="360"/>
      </w:pPr>
      <w:rPr>
        <w:rFonts w:ascii="Wingdings" w:hAnsi="Wingdings" w:hint="default"/>
      </w:rPr>
    </w:lvl>
    <w:lvl w:ilvl="6" w:tplc="04190001" w:tentative="1">
      <w:start w:val="1"/>
      <w:numFmt w:val="bullet"/>
      <w:lvlText w:val=""/>
      <w:lvlJc w:val="left"/>
      <w:pPr>
        <w:tabs>
          <w:tab w:val="num" w:pos="5613"/>
        </w:tabs>
        <w:ind w:left="5613" w:hanging="360"/>
      </w:pPr>
      <w:rPr>
        <w:rFonts w:ascii="Symbol" w:hAnsi="Symbol" w:hint="default"/>
      </w:rPr>
    </w:lvl>
    <w:lvl w:ilvl="7" w:tplc="04190003" w:tentative="1">
      <w:start w:val="1"/>
      <w:numFmt w:val="bullet"/>
      <w:lvlText w:val="o"/>
      <w:lvlJc w:val="left"/>
      <w:pPr>
        <w:tabs>
          <w:tab w:val="num" w:pos="6333"/>
        </w:tabs>
        <w:ind w:left="6333" w:hanging="360"/>
      </w:pPr>
      <w:rPr>
        <w:rFonts w:ascii="Courier New" w:hAnsi="Courier New" w:hint="default"/>
      </w:rPr>
    </w:lvl>
    <w:lvl w:ilvl="8" w:tplc="04190005" w:tentative="1">
      <w:start w:val="1"/>
      <w:numFmt w:val="bullet"/>
      <w:lvlText w:val=""/>
      <w:lvlJc w:val="left"/>
      <w:pPr>
        <w:tabs>
          <w:tab w:val="num" w:pos="7053"/>
        </w:tabs>
        <w:ind w:left="7053" w:hanging="360"/>
      </w:pPr>
      <w:rPr>
        <w:rFonts w:ascii="Wingdings" w:hAnsi="Wingdings" w:hint="default"/>
      </w:rPr>
    </w:lvl>
  </w:abstractNum>
  <w:abstractNum w:abstractNumId="1">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1134"/>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TotalTime>
  <Pages>1</Pages>
  <Words>7286</Words>
  <Characters>41533</Characters>
  <Application>Microsoft Office Word</Application>
  <DocSecurity>4</DocSecurity>
  <Lines>346</Lines>
  <Paragraphs>83</Paragraphs>
  <ScaleCrop>false</ScaleCrop>
  <HeadingPairs>
    <vt:vector size="2" baseType="variant">
      <vt:variant>
        <vt:lpstr>Название</vt:lpstr>
      </vt:variant>
      <vt:variant>
        <vt:i4>1</vt:i4>
      </vt:variant>
    </vt:vector>
  </HeadingPairs>
  <TitlesOfParts>
    <vt:vector size="1" baseType="lpstr">
      <vt:lpstr>0340231.doc</vt:lpstr>
    </vt:vector>
  </TitlesOfParts>
  <Company> </Company>
  <LinksUpToDate>false</LinksUpToDate>
  <CharactersWithSpaces>51005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0340231.doc</dc:title>
  <dc:subject>Klokov</dc:subject>
  <dc:creator>TDudnikova</dc:creator>
  <cp:keywords/>
  <dc:description/>
  <cp:lastModifiedBy>Tamara Dudnikova</cp:lastModifiedBy>
  <cp:revision>3</cp:revision>
  <cp:lastPrinted>2003-02-07T09:01:00Z</cp:lastPrinted>
  <dcterms:created xsi:type="dcterms:W3CDTF">2003-02-07T08:59:00Z</dcterms:created>
  <dcterms:modified xsi:type="dcterms:W3CDTF">2003-02-07T09:05:00Z</dcterms:modified>
</cp:coreProperties>
</file>