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055A" w:rsidRDefault="0025055A" w:rsidP="0025055A">
      <w:pPr>
        <w:spacing w:line="240" w:lineRule="auto"/>
        <w:jc w:val="left"/>
        <w:rPr>
          <w:szCs w:val="6"/>
          <w:rtl/>
        </w:rPr>
        <w:sectPr w:rsidR="0025055A" w:rsidSect="0025055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1"/>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76.8pt;width:57.9pt;height:64.9pt;z-index:1;mso-position-horizontal-relative:page;mso-position-vertical-relative:page" o:preferrelative="f" filled="t">
            <v:imagedata r:id="rId14" o:title="2-3&amp;Size =1&amp;Lang = A"/>
            <w10:wrap anchorx="page" anchory="page"/>
          </v:shape>
        </w:pict>
      </w:r>
    </w:p>
    <w:p w:rsidR="00B574EE" w:rsidRDefault="00B574EE" w:rsidP="00B574E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right="1267"/>
        <w:jc w:val="left"/>
        <w:rPr>
          <w:rtl/>
        </w:rPr>
      </w:pPr>
      <w:r>
        <w:rPr>
          <w:rtl/>
        </w:rPr>
        <w:t xml:space="preserve">اللجنة المعنية بالقضاء على </w:t>
      </w:r>
      <w:r>
        <w:rPr>
          <w:rFonts w:hint="cs"/>
          <w:rtl/>
        </w:rPr>
        <w:br/>
      </w:r>
      <w:r>
        <w:rPr>
          <w:rtl/>
        </w:rPr>
        <w:t>التمييز ضد المرأة</w:t>
      </w:r>
    </w:p>
    <w:p w:rsidR="00B574EE" w:rsidRPr="00B574EE" w:rsidRDefault="00B574EE" w:rsidP="00B574EE">
      <w:pPr>
        <w:pStyle w:val="SingleTxt"/>
        <w:tabs>
          <w:tab w:val="clear" w:pos="1267"/>
        </w:tabs>
        <w:spacing w:after="0" w:line="120" w:lineRule="exact"/>
        <w:rPr>
          <w:sz w:val="10"/>
          <w:rtl/>
        </w:rPr>
      </w:pPr>
    </w:p>
    <w:p w:rsidR="00B574EE" w:rsidRPr="00B574EE" w:rsidRDefault="00B574EE" w:rsidP="00B574EE">
      <w:pPr>
        <w:pStyle w:val="SingleTxt"/>
        <w:tabs>
          <w:tab w:val="clear" w:pos="1267"/>
        </w:tabs>
        <w:spacing w:after="0" w:line="120" w:lineRule="exact"/>
        <w:rPr>
          <w:sz w:val="10"/>
          <w:rtl/>
        </w:rPr>
      </w:pPr>
    </w:p>
    <w:p w:rsidR="00B574EE" w:rsidRPr="00B574EE" w:rsidRDefault="00B574EE" w:rsidP="00B574EE">
      <w:pPr>
        <w:pStyle w:val="SingleTxt"/>
        <w:tabs>
          <w:tab w:val="clear" w:pos="1267"/>
        </w:tabs>
        <w:spacing w:after="0" w:line="120" w:lineRule="exact"/>
        <w:rPr>
          <w:sz w:val="10"/>
          <w:rtl/>
        </w:rPr>
      </w:pPr>
    </w:p>
    <w:p w:rsidR="00B574EE" w:rsidRDefault="00B574EE" w:rsidP="00B574E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النظر</w:t>
      </w:r>
      <w:r w:rsidR="00D16A98">
        <w:rPr>
          <w:rtl/>
        </w:rPr>
        <w:t xml:space="preserve"> </w:t>
      </w:r>
      <w:r>
        <w:rPr>
          <w:rtl/>
        </w:rPr>
        <w:t>في</w:t>
      </w:r>
      <w:r w:rsidR="00D16A98">
        <w:rPr>
          <w:rtl/>
        </w:rPr>
        <w:t xml:space="preserve"> </w:t>
      </w:r>
      <w:r>
        <w:rPr>
          <w:rtl/>
        </w:rPr>
        <w:t>التقارير</w:t>
      </w:r>
      <w:r w:rsidR="00D16A98">
        <w:rPr>
          <w:rtl/>
        </w:rPr>
        <w:t xml:space="preserve"> </w:t>
      </w:r>
      <w:r>
        <w:rPr>
          <w:rtl/>
        </w:rPr>
        <w:t>المقدمة</w:t>
      </w:r>
      <w:r w:rsidR="00D16A98">
        <w:rPr>
          <w:rtl/>
        </w:rPr>
        <w:t xml:space="preserve"> </w:t>
      </w:r>
      <w:r>
        <w:rPr>
          <w:rtl/>
        </w:rPr>
        <w:t>من</w:t>
      </w:r>
      <w:r w:rsidR="00D16A98">
        <w:rPr>
          <w:rtl/>
        </w:rPr>
        <w:t xml:space="preserve"> </w:t>
      </w:r>
      <w:r>
        <w:rPr>
          <w:rtl/>
        </w:rPr>
        <w:t>الدول</w:t>
      </w:r>
      <w:r w:rsidR="00D16A98">
        <w:rPr>
          <w:rtl/>
        </w:rPr>
        <w:t xml:space="preserve"> </w:t>
      </w:r>
      <w:r>
        <w:rPr>
          <w:rtl/>
        </w:rPr>
        <w:t>الأطراف</w:t>
      </w:r>
      <w:r w:rsidR="00D16A98">
        <w:rPr>
          <w:rtl/>
        </w:rPr>
        <w:t xml:space="preserve"> </w:t>
      </w:r>
      <w:r>
        <w:rPr>
          <w:rtl/>
        </w:rPr>
        <w:t>بموجب</w:t>
      </w:r>
      <w:r w:rsidR="00D16A98">
        <w:rPr>
          <w:rtl/>
        </w:rPr>
        <w:t xml:space="preserve"> </w:t>
      </w:r>
      <w:r>
        <w:rPr>
          <w:rtl/>
        </w:rPr>
        <w:t>المادة</w:t>
      </w:r>
      <w:r w:rsidR="00D16A98">
        <w:rPr>
          <w:rtl/>
        </w:rPr>
        <w:t xml:space="preserve"> </w:t>
      </w:r>
      <w:r>
        <w:rPr>
          <w:rtl/>
        </w:rPr>
        <w:t>18</w:t>
      </w:r>
      <w:r w:rsidR="00D16A98">
        <w:rPr>
          <w:rtl/>
        </w:rPr>
        <w:t xml:space="preserve"> </w:t>
      </w:r>
      <w:r>
        <w:rPr>
          <w:rtl/>
        </w:rPr>
        <w:t>من</w:t>
      </w:r>
      <w:r w:rsidR="00D16A98">
        <w:rPr>
          <w:rtl/>
        </w:rPr>
        <w:t xml:space="preserve"> </w:t>
      </w:r>
      <w:r>
        <w:rPr>
          <w:rtl/>
        </w:rPr>
        <w:t>اتفاقية</w:t>
      </w:r>
      <w:r w:rsidR="00D16A98">
        <w:rPr>
          <w:rtl/>
        </w:rPr>
        <w:t xml:space="preserve"> </w:t>
      </w:r>
      <w:r>
        <w:rPr>
          <w:rtl/>
        </w:rPr>
        <w:t>القضاء</w:t>
      </w:r>
      <w:r w:rsidR="00D16A98">
        <w:rPr>
          <w:rtl/>
        </w:rPr>
        <w:t xml:space="preserve"> </w:t>
      </w:r>
      <w:r>
        <w:rPr>
          <w:rtl/>
        </w:rPr>
        <w:t>على</w:t>
      </w:r>
      <w:r w:rsidR="00D16A98">
        <w:rPr>
          <w:rtl/>
        </w:rPr>
        <w:t xml:space="preserve"> </w:t>
      </w:r>
      <w:r>
        <w:rPr>
          <w:rtl/>
        </w:rPr>
        <w:t>جميع</w:t>
      </w:r>
      <w:r w:rsidR="00D16A98">
        <w:rPr>
          <w:rtl/>
        </w:rPr>
        <w:t xml:space="preserve"> </w:t>
      </w:r>
      <w:r>
        <w:rPr>
          <w:rtl/>
        </w:rPr>
        <w:t>أشكال</w:t>
      </w:r>
      <w:r w:rsidR="00D16A98">
        <w:rPr>
          <w:rtl/>
        </w:rPr>
        <w:t xml:space="preserve"> </w:t>
      </w:r>
      <w:r>
        <w:rPr>
          <w:rtl/>
        </w:rPr>
        <w:t>التمييز</w:t>
      </w:r>
      <w:r w:rsidR="00D16A98">
        <w:rPr>
          <w:rtl/>
        </w:rPr>
        <w:t xml:space="preserve"> </w:t>
      </w:r>
      <w:r>
        <w:rPr>
          <w:rtl/>
        </w:rPr>
        <w:t>ضد</w:t>
      </w:r>
      <w:r w:rsidR="00D16A98">
        <w:rPr>
          <w:rtl/>
        </w:rPr>
        <w:t xml:space="preserve"> </w:t>
      </w:r>
      <w:r>
        <w:rPr>
          <w:rtl/>
        </w:rPr>
        <w:t>المرأة</w:t>
      </w:r>
    </w:p>
    <w:p w:rsidR="00B574EE" w:rsidRPr="00B574EE" w:rsidRDefault="00B574EE" w:rsidP="00B574E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B574EE" w:rsidRDefault="00B574EE" w:rsidP="00B574E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التقريران الدوريان الثاني والثالث المقدمان من الدولة الطرف في عام 2013</w:t>
      </w:r>
    </w:p>
    <w:p w:rsidR="00B574EE" w:rsidRPr="00B574EE" w:rsidRDefault="00B574EE" w:rsidP="00B574EE">
      <w:pPr>
        <w:pStyle w:val="SingleTxt"/>
        <w:tabs>
          <w:tab w:val="clear" w:pos="1267"/>
        </w:tabs>
        <w:spacing w:after="0" w:line="120" w:lineRule="exact"/>
        <w:rPr>
          <w:sz w:val="10"/>
          <w:rtl/>
        </w:rPr>
      </w:pPr>
    </w:p>
    <w:p w:rsidR="00D3311D" w:rsidRPr="007C65E2" w:rsidRDefault="00D3311D" w:rsidP="00D3311D">
      <w:pPr>
        <w:framePr w:w="9792" w:h="432" w:hSpace="187" w:wrap="around" w:hAnchor="page" w:x="1196" w:yAlign="bottom"/>
        <w:spacing w:line="240" w:lineRule="auto"/>
        <w:rPr>
          <w:szCs w:val="10"/>
          <w:rtl/>
        </w:rPr>
      </w:pPr>
      <w:bookmarkStart w:id="2" w:name="_GoBack"/>
      <w:bookmarkEnd w:id="2"/>
    </w:p>
    <w:p w:rsidR="00D3311D" w:rsidRPr="007C65E2" w:rsidRDefault="00D3311D" w:rsidP="00D3311D">
      <w:pPr>
        <w:framePr w:w="9792" w:h="432" w:hSpace="187" w:wrap="around" w:hAnchor="page" w:x="1196" w:yAlign="bottom"/>
        <w:spacing w:line="240" w:lineRule="auto"/>
        <w:rPr>
          <w:szCs w:val="6"/>
          <w:rtl/>
        </w:rPr>
      </w:pPr>
    </w:p>
    <w:p w:rsidR="00D3311D" w:rsidRPr="007C65E2" w:rsidRDefault="00D3311D" w:rsidP="00D3311D">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w:pict>
          <v:line id="_x0000_s1027" style="position:absolute;left:0;text-align:left;z-index:2" from="396pt,-1pt" to="468pt,-1pt" strokecolor="#010000"/>
        </w:pict>
      </w:r>
      <w:r>
        <w:rPr>
          <w:rFonts w:hint="cs"/>
          <w:sz w:val="17"/>
          <w:szCs w:val="26"/>
          <w:rtl/>
        </w:rPr>
        <w:tab/>
        <w:t>*</w:t>
      </w:r>
      <w:r>
        <w:rPr>
          <w:rFonts w:hint="cs"/>
          <w:sz w:val="17"/>
          <w:szCs w:val="26"/>
          <w:rtl/>
        </w:rPr>
        <w:tab/>
      </w:r>
      <w:r w:rsidRPr="00D3311D">
        <w:rPr>
          <w:sz w:val="17"/>
          <w:szCs w:val="26"/>
          <w:rtl/>
        </w:rPr>
        <w:t>تصدر هذه الوثيقة دون تحرير رسمي.</w:t>
      </w:r>
    </w:p>
    <w:p w:rsidR="00B574EE" w:rsidRDefault="00B574EE" w:rsidP="00B574E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تيمور - ليشتي</w:t>
      </w:r>
      <w:r w:rsidRPr="00D16A98">
        <w:rPr>
          <w:sz w:val="20"/>
          <w:szCs w:val="30"/>
          <w:rtl/>
        </w:rPr>
        <w:t>*</w:t>
      </w:r>
    </w:p>
    <w:p w:rsidR="00A92827" w:rsidRPr="00A92827" w:rsidRDefault="00A92827" w:rsidP="00A92827">
      <w:pPr>
        <w:pStyle w:val="SingleTxt"/>
        <w:ind w:left="1267" w:right="0"/>
        <w:jc w:val="right"/>
        <w:rPr>
          <w:rtl/>
        </w:rPr>
      </w:pPr>
      <w:r w:rsidRPr="00A92827">
        <w:rPr>
          <w:rtl/>
        </w:rPr>
        <w:t>[تاريخ الاستلام: 17أيلول/سبتمبر 2013]</w:t>
      </w:r>
    </w:p>
    <w:p w:rsidR="00A92827" w:rsidRPr="00A92827" w:rsidRDefault="00A92827" w:rsidP="00A92827">
      <w:pPr>
        <w:pStyle w:val="HCh"/>
        <w:spacing w:after="120"/>
        <w:rPr>
          <w:rtl/>
        </w:rPr>
      </w:pPr>
      <w:r>
        <w:rPr>
          <w:rtl/>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A92827" w:rsidRPr="00A92827" w:rsidTr="00A92827">
        <w:tblPrEx>
          <w:tblCellMar>
            <w:top w:w="0" w:type="dxa"/>
            <w:bottom w:w="0" w:type="dxa"/>
          </w:tblCellMar>
        </w:tblPrEx>
        <w:tc>
          <w:tcPr>
            <w:tcW w:w="1296" w:type="dxa"/>
            <w:shd w:val="clear" w:color="auto" w:fill="auto"/>
          </w:tcPr>
          <w:p w:rsidR="00A92827" w:rsidRPr="00A92827" w:rsidRDefault="00A92827" w:rsidP="00A92827">
            <w:pPr>
              <w:spacing w:after="120" w:line="240" w:lineRule="auto"/>
              <w:jc w:val="right"/>
              <w:rPr>
                <w:iCs/>
                <w:sz w:val="14"/>
                <w:rtl/>
              </w:rPr>
            </w:pPr>
          </w:p>
        </w:tc>
        <w:tc>
          <w:tcPr>
            <w:tcW w:w="6566" w:type="dxa"/>
            <w:shd w:val="clear" w:color="auto" w:fill="auto"/>
          </w:tcPr>
          <w:p w:rsidR="00A92827" w:rsidRPr="00A92827" w:rsidRDefault="00A92827" w:rsidP="00A92827">
            <w:pPr>
              <w:spacing w:after="120" w:line="240" w:lineRule="auto"/>
              <w:rPr>
                <w:iCs/>
                <w:sz w:val="14"/>
                <w:rtl/>
              </w:rPr>
            </w:pPr>
          </w:p>
        </w:tc>
        <w:tc>
          <w:tcPr>
            <w:tcW w:w="1166" w:type="dxa"/>
            <w:shd w:val="clear" w:color="auto" w:fill="auto"/>
          </w:tcPr>
          <w:p w:rsidR="00A92827" w:rsidRPr="00A92827" w:rsidRDefault="00A92827" w:rsidP="00A92827">
            <w:pPr>
              <w:spacing w:after="120" w:line="240" w:lineRule="auto"/>
              <w:jc w:val="right"/>
              <w:rPr>
                <w:iCs/>
                <w:sz w:val="14"/>
                <w:rtl/>
              </w:rPr>
            </w:pPr>
          </w:p>
        </w:tc>
        <w:tc>
          <w:tcPr>
            <w:tcW w:w="806" w:type="dxa"/>
            <w:shd w:val="clear" w:color="auto" w:fill="auto"/>
          </w:tcPr>
          <w:p w:rsidR="00A92827" w:rsidRPr="00A92827" w:rsidRDefault="00A92827" w:rsidP="00A92827">
            <w:pPr>
              <w:spacing w:after="120" w:line="240" w:lineRule="auto"/>
              <w:jc w:val="right"/>
              <w:rPr>
                <w:iCs/>
                <w:sz w:val="14"/>
                <w:rtl/>
              </w:rPr>
            </w:pPr>
            <w:r>
              <w:rPr>
                <w:iCs/>
                <w:sz w:val="14"/>
                <w:rtl/>
              </w:rPr>
              <w:t>الصفحة</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right" w:leader="dot" w:pos="9029"/>
              </w:tabs>
              <w:spacing w:after="120"/>
              <w:jc w:val="left"/>
              <w:rPr>
                <w:spacing w:val="60"/>
                <w:sz w:val="17"/>
                <w:rtl/>
              </w:rPr>
            </w:pPr>
            <w:r w:rsidRPr="0089692F">
              <w:rPr>
                <w:rFonts w:hint="cs"/>
                <w:rtl/>
              </w:rPr>
              <w:tab/>
            </w:r>
            <w:r w:rsidRPr="0089692F">
              <w:rPr>
                <w:rtl/>
              </w:rPr>
              <w:t>مقدمة</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5</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60789F" w:rsidP="0060789F">
            <w:pPr>
              <w:tabs>
                <w:tab w:val="right" w:pos="1080"/>
                <w:tab w:val="right" w:leader="dot" w:pos="9029"/>
              </w:tabs>
              <w:spacing w:after="120"/>
              <w:jc w:val="left"/>
              <w:rPr>
                <w:spacing w:val="60"/>
                <w:sz w:val="17"/>
                <w:rtl/>
              </w:rPr>
            </w:pPr>
            <w:r>
              <w:rPr>
                <w:rtl/>
              </w:rPr>
              <w:tab/>
            </w:r>
            <w:r w:rsidR="009A2B93" w:rsidRPr="0089692F">
              <w:rPr>
                <w:rtl/>
              </w:rPr>
              <w:t>النتائج الرئيسية</w:t>
            </w:r>
            <w:r w:rsidR="009A2B93">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6</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89692F">
              <w:rPr>
                <w:rFonts w:hint="cs"/>
                <w:rtl/>
              </w:rPr>
              <w:tab/>
            </w:r>
            <w:r w:rsidRPr="0089692F">
              <w:rPr>
                <w:rFonts w:hint="cs"/>
                <w:rtl/>
              </w:rPr>
              <w:tab/>
            </w:r>
            <w:r w:rsidRPr="0089692F">
              <w:rPr>
                <w:rtl/>
              </w:rPr>
              <w:t>المادة 1: تعريف التمييز</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13</w:t>
            </w:r>
          </w:p>
        </w:tc>
      </w:tr>
      <w:tr w:rsidR="009A2B93" w:rsidRPr="00A92827" w:rsidTr="005C5805">
        <w:tblPrEx>
          <w:tblCellMar>
            <w:top w:w="0" w:type="dxa"/>
            <w:bottom w:w="0" w:type="dxa"/>
          </w:tblCellMar>
        </w:tblPrEx>
        <w:tc>
          <w:tcPr>
            <w:tcW w:w="9028" w:type="dxa"/>
            <w:gridSpan w:val="3"/>
            <w:shd w:val="clear" w:color="auto" w:fill="auto"/>
          </w:tcPr>
          <w:p w:rsidR="009A2B93" w:rsidRPr="0089692F" w:rsidRDefault="009A2B93" w:rsidP="009A2B93">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89692F">
              <w:rPr>
                <w:rFonts w:hint="cs"/>
                <w:rtl/>
              </w:rPr>
              <w:tab/>
            </w:r>
            <w:r w:rsidRPr="0089692F">
              <w:rPr>
                <w:rFonts w:hint="cs"/>
                <w:rtl/>
              </w:rPr>
              <w:tab/>
            </w:r>
            <w:r w:rsidRPr="0089692F">
              <w:rPr>
                <w:rtl/>
              </w:rPr>
              <w:t>تقديم الشكاوى المتعلقة بالتمييز ضد المرأة</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14</w:t>
            </w:r>
          </w:p>
        </w:tc>
      </w:tr>
      <w:tr w:rsidR="009A2B93" w:rsidRPr="00A92827" w:rsidTr="005C5805">
        <w:tblPrEx>
          <w:tblCellMar>
            <w:top w:w="0" w:type="dxa"/>
            <w:bottom w:w="0" w:type="dxa"/>
          </w:tblCellMar>
        </w:tblPrEx>
        <w:tc>
          <w:tcPr>
            <w:tcW w:w="9028" w:type="dxa"/>
            <w:gridSpan w:val="3"/>
            <w:shd w:val="clear" w:color="auto" w:fill="auto"/>
          </w:tcPr>
          <w:p w:rsidR="009A2B93" w:rsidRPr="0089692F" w:rsidRDefault="009A2B93" w:rsidP="009A2B93">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89692F">
              <w:rPr>
                <w:rFonts w:hint="cs"/>
                <w:rtl/>
              </w:rPr>
              <w:tab/>
            </w:r>
            <w:r w:rsidRPr="0089692F">
              <w:rPr>
                <w:rFonts w:hint="cs"/>
                <w:rtl/>
              </w:rPr>
              <w:tab/>
            </w:r>
            <w:r w:rsidRPr="0089692F">
              <w:rPr>
                <w:rtl/>
              </w:rPr>
              <w:t>المادة 2: تدابير السياسة العامة</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14</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right" w:leader="dot" w:pos="9029"/>
              </w:tabs>
              <w:spacing w:after="120"/>
              <w:jc w:val="left"/>
              <w:rPr>
                <w:spacing w:val="60"/>
                <w:sz w:val="17"/>
                <w:rtl/>
              </w:rPr>
            </w:pPr>
            <w:r>
              <w:rPr>
                <w:rFonts w:hint="cs"/>
                <w:rtl/>
              </w:rPr>
              <w:tab/>
            </w:r>
            <w:r>
              <w:rPr>
                <w:rtl/>
              </w:rPr>
              <w:tab/>
            </w:r>
            <w:r w:rsidRPr="009A2B93">
              <w:rPr>
                <w:rtl/>
              </w:rPr>
              <w:t>التشريعات الأساسية</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14</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Fonts w:hint="cs"/>
                <w:rtl/>
              </w:rPr>
              <w:tab/>
            </w:r>
            <w:r>
              <w:rPr>
                <w:rtl/>
              </w:rPr>
              <w:tab/>
            </w:r>
            <w:r w:rsidRPr="009A2B93">
              <w:rPr>
                <w:rtl/>
              </w:rPr>
              <w:t>الأجهزة الوطنية المعنية بالمرأة</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14</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right" w:pos="1843"/>
                <w:tab w:val="left" w:pos="2232"/>
                <w:tab w:val="left" w:pos="2592"/>
                <w:tab w:val="left" w:pos="3024"/>
                <w:tab w:val="left" w:pos="3456"/>
                <w:tab w:val="right" w:leader="dot" w:pos="9360"/>
              </w:tabs>
              <w:spacing w:after="120"/>
              <w:jc w:val="left"/>
              <w:rPr>
                <w:rtl/>
              </w:rPr>
            </w:pPr>
            <w:r>
              <w:rPr>
                <w:rFonts w:hint="cs"/>
                <w:rtl/>
              </w:rPr>
              <w:tab/>
            </w:r>
            <w:r>
              <w:rPr>
                <w:rtl/>
              </w:rPr>
              <w:tab/>
            </w:r>
            <w:r w:rsidRPr="009A2B93">
              <w:rPr>
                <w:rtl/>
              </w:rPr>
              <w:t>الجهود التي تبذلها الحكومة تعزيزا لتعميم مراعاة المنظور الجنساني</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19</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sidRPr="0089692F">
              <w:rPr>
                <w:rFonts w:hint="cs"/>
                <w:rtl/>
              </w:rPr>
              <w:tab/>
            </w:r>
            <w:r w:rsidRPr="0089692F">
              <w:rPr>
                <w:rFonts w:hint="cs"/>
                <w:rtl/>
              </w:rPr>
              <w:tab/>
            </w:r>
            <w:r w:rsidRPr="0089692F">
              <w:rPr>
                <w:rtl/>
              </w:rPr>
              <w:t>الأهداف الإنمائية للألفية</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27</w:t>
            </w:r>
          </w:p>
        </w:tc>
      </w:tr>
      <w:tr w:rsidR="009A2B93" w:rsidRPr="00A92827" w:rsidTr="005C5805">
        <w:tblPrEx>
          <w:tblCellMar>
            <w:top w:w="0" w:type="dxa"/>
            <w:bottom w:w="0" w:type="dxa"/>
          </w:tblCellMar>
        </w:tblPrEx>
        <w:tc>
          <w:tcPr>
            <w:tcW w:w="9028" w:type="dxa"/>
            <w:gridSpan w:val="3"/>
            <w:shd w:val="clear" w:color="auto" w:fill="auto"/>
          </w:tcPr>
          <w:p w:rsidR="009A2B93" w:rsidRPr="0089692F" w:rsidRDefault="009A2B93" w:rsidP="009A2B93">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89692F">
              <w:rPr>
                <w:rFonts w:hint="cs"/>
                <w:rtl/>
              </w:rPr>
              <w:tab/>
            </w:r>
            <w:r w:rsidRPr="0089692F">
              <w:rPr>
                <w:rFonts w:hint="cs"/>
                <w:rtl/>
              </w:rPr>
              <w:tab/>
            </w:r>
            <w:r w:rsidRPr="0089692F">
              <w:rPr>
                <w:rtl/>
              </w:rPr>
              <w:t>المادة 3: ضمان حقوق الإنسان والحريات الأساسية</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28</w:t>
            </w:r>
          </w:p>
        </w:tc>
      </w:tr>
      <w:tr w:rsidR="009A2B93" w:rsidRPr="00A92827" w:rsidTr="005C5805">
        <w:tblPrEx>
          <w:tblCellMar>
            <w:top w:w="0" w:type="dxa"/>
            <w:bottom w:w="0" w:type="dxa"/>
          </w:tblCellMar>
        </w:tblPrEx>
        <w:tc>
          <w:tcPr>
            <w:tcW w:w="9028" w:type="dxa"/>
            <w:gridSpan w:val="3"/>
            <w:shd w:val="clear" w:color="auto" w:fill="auto"/>
          </w:tcPr>
          <w:p w:rsidR="009A2B93" w:rsidRPr="0089692F" w:rsidRDefault="009A2B93" w:rsidP="009A2B93">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89692F">
              <w:rPr>
                <w:rFonts w:hint="cs"/>
                <w:rtl/>
              </w:rPr>
              <w:tab/>
            </w:r>
            <w:r w:rsidRPr="0089692F">
              <w:rPr>
                <w:rFonts w:hint="cs"/>
                <w:rtl/>
              </w:rPr>
              <w:tab/>
            </w:r>
            <w:r w:rsidRPr="0089692F">
              <w:rPr>
                <w:rtl/>
              </w:rPr>
              <w:t>تعميم اتفاقية القضاء على جميع أشكال التمييز ضد المرأة والوثائق ذات الصلة بها</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28</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right" w:leader="dot" w:pos="9029"/>
              </w:tabs>
              <w:spacing w:after="120"/>
              <w:jc w:val="left"/>
              <w:rPr>
                <w:spacing w:val="60"/>
                <w:sz w:val="17"/>
                <w:rtl/>
              </w:rPr>
            </w:pPr>
            <w:r w:rsidRPr="0089692F">
              <w:rPr>
                <w:rFonts w:hint="cs"/>
                <w:rtl/>
              </w:rPr>
              <w:tab/>
            </w:r>
            <w:r w:rsidRPr="0089692F">
              <w:rPr>
                <w:rFonts w:hint="cs"/>
                <w:rtl/>
              </w:rPr>
              <w:tab/>
            </w:r>
            <w:r w:rsidRPr="0089692F">
              <w:rPr>
                <w:rtl/>
              </w:rPr>
              <w:t>العنف الجنساني</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30</w:t>
            </w:r>
          </w:p>
        </w:tc>
      </w:tr>
      <w:tr w:rsidR="009A2B93" w:rsidRPr="00A92827" w:rsidTr="005C5805">
        <w:tblPrEx>
          <w:tblCellMar>
            <w:top w:w="0" w:type="dxa"/>
            <w:bottom w:w="0" w:type="dxa"/>
          </w:tblCellMar>
        </w:tblPrEx>
        <w:tc>
          <w:tcPr>
            <w:tcW w:w="9028" w:type="dxa"/>
            <w:gridSpan w:val="3"/>
            <w:shd w:val="clear" w:color="auto" w:fill="auto"/>
          </w:tcPr>
          <w:p w:rsidR="009A2B93" w:rsidRPr="0089692F" w:rsidRDefault="009A2B93" w:rsidP="009A2B93">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89692F">
              <w:rPr>
                <w:rFonts w:hint="cs"/>
                <w:rtl/>
              </w:rPr>
              <w:tab/>
            </w:r>
            <w:r w:rsidRPr="0089692F">
              <w:rPr>
                <w:rFonts w:hint="cs"/>
                <w:rtl/>
              </w:rPr>
              <w:tab/>
            </w:r>
            <w:r w:rsidRPr="0089692F">
              <w:rPr>
                <w:rtl/>
              </w:rPr>
              <w:t>تنفيذ قرار مجلس الأمن رقم 1325</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45</w:t>
            </w:r>
          </w:p>
        </w:tc>
      </w:tr>
      <w:tr w:rsidR="009A2B93" w:rsidRPr="00A92827" w:rsidTr="005C5805">
        <w:tblPrEx>
          <w:tblCellMar>
            <w:top w:w="0" w:type="dxa"/>
            <w:bottom w:w="0" w:type="dxa"/>
          </w:tblCellMar>
        </w:tblPrEx>
        <w:tc>
          <w:tcPr>
            <w:tcW w:w="9028" w:type="dxa"/>
            <w:gridSpan w:val="3"/>
            <w:shd w:val="clear" w:color="auto" w:fill="auto"/>
          </w:tcPr>
          <w:p w:rsidR="009A2B93" w:rsidRPr="0089692F" w:rsidRDefault="009A2B93" w:rsidP="009A2B93">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89692F">
              <w:rPr>
                <w:rtl/>
              </w:rPr>
              <w:tab/>
            </w:r>
            <w:r w:rsidRPr="0089692F">
              <w:rPr>
                <w:rtl/>
              </w:rPr>
              <w:tab/>
              <w:t>المادة 5: قولبة أدوار الجنسين والتحيز</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47</w:t>
            </w:r>
          </w:p>
        </w:tc>
      </w:tr>
      <w:tr w:rsidR="009A2B93" w:rsidRPr="00A92827" w:rsidTr="005C5805">
        <w:tblPrEx>
          <w:tblCellMar>
            <w:top w:w="0" w:type="dxa"/>
            <w:bottom w:w="0" w:type="dxa"/>
          </w:tblCellMar>
        </w:tblPrEx>
        <w:tc>
          <w:tcPr>
            <w:tcW w:w="9028" w:type="dxa"/>
            <w:gridSpan w:val="3"/>
            <w:shd w:val="clear" w:color="auto" w:fill="auto"/>
          </w:tcPr>
          <w:p w:rsidR="009A2B93" w:rsidRPr="0089692F" w:rsidRDefault="009A2B93" w:rsidP="009A2B93">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89692F">
              <w:rPr>
                <w:rtl/>
              </w:rPr>
              <w:tab/>
            </w:r>
            <w:r w:rsidRPr="0089692F">
              <w:rPr>
                <w:rtl/>
              </w:rPr>
              <w:tab/>
              <w:t>المادة 4: تدابير خاصة للتعجيل بالتقدم نحو تحقيق المساواة</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47</w:t>
            </w:r>
          </w:p>
        </w:tc>
      </w:tr>
      <w:tr w:rsidR="009A2B93" w:rsidRPr="00A92827" w:rsidTr="005C5805">
        <w:tblPrEx>
          <w:tblCellMar>
            <w:top w:w="0" w:type="dxa"/>
            <w:bottom w:w="0" w:type="dxa"/>
          </w:tblCellMar>
        </w:tblPrEx>
        <w:tc>
          <w:tcPr>
            <w:tcW w:w="9028" w:type="dxa"/>
            <w:gridSpan w:val="3"/>
            <w:shd w:val="clear" w:color="auto" w:fill="auto"/>
          </w:tcPr>
          <w:p w:rsidR="009A2B93" w:rsidRPr="0089692F" w:rsidRDefault="009A2B93" w:rsidP="009A2B93">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89692F">
              <w:rPr>
                <w:rFonts w:hint="cs"/>
                <w:rtl/>
              </w:rPr>
              <w:tab/>
            </w:r>
            <w:r w:rsidRPr="0089692F">
              <w:rPr>
                <w:rFonts w:hint="cs"/>
                <w:rtl/>
              </w:rPr>
              <w:tab/>
            </w:r>
            <w:r w:rsidRPr="0089692F">
              <w:rPr>
                <w:rtl/>
              </w:rPr>
              <w:t>المرأة واتخاذ القرارات داخل الأسرة المعيشية</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48</w:t>
            </w:r>
          </w:p>
        </w:tc>
      </w:tr>
      <w:tr w:rsidR="009A2B93" w:rsidRPr="00A92827" w:rsidTr="005C5805">
        <w:tblPrEx>
          <w:tblCellMar>
            <w:top w:w="0" w:type="dxa"/>
            <w:bottom w:w="0" w:type="dxa"/>
          </w:tblCellMar>
        </w:tblPrEx>
        <w:tc>
          <w:tcPr>
            <w:tcW w:w="9028" w:type="dxa"/>
            <w:gridSpan w:val="3"/>
            <w:shd w:val="clear" w:color="auto" w:fill="auto"/>
          </w:tcPr>
          <w:p w:rsidR="009A2B93" w:rsidRPr="0089692F" w:rsidRDefault="009A2B93" w:rsidP="009A2B93">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89692F">
              <w:rPr>
                <w:rFonts w:hint="cs"/>
                <w:rtl/>
              </w:rPr>
              <w:tab/>
            </w:r>
            <w:r w:rsidRPr="0089692F">
              <w:rPr>
                <w:rFonts w:hint="cs"/>
                <w:rtl/>
              </w:rPr>
              <w:tab/>
            </w:r>
            <w:r w:rsidRPr="0089692F">
              <w:rPr>
                <w:rtl/>
              </w:rPr>
              <w:t>المبادرات التي تتخذها الحكومة بشأن تعديل القوالب النمطية</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50</w:t>
            </w:r>
          </w:p>
        </w:tc>
      </w:tr>
      <w:tr w:rsidR="009A2B93" w:rsidRPr="00A92827" w:rsidTr="005C5805">
        <w:tblPrEx>
          <w:tblCellMar>
            <w:top w:w="0" w:type="dxa"/>
            <w:bottom w:w="0" w:type="dxa"/>
          </w:tblCellMar>
        </w:tblPrEx>
        <w:tc>
          <w:tcPr>
            <w:tcW w:w="9028" w:type="dxa"/>
            <w:gridSpan w:val="3"/>
            <w:shd w:val="clear" w:color="auto" w:fill="auto"/>
          </w:tcPr>
          <w:p w:rsidR="009A2B93" w:rsidRPr="0089692F" w:rsidRDefault="009A2B93" w:rsidP="009A2B93">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89692F">
              <w:rPr>
                <w:rFonts w:hint="cs"/>
                <w:rtl/>
              </w:rPr>
              <w:tab/>
            </w:r>
            <w:r w:rsidRPr="0089692F">
              <w:rPr>
                <w:rFonts w:hint="cs"/>
                <w:rtl/>
              </w:rPr>
              <w:tab/>
            </w:r>
            <w:r w:rsidRPr="0089692F">
              <w:rPr>
                <w:rtl/>
              </w:rPr>
              <w:t>ا</w:t>
            </w:r>
            <w:r>
              <w:rPr>
                <w:rtl/>
              </w:rPr>
              <w:t>لمادة 6: الاتجار بالبشر والبغاء</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52</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right" w:leader="dot" w:pos="9029"/>
              </w:tabs>
              <w:spacing w:after="120"/>
              <w:jc w:val="left"/>
              <w:rPr>
                <w:spacing w:val="60"/>
                <w:sz w:val="17"/>
                <w:rtl/>
              </w:rPr>
            </w:pPr>
            <w:r w:rsidRPr="0089692F">
              <w:rPr>
                <w:rFonts w:hint="cs"/>
                <w:rtl/>
              </w:rPr>
              <w:tab/>
            </w:r>
            <w:r w:rsidRPr="0089692F">
              <w:rPr>
                <w:rFonts w:hint="cs"/>
                <w:rtl/>
              </w:rPr>
              <w:tab/>
            </w:r>
            <w:r w:rsidRPr="0089692F">
              <w:rPr>
                <w:rtl/>
              </w:rPr>
              <w:t>الإطار القانوني</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52</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rPr>
            </w:pPr>
            <w:r w:rsidRPr="0089692F">
              <w:rPr>
                <w:rFonts w:hint="cs"/>
                <w:rtl/>
              </w:rPr>
              <w:tab/>
            </w:r>
            <w:r w:rsidRPr="0089692F">
              <w:rPr>
                <w:rFonts w:hint="cs"/>
                <w:rtl/>
              </w:rPr>
              <w:tab/>
            </w:r>
            <w:r w:rsidRPr="0089692F">
              <w:rPr>
                <w:rtl/>
              </w:rPr>
              <w:t>التدابير الرامية إلى تعزيز الإطار القانوني بشأن الاتجار بالبشر</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53</w:t>
            </w:r>
          </w:p>
        </w:tc>
      </w:tr>
      <w:tr w:rsidR="009A2B93" w:rsidRPr="00A92827" w:rsidTr="005C5805">
        <w:tblPrEx>
          <w:tblCellMar>
            <w:top w:w="0" w:type="dxa"/>
            <w:bottom w:w="0" w:type="dxa"/>
          </w:tblCellMar>
        </w:tblPrEx>
        <w:tc>
          <w:tcPr>
            <w:tcW w:w="9028" w:type="dxa"/>
            <w:gridSpan w:val="3"/>
            <w:shd w:val="clear" w:color="auto" w:fill="auto"/>
          </w:tcPr>
          <w:p w:rsidR="009A2B93" w:rsidRPr="0089692F" w:rsidRDefault="009A2B93" w:rsidP="009A2B93">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89692F">
              <w:rPr>
                <w:rFonts w:hint="cs"/>
                <w:rtl/>
              </w:rPr>
              <w:tab/>
            </w:r>
            <w:r w:rsidRPr="0089692F">
              <w:rPr>
                <w:rFonts w:hint="cs"/>
                <w:rtl/>
              </w:rPr>
              <w:tab/>
            </w:r>
            <w:r w:rsidRPr="0089692F">
              <w:rPr>
                <w:rtl/>
              </w:rPr>
              <w:t>خطة العمل الوطنية المتعلقة بالاتجار بالبشر</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54</w:t>
            </w:r>
          </w:p>
        </w:tc>
      </w:tr>
      <w:tr w:rsidR="009A2B93" w:rsidRPr="00A92827" w:rsidTr="005C5805">
        <w:tblPrEx>
          <w:tblCellMar>
            <w:top w:w="0" w:type="dxa"/>
            <w:bottom w:w="0" w:type="dxa"/>
          </w:tblCellMar>
        </w:tblPrEx>
        <w:tc>
          <w:tcPr>
            <w:tcW w:w="9028" w:type="dxa"/>
            <w:gridSpan w:val="3"/>
            <w:shd w:val="clear" w:color="auto" w:fill="auto"/>
          </w:tcPr>
          <w:p w:rsidR="009A2B93" w:rsidRPr="0089692F" w:rsidRDefault="009A2B93" w:rsidP="009A2B93">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89692F">
              <w:rPr>
                <w:rtl/>
              </w:rPr>
              <w:tab/>
            </w:r>
            <w:r w:rsidRPr="0089692F">
              <w:rPr>
                <w:rtl/>
              </w:rPr>
              <w:tab/>
              <w:t>المادة 7: الحياة السياسية والعامة</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56</w:t>
            </w:r>
          </w:p>
        </w:tc>
      </w:tr>
      <w:tr w:rsidR="009A2B93" w:rsidRPr="00A92827" w:rsidTr="005C5805">
        <w:tblPrEx>
          <w:tblCellMar>
            <w:top w:w="0" w:type="dxa"/>
            <w:bottom w:w="0" w:type="dxa"/>
          </w:tblCellMar>
        </w:tblPrEx>
        <w:tc>
          <w:tcPr>
            <w:tcW w:w="9028" w:type="dxa"/>
            <w:gridSpan w:val="3"/>
            <w:shd w:val="clear" w:color="auto" w:fill="auto"/>
          </w:tcPr>
          <w:p w:rsidR="009A2B93" w:rsidRPr="0089692F" w:rsidRDefault="009A2B93" w:rsidP="009A2B93">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89692F">
              <w:rPr>
                <w:rFonts w:hint="cs"/>
                <w:rtl/>
              </w:rPr>
              <w:tab/>
            </w:r>
            <w:r w:rsidRPr="0089692F">
              <w:rPr>
                <w:rFonts w:hint="cs"/>
                <w:rtl/>
              </w:rPr>
              <w:tab/>
            </w:r>
            <w:r w:rsidRPr="0089692F">
              <w:rPr>
                <w:rtl/>
              </w:rPr>
              <w:t>المرأة والمشاركة السياسية على الصعيد المحلي</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57</w:t>
            </w:r>
          </w:p>
        </w:tc>
      </w:tr>
      <w:tr w:rsidR="009A2B93" w:rsidRPr="00A92827" w:rsidTr="005C5805">
        <w:tblPrEx>
          <w:tblCellMar>
            <w:top w:w="0" w:type="dxa"/>
            <w:bottom w:w="0" w:type="dxa"/>
          </w:tblCellMar>
        </w:tblPrEx>
        <w:tc>
          <w:tcPr>
            <w:tcW w:w="9028" w:type="dxa"/>
            <w:gridSpan w:val="3"/>
            <w:shd w:val="clear" w:color="auto" w:fill="auto"/>
          </w:tcPr>
          <w:p w:rsidR="009A2B93" w:rsidRPr="0089692F" w:rsidRDefault="009A2B93" w:rsidP="009A2B93">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89692F">
              <w:rPr>
                <w:rFonts w:hint="cs"/>
                <w:rtl/>
              </w:rPr>
              <w:tab/>
            </w:r>
            <w:r w:rsidRPr="0089692F">
              <w:rPr>
                <w:rFonts w:hint="cs"/>
                <w:rtl/>
              </w:rPr>
              <w:tab/>
            </w:r>
            <w:r w:rsidRPr="0089692F">
              <w:rPr>
                <w:rtl/>
              </w:rPr>
              <w:t>مشاركة المرأة على الصعيد المحلي</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59</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rPr>
            </w:pPr>
            <w:r w:rsidRPr="0089692F">
              <w:rPr>
                <w:rFonts w:hint="cs"/>
                <w:rtl/>
              </w:rPr>
              <w:tab/>
            </w:r>
            <w:r w:rsidRPr="0089692F">
              <w:rPr>
                <w:rFonts w:hint="cs"/>
                <w:rtl/>
              </w:rPr>
              <w:tab/>
            </w:r>
            <w:r w:rsidRPr="0089692F">
              <w:rPr>
                <w:rtl/>
              </w:rPr>
              <w:t>العقبات التي تحول دون مشاركة المرأة في النشاط السياسي</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61</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sidRPr="0089692F">
              <w:rPr>
                <w:rFonts w:hint="cs"/>
                <w:rtl/>
              </w:rPr>
              <w:tab/>
            </w:r>
            <w:r w:rsidRPr="0089692F">
              <w:rPr>
                <w:rFonts w:hint="cs"/>
                <w:rtl/>
              </w:rPr>
              <w:tab/>
            </w:r>
            <w:r w:rsidRPr="0089692F">
              <w:rPr>
                <w:rtl/>
              </w:rPr>
              <w:t>المادة 8</w:t>
            </w:r>
            <w:r w:rsidRPr="0089692F">
              <w:rPr>
                <w:rFonts w:hint="cs"/>
                <w:rtl/>
              </w:rPr>
              <w:t xml:space="preserve"> </w:t>
            </w:r>
            <w:r w:rsidRPr="0089692F">
              <w:rPr>
                <w:rtl/>
              </w:rPr>
              <w:t>- التمثيل والمشاركة على الصعيد الدولي</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61</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right" w:leader="dot" w:pos="9029"/>
              </w:tabs>
              <w:spacing w:after="120"/>
              <w:jc w:val="left"/>
              <w:rPr>
                <w:spacing w:val="60"/>
                <w:sz w:val="17"/>
                <w:rtl/>
              </w:rPr>
            </w:pPr>
            <w:r w:rsidRPr="0089692F">
              <w:rPr>
                <w:rFonts w:hint="cs"/>
                <w:rtl/>
              </w:rPr>
              <w:tab/>
            </w:r>
            <w:r w:rsidRPr="0089692F">
              <w:rPr>
                <w:rFonts w:hint="cs"/>
                <w:rtl/>
              </w:rPr>
              <w:tab/>
            </w:r>
            <w:r w:rsidRPr="0089692F">
              <w:rPr>
                <w:rtl/>
              </w:rPr>
              <w:t>المادة 9: الجنسية</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62</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right" w:leader="dot" w:pos="9029"/>
              </w:tabs>
              <w:spacing w:after="120"/>
              <w:jc w:val="left"/>
              <w:rPr>
                <w:spacing w:val="60"/>
                <w:sz w:val="17"/>
                <w:rtl/>
              </w:rPr>
            </w:pPr>
            <w:r w:rsidRPr="0089692F">
              <w:rPr>
                <w:rFonts w:hint="cs"/>
                <w:rtl/>
              </w:rPr>
              <w:tab/>
            </w:r>
            <w:r w:rsidRPr="0089692F">
              <w:rPr>
                <w:rFonts w:hint="cs"/>
                <w:rtl/>
              </w:rPr>
              <w:tab/>
            </w:r>
            <w:r w:rsidRPr="0089692F">
              <w:rPr>
                <w:rtl/>
              </w:rPr>
              <w:t>المادة 10: التعليم</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62</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89692F">
              <w:rPr>
                <w:rFonts w:hint="cs"/>
                <w:rtl/>
              </w:rPr>
              <w:tab/>
            </w:r>
            <w:r w:rsidRPr="0089692F">
              <w:rPr>
                <w:rFonts w:hint="cs"/>
                <w:rtl/>
              </w:rPr>
              <w:tab/>
            </w:r>
            <w:r w:rsidRPr="0089692F">
              <w:rPr>
                <w:rtl/>
              </w:rPr>
              <w:t>السياسة والإطار القانوني</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62</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89692F">
              <w:rPr>
                <w:rFonts w:hint="cs"/>
                <w:rtl/>
              </w:rPr>
              <w:tab/>
            </w:r>
            <w:r w:rsidRPr="0089692F">
              <w:rPr>
                <w:rFonts w:hint="cs"/>
                <w:rtl/>
              </w:rPr>
              <w:tab/>
            </w:r>
            <w:r w:rsidRPr="0089692F">
              <w:rPr>
                <w:rtl/>
              </w:rPr>
              <w:t>مشاركة المرأة في التعليم</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63</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89692F">
              <w:rPr>
                <w:rFonts w:hint="cs"/>
                <w:rtl/>
              </w:rPr>
              <w:tab/>
            </w:r>
            <w:r w:rsidRPr="0089692F">
              <w:rPr>
                <w:rFonts w:hint="cs"/>
                <w:rtl/>
              </w:rPr>
              <w:tab/>
            </w:r>
            <w:r w:rsidRPr="0089692F">
              <w:rPr>
                <w:rtl/>
              </w:rPr>
              <w:t>الأمن والعنف في المدارس</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68</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right" w:leader="dot" w:pos="9029"/>
              </w:tabs>
              <w:spacing w:after="120"/>
              <w:jc w:val="left"/>
              <w:rPr>
                <w:spacing w:val="60"/>
                <w:sz w:val="17"/>
                <w:rtl/>
              </w:rPr>
            </w:pPr>
            <w:r w:rsidRPr="0089692F">
              <w:rPr>
                <w:rtl/>
              </w:rPr>
              <w:tab/>
            </w:r>
            <w:r w:rsidRPr="0089692F">
              <w:rPr>
                <w:rtl/>
              </w:rPr>
              <w:tab/>
              <w:t>المادة 11: العمالة</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70</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right" w:leader="dot" w:pos="9029"/>
              </w:tabs>
              <w:spacing w:after="120"/>
              <w:jc w:val="left"/>
              <w:rPr>
                <w:spacing w:val="60"/>
                <w:sz w:val="17"/>
                <w:rtl/>
              </w:rPr>
            </w:pPr>
            <w:r w:rsidRPr="0089692F">
              <w:rPr>
                <w:rtl/>
              </w:rPr>
              <w:tab/>
            </w:r>
            <w:r w:rsidRPr="0089692F">
              <w:rPr>
                <w:rtl/>
              </w:rPr>
              <w:tab/>
              <w:t>الإطار القانوني</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70</w:t>
            </w:r>
          </w:p>
        </w:tc>
      </w:tr>
      <w:tr w:rsidR="009A2B93" w:rsidRPr="00A92827" w:rsidTr="005C5805">
        <w:tblPrEx>
          <w:tblCellMar>
            <w:top w:w="0" w:type="dxa"/>
            <w:bottom w:w="0" w:type="dxa"/>
          </w:tblCellMar>
        </w:tblPrEx>
        <w:tc>
          <w:tcPr>
            <w:tcW w:w="9028" w:type="dxa"/>
            <w:gridSpan w:val="3"/>
            <w:shd w:val="clear" w:color="auto" w:fill="auto"/>
          </w:tcPr>
          <w:p w:rsidR="009A2B93" w:rsidRPr="0089692F" w:rsidRDefault="009A2B93" w:rsidP="009A2B93">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89692F">
              <w:rPr>
                <w:rFonts w:hint="cs"/>
                <w:rtl/>
              </w:rPr>
              <w:tab/>
            </w:r>
            <w:r w:rsidRPr="0089692F">
              <w:rPr>
                <w:rFonts w:hint="cs"/>
                <w:rtl/>
              </w:rPr>
              <w:tab/>
            </w:r>
            <w:r w:rsidRPr="0089692F">
              <w:rPr>
                <w:rtl/>
              </w:rPr>
              <w:t>المرأة والمشاركة في القوة العاملة</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72</w:t>
            </w:r>
          </w:p>
        </w:tc>
      </w:tr>
      <w:tr w:rsidR="009A2B93" w:rsidRPr="00A92827" w:rsidTr="005C5805">
        <w:tblPrEx>
          <w:tblCellMar>
            <w:top w:w="0" w:type="dxa"/>
            <w:bottom w:w="0" w:type="dxa"/>
          </w:tblCellMar>
        </w:tblPrEx>
        <w:tc>
          <w:tcPr>
            <w:tcW w:w="9028" w:type="dxa"/>
            <w:gridSpan w:val="3"/>
            <w:shd w:val="clear" w:color="auto" w:fill="auto"/>
          </w:tcPr>
          <w:p w:rsidR="009A2B93" w:rsidRPr="0089692F" w:rsidRDefault="009A2B93" w:rsidP="009A2B93">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89692F">
              <w:rPr>
                <w:rFonts w:hint="cs"/>
                <w:rtl/>
              </w:rPr>
              <w:tab/>
            </w:r>
            <w:r w:rsidRPr="0089692F">
              <w:rPr>
                <w:rFonts w:hint="cs"/>
                <w:rtl/>
              </w:rPr>
              <w:tab/>
            </w:r>
            <w:r w:rsidRPr="0089692F">
              <w:rPr>
                <w:rtl/>
              </w:rPr>
              <w:t>النساء في المناصب القيادية في إطار الإدارة العامة</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77</w:t>
            </w:r>
          </w:p>
        </w:tc>
      </w:tr>
      <w:tr w:rsidR="009A2B93" w:rsidRPr="00A92827" w:rsidTr="005C5805">
        <w:tblPrEx>
          <w:tblCellMar>
            <w:top w:w="0" w:type="dxa"/>
            <w:bottom w:w="0" w:type="dxa"/>
          </w:tblCellMar>
        </w:tblPrEx>
        <w:tc>
          <w:tcPr>
            <w:tcW w:w="9028" w:type="dxa"/>
            <w:gridSpan w:val="3"/>
            <w:shd w:val="clear" w:color="auto" w:fill="auto"/>
          </w:tcPr>
          <w:p w:rsidR="009A2B93" w:rsidRPr="0089692F" w:rsidRDefault="009A2B93" w:rsidP="009A2B93">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89692F">
              <w:rPr>
                <w:rFonts w:hint="cs"/>
                <w:rtl/>
              </w:rPr>
              <w:tab/>
            </w:r>
            <w:r w:rsidRPr="0089692F">
              <w:rPr>
                <w:rFonts w:hint="cs"/>
                <w:rtl/>
              </w:rPr>
              <w:tab/>
            </w:r>
            <w:r w:rsidRPr="0089692F">
              <w:rPr>
                <w:rtl/>
              </w:rPr>
              <w:t>المرأة في مناصب صنع القرار في القطاع الخاص</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77</w:t>
            </w:r>
          </w:p>
        </w:tc>
      </w:tr>
      <w:tr w:rsidR="009A2B93" w:rsidRPr="00A92827" w:rsidTr="005C5805">
        <w:tblPrEx>
          <w:tblCellMar>
            <w:top w:w="0" w:type="dxa"/>
            <w:bottom w:w="0" w:type="dxa"/>
          </w:tblCellMar>
        </w:tblPrEx>
        <w:tc>
          <w:tcPr>
            <w:tcW w:w="9028" w:type="dxa"/>
            <w:gridSpan w:val="3"/>
            <w:shd w:val="clear" w:color="auto" w:fill="auto"/>
          </w:tcPr>
          <w:p w:rsidR="009A2B93" w:rsidRPr="0089692F" w:rsidRDefault="009A2B93" w:rsidP="009A2B93">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89692F">
              <w:rPr>
                <w:rFonts w:hint="cs"/>
                <w:rtl/>
              </w:rPr>
              <w:tab/>
            </w:r>
            <w:r w:rsidRPr="0089692F">
              <w:rPr>
                <w:rFonts w:hint="cs"/>
                <w:rtl/>
              </w:rPr>
              <w:tab/>
            </w:r>
            <w:r w:rsidRPr="0089692F">
              <w:rPr>
                <w:rtl/>
              </w:rPr>
              <w:t>مبادرات الحكومة فيما يتعلق بالعمالة</w:t>
            </w:r>
            <w:r>
              <w:rPr>
                <w:spacing w:val="60"/>
                <w:sz w:val="17"/>
                <w:rtl/>
              </w:rPr>
              <w:tab/>
            </w:r>
          </w:p>
        </w:tc>
        <w:tc>
          <w:tcPr>
            <w:tcW w:w="806" w:type="dxa"/>
            <w:shd w:val="clear" w:color="auto" w:fill="auto"/>
            <w:vAlign w:val="bottom"/>
          </w:tcPr>
          <w:p w:rsidR="009A2B93" w:rsidRPr="00A92827" w:rsidRDefault="0060789F" w:rsidP="005C5805">
            <w:pPr>
              <w:spacing w:after="120"/>
              <w:jc w:val="right"/>
              <w:rPr>
                <w:rtl/>
              </w:rPr>
            </w:pPr>
            <w:r>
              <w:rPr>
                <w:rFonts w:hint="cs"/>
                <w:rtl/>
              </w:rPr>
              <w:t>78</w:t>
            </w:r>
          </w:p>
        </w:tc>
      </w:tr>
      <w:tr w:rsidR="009A2B93" w:rsidRPr="00A92827" w:rsidTr="005C5805">
        <w:tblPrEx>
          <w:tblCellMar>
            <w:top w:w="0" w:type="dxa"/>
            <w:bottom w:w="0" w:type="dxa"/>
          </w:tblCellMar>
        </w:tblPrEx>
        <w:tc>
          <w:tcPr>
            <w:tcW w:w="9028" w:type="dxa"/>
            <w:gridSpan w:val="3"/>
            <w:shd w:val="clear" w:color="auto" w:fill="auto"/>
          </w:tcPr>
          <w:p w:rsidR="009A2B93" w:rsidRPr="0089692F" w:rsidRDefault="009A2B93" w:rsidP="009A2B93">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89692F">
              <w:rPr>
                <w:rFonts w:hint="cs"/>
                <w:rtl/>
              </w:rPr>
              <w:tab/>
            </w:r>
            <w:r w:rsidRPr="0089692F">
              <w:rPr>
                <w:rFonts w:hint="cs"/>
                <w:rtl/>
              </w:rPr>
              <w:tab/>
            </w:r>
            <w:r w:rsidRPr="0089692F">
              <w:rPr>
                <w:rtl/>
              </w:rPr>
              <w:t>المادة 12: الرعاية الصحية وتنظيم الأسرة</w:t>
            </w:r>
            <w:r>
              <w:rPr>
                <w:spacing w:val="60"/>
                <w:sz w:val="17"/>
                <w:rtl/>
              </w:rPr>
              <w:tab/>
            </w:r>
          </w:p>
        </w:tc>
        <w:tc>
          <w:tcPr>
            <w:tcW w:w="806" w:type="dxa"/>
            <w:shd w:val="clear" w:color="auto" w:fill="auto"/>
            <w:vAlign w:val="bottom"/>
          </w:tcPr>
          <w:p w:rsidR="009A2B93" w:rsidRPr="00A92827" w:rsidRDefault="00475FF1" w:rsidP="005C5805">
            <w:pPr>
              <w:spacing w:after="120"/>
              <w:jc w:val="right"/>
              <w:rPr>
                <w:rtl/>
              </w:rPr>
            </w:pPr>
            <w:r>
              <w:rPr>
                <w:rFonts w:hint="cs"/>
                <w:rtl/>
              </w:rPr>
              <w:t>80</w:t>
            </w:r>
          </w:p>
        </w:tc>
      </w:tr>
      <w:tr w:rsidR="009A2B93" w:rsidRPr="00A92827" w:rsidTr="005C5805">
        <w:tblPrEx>
          <w:tblCellMar>
            <w:top w:w="0" w:type="dxa"/>
            <w:bottom w:w="0" w:type="dxa"/>
          </w:tblCellMar>
        </w:tblPrEx>
        <w:tc>
          <w:tcPr>
            <w:tcW w:w="9028" w:type="dxa"/>
            <w:gridSpan w:val="3"/>
            <w:shd w:val="clear" w:color="auto" w:fill="auto"/>
          </w:tcPr>
          <w:p w:rsidR="009A2B93" w:rsidRPr="0089692F" w:rsidRDefault="009A2B93" w:rsidP="009A2B93">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89692F">
              <w:rPr>
                <w:rFonts w:hint="cs"/>
                <w:rtl/>
              </w:rPr>
              <w:tab/>
            </w:r>
            <w:r w:rsidRPr="0089692F">
              <w:rPr>
                <w:rFonts w:hint="cs"/>
                <w:rtl/>
              </w:rPr>
              <w:tab/>
            </w:r>
            <w:r w:rsidRPr="0089692F">
              <w:rPr>
                <w:rtl/>
              </w:rPr>
              <w:t>البيانات المتعلقة بالصحة الإنجابية</w:t>
            </w:r>
            <w:r>
              <w:rPr>
                <w:spacing w:val="60"/>
                <w:sz w:val="17"/>
                <w:rtl/>
              </w:rPr>
              <w:tab/>
            </w:r>
          </w:p>
        </w:tc>
        <w:tc>
          <w:tcPr>
            <w:tcW w:w="806" w:type="dxa"/>
            <w:shd w:val="clear" w:color="auto" w:fill="auto"/>
            <w:vAlign w:val="bottom"/>
          </w:tcPr>
          <w:p w:rsidR="009A2B93" w:rsidRPr="00A92827" w:rsidRDefault="00475FF1" w:rsidP="005C5805">
            <w:pPr>
              <w:spacing w:after="120"/>
              <w:jc w:val="right"/>
              <w:rPr>
                <w:rtl/>
              </w:rPr>
            </w:pPr>
            <w:r>
              <w:rPr>
                <w:rFonts w:hint="cs"/>
                <w:rtl/>
              </w:rPr>
              <w:t>80</w:t>
            </w:r>
          </w:p>
        </w:tc>
      </w:tr>
      <w:tr w:rsidR="009A2B93" w:rsidRPr="00A92827" w:rsidTr="005C5805">
        <w:tblPrEx>
          <w:tblCellMar>
            <w:top w:w="0" w:type="dxa"/>
            <w:bottom w:w="0" w:type="dxa"/>
          </w:tblCellMar>
        </w:tblPrEx>
        <w:tc>
          <w:tcPr>
            <w:tcW w:w="9028" w:type="dxa"/>
            <w:gridSpan w:val="3"/>
            <w:shd w:val="clear" w:color="auto" w:fill="auto"/>
          </w:tcPr>
          <w:p w:rsidR="009A2B93" w:rsidRPr="0089692F" w:rsidRDefault="009A2B93" w:rsidP="009A2B93">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89692F">
              <w:rPr>
                <w:rFonts w:hint="cs"/>
                <w:rtl/>
              </w:rPr>
              <w:tab/>
            </w:r>
            <w:r w:rsidRPr="0089692F">
              <w:rPr>
                <w:rFonts w:hint="cs"/>
                <w:rtl/>
              </w:rPr>
              <w:tab/>
            </w:r>
            <w:r w:rsidRPr="0089692F">
              <w:rPr>
                <w:rtl/>
              </w:rPr>
              <w:t>الخطة الاستراتيجية الوطنية لقطاع الصحة للفترة 2011-2030</w:t>
            </w:r>
            <w:r>
              <w:rPr>
                <w:spacing w:val="60"/>
                <w:sz w:val="17"/>
                <w:rtl/>
              </w:rPr>
              <w:tab/>
            </w:r>
          </w:p>
        </w:tc>
        <w:tc>
          <w:tcPr>
            <w:tcW w:w="806" w:type="dxa"/>
            <w:shd w:val="clear" w:color="auto" w:fill="auto"/>
            <w:vAlign w:val="bottom"/>
          </w:tcPr>
          <w:p w:rsidR="009A2B93" w:rsidRPr="00A92827" w:rsidRDefault="00475FF1" w:rsidP="005C5805">
            <w:pPr>
              <w:spacing w:after="120"/>
              <w:jc w:val="right"/>
              <w:rPr>
                <w:rtl/>
              </w:rPr>
            </w:pPr>
            <w:r>
              <w:rPr>
                <w:rFonts w:hint="cs"/>
                <w:rtl/>
              </w:rPr>
              <w:t>84</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right" w:leader="dot" w:pos="9029"/>
              </w:tabs>
              <w:spacing w:after="120"/>
              <w:jc w:val="left"/>
              <w:rPr>
                <w:rFonts w:hint="cs"/>
                <w:spacing w:val="60"/>
                <w:sz w:val="17"/>
                <w:rtl/>
              </w:rPr>
            </w:pPr>
            <w:r w:rsidRPr="0089692F">
              <w:rPr>
                <w:rFonts w:hint="cs"/>
                <w:rtl/>
              </w:rPr>
              <w:tab/>
            </w:r>
            <w:r w:rsidRPr="0089692F">
              <w:rPr>
                <w:rFonts w:hint="cs"/>
                <w:rtl/>
              </w:rPr>
              <w:tab/>
              <w:t>صحة الطفل</w:t>
            </w:r>
            <w:r>
              <w:rPr>
                <w:spacing w:val="60"/>
                <w:sz w:val="17"/>
                <w:rtl/>
              </w:rPr>
              <w:tab/>
            </w:r>
          </w:p>
        </w:tc>
        <w:tc>
          <w:tcPr>
            <w:tcW w:w="806" w:type="dxa"/>
            <w:shd w:val="clear" w:color="auto" w:fill="auto"/>
            <w:vAlign w:val="bottom"/>
          </w:tcPr>
          <w:p w:rsidR="009A2B93" w:rsidRPr="00A92827" w:rsidRDefault="00475FF1" w:rsidP="005C5805">
            <w:pPr>
              <w:spacing w:after="120"/>
              <w:jc w:val="right"/>
              <w:rPr>
                <w:rtl/>
              </w:rPr>
            </w:pPr>
            <w:r>
              <w:rPr>
                <w:rFonts w:hint="cs"/>
                <w:rtl/>
              </w:rPr>
              <w:t>87</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right" w:leader="dot" w:pos="9029"/>
              </w:tabs>
              <w:spacing w:after="120"/>
              <w:jc w:val="left"/>
              <w:rPr>
                <w:rFonts w:hint="cs"/>
                <w:spacing w:val="60"/>
                <w:sz w:val="17"/>
                <w:rtl/>
              </w:rPr>
            </w:pPr>
            <w:r w:rsidRPr="0089692F">
              <w:rPr>
                <w:rFonts w:hint="cs"/>
                <w:rtl/>
              </w:rPr>
              <w:tab/>
            </w:r>
            <w:r w:rsidRPr="0089692F">
              <w:rPr>
                <w:rFonts w:hint="cs"/>
                <w:rtl/>
              </w:rPr>
              <w:tab/>
              <w:t>تنظيم الأسرة</w:t>
            </w:r>
            <w:r>
              <w:rPr>
                <w:spacing w:val="60"/>
                <w:sz w:val="17"/>
                <w:rtl/>
              </w:rPr>
              <w:tab/>
            </w:r>
          </w:p>
        </w:tc>
        <w:tc>
          <w:tcPr>
            <w:tcW w:w="806" w:type="dxa"/>
            <w:shd w:val="clear" w:color="auto" w:fill="auto"/>
            <w:vAlign w:val="bottom"/>
          </w:tcPr>
          <w:p w:rsidR="009A2B93" w:rsidRPr="00A92827" w:rsidRDefault="00475FF1" w:rsidP="005C5805">
            <w:pPr>
              <w:spacing w:after="120"/>
              <w:jc w:val="right"/>
              <w:rPr>
                <w:rtl/>
              </w:rPr>
            </w:pPr>
            <w:r>
              <w:rPr>
                <w:rFonts w:hint="cs"/>
                <w:rtl/>
              </w:rPr>
              <w:t>88</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right" w:leader="dot" w:pos="9029"/>
              </w:tabs>
              <w:spacing w:after="120"/>
              <w:jc w:val="left"/>
              <w:rPr>
                <w:rFonts w:hint="cs"/>
                <w:spacing w:val="60"/>
                <w:sz w:val="17"/>
                <w:rtl/>
              </w:rPr>
            </w:pPr>
            <w:r w:rsidRPr="0089692F">
              <w:rPr>
                <w:rFonts w:hint="cs"/>
                <w:rtl/>
              </w:rPr>
              <w:tab/>
            </w:r>
            <w:r w:rsidRPr="0089692F">
              <w:rPr>
                <w:rFonts w:hint="cs"/>
                <w:rtl/>
              </w:rPr>
              <w:tab/>
              <w:t>الصحة العقلية</w:t>
            </w:r>
            <w:r>
              <w:rPr>
                <w:spacing w:val="60"/>
                <w:sz w:val="17"/>
                <w:rtl/>
              </w:rPr>
              <w:tab/>
            </w:r>
          </w:p>
        </w:tc>
        <w:tc>
          <w:tcPr>
            <w:tcW w:w="806" w:type="dxa"/>
            <w:shd w:val="clear" w:color="auto" w:fill="auto"/>
            <w:vAlign w:val="bottom"/>
          </w:tcPr>
          <w:p w:rsidR="009A2B93" w:rsidRPr="00A92827" w:rsidRDefault="00475FF1" w:rsidP="005C5805">
            <w:pPr>
              <w:spacing w:after="120"/>
              <w:jc w:val="right"/>
              <w:rPr>
                <w:rtl/>
              </w:rPr>
            </w:pPr>
            <w:r>
              <w:rPr>
                <w:rFonts w:hint="cs"/>
                <w:rtl/>
              </w:rPr>
              <w:t>89</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sidRPr="0089692F">
              <w:rPr>
                <w:rFonts w:hint="cs"/>
                <w:rtl/>
              </w:rPr>
              <w:tab/>
            </w:r>
            <w:r w:rsidRPr="0089692F">
              <w:rPr>
                <w:rFonts w:hint="cs"/>
                <w:rtl/>
              </w:rPr>
              <w:tab/>
              <w:t>المادة 13: الفوائد الاقتصادية والاجتماعية</w:t>
            </w:r>
            <w:r>
              <w:rPr>
                <w:spacing w:val="60"/>
                <w:sz w:val="17"/>
                <w:rtl/>
              </w:rPr>
              <w:tab/>
            </w:r>
          </w:p>
        </w:tc>
        <w:tc>
          <w:tcPr>
            <w:tcW w:w="806" w:type="dxa"/>
            <w:shd w:val="clear" w:color="auto" w:fill="auto"/>
            <w:vAlign w:val="bottom"/>
          </w:tcPr>
          <w:p w:rsidR="009A2B93" w:rsidRPr="00A92827" w:rsidRDefault="00475FF1" w:rsidP="005C5805">
            <w:pPr>
              <w:spacing w:after="120"/>
              <w:jc w:val="right"/>
              <w:rPr>
                <w:rtl/>
              </w:rPr>
            </w:pPr>
            <w:r>
              <w:rPr>
                <w:rFonts w:hint="cs"/>
                <w:rtl/>
              </w:rPr>
              <w:t>90</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sidRPr="0089692F">
              <w:rPr>
                <w:rFonts w:hint="cs"/>
                <w:rtl/>
              </w:rPr>
              <w:tab/>
            </w:r>
            <w:r w:rsidRPr="0089692F">
              <w:rPr>
                <w:rFonts w:hint="cs"/>
                <w:rtl/>
              </w:rPr>
              <w:tab/>
              <w:t>الحماية الاجتماعية للفئات الضعيفة</w:t>
            </w:r>
            <w:r>
              <w:rPr>
                <w:spacing w:val="60"/>
                <w:sz w:val="17"/>
                <w:rtl/>
              </w:rPr>
              <w:tab/>
            </w:r>
          </w:p>
        </w:tc>
        <w:tc>
          <w:tcPr>
            <w:tcW w:w="806" w:type="dxa"/>
            <w:shd w:val="clear" w:color="auto" w:fill="auto"/>
            <w:vAlign w:val="bottom"/>
          </w:tcPr>
          <w:p w:rsidR="009A2B93" w:rsidRPr="00A92827" w:rsidRDefault="00475FF1" w:rsidP="005C5805">
            <w:pPr>
              <w:spacing w:after="120"/>
              <w:jc w:val="right"/>
              <w:rPr>
                <w:rtl/>
              </w:rPr>
            </w:pPr>
            <w:r>
              <w:rPr>
                <w:rFonts w:hint="cs"/>
                <w:rtl/>
              </w:rPr>
              <w:t>90</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sidRPr="0089692F">
              <w:rPr>
                <w:rFonts w:hint="cs"/>
                <w:rtl/>
              </w:rPr>
              <w:tab/>
            </w:r>
            <w:r w:rsidRPr="0089692F">
              <w:rPr>
                <w:rFonts w:hint="cs"/>
                <w:rtl/>
              </w:rPr>
              <w:tab/>
              <w:t>برامج التحويلات النقدية</w:t>
            </w:r>
            <w:r>
              <w:rPr>
                <w:spacing w:val="60"/>
                <w:sz w:val="17"/>
                <w:rtl/>
              </w:rPr>
              <w:tab/>
            </w:r>
          </w:p>
        </w:tc>
        <w:tc>
          <w:tcPr>
            <w:tcW w:w="806" w:type="dxa"/>
            <w:shd w:val="clear" w:color="auto" w:fill="auto"/>
            <w:vAlign w:val="bottom"/>
          </w:tcPr>
          <w:p w:rsidR="009A2B93" w:rsidRPr="00A92827" w:rsidRDefault="00475FF1" w:rsidP="005C5805">
            <w:pPr>
              <w:spacing w:after="120"/>
              <w:jc w:val="right"/>
              <w:rPr>
                <w:rtl/>
              </w:rPr>
            </w:pPr>
            <w:r>
              <w:rPr>
                <w:rFonts w:hint="cs"/>
                <w:rtl/>
              </w:rPr>
              <w:t>92</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sidRPr="0089692F">
              <w:rPr>
                <w:rFonts w:hint="cs"/>
                <w:rtl/>
              </w:rPr>
              <w:tab/>
            </w:r>
            <w:r w:rsidRPr="0089692F">
              <w:rPr>
                <w:rFonts w:hint="cs"/>
                <w:rtl/>
              </w:rPr>
              <w:tab/>
              <w:t>الحصول على تسهيلات ائتمانية</w:t>
            </w:r>
            <w:r>
              <w:rPr>
                <w:spacing w:val="60"/>
                <w:sz w:val="17"/>
                <w:rtl/>
              </w:rPr>
              <w:tab/>
            </w:r>
          </w:p>
        </w:tc>
        <w:tc>
          <w:tcPr>
            <w:tcW w:w="806" w:type="dxa"/>
            <w:shd w:val="clear" w:color="auto" w:fill="auto"/>
            <w:vAlign w:val="bottom"/>
          </w:tcPr>
          <w:p w:rsidR="009A2B93" w:rsidRPr="00A92827" w:rsidRDefault="00475FF1" w:rsidP="005C5805">
            <w:pPr>
              <w:spacing w:after="120"/>
              <w:jc w:val="right"/>
              <w:rPr>
                <w:rtl/>
              </w:rPr>
            </w:pPr>
            <w:r>
              <w:rPr>
                <w:rFonts w:hint="cs"/>
                <w:rtl/>
              </w:rPr>
              <w:t>93</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89692F">
              <w:rPr>
                <w:rtl/>
              </w:rPr>
              <w:tab/>
            </w:r>
            <w:r w:rsidRPr="0089692F">
              <w:rPr>
                <w:rtl/>
              </w:rPr>
              <w:tab/>
              <w:t>المادة 14: المرأة الريفية</w:t>
            </w:r>
            <w:r>
              <w:rPr>
                <w:spacing w:val="60"/>
                <w:sz w:val="17"/>
                <w:rtl/>
              </w:rPr>
              <w:tab/>
            </w:r>
          </w:p>
        </w:tc>
        <w:tc>
          <w:tcPr>
            <w:tcW w:w="806" w:type="dxa"/>
            <w:shd w:val="clear" w:color="auto" w:fill="auto"/>
            <w:vAlign w:val="bottom"/>
          </w:tcPr>
          <w:p w:rsidR="009A2B93" w:rsidRPr="00A92827" w:rsidRDefault="00475FF1" w:rsidP="005C5805">
            <w:pPr>
              <w:spacing w:after="120"/>
              <w:jc w:val="right"/>
              <w:rPr>
                <w:rtl/>
              </w:rPr>
            </w:pPr>
            <w:r>
              <w:rPr>
                <w:rFonts w:hint="cs"/>
                <w:rtl/>
              </w:rPr>
              <w:t>96</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89692F">
              <w:rPr>
                <w:rFonts w:hint="cs"/>
                <w:rtl/>
              </w:rPr>
              <w:tab/>
            </w:r>
            <w:r w:rsidRPr="0089692F">
              <w:rPr>
                <w:rFonts w:hint="cs"/>
                <w:rtl/>
              </w:rPr>
              <w:tab/>
            </w:r>
            <w:r w:rsidRPr="0089692F">
              <w:rPr>
                <w:rtl/>
              </w:rPr>
              <w:t>السياسات والتشريعات</w:t>
            </w:r>
            <w:r>
              <w:rPr>
                <w:spacing w:val="60"/>
                <w:sz w:val="17"/>
                <w:rtl/>
              </w:rPr>
              <w:tab/>
            </w:r>
          </w:p>
        </w:tc>
        <w:tc>
          <w:tcPr>
            <w:tcW w:w="806" w:type="dxa"/>
            <w:shd w:val="clear" w:color="auto" w:fill="auto"/>
            <w:vAlign w:val="bottom"/>
          </w:tcPr>
          <w:p w:rsidR="009A2B93" w:rsidRPr="00A92827" w:rsidRDefault="00475FF1" w:rsidP="005C5805">
            <w:pPr>
              <w:spacing w:after="120"/>
              <w:jc w:val="right"/>
              <w:rPr>
                <w:rtl/>
              </w:rPr>
            </w:pPr>
            <w:r>
              <w:rPr>
                <w:rFonts w:hint="cs"/>
                <w:rtl/>
              </w:rPr>
              <w:t>96</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sidRPr="0089692F">
              <w:rPr>
                <w:rFonts w:hint="cs"/>
                <w:rtl/>
              </w:rPr>
              <w:tab/>
            </w:r>
            <w:r w:rsidRPr="0089692F">
              <w:rPr>
                <w:rFonts w:hint="cs"/>
                <w:rtl/>
              </w:rPr>
              <w:tab/>
            </w:r>
            <w:r w:rsidRPr="0089692F">
              <w:rPr>
                <w:rtl/>
              </w:rPr>
              <w:t>إمكانية الاستفادة من البنية الأساسية الريفية</w:t>
            </w:r>
            <w:r>
              <w:rPr>
                <w:spacing w:val="60"/>
                <w:sz w:val="17"/>
                <w:rtl/>
              </w:rPr>
              <w:tab/>
            </w:r>
          </w:p>
        </w:tc>
        <w:tc>
          <w:tcPr>
            <w:tcW w:w="806" w:type="dxa"/>
            <w:shd w:val="clear" w:color="auto" w:fill="auto"/>
            <w:vAlign w:val="bottom"/>
          </w:tcPr>
          <w:p w:rsidR="009A2B93" w:rsidRPr="00A92827" w:rsidRDefault="00475FF1" w:rsidP="005C5805">
            <w:pPr>
              <w:spacing w:after="120"/>
              <w:jc w:val="right"/>
              <w:rPr>
                <w:rtl/>
              </w:rPr>
            </w:pPr>
            <w:r>
              <w:rPr>
                <w:rFonts w:hint="cs"/>
                <w:rtl/>
              </w:rPr>
              <w:t>100</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sidRPr="0089692F">
              <w:tab/>
            </w:r>
            <w:r w:rsidRPr="0089692F">
              <w:tab/>
            </w:r>
            <w:r w:rsidRPr="0089692F">
              <w:rPr>
                <w:rFonts w:hint="cs"/>
                <w:rtl/>
              </w:rPr>
              <w:t>دعم الأنشطة الاقتصادية والأنشطة المدرّة للدخل التي تضطلع بها المرأة</w:t>
            </w:r>
            <w:r>
              <w:rPr>
                <w:spacing w:val="60"/>
                <w:sz w:val="17"/>
                <w:rtl/>
              </w:rPr>
              <w:tab/>
            </w:r>
          </w:p>
        </w:tc>
        <w:tc>
          <w:tcPr>
            <w:tcW w:w="806" w:type="dxa"/>
            <w:shd w:val="clear" w:color="auto" w:fill="auto"/>
            <w:vAlign w:val="bottom"/>
          </w:tcPr>
          <w:p w:rsidR="009A2B93" w:rsidRPr="00A92827" w:rsidRDefault="00475FF1" w:rsidP="005C5805">
            <w:pPr>
              <w:spacing w:after="120"/>
              <w:jc w:val="right"/>
              <w:rPr>
                <w:rtl/>
              </w:rPr>
            </w:pPr>
            <w:r>
              <w:rPr>
                <w:rFonts w:hint="cs"/>
                <w:rtl/>
              </w:rPr>
              <w:t>103</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Pr>
            </w:pPr>
            <w:r w:rsidRPr="0089692F">
              <w:rPr>
                <w:rFonts w:hint="cs"/>
                <w:rtl/>
              </w:rPr>
              <w:tab/>
            </w:r>
            <w:r w:rsidRPr="0089692F">
              <w:rPr>
                <w:rFonts w:hint="cs"/>
                <w:rtl/>
              </w:rPr>
              <w:tab/>
              <w:t>المادة 15: المساواة أمام القانون</w:t>
            </w:r>
            <w:r>
              <w:rPr>
                <w:spacing w:val="60"/>
                <w:sz w:val="17"/>
              </w:rPr>
              <w:tab/>
            </w:r>
          </w:p>
        </w:tc>
        <w:tc>
          <w:tcPr>
            <w:tcW w:w="806" w:type="dxa"/>
            <w:shd w:val="clear" w:color="auto" w:fill="auto"/>
            <w:vAlign w:val="bottom"/>
          </w:tcPr>
          <w:p w:rsidR="009A2B93" w:rsidRPr="00A92827" w:rsidRDefault="00475FF1" w:rsidP="005C5805">
            <w:pPr>
              <w:spacing w:after="120"/>
              <w:jc w:val="right"/>
              <w:rPr>
                <w:rtl/>
              </w:rPr>
            </w:pPr>
            <w:r>
              <w:rPr>
                <w:rFonts w:hint="cs"/>
                <w:rtl/>
              </w:rPr>
              <w:t>105</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right" w:leader="dot" w:pos="9029"/>
              </w:tabs>
              <w:spacing w:after="120"/>
              <w:jc w:val="left"/>
              <w:rPr>
                <w:rFonts w:hint="cs"/>
                <w:spacing w:val="60"/>
                <w:sz w:val="17"/>
              </w:rPr>
            </w:pPr>
            <w:r w:rsidRPr="0089692F">
              <w:rPr>
                <w:rFonts w:hint="cs"/>
                <w:rtl/>
              </w:rPr>
              <w:tab/>
            </w:r>
            <w:r w:rsidRPr="0089692F">
              <w:rPr>
                <w:rFonts w:hint="cs"/>
                <w:rtl/>
              </w:rPr>
              <w:tab/>
              <w:t>الأهلية القانونية</w:t>
            </w:r>
            <w:r>
              <w:rPr>
                <w:spacing w:val="60"/>
                <w:sz w:val="17"/>
              </w:rPr>
              <w:tab/>
            </w:r>
          </w:p>
        </w:tc>
        <w:tc>
          <w:tcPr>
            <w:tcW w:w="806" w:type="dxa"/>
            <w:shd w:val="clear" w:color="auto" w:fill="auto"/>
            <w:vAlign w:val="bottom"/>
          </w:tcPr>
          <w:p w:rsidR="009A2B93" w:rsidRPr="00A92827" w:rsidRDefault="00475FF1" w:rsidP="005C5805">
            <w:pPr>
              <w:spacing w:after="120"/>
              <w:jc w:val="right"/>
              <w:rPr>
                <w:rtl/>
              </w:rPr>
            </w:pPr>
            <w:r>
              <w:rPr>
                <w:rFonts w:hint="cs"/>
                <w:rtl/>
              </w:rPr>
              <w:t>105</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right" w:leader="dot" w:pos="9029"/>
              </w:tabs>
              <w:spacing w:after="120"/>
              <w:jc w:val="left"/>
              <w:rPr>
                <w:rFonts w:hint="cs"/>
                <w:spacing w:val="60"/>
                <w:sz w:val="17"/>
              </w:rPr>
            </w:pPr>
            <w:r w:rsidRPr="0089692F">
              <w:rPr>
                <w:rFonts w:hint="cs"/>
                <w:rtl/>
              </w:rPr>
              <w:tab/>
            </w:r>
            <w:r w:rsidRPr="0089692F">
              <w:rPr>
                <w:rFonts w:hint="cs"/>
                <w:rtl/>
              </w:rPr>
              <w:tab/>
              <w:t>إمكانية اللجوء إلى القضاء</w:t>
            </w:r>
            <w:r>
              <w:rPr>
                <w:spacing w:val="60"/>
                <w:sz w:val="17"/>
              </w:rPr>
              <w:tab/>
            </w:r>
          </w:p>
        </w:tc>
        <w:tc>
          <w:tcPr>
            <w:tcW w:w="806" w:type="dxa"/>
            <w:shd w:val="clear" w:color="auto" w:fill="auto"/>
            <w:vAlign w:val="bottom"/>
          </w:tcPr>
          <w:p w:rsidR="009A2B93" w:rsidRPr="00A92827" w:rsidRDefault="00475FF1" w:rsidP="005C5805">
            <w:pPr>
              <w:spacing w:after="120"/>
              <w:jc w:val="right"/>
              <w:rPr>
                <w:rtl/>
              </w:rPr>
            </w:pPr>
            <w:r>
              <w:rPr>
                <w:rFonts w:hint="cs"/>
                <w:rtl/>
              </w:rPr>
              <w:t>107</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Pr>
            </w:pPr>
            <w:r w:rsidRPr="0089692F">
              <w:rPr>
                <w:rFonts w:hint="cs"/>
                <w:rtl/>
              </w:rPr>
              <w:tab/>
            </w:r>
            <w:r w:rsidRPr="0089692F">
              <w:rPr>
                <w:rFonts w:hint="cs"/>
                <w:rtl/>
              </w:rPr>
              <w:tab/>
              <w:t>المادة 16: الزواج والحياة الأسرية</w:t>
            </w:r>
            <w:r>
              <w:rPr>
                <w:spacing w:val="60"/>
                <w:sz w:val="17"/>
              </w:rPr>
              <w:tab/>
            </w:r>
          </w:p>
        </w:tc>
        <w:tc>
          <w:tcPr>
            <w:tcW w:w="806" w:type="dxa"/>
            <w:shd w:val="clear" w:color="auto" w:fill="auto"/>
            <w:vAlign w:val="bottom"/>
          </w:tcPr>
          <w:p w:rsidR="009A2B93" w:rsidRPr="00A92827" w:rsidRDefault="00475FF1" w:rsidP="005C5805">
            <w:pPr>
              <w:spacing w:after="120"/>
              <w:jc w:val="right"/>
              <w:rPr>
                <w:rtl/>
              </w:rPr>
            </w:pPr>
            <w:r>
              <w:rPr>
                <w:rFonts w:hint="cs"/>
                <w:rtl/>
              </w:rPr>
              <w:t>107</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sidRPr="0089692F">
              <w:rPr>
                <w:rFonts w:hint="cs"/>
                <w:rtl/>
              </w:rPr>
              <w:tab/>
            </w:r>
            <w:r w:rsidRPr="0089692F">
              <w:rPr>
                <w:rFonts w:hint="cs"/>
                <w:rtl/>
              </w:rPr>
              <w:tab/>
              <w:t>الزواج التقليدي وتنظيمه في القانون المدني</w:t>
            </w:r>
            <w:r>
              <w:rPr>
                <w:spacing w:val="60"/>
                <w:sz w:val="17"/>
                <w:rtl/>
              </w:rPr>
              <w:tab/>
            </w:r>
          </w:p>
        </w:tc>
        <w:tc>
          <w:tcPr>
            <w:tcW w:w="806" w:type="dxa"/>
            <w:shd w:val="clear" w:color="auto" w:fill="auto"/>
            <w:vAlign w:val="bottom"/>
          </w:tcPr>
          <w:p w:rsidR="009A2B93" w:rsidRPr="00A92827" w:rsidRDefault="00475FF1" w:rsidP="005C5805">
            <w:pPr>
              <w:spacing w:after="120"/>
              <w:jc w:val="right"/>
              <w:rPr>
                <w:rtl/>
              </w:rPr>
            </w:pPr>
            <w:r>
              <w:rPr>
                <w:rFonts w:hint="cs"/>
                <w:rtl/>
              </w:rPr>
              <w:t>107</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Pr>
            </w:pPr>
            <w:r w:rsidRPr="0089692F">
              <w:rPr>
                <w:rFonts w:hint="cs"/>
                <w:rtl/>
              </w:rPr>
              <w:tab/>
            </w:r>
            <w:r w:rsidRPr="0089692F">
              <w:rPr>
                <w:rFonts w:hint="cs"/>
                <w:rtl/>
              </w:rPr>
              <w:tab/>
              <w:t>الأسرة والميراث وحقوق الملكية</w:t>
            </w:r>
            <w:r>
              <w:rPr>
                <w:spacing w:val="60"/>
                <w:sz w:val="17"/>
              </w:rPr>
              <w:tab/>
            </w:r>
          </w:p>
        </w:tc>
        <w:tc>
          <w:tcPr>
            <w:tcW w:w="806" w:type="dxa"/>
            <w:shd w:val="clear" w:color="auto" w:fill="auto"/>
            <w:vAlign w:val="bottom"/>
          </w:tcPr>
          <w:p w:rsidR="009A2B93" w:rsidRPr="00A92827" w:rsidRDefault="00475FF1" w:rsidP="005C5805">
            <w:pPr>
              <w:spacing w:after="120"/>
              <w:jc w:val="right"/>
              <w:rPr>
                <w:rtl/>
              </w:rPr>
            </w:pPr>
            <w:r>
              <w:rPr>
                <w:rFonts w:hint="cs"/>
                <w:rtl/>
              </w:rPr>
              <w:t>109</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right" w:leader="dot" w:pos="9029"/>
              </w:tabs>
              <w:spacing w:after="120"/>
              <w:jc w:val="left"/>
              <w:rPr>
                <w:rFonts w:hint="cs"/>
                <w:spacing w:val="60"/>
                <w:sz w:val="17"/>
                <w:rtl/>
              </w:rPr>
            </w:pPr>
            <w:r w:rsidRPr="0089692F">
              <w:rPr>
                <w:rFonts w:hint="cs"/>
                <w:rtl/>
              </w:rPr>
              <w:tab/>
            </w:r>
            <w:r w:rsidRPr="0089692F">
              <w:rPr>
                <w:rFonts w:hint="cs"/>
                <w:rtl/>
              </w:rPr>
              <w:tab/>
            </w:r>
            <w:r w:rsidRPr="0089692F">
              <w:rPr>
                <w:rtl/>
              </w:rPr>
              <w:t>اختيار الزوج</w:t>
            </w:r>
            <w:r>
              <w:rPr>
                <w:spacing w:val="60"/>
                <w:sz w:val="17"/>
                <w:rtl/>
              </w:rPr>
              <w:tab/>
            </w:r>
          </w:p>
        </w:tc>
        <w:tc>
          <w:tcPr>
            <w:tcW w:w="806" w:type="dxa"/>
            <w:shd w:val="clear" w:color="auto" w:fill="auto"/>
            <w:vAlign w:val="bottom"/>
          </w:tcPr>
          <w:p w:rsidR="009A2B93" w:rsidRPr="00A92827" w:rsidRDefault="00475FF1" w:rsidP="005C5805">
            <w:pPr>
              <w:spacing w:after="120"/>
              <w:jc w:val="right"/>
              <w:rPr>
                <w:rtl/>
              </w:rPr>
            </w:pPr>
            <w:r>
              <w:rPr>
                <w:rFonts w:hint="cs"/>
                <w:rtl/>
              </w:rPr>
              <w:t>111</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sidRPr="0089692F">
              <w:rPr>
                <w:rFonts w:hint="cs"/>
                <w:rtl/>
              </w:rPr>
              <w:tab/>
            </w:r>
            <w:r w:rsidRPr="0089692F">
              <w:rPr>
                <w:rFonts w:hint="cs"/>
                <w:rtl/>
              </w:rPr>
              <w:tab/>
            </w:r>
            <w:r w:rsidRPr="0089692F">
              <w:rPr>
                <w:rtl/>
              </w:rPr>
              <w:t>حقوق الزوجين ومسؤوليات</w:t>
            </w:r>
            <w:r w:rsidRPr="0089692F">
              <w:rPr>
                <w:rFonts w:hint="cs"/>
                <w:rtl/>
              </w:rPr>
              <w:t>هما</w:t>
            </w:r>
            <w:r>
              <w:rPr>
                <w:spacing w:val="60"/>
                <w:sz w:val="17"/>
                <w:rtl/>
              </w:rPr>
              <w:tab/>
            </w:r>
          </w:p>
        </w:tc>
        <w:tc>
          <w:tcPr>
            <w:tcW w:w="806" w:type="dxa"/>
            <w:shd w:val="clear" w:color="auto" w:fill="auto"/>
            <w:vAlign w:val="bottom"/>
          </w:tcPr>
          <w:p w:rsidR="009A2B93" w:rsidRPr="00A92827" w:rsidRDefault="00475FF1" w:rsidP="005C5805">
            <w:pPr>
              <w:spacing w:after="120"/>
              <w:jc w:val="right"/>
              <w:rPr>
                <w:rtl/>
              </w:rPr>
            </w:pPr>
            <w:r>
              <w:rPr>
                <w:rFonts w:hint="cs"/>
                <w:rtl/>
              </w:rPr>
              <w:t>111</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right" w:leader="dot" w:pos="9029"/>
              </w:tabs>
              <w:spacing w:after="120"/>
              <w:jc w:val="left"/>
              <w:rPr>
                <w:rFonts w:hint="cs"/>
                <w:spacing w:val="60"/>
                <w:sz w:val="17"/>
                <w:rtl/>
              </w:rPr>
            </w:pPr>
            <w:r w:rsidRPr="0089692F">
              <w:rPr>
                <w:rFonts w:hint="cs"/>
                <w:rtl/>
              </w:rPr>
              <w:tab/>
            </w:r>
            <w:r w:rsidRPr="0089692F">
              <w:rPr>
                <w:rFonts w:hint="cs"/>
                <w:rtl/>
              </w:rPr>
              <w:tab/>
              <w:t>ال</w:t>
            </w:r>
            <w:r w:rsidRPr="0089692F">
              <w:rPr>
                <w:rtl/>
              </w:rPr>
              <w:t>طلاق</w:t>
            </w:r>
            <w:r>
              <w:rPr>
                <w:spacing w:val="60"/>
                <w:sz w:val="17"/>
                <w:rtl/>
              </w:rPr>
              <w:tab/>
            </w:r>
          </w:p>
        </w:tc>
        <w:tc>
          <w:tcPr>
            <w:tcW w:w="806" w:type="dxa"/>
            <w:shd w:val="clear" w:color="auto" w:fill="auto"/>
            <w:vAlign w:val="bottom"/>
          </w:tcPr>
          <w:p w:rsidR="009A2B93" w:rsidRPr="00A92827" w:rsidRDefault="00475FF1" w:rsidP="005C5805">
            <w:pPr>
              <w:spacing w:after="120"/>
              <w:jc w:val="right"/>
              <w:rPr>
                <w:rtl/>
              </w:rPr>
            </w:pPr>
            <w:r>
              <w:rPr>
                <w:rFonts w:hint="cs"/>
                <w:rtl/>
              </w:rPr>
              <w:t>113</w:t>
            </w:r>
          </w:p>
        </w:tc>
      </w:tr>
      <w:tr w:rsidR="009A2B93" w:rsidRPr="00A92827" w:rsidTr="005C5805">
        <w:tblPrEx>
          <w:tblCellMar>
            <w:top w:w="0" w:type="dxa"/>
            <w:bottom w:w="0" w:type="dxa"/>
          </w:tblCellMar>
        </w:tblPrEx>
        <w:tc>
          <w:tcPr>
            <w:tcW w:w="9028" w:type="dxa"/>
            <w:gridSpan w:val="3"/>
            <w:shd w:val="clear" w:color="auto" w:fill="auto"/>
          </w:tcPr>
          <w:p w:rsidR="009A2B93" w:rsidRPr="009A2B93" w:rsidRDefault="009A2B93" w:rsidP="009A2B9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sidRPr="0089692F">
              <w:rPr>
                <w:rFonts w:hint="cs"/>
                <w:rtl/>
              </w:rPr>
              <w:tab/>
            </w:r>
            <w:r w:rsidRPr="0089692F">
              <w:rPr>
                <w:rFonts w:hint="cs"/>
                <w:rtl/>
              </w:rPr>
              <w:tab/>
            </w:r>
            <w:r w:rsidRPr="0089692F">
              <w:rPr>
                <w:rtl/>
              </w:rPr>
              <w:t xml:space="preserve">فترة الانتظار </w:t>
            </w:r>
            <w:r w:rsidRPr="0089692F">
              <w:rPr>
                <w:rFonts w:hint="cs"/>
                <w:rtl/>
              </w:rPr>
              <w:t xml:space="preserve">قبل </w:t>
            </w:r>
            <w:r w:rsidRPr="0089692F">
              <w:rPr>
                <w:rtl/>
              </w:rPr>
              <w:t xml:space="preserve">الزواج </w:t>
            </w:r>
            <w:r w:rsidRPr="0089692F">
              <w:rPr>
                <w:rFonts w:hint="cs"/>
                <w:rtl/>
              </w:rPr>
              <w:t>من جديد</w:t>
            </w:r>
            <w:r w:rsidRPr="0089692F">
              <w:rPr>
                <w:rtl/>
              </w:rPr>
              <w:t xml:space="preserve"> بعد الطلاق و</w:t>
            </w:r>
            <w:r w:rsidRPr="0089692F">
              <w:rPr>
                <w:rFonts w:hint="cs"/>
                <w:rtl/>
              </w:rPr>
              <w:t>و</w:t>
            </w:r>
            <w:r w:rsidRPr="0089692F">
              <w:rPr>
                <w:rtl/>
              </w:rPr>
              <w:t xml:space="preserve">فاة </w:t>
            </w:r>
            <w:r w:rsidRPr="0089692F">
              <w:rPr>
                <w:rFonts w:hint="cs"/>
                <w:rtl/>
              </w:rPr>
              <w:t>أحد الزوجين</w:t>
            </w:r>
            <w:r>
              <w:rPr>
                <w:spacing w:val="60"/>
                <w:sz w:val="17"/>
                <w:rtl/>
              </w:rPr>
              <w:tab/>
            </w:r>
          </w:p>
        </w:tc>
        <w:tc>
          <w:tcPr>
            <w:tcW w:w="806" w:type="dxa"/>
            <w:shd w:val="clear" w:color="auto" w:fill="auto"/>
            <w:vAlign w:val="bottom"/>
          </w:tcPr>
          <w:p w:rsidR="009A2B93" w:rsidRPr="00A92827" w:rsidRDefault="00475FF1" w:rsidP="005C5805">
            <w:pPr>
              <w:spacing w:after="120"/>
              <w:jc w:val="right"/>
              <w:rPr>
                <w:rtl/>
              </w:rPr>
            </w:pPr>
            <w:r>
              <w:rPr>
                <w:rFonts w:hint="cs"/>
                <w:rtl/>
              </w:rPr>
              <w:t>113</w:t>
            </w:r>
          </w:p>
        </w:tc>
      </w:tr>
    </w:tbl>
    <w:p w:rsidR="00A92827" w:rsidRDefault="00A92827" w:rsidP="00B574EE">
      <w:pPr>
        <w:pStyle w:val="SingleTxt"/>
        <w:tabs>
          <w:tab w:val="clear" w:pos="1267"/>
        </w:tabs>
        <w:rPr>
          <w:rtl/>
        </w:rPr>
      </w:pPr>
    </w:p>
    <w:p w:rsidR="00B574EE" w:rsidRDefault="00A92827" w:rsidP="00A9282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Pr>
          <w:rFonts w:hint="cs"/>
          <w:rtl/>
        </w:rPr>
        <w:tab/>
      </w:r>
      <w:r w:rsidR="00B574EE">
        <w:rPr>
          <w:rtl/>
        </w:rPr>
        <w:t>مقدمة</w:t>
      </w:r>
    </w:p>
    <w:p w:rsidR="00B574EE" w:rsidRDefault="00A92827" w:rsidP="00B574EE">
      <w:pPr>
        <w:pStyle w:val="SingleTxt"/>
        <w:tabs>
          <w:tab w:val="clear" w:pos="1267"/>
        </w:tabs>
        <w:rPr>
          <w:rtl/>
        </w:rPr>
      </w:pPr>
      <w:r>
        <w:rPr>
          <w:rFonts w:hint="cs"/>
          <w:rtl/>
        </w:rPr>
        <w:tab/>
      </w:r>
      <w:r w:rsidR="00B574EE">
        <w:rPr>
          <w:rtl/>
        </w:rPr>
        <w:t>هذا التقرير هو التقرير الجامع للتقريرين الدوريين الثاني والثالث المقدمين إلى اللجنة المعنية بالقضاء على التمييز ضد المرأة، بشأن تنفيذ أحكام اتفاقية القضاء على جميع أشكال التمييز ضد المرأة، كي تنظر فيه اللجنة. وقد قُدم التقرير الرسمي الأولي في عام 2008 ونظرت فيه اللجنة خلال دورتها الرابعة والأربعين المعقودة في 30 تموز/يوليه 2009.</w:t>
      </w:r>
    </w:p>
    <w:p w:rsidR="00B574EE" w:rsidRDefault="00A92827" w:rsidP="00B574EE">
      <w:pPr>
        <w:pStyle w:val="SingleTxt"/>
        <w:tabs>
          <w:tab w:val="clear" w:pos="1267"/>
        </w:tabs>
        <w:rPr>
          <w:rtl/>
        </w:rPr>
      </w:pPr>
      <w:r>
        <w:rPr>
          <w:rFonts w:hint="cs"/>
          <w:rtl/>
        </w:rPr>
        <w:tab/>
      </w:r>
      <w:r w:rsidR="00B574EE">
        <w:rPr>
          <w:rtl/>
        </w:rPr>
        <w:t xml:space="preserve">ويوفر التقرير الدوري معلومات عن الخطوات والتدابير القانونية وغيرها المتخذة من أجل تنفيذ الاتفاقية والملاحظات الختامية، وعن العقبات المتبقية أمام تمتع المرأة بحقوقها، خلال الفترة منذ نظر اللجنة في التقرير الأولي إلى الموعد المقرر لتقديم التقرير الدوري. وعلى هذا النحو، يغطي هذا التقرير الفترة من آب/أغسطس 2009 إلى أيار/مايو 2013. </w:t>
      </w:r>
    </w:p>
    <w:p w:rsidR="00B574EE" w:rsidRDefault="00A92827" w:rsidP="00B574EE">
      <w:pPr>
        <w:pStyle w:val="SingleTxt"/>
        <w:tabs>
          <w:tab w:val="clear" w:pos="1267"/>
        </w:tabs>
        <w:rPr>
          <w:rtl/>
        </w:rPr>
      </w:pPr>
      <w:r>
        <w:rPr>
          <w:rFonts w:hint="cs"/>
          <w:rtl/>
        </w:rPr>
        <w:tab/>
      </w:r>
      <w:r w:rsidR="00B574EE">
        <w:rPr>
          <w:rtl/>
        </w:rPr>
        <w:t>ويعرب وزير الدولة لتعزيز المساواة عن تقديره لدمج المعلومات العامة المتعلقة بإطار حماية وتعزيز حقوق الإنسان وعدم التمييز والمساواة في الوثيقة الأساسية الموحدة، بما في ذلك مسائل من قبيل تعزيز تكافؤ الفرص وعدم التمييز في التشريعات؛ والتشريعات التي تحظر العنف ضد المرأة، والمؤسسة أو المؤسسات التي تعمل بوصفها الآلية الوطنية للنهوض بالمرأة؛ والميزنة الجنسانية ونتائجها. ولكن نظرا لعدم توافر وثيقة أساسية موحدة ومستكملة في موعد تقديم التقرير، أدرجت جميع المعلومات ذات الصلة في هذه الوثيقة. ونتيجة لذلك، تعرب الحكومة عن أسفها لطول التقرير، إذ يتجاوز الـ 40</w:t>
      </w:r>
      <w:r w:rsidR="00163BC5">
        <w:t xml:space="preserve"> </w:t>
      </w:r>
      <w:r w:rsidR="00B574EE">
        <w:rPr>
          <w:rtl/>
        </w:rPr>
        <w:t xml:space="preserve">صفحة الموصى بها. </w:t>
      </w:r>
    </w:p>
    <w:p w:rsidR="00B574EE" w:rsidRDefault="00A92827" w:rsidP="00B574EE">
      <w:pPr>
        <w:pStyle w:val="SingleTxt"/>
        <w:tabs>
          <w:tab w:val="clear" w:pos="1267"/>
        </w:tabs>
        <w:rPr>
          <w:rtl/>
        </w:rPr>
      </w:pPr>
      <w:r>
        <w:rPr>
          <w:rFonts w:hint="cs"/>
          <w:rtl/>
        </w:rPr>
        <w:tab/>
      </w:r>
      <w:r w:rsidR="00B574EE">
        <w:rPr>
          <w:rtl/>
        </w:rPr>
        <w:t xml:space="preserve">وتأكيدا للفقرات المحددة التي تستجيب مباشرة للملاحظات الختامية، تقرر إبرازها باللون الرمادي. وعلاوة على ذلك، فمع تطور الإطار القانوني العام بدرجة كبيرة منذ التقرير الرسمي الأولي وقيام الدولة بإصدار عدد من المدونات والقوانين والسياسات، أرفقت بالتقرير مقتطفات من الأحكام ذات الصلة باللجنة. </w:t>
      </w:r>
    </w:p>
    <w:p w:rsidR="00B574EE" w:rsidRDefault="00A92827" w:rsidP="00B574EE">
      <w:pPr>
        <w:pStyle w:val="SingleTxt"/>
        <w:tabs>
          <w:tab w:val="clear" w:pos="1267"/>
        </w:tabs>
        <w:rPr>
          <w:rtl/>
        </w:rPr>
      </w:pPr>
      <w:r>
        <w:rPr>
          <w:rFonts w:hint="cs"/>
          <w:rtl/>
        </w:rPr>
        <w:tab/>
      </w:r>
      <w:r w:rsidR="00B574EE">
        <w:rPr>
          <w:rtl/>
        </w:rPr>
        <w:t xml:space="preserve">وقد أعد التقرير مكتب وزير الدولة لتعزيز المساواة بالتعاون الوثيق مع جميع المؤسسات الحكومية والمؤسسات الوطنية ذات الصلة مثل مكتب أمين المظالم لحقوق الإنسان والعدالة. وشارك المجتمع المدني أيضاً من خلال المساهمة في مختلف المشاورات. وتيسر إعداد التقرير بفضل تمويل الأنشطة (المشاورات والترجمة والطباعة) والمدخلات التقنية التعاونية التي قدمتها هيئة الأمم المتحدة للمرأة. </w:t>
      </w:r>
    </w:p>
    <w:p w:rsidR="00B574EE" w:rsidRDefault="00A92827" w:rsidP="005C580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Pr>
          <w:rFonts w:hint="cs"/>
          <w:rtl/>
        </w:rPr>
        <w:tab/>
      </w:r>
      <w:r w:rsidR="00B574EE">
        <w:rPr>
          <w:rtl/>
        </w:rPr>
        <w:t>النتائج الرئيسية</w:t>
      </w:r>
    </w:p>
    <w:p w:rsidR="00B574EE" w:rsidRDefault="00A92827" w:rsidP="00163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B574EE">
        <w:rPr>
          <w:rtl/>
        </w:rPr>
        <w:t>إمكانية اللجوء إلى القضاء</w:t>
      </w:r>
    </w:p>
    <w:p w:rsidR="00B574EE" w:rsidRPr="00A92827" w:rsidRDefault="00A92827" w:rsidP="00A9282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B574EE" w:rsidRPr="00A92827">
        <w:rPr>
          <w:rtl/>
        </w:rPr>
        <w:t xml:space="preserve">التطورات الإيجابية </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كان مكتب محامي المساعدة القضائية موجودا دائما في المقاطعات منذ عام 2009.</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قام مكتب محامي المساعدة القضائية في عام 2012 بوضع استراتيجية تواصل تتضمن التوعية والمنشورات ووسائط الإعلام وموقعا شبكيا لزيادة الإلمام بالنواحي القانونية والتوعية والمعرفة بالحق في إمكانية اللجوء إلى محامي مساعدة قضائية.</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توجد لدى هيئات المحكمة 4 محاكم متنقلة تغطي 13 مقاطعة للوصول إلى معظم المناطق النائية.</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يقوم مركز التدريب القانوني بتدريب العناصر القضائية الفاعلة في مجال اتفاقيات حقوق الإنسان.</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نظمت وزارة الدفاع حلقات دراسية كان موضوع إحداها اللجنة المعنية بالقضاء على التمييز ضد المرأة، لمسؤولي المحاكم وأعضاء النيابة العامة ومحاميي المساعدة القضائية منذ عام 2007.</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يتلقى مكتب أمين المظالم لحقوق الإنسان والعدالة شكاوى بشأن انتهاكات حقوق الإنسان وسوء الإدارة.</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نفذت وزارة العدل حملة لمحو الأمية القانونية على صعيد البلد.</w:t>
      </w:r>
    </w:p>
    <w:p w:rsidR="00A92827" w:rsidRPr="00A92827" w:rsidRDefault="00A92827" w:rsidP="00A92827">
      <w:pPr>
        <w:pStyle w:val="SingleTxt"/>
        <w:tabs>
          <w:tab w:val="clear" w:pos="1267"/>
        </w:tabs>
        <w:spacing w:after="0" w:line="120" w:lineRule="exact"/>
        <w:rPr>
          <w:sz w:val="10"/>
          <w:rtl/>
        </w:rPr>
      </w:pPr>
    </w:p>
    <w:p w:rsidR="00B574EE" w:rsidRPr="00A92827" w:rsidRDefault="00A92827" w:rsidP="00A9282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B574EE" w:rsidRPr="00A92827">
        <w:rPr>
          <w:rtl/>
        </w:rPr>
        <w:t xml:space="preserve">التحديات المستمرة </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كثرة القضايا قيد التحقيقات.</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التنسيق بين أعضاء النيابة العامة والشرطة الوطنية لتيمور </w:t>
      </w:r>
      <w:r w:rsidR="00793829">
        <w:rPr>
          <w:rFonts w:hint="cs"/>
          <w:rtl/>
        </w:rPr>
        <w:t>-</w:t>
      </w:r>
      <w:r w:rsidR="00B574EE">
        <w:rPr>
          <w:rtl/>
        </w:rPr>
        <w:t xml:space="preserve"> ليشتي.</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عدم وجود نظام فعال لتتبع القضايا.</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فهم الضحايا المحدود للإجراءات/الحقوق القانونية.</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حالات التأخير في إجراءات المحاكم.</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عدم وجود تفاصيل بشأن الشكاوى التي يتلقاها أمين المظالم لحقوق الإنسان</w:t>
      </w:r>
      <w:r w:rsidR="00793829">
        <w:rPr>
          <w:rFonts w:hint="cs"/>
          <w:rtl/>
        </w:rPr>
        <w:t> </w:t>
      </w:r>
      <w:r w:rsidR="00B574EE">
        <w:rPr>
          <w:rtl/>
        </w:rPr>
        <w:t>والعدالة.</w:t>
      </w:r>
    </w:p>
    <w:p w:rsidR="00A92827" w:rsidRPr="00A92827" w:rsidRDefault="00A92827" w:rsidP="00A92827">
      <w:pPr>
        <w:pStyle w:val="SingleTxt"/>
        <w:tabs>
          <w:tab w:val="clear" w:pos="1267"/>
        </w:tabs>
        <w:spacing w:after="0" w:line="120" w:lineRule="exact"/>
        <w:rPr>
          <w:rFonts w:hint="cs"/>
          <w:sz w:val="10"/>
          <w:rtl/>
        </w:rPr>
      </w:pPr>
    </w:p>
    <w:p w:rsidR="00B574EE" w:rsidRDefault="00A92827" w:rsidP="00163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B574EE">
        <w:rPr>
          <w:rtl/>
        </w:rPr>
        <w:t xml:space="preserve">العنف ضد المرأة </w:t>
      </w:r>
    </w:p>
    <w:p w:rsidR="00B574EE" w:rsidRPr="00A92827" w:rsidRDefault="00A92827" w:rsidP="00A9282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B574EE" w:rsidRPr="00A92827">
        <w:rPr>
          <w:rtl/>
        </w:rPr>
        <w:t xml:space="preserve">التطورات الإيجابية </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اعتبر قانون مكافحة العنف العائلي رقم 7/2010 أي شكل من أشكال العنف العائلي جريمة عامة يتعين النظر فيها من خلال نظام العدالة الرسمي.</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يغطي قانون مكافحة العنف العائلي الاغتصاب الزوجي من خلال حكم بشأن العنف الجنسي </w:t>
      </w:r>
      <w:r>
        <w:rPr>
          <w:rFonts w:hint="cs"/>
          <w:rtl/>
        </w:rPr>
        <w:t>”</w:t>
      </w:r>
      <w:r w:rsidR="00B574EE">
        <w:rPr>
          <w:rtl/>
        </w:rPr>
        <w:t>حتى في إطار الزواج</w:t>
      </w:r>
      <w:r>
        <w:rPr>
          <w:rFonts w:hint="cs"/>
          <w:rtl/>
        </w:rPr>
        <w:t>“</w:t>
      </w:r>
      <w:r w:rsidR="00B574EE">
        <w:rPr>
          <w:rtl/>
        </w:rPr>
        <w:t>.</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نشر القانون في جميع المقاطعات مع استهداف السلطات المحلية ورؤساء القرى وشيوخ القبائل والمجتمعات المحلية والجامعات.</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أجيزت خطة العمل الوطنية المعنية بالعنف القائم على نوع الجنس للفترة </w:t>
      </w:r>
      <w:r w:rsidR="00793829">
        <w:rPr>
          <w:rFonts w:hint="cs"/>
          <w:rtl/>
        </w:rPr>
        <w:br/>
      </w:r>
      <w:r w:rsidR="00B574EE">
        <w:rPr>
          <w:rtl/>
        </w:rPr>
        <w:t>2012-2014 بما في ذلك إطار للرصد والتقييم وتقدير تكاليف الرصد والتقييم.</w:t>
      </w:r>
    </w:p>
    <w:p w:rsidR="00B574EE" w:rsidRDefault="00A92827" w:rsidP="00163B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وقع وزير الدولة لتعزيز المساواة عدة مذكرات تفاهم مع تليفزيون تيمور </w:t>
      </w:r>
      <w:r w:rsidR="00793829">
        <w:rPr>
          <w:rFonts w:hint="cs"/>
          <w:rtl/>
        </w:rPr>
        <w:t>-</w:t>
      </w:r>
      <w:r w:rsidR="00B574EE">
        <w:rPr>
          <w:rtl/>
        </w:rPr>
        <w:t xml:space="preserve"> ليشتي ومركز تيمور </w:t>
      </w:r>
      <w:r w:rsidR="00793829">
        <w:rPr>
          <w:rFonts w:hint="cs"/>
          <w:rtl/>
        </w:rPr>
        <w:t>-</w:t>
      </w:r>
      <w:r w:rsidR="00B574EE">
        <w:rPr>
          <w:rtl/>
        </w:rPr>
        <w:t xml:space="preserve"> ليشتي للتطوير الإعلامي للبرامج المعنية بالتليفزيون والإذاعة المحلية بشأن مواضيع المساواة بين الجنسين بما في ذلك العنف ضد المرأة.</w:t>
      </w:r>
    </w:p>
    <w:p w:rsidR="00A92827" w:rsidRPr="00A92827" w:rsidRDefault="00A92827" w:rsidP="00A92827">
      <w:pPr>
        <w:pStyle w:val="SingleTxt"/>
        <w:tabs>
          <w:tab w:val="clear" w:pos="1267"/>
        </w:tabs>
        <w:spacing w:after="0" w:line="120" w:lineRule="exact"/>
        <w:rPr>
          <w:rFonts w:hint="cs"/>
          <w:sz w:val="10"/>
          <w:rtl/>
        </w:rPr>
      </w:pPr>
    </w:p>
    <w:p w:rsidR="00B574EE" w:rsidRPr="00A92827" w:rsidRDefault="00A92827" w:rsidP="00A9282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A92827">
        <w:rPr>
          <w:rFonts w:hint="cs"/>
          <w:rtl/>
        </w:rPr>
        <w:tab/>
      </w:r>
      <w:r w:rsidR="00B574EE" w:rsidRPr="00A92827">
        <w:rPr>
          <w:rtl/>
        </w:rPr>
        <w:t xml:space="preserve">التحديات المستمرة </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عدم وجود نظام منسق لجمع البيانات المتعلقة بالعنف الجنساني بين الحكومة والمنظمات غير الحكومية.</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أجيز قانون حماية الشهود في عام 2009 ولكن لم يبدأ العمل به بعد.</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يؤثر تناوب ضباط الشرطة التابعين لوحدة الأشخاص المعرضين للمخاطر على استمرار التدريب في مجال خدمات الضحايا والتحقيقات المتعلقة بالعنف الجنساني.</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الإحجام عن إبلاغ الحالات إلى الشرطة.</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عدم معرفة قادة المجتمعات المحلية بقانون مكافحة العنف العائلي.</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استمرار تفضيل العدالة التقليدية.</w:t>
      </w:r>
    </w:p>
    <w:p w:rsidR="00A92827" w:rsidRPr="00A92827" w:rsidRDefault="00A92827" w:rsidP="00A92827">
      <w:pPr>
        <w:pStyle w:val="SingleTxt"/>
        <w:tabs>
          <w:tab w:val="clear" w:pos="1267"/>
        </w:tabs>
        <w:spacing w:after="0" w:line="120" w:lineRule="exact"/>
        <w:rPr>
          <w:sz w:val="10"/>
          <w:rtl/>
        </w:rPr>
      </w:pPr>
    </w:p>
    <w:p w:rsidR="00B574EE" w:rsidRDefault="00A92827" w:rsidP="00163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63BC5">
        <w:tab/>
      </w:r>
      <w:r w:rsidR="00B574EE">
        <w:rPr>
          <w:rtl/>
        </w:rPr>
        <w:t>التعليم</w:t>
      </w:r>
    </w:p>
    <w:p w:rsidR="00B574EE" w:rsidRPr="00A92827" w:rsidRDefault="00A92827" w:rsidP="00A9282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B574EE" w:rsidRPr="00A92827">
        <w:rPr>
          <w:rtl/>
        </w:rPr>
        <w:t>التطورات الإيجابية</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تنفيذ برنامج </w:t>
      </w:r>
      <w:r w:rsidR="00B574EE">
        <w:t>Bolsa da Mae</w:t>
      </w:r>
      <w:r w:rsidR="00B574EE">
        <w:rPr>
          <w:rtl/>
        </w:rPr>
        <w:t xml:space="preserve"> في 13 مقاطعة واستفادة 000 14 شخص منه في عام</w:t>
      </w:r>
      <w:r w:rsidR="00793829">
        <w:rPr>
          <w:rFonts w:hint="cs"/>
          <w:rtl/>
        </w:rPr>
        <w:t> </w:t>
      </w:r>
      <w:r w:rsidR="00B574EE">
        <w:rPr>
          <w:rtl/>
        </w:rPr>
        <w:t xml:space="preserve">2012. </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بلغت نسبة قيد الأطفال في عمر التعليم في التعليم الأساسي 90 في المائة، مع بلوغ نسبة قيد الفتيات 48 في المائة في عام 2011. </w:t>
      </w:r>
    </w:p>
    <w:p w:rsidR="00B574EE" w:rsidRDefault="00A92827" w:rsidP="00163B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بلغ عدد حالات القيد في مدارس التعليم الإعدادي 698 30 حالة للذكور (50.5</w:t>
      </w:r>
      <w:r w:rsidR="00793829">
        <w:rPr>
          <w:rFonts w:hint="cs"/>
          <w:rtl/>
        </w:rPr>
        <w:t> </w:t>
      </w:r>
      <w:r w:rsidR="00B574EE">
        <w:rPr>
          <w:rtl/>
        </w:rPr>
        <w:t xml:space="preserve">في المائة) و 269 30 </w:t>
      </w:r>
      <w:r w:rsidR="00163BC5">
        <w:rPr>
          <w:rtl/>
        </w:rPr>
        <w:t xml:space="preserve">حالة للإناث </w:t>
      </w:r>
      <w:r w:rsidR="00B574EE">
        <w:rPr>
          <w:rtl/>
        </w:rPr>
        <w:t xml:space="preserve">(49.5 في المائة) في الفترة </w:t>
      </w:r>
      <w:r w:rsidR="00793829">
        <w:rPr>
          <w:rFonts w:hint="cs"/>
          <w:rtl/>
        </w:rPr>
        <w:br/>
      </w:r>
      <w:r w:rsidR="00B574EE">
        <w:rPr>
          <w:rtl/>
        </w:rPr>
        <w:t>2011-2012.</w:t>
      </w:r>
    </w:p>
    <w:p w:rsidR="00B574EE" w:rsidRDefault="00A92827" w:rsidP="00163B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بلغ عدد حالات القيد في مدارس التعليم الثانوي والتقني 603 20 حال</w:t>
      </w:r>
      <w:r w:rsidR="00163BC5">
        <w:rPr>
          <w:rFonts w:hint="cs"/>
          <w:rtl/>
        </w:rPr>
        <w:t>ات</w:t>
      </w:r>
      <w:r w:rsidR="00B574EE">
        <w:rPr>
          <w:rtl/>
        </w:rPr>
        <w:t xml:space="preserve"> للذكور</w:t>
      </w:r>
      <w:r w:rsidR="00793829">
        <w:rPr>
          <w:rFonts w:hint="cs"/>
          <w:rtl/>
        </w:rPr>
        <w:t> </w:t>
      </w:r>
      <w:r w:rsidR="00B574EE">
        <w:rPr>
          <w:rtl/>
        </w:rPr>
        <w:t xml:space="preserve">(49.4 في المائة) و 107 21 </w:t>
      </w:r>
      <w:r w:rsidR="00163BC5">
        <w:rPr>
          <w:rtl/>
        </w:rPr>
        <w:t>حال</w:t>
      </w:r>
      <w:r w:rsidR="00163BC5">
        <w:rPr>
          <w:rFonts w:hint="cs"/>
          <w:rtl/>
        </w:rPr>
        <w:t>ات</w:t>
      </w:r>
      <w:r w:rsidR="00163BC5">
        <w:rPr>
          <w:rtl/>
        </w:rPr>
        <w:t xml:space="preserve"> للإناث </w:t>
      </w:r>
      <w:r w:rsidR="00B574EE">
        <w:rPr>
          <w:rtl/>
        </w:rPr>
        <w:t>(50.6 في المائة) في الفترة 2011-2012.</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بلغ عدد الأشخاص الذين حصلوا على شهادات محو الأمية في إطار الحملة الوطنية</w:t>
      </w:r>
      <w:r w:rsidR="00793829">
        <w:rPr>
          <w:rFonts w:hint="cs"/>
          <w:rtl/>
        </w:rPr>
        <w:t> </w:t>
      </w:r>
      <w:r w:rsidR="00B574EE">
        <w:rPr>
          <w:rtl/>
        </w:rPr>
        <w:t xml:space="preserve">لمحو الأمية </w:t>
      </w:r>
      <w:r w:rsidR="00793829">
        <w:rPr>
          <w:rFonts w:hint="cs"/>
          <w:rtl/>
        </w:rPr>
        <w:t xml:space="preserve">463 204 </w:t>
      </w:r>
      <w:r w:rsidR="00793829">
        <w:rPr>
          <w:rFonts w:hint="eastAsia"/>
          <w:rtl/>
        </w:rPr>
        <w:t>”</w:t>
      </w:r>
      <w:r w:rsidR="00793829" w:rsidRPr="00793829">
        <w:t>Sim Eu Posso</w:t>
      </w:r>
      <w:r w:rsidR="00793829">
        <w:rPr>
          <w:rFonts w:hint="cs"/>
          <w:rtl/>
        </w:rPr>
        <w:t>“</w:t>
      </w:r>
      <w:r w:rsidR="00B574EE">
        <w:rPr>
          <w:rtl/>
        </w:rPr>
        <w:t xml:space="preserve"> شخصا، تقدر نسبة الإناث فيهم بـ</w:t>
      </w:r>
      <w:r w:rsidR="00793829">
        <w:rPr>
          <w:rFonts w:hint="cs"/>
          <w:rtl/>
        </w:rPr>
        <w:t xml:space="preserve"> </w:t>
      </w:r>
      <w:r w:rsidR="00B574EE">
        <w:rPr>
          <w:rtl/>
        </w:rPr>
        <w:t xml:space="preserve">65 في المائة في الفترة 2011-2012. </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بلغ عدد المنح الدراسية للدراسة في الخارج 658 منحة، كان 37 في المائة منها للإناث في الفترة 2010-2013. </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تغطي سياسة </w:t>
      </w:r>
      <w:r w:rsidR="00793829">
        <w:rPr>
          <w:rFonts w:hint="cs"/>
          <w:rtl/>
        </w:rPr>
        <w:t>”</w:t>
      </w:r>
      <w:r w:rsidR="00B574EE">
        <w:rPr>
          <w:rtl/>
        </w:rPr>
        <w:t>عدم التسامح مطلقا</w:t>
      </w:r>
      <w:r w:rsidR="00793829">
        <w:rPr>
          <w:rFonts w:hint="cs"/>
          <w:rtl/>
        </w:rPr>
        <w:t>“</w:t>
      </w:r>
      <w:r w:rsidR="00B574EE">
        <w:rPr>
          <w:rtl/>
        </w:rPr>
        <w:t xml:space="preserve"> العنف الجنسي والعقاب البدني وغيره من أشكال العنف في المدارس. </w:t>
      </w:r>
    </w:p>
    <w:p w:rsidR="00A92827" w:rsidRPr="00A92827" w:rsidRDefault="00A92827" w:rsidP="00A92827">
      <w:pPr>
        <w:pStyle w:val="SingleTxt"/>
        <w:tabs>
          <w:tab w:val="clear" w:pos="1267"/>
        </w:tabs>
        <w:spacing w:after="0" w:line="120" w:lineRule="exact"/>
        <w:rPr>
          <w:rFonts w:hint="cs"/>
          <w:sz w:val="10"/>
          <w:rtl/>
        </w:rPr>
      </w:pPr>
    </w:p>
    <w:p w:rsidR="00B574EE" w:rsidRPr="00A92827" w:rsidRDefault="00A92827" w:rsidP="00A9282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A92827">
        <w:rPr>
          <w:rFonts w:hint="cs"/>
          <w:rtl/>
        </w:rPr>
        <w:tab/>
      </w:r>
      <w:r w:rsidR="00B574EE" w:rsidRPr="00A92827">
        <w:rPr>
          <w:rtl/>
        </w:rPr>
        <w:t>التحديات المتبقية</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Pr>
          <w:rFonts w:hint="cs"/>
          <w:rtl/>
        </w:rPr>
        <w:tab/>
      </w:r>
      <w:r w:rsidR="00B574EE">
        <w:rPr>
          <w:rtl/>
        </w:rPr>
        <w:t>•</w:t>
      </w:r>
      <w:r w:rsidR="00B574EE">
        <w:rPr>
          <w:rtl/>
        </w:rPr>
        <w:tab/>
        <w:t xml:space="preserve">تتصل حالات تسرب الفتيات من المدارس بحدوث حمل غير مقصود والرسوب في الامتحانات النهائية والمرض والمعتقدات التقليدية فيما يتعلق بتعليم الفتيات وأحيانا بسبب العنف الجنسي. </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عدم قيام الحكومة حتى الآن باعتماد سياسة رسمية لإعادة القيد. </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أبلغت إلى المفتش العام المسؤول عن التعليم 9 حالات تتعلق بالعنف الجنسي في الفترة 2011-2012، جرت تسوية 5 منها بالآليات التقليدية، و 4 من خلال</w:t>
      </w:r>
      <w:r w:rsidR="00793829">
        <w:rPr>
          <w:rFonts w:hint="cs"/>
          <w:rtl/>
        </w:rPr>
        <w:t> </w:t>
      </w:r>
      <w:r w:rsidR="00B574EE">
        <w:rPr>
          <w:rtl/>
        </w:rPr>
        <w:t xml:space="preserve">المحكمة. </w:t>
      </w:r>
    </w:p>
    <w:p w:rsidR="00B574EE" w:rsidRDefault="00A92827" w:rsidP="00163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B574EE">
        <w:rPr>
          <w:rtl/>
        </w:rPr>
        <w:t>الصحة</w:t>
      </w:r>
    </w:p>
    <w:p w:rsidR="00B574EE" w:rsidRPr="00A92827" w:rsidRDefault="00A92827" w:rsidP="00A9282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B574EE" w:rsidRPr="00A92827">
        <w:rPr>
          <w:rtl/>
        </w:rPr>
        <w:t>التطورات الإيجابية</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تمثل صحة الأم والطفل أولويات وطنية في الخطة الاستراتيجية الوطنية لقطاع الصحة للفترة 2011-2030. </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نقحت الاستراتيجية الوطنية للصحة الإنجابية لتصبح استراتيجية شاملة لصحة الأم/الوليد/الطفل.</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بني 46 مركزا للأمومة والصحة لتحسين صحة الأم والصحة الإنجابية في الفترة 2007-2012 </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أنشئت كلية للتمريض والقابلات في جامعة تيمور </w:t>
      </w:r>
      <w:r w:rsidR="00793829">
        <w:rPr>
          <w:rFonts w:hint="cs"/>
          <w:rtl/>
        </w:rPr>
        <w:t>-</w:t>
      </w:r>
      <w:r w:rsidR="00B574EE">
        <w:rPr>
          <w:rtl/>
        </w:rPr>
        <w:t xml:space="preserve"> ليشتي الوطنية في عام 2010. </w:t>
      </w:r>
    </w:p>
    <w:p w:rsidR="00B574EE" w:rsidRDefault="00A92827"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بلغت نسبة النساء اللاتي تلقين رعاية قبل الولادة 86 في المائة في الفترة </w:t>
      </w:r>
      <w:r w:rsidR="00793829">
        <w:rPr>
          <w:rFonts w:hint="cs"/>
          <w:rtl/>
        </w:rPr>
        <w:br/>
      </w:r>
      <w:r w:rsidR="00B574EE">
        <w:rPr>
          <w:rtl/>
        </w:rPr>
        <w:t xml:space="preserve">2009-2010. </w:t>
      </w:r>
    </w:p>
    <w:p w:rsidR="00B574EE" w:rsidRDefault="0085592A"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بلغت نسبة النساء اللاتي تلقين رعاية بعد الولادة 46.7 في المائة في عام 2012. </w:t>
      </w:r>
    </w:p>
    <w:p w:rsidR="00B574EE" w:rsidRDefault="0085592A"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طورت مناهج التعليم المتعلقة بالصحة الجنسية والإنجابية للمراهقين في مرحلتي التعليم الإعدادية والثانوية. </w:t>
      </w:r>
    </w:p>
    <w:p w:rsidR="0085592A" w:rsidRPr="0085592A" w:rsidRDefault="0085592A" w:rsidP="0085592A">
      <w:pPr>
        <w:pStyle w:val="SingleTxt"/>
        <w:tabs>
          <w:tab w:val="clear" w:pos="1267"/>
        </w:tabs>
        <w:spacing w:after="0" w:line="120" w:lineRule="exact"/>
        <w:rPr>
          <w:rFonts w:hint="cs"/>
          <w:sz w:val="10"/>
          <w:rtl/>
        </w:rPr>
      </w:pPr>
    </w:p>
    <w:p w:rsidR="00B574EE" w:rsidRPr="0085592A" w:rsidRDefault="0085592A" w:rsidP="0085592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85592A">
        <w:rPr>
          <w:rFonts w:hint="cs"/>
          <w:rtl/>
        </w:rPr>
        <w:tab/>
      </w:r>
      <w:r w:rsidR="00B574EE" w:rsidRPr="0085592A">
        <w:rPr>
          <w:rtl/>
        </w:rPr>
        <w:t>التحديات المتبقية</w:t>
      </w:r>
    </w:p>
    <w:p w:rsidR="00B574EE" w:rsidRDefault="0085592A" w:rsidP="00163B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لا تزال معدلات الخصوبة في تيمور </w:t>
      </w:r>
      <w:r w:rsidR="00793829">
        <w:rPr>
          <w:rFonts w:hint="cs"/>
          <w:rtl/>
        </w:rPr>
        <w:t>-</w:t>
      </w:r>
      <w:r w:rsidR="00B574EE">
        <w:rPr>
          <w:rtl/>
        </w:rPr>
        <w:t xml:space="preserve"> ليشتي من أعلى المعدلات في المنطقة، إذ تبلغ 5.7 </w:t>
      </w:r>
      <w:r w:rsidR="00163BC5">
        <w:rPr>
          <w:rFonts w:hint="cs"/>
          <w:rtl/>
        </w:rPr>
        <w:t>أطفال</w:t>
      </w:r>
      <w:r w:rsidR="00B574EE">
        <w:rPr>
          <w:rtl/>
        </w:rPr>
        <w:t xml:space="preserve"> لكل امرأة. </w:t>
      </w:r>
    </w:p>
    <w:p w:rsidR="00B574EE" w:rsidRDefault="0085592A"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لا تزال معدلات الوفيات النفاسية في تيمور </w:t>
      </w:r>
      <w:r w:rsidR="00793829">
        <w:rPr>
          <w:rFonts w:hint="cs"/>
          <w:rtl/>
        </w:rPr>
        <w:t>-</w:t>
      </w:r>
      <w:r w:rsidR="00B574EE">
        <w:rPr>
          <w:rtl/>
        </w:rPr>
        <w:t xml:space="preserve"> ليشتي من أعلى المعدلات في المنطقة، ببلوغها 557 حالة وفاة لكل 000 100 ولادة.</w:t>
      </w:r>
    </w:p>
    <w:p w:rsidR="00B574EE" w:rsidRDefault="0085592A"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تقتصر نسبة النساء اللاتي حصلن على مساعدة متخصصة من طبيب أو ممرضة أو</w:t>
      </w:r>
      <w:r w:rsidR="00793829">
        <w:rPr>
          <w:rFonts w:hint="cs"/>
          <w:rtl/>
        </w:rPr>
        <w:t> </w:t>
      </w:r>
      <w:r w:rsidR="00B574EE">
        <w:rPr>
          <w:rtl/>
        </w:rPr>
        <w:t>قابلة على 59 في المائة.</w:t>
      </w:r>
    </w:p>
    <w:p w:rsidR="00B574EE" w:rsidRDefault="0085592A"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تقتصر نسبة المتزوجات اللاتي يستخدمن وسيلة حديثة لتنظيم الأسرة على 26</w:t>
      </w:r>
      <w:r w:rsidR="00793829">
        <w:rPr>
          <w:rFonts w:hint="cs"/>
          <w:rtl/>
        </w:rPr>
        <w:t> </w:t>
      </w:r>
      <w:r w:rsidR="00B574EE">
        <w:rPr>
          <w:rtl/>
        </w:rPr>
        <w:t>في</w:t>
      </w:r>
      <w:r w:rsidR="00793829">
        <w:rPr>
          <w:rFonts w:hint="cs"/>
          <w:rtl/>
        </w:rPr>
        <w:t> </w:t>
      </w:r>
      <w:r w:rsidR="00B574EE">
        <w:rPr>
          <w:rtl/>
        </w:rPr>
        <w:t xml:space="preserve">المائة في عامي 2011 و 2012. </w:t>
      </w:r>
    </w:p>
    <w:p w:rsidR="00B574EE" w:rsidRDefault="0085592A"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تقتصر نسبة الاحتياجات الملباة في مجال تنظيم الأسرة من حيث المباعدة بين الولادات أو الحد منها على 42 في المائة. </w:t>
      </w:r>
    </w:p>
    <w:p w:rsidR="0085592A" w:rsidRPr="0085592A" w:rsidRDefault="0085592A" w:rsidP="0085592A">
      <w:pPr>
        <w:pStyle w:val="SingleTxt"/>
        <w:tabs>
          <w:tab w:val="clear" w:pos="1267"/>
        </w:tabs>
        <w:spacing w:after="0" w:line="120" w:lineRule="exact"/>
        <w:rPr>
          <w:rFonts w:hint="cs"/>
          <w:sz w:val="10"/>
          <w:rtl/>
        </w:rPr>
      </w:pPr>
    </w:p>
    <w:p w:rsidR="00B574EE" w:rsidRDefault="0085592A" w:rsidP="0085592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B574EE">
        <w:rPr>
          <w:rtl/>
        </w:rPr>
        <w:t xml:space="preserve">العمالة </w:t>
      </w:r>
    </w:p>
    <w:p w:rsidR="00B574EE" w:rsidRPr="0085592A" w:rsidRDefault="0085592A" w:rsidP="0085592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B574EE" w:rsidRPr="0085592A">
        <w:rPr>
          <w:rtl/>
        </w:rPr>
        <w:t xml:space="preserve">التطورات الإيجابية </w:t>
      </w:r>
    </w:p>
    <w:p w:rsidR="00B574EE" w:rsidRDefault="0085592A"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يغطي قانون العمل الجديد الذي أجيز في شباط/فبراير 2012 مسائل المساواة في الفرص والمعاملة في الحصول على العمل والتدريب المهني والتطوير المهني وظروف العمل والأجر. وهو يغطي أيضاً عدم التمييز في التوظيف ويحظر التحرش اللفظي وغير اللفظي والجسدي والجنسي.</w:t>
      </w:r>
    </w:p>
    <w:p w:rsidR="00B574EE" w:rsidRDefault="0085592A"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وضع استراتيجية جنسانية للقطاع الخاص من أجل تعزيز التعاون فيما بين أصحاب المصلحة الرئيسيين، مع مراعاة الفوارق بين الجنسين والشواغل المتعلقة بالمسائل الجنسانية، والاستجابة لاحتياجات منظمي المشاريع المتناهية الصغر والصغيرة والمتوسطة الحجم. </w:t>
      </w:r>
    </w:p>
    <w:p w:rsidR="00B574EE" w:rsidRDefault="0085592A"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شكلت النساء في عام 2012 نسبة 49 في المائة من مجموع عميلات معهد دعم تنمية الأعمال التجارية، وكن يحصلن على دعم في مجال ت</w:t>
      </w:r>
      <w:r>
        <w:rPr>
          <w:rtl/>
        </w:rPr>
        <w:t>خطيط الأعمال التجارية</w:t>
      </w:r>
      <w:r w:rsidR="00793829">
        <w:rPr>
          <w:rFonts w:hint="cs"/>
          <w:rtl/>
        </w:rPr>
        <w:t> </w:t>
      </w:r>
      <w:r>
        <w:rPr>
          <w:rtl/>
        </w:rPr>
        <w:t>وتمويلها.</w:t>
      </w:r>
    </w:p>
    <w:p w:rsidR="00B574EE" w:rsidRDefault="0085592A" w:rsidP="00163B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من بين النساء غير النشطات اقتصاديا بصفة أساسية (النساء المصنفة مثلا في فئة ربات البيوت)، شكلت النساء اللاتي يسهمن بدرجة ما في الاقتصاد من خلال الزراعة أو الحرف اليدوية نسبة 42 في المائة. </w:t>
      </w:r>
    </w:p>
    <w:p w:rsidR="0085592A" w:rsidRPr="0085592A" w:rsidRDefault="0085592A" w:rsidP="0085592A">
      <w:pPr>
        <w:pStyle w:val="SingleTxt"/>
        <w:tabs>
          <w:tab w:val="clear" w:pos="1267"/>
        </w:tabs>
        <w:spacing w:after="0" w:line="120" w:lineRule="exact"/>
        <w:rPr>
          <w:sz w:val="10"/>
          <w:rtl/>
        </w:rPr>
      </w:pPr>
    </w:p>
    <w:p w:rsidR="00B574EE" w:rsidRPr="0085592A" w:rsidRDefault="0085592A" w:rsidP="0085592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B574EE" w:rsidRPr="0085592A">
        <w:rPr>
          <w:rtl/>
        </w:rPr>
        <w:t xml:space="preserve">التحديات المتبقية </w:t>
      </w:r>
    </w:p>
    <w:p w:rsidR="00B574EE" w:rsidRDefault="0085592A"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يبلغ عدد الرجال العاملين (54 في المائة) ضعف عدد النساء العاملات (26</w:t>
      </w:r>
      <w:r>
        <w:rPr>
          <w:rFonts w:hint="cs"/>
          <w:rtl/>
        </w:rPr>
        <w:t> </w:t>
      </w:r>
      <w:r w:rsidR="00B574EE">
        <w:rPr>
          <w:rtl/>
        </w:rPr>
        <w:t xml:space="preserve">في المائة) في عام 2010. </w:t>
      </w:r>
    </w:p>
    <w:p w:rsidR="00B574EE" w:rsidRDefault="0085592A"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لا تشارك غالبية النساء (72 في المائة) على الإطلاق في القوة العاملة، مقارنة بنسبة 43 في المائة للرجال في عام 2010. وبلغت نسبة اللاتي ذكرن أن الواجبات الأسرية هي السبب الرئيسي في انعدام النشاط الاقتصادي 35 في المائة. ومع ذلك، لا تزال نسبة مشاركة النساء بدون أطفال في القوة العاملة أقل من نسبة مشاركة</w:t>
      </w:r>
      <w:r w:rsidR="00793829">
        <w:rPr>
          <w:rFonts w:hint="cs"/>
          <w:rtl/>
        </w:rPr>
        <w:t> </w:t>
      </w:r>
      <w:r w:rsidR="00B574EE">
        <w:rPr>
          <w:rtl/>
        </w:rPr>
        <w:t xml:space="preserve">الرجال. </w:t>
      </w:r>
    </w:p>
    <w:p w:rsidR="00B574EE" w:rsidRDefault="0085592A"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للوصول إلى منصب مدير، يتعين أن تبلغ نسبة إتمام التعليم الثانوي أو التقني أو المهني 75 في المائة للنساء مقابل 42 في المائة للرجال </w:t>
      </w:r>
      <w:r w:rsidR="00793829">
        <w:rPr>
          <w:rFonts w:hint="cs"/>
          <w:rtl/>
        </w:rPr>
        <w:t>-</w:t>
      </w:r>
      <w:r w:rsidR="00B574EE">
        <w:rPr>
          <w:rtl/>
        </w:rPr>
        <w:t xml:space="preserve"> وهو ما يكشف عن التمييز لأن النساء تحتاج إلى مستويات أعلى من التعليم حتى يحصلن على نفس العمل.</w:t>
      </w:r>
    </w:p>
    <w:p w:rsidR="00B574EE" w:rsidRDefault="0085592A"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تبلغ نسبة النساء اللاتي يشغلن وظائف غير مستقرة تفتقر إلى الترتيبات الرسمية أو</w:t>
      </w:r>
      <w:r w:rsidR="00793829">
        <w:rPr>
          <w:rFonts w:hint="cs"/>
          <w:rtl/>
        </w:rPr>
        <w:t> </w:t>
      </w:r>
      <w:r w:rsidR="00163BC5">
        <w:rPr>
          <w:rtl/>
        </w:rPr>
        <w:t>ال</w:t>
      </w:r>
      <w:r w:rsidR="00163BC5">
        <w:rPr>
          <w:rFonts w:hint="cs"/>
          <w:rtl/>
        </w:rPr>
        <w:t>ا</w:t>
      </w:r>
      <w:r w:rsidR="00B574EE">
        <w:rPr>
          <w:rtl/>
        </w:rPr>
        <w:t xml:space="preserve">ستحقاقات أو الحماية الاجتماعية 78 في المائة. </w:t>
      </w:r>
    </w:p>
    <w:p w:rsidR="0085592A" w:rsidRPr="0085592A" w:rsidRDefault="0085592A" w:rsidP="0085592A">
      <w:pPr>
        <w:pStyle w:val="SingleTxt"/>
        <w:tabs>
          <w:tab w:val="clear" w:pos="1267"/>
        </w:tabs>
        <w:spacing w:after="0" w:line="120" w:lineRule="exact"/>
        <w:rPr>
          <w:rFonts w:hint="cs"/>
          <w:sz w:val="10"/>
          <w:rtl/>
        </w:rPr>
      </w:pPr>
    </w:p>
    <w:p w:rsidR="00B574EE" w:rsidRDefault="0085592A" w:rsidP="00163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B574EE">
        <w:rPr>
          <w:rtl/>
        </w:rPr>
        <w:t xml:space="preserve">العلاقات الأسرية </w:t>
      </w:r>
    </w:p>
    <w:p w:rsidR="00B574EE" w:rsidRPr="0085592A" w:rsidRDefault="0085592A" w:rsidP="0085592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B574EE" w:rsidRPr="0085592A">
        <w:rPr>
          <w:rtl/>
        </w:rPr>
        <w:t xml:space="preserve">التطورات الإيجابية </w:t>
      </w:r>
    </w:p>
    <w:p w:rsidR="00B574EE" w:rsidRDefault="0085592A"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ينص القانون المدني الجديد الذي أجيز في عام 2011 على المساواة بين الزوجين، بتحديد حد أدنى واحد لسن الزواج لكل من الرجال والنساء وهو 17 سنة، ولا</w:t>
      </w:r>
      <w:r>
        <w:rPr>
          <w:rFonts w:hint="cs"/>
          <w:rtl/>
        </w:rPr>
        <w:t> </w:t>
      </w:r>
      <w:r w:rsidR="00B574EE">
        <w:rPr>
          <w:rtl/>
        </w:rPr>
        <w:t xml:space="preserve">يفرق بين الرجال والنساء في الأهلية القانونية. </w:t>
      </w:r>
    </w:p>
    <w:p w:rsidR="00B574EE" w:rsidRDefault="0085592A"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يجوز لكل من الزوجين إدارة الأصول الخاصة به، وله حقوق استخدام المنافع المشتركة. </w:t>
      </w:r>
    </w:p>
    <w:p w:rsidR="00B574EE" w:rsidRDefault="0085592A" w:rsidP="007938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يجوز للرجل والمرأة على قدم المساواة الحصول على الميراث أو الممتلكات. </w:t>
      </w:r>
    </w:p>
    <w:p w:rsidR="0085592A" w:rsidRPr="0085592A" w:rsidRDefault="0085592A" w:rsidP="0085592A">
      <w:pPr>
        <w:pStyle w:val="SingleTxt"/>
        <w:tabs>
          <w:tab w:val="clear" w:pos="1267"/>
        </w:tabs>
        <w:spacing w:after="0" w:line="120" w:lineRule="exact"/>
        <w:rPr>
          <w:sz w:val="10"/>
          <w:rtl/>
        </w:rPr>
      </w:pPr>
    </w:p>
    <w:p w:rsidR="00B574EE" w:rsidRPr="0085592A" w:rsidRDefault="0085592A" w:rsidP="0085592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B574EE" w:rsidRPr="0085592A">
        <w:rPr>
          <w:rtl/>
        </w:rPr>
        <w:t xml:space="preserve">التحديات المتبقية </w:t>
      </w:r>
    </w:p>
    <w:p w:rsidR="00B574EE" w:rsidRDefault="0085592A" w:rsidP="008559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الحد الأدنى لسن الزواج 17 سنة لكل من الرجال والنساء. </w:t>
      </w:r>
    </w:p>
    <w:p w:rsidR="00B574EE" w:rsidRDefault="0085592A" w:rsidP="008559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تبلغ نسبة النساء في الزيجات التي تقوم على تعدد الزوجات 2 في المائة. </w:t>
      </w:r>
    </w:p>
    <w:p w:rsidR="00B574EE" w:rsidRDefault="0085592A" w:rsidP="008559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B574EE">
        <w:rPr>
          <w:rtl/>
        </w:rPr>
        <w:t>•</w:t>
      </w:r>
      <w:r w:rsidR="00B574EE">
        <w:rPr>
          <w:rtl/>
        </w:rPr>
        <w:tab/>
        <w:t xml:space="preserve">على الرغم من أحكام القانون المدني الجديد، لا يزال نظام التوريث التقليدي، القائم على أساس القرابة من جانب الأم ومن جانب الأب، هو النظام السائد، وخصوصا في المناطق الريفية. </w:t>
      </w:r>
    </w:p>
    <w:p w:rsidR="0025055A" w:rsidRDefault="0085592A" w:rsidP="008559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Pr>
          <w:rFonts w:hint="cs"/>
          <w:rtl/>
        </w:rPr>
        <w:tab/>
      </w:r>
      <w:r w:rsidR="00B574EE">
        <w:rPr>
          <w:rtl/>
        </w:rPr>
        <w:t>•</w:t>
      </w:r>
      <w:r w:rsidR="00B574EE">
        <w:rPr>
          <w:rtl/>
        </w:rPr>
        <w:tab/>
        <w:t>على الرغم من تمتع الأجيال الجديدة بحرية أكبر في اختيار الزوج، تظل مسألتا الصداق والتزامات الزواج التقليدية قائمتين.</w:t>
      </w:r>
    </w:p>
    <w:p w:rsidR="00CE34C8" w:rsidRPr="00CE34C8" w:rsidRDefault="00CE34C8" w:rsidP="00CE34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right="1267" w:hanging="662"/>
        <w:rPr>
          <w:rFonts w:hint="cs"/>
          <w:sz w:val="10"/>
          <w:rtl/>
        </w:rPr>
      </w:pPr>
    </w:p>
    <w:p w:rsidR="00CE34C8" w:rsidRPr="00C214A5" w:rsidRDefault="00CE34C8" w:rsidP="00CE34C8">
      <w:pPr>
        <w:pStyle w:val="SingleTxt"/>
        <w:rPr>
          <w:b/>
          <w:bCs/>
          <w:rtl/>
        </w:rPr>
      </w:pPr>
      <w:r w:rsidRPr="00C214A5">
        <w:rPr>
          <w:b/>
          <w:bCs/>
          <w:rtl/>
        </w:rPr>
        <w:t>القوالب النمطية والممارسات السلبية</w:t>
      </w:r>
    </w:p>
    <w:p w:rsidR="00CE34C8" w:rsidRDefault="00CE34C8" w:rsidP="00CE34C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C214A5">
        <w:rPr>
          <w:rtl/>
        </w:rPr>
        <w:t>التطورات الإيجابية</w:t>
      </w:r>
    </w:p>
    <w:p w:rsidR="00CE34C8" w:rsidRDefault="00CE34C8" w:rsidP="00CE34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 xml:space="preserve">تؤكد السياسة الوطنية المتعلقة بالثقافة أن </w:t>
      </w:r>
      <w:r>
        <w:rPr>
          <w:rFonts w:hint="cs"/>
          <w:rtl/>
        </w:rPr>
        <w:t>”</w:t>
      </w:r>
      <w:r>
        <w:rPr>
          <w:rtl/>
        </w:rPr>
        <w:t>الثقافة والتقاليد عمليتان ديناميتان تتطوران مع مرور الزمن […]</w:t>
      </w:r>
      <w:r>
        <w:rPr>
          <w:rFonts w:hint="cs"/>
          <w:rtl/>
        </w:rPr>
        <w:t>“.</w:t>
      </w:r>
    </w:p>
    <w:p w:rsidR="00CE34C8" w:rsidRDefault="00CE34C8" w:rsidP="00CE34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بحلول عام 2012، غط</w:t>
      </w:r>
      <w:r>
        <w:rPr>
          <w:rFonts w:hint="cs"/>
          <w:rtl/>
        </w:rPr>
        <w:t>ّ</w:t>
      </w:r>
      <w:r>
        <w:rPr>
          <w:rtl/>
        </w:rPr>
        <w:t>ت الأنشطة التي نُفذت على الصعيد الوطني لتوعية المجتمع بقانون مناهضة العنف العائلي جميع المقاطعات.</w:t>
      </w:r>
    </w:p>
    <w:p w:rsidR="00CE34C8" w:rsidRDefault="00CE34C8" w:rsidP="00CE34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أُبرمت مذكرة تفاهم بين وزارة الدولة للمساواة بين الجنسين، وتلفزيون تيمور</w:t>
      </w:r>
      <w:r>
        <w:rPr>
          <w:rFonts w:hint="cs"/>
          <w:rtl/>
        </w:rPr>
        <w:t xml:space="preserve"> </w:t>
      </w:r>
      <w:r>
        <w:rPr>
          <w:rtl/>
        </w:rPr>
        <w:t>-</w:t>
      </w:r>
      <w:r>
        <w:rPr>
          <w:rFonts w:hint="cs"/>
          <w:rtl/>
        </w:rPr>
        <w:t xml:space="preserve"> </w:t>
      </w:r>
      <w:r>
        <w:rPr>
          <w:rtl/>
        </w:rPr>
        <w:t>ليشتي، ومركز تيمور</w:t>
      </w:r>
      <w:r>
        <w:rPr>
          <w:rFonts w:hint="cs"/>
          <w:rtl/>
        </w:rPr>
        <w:t xml:space="preserve"> </w:t>
      </w:r>
      <w:r>
        <w:rPr>
          <w:rtl/>
        </w:rPr>
        <w:t>-</w:t>
      </w:r>
      <w:r>
        <w:rPr>
          <w:rFonts w:hint="cs"/>
          <w:rtl/>
        </w:rPr>
        <w:t xml:space="preserve"> </w:t>
      </w:r>
      <w:r>
        <w:rPr>
          <w:rtl/>
        </w:rPr>
        <w:t>ليشتي لتطوير وسائط الإعلام، وصحيفة تيمور بوست، من أجل بث برامج عن القضايا الجنسانية ونشر مواضيع عنها.</w:t>
      </w:r>
    </w:p>
    <w:p w:rsidR="00CE34C8" w:rsidRDefault="00CE34C8" w:rsidP="00CE34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أقيمت شراكة بين وزارة الدولة للمساواة بين الجنسين ومركز تيمور - ليشتي لتطوير وسائط الإعلام لرصد التغطية الإعلامية المتعلقة بالمسائل الجنسانية والعنف ضد المرأة وموقف الصحفيين تجاه هذين الموضوعين.</w:t>
      </w:r>
    </w:p>
    <w:p w:rsidR="00CE34C8" w:rsidRPr="00C214A5" w:rsidRDefault="00CE34C8" w:rsidP="00CE34C8">
      <w:pPr>
        <w:pStyle w:val="SingleTxt"/>
        <w:spacing w:after="0" w:line="120" w:lineRule="exact"/>
        <w:rPr>
          <w:rFonts w:hint="cs"/>
          <w:sz w:val="10"/>
          <w:rtl/>
        </w:rPr>
      </w:pPr>
    </w:p>
    <w:p w:rsidR="00CE34C8" w:rsidRDefault="00CE34C8" w:rsidP="00CE34C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C214A5">
        <w:rPr>
          <w:rtl/>
        </w:rPr>
        <w:t>التحديات المتبقية</w:t>
      </w:r>
    </w:p>
    <w:p w:rsidR="00CE34C8" w:rsidRDefault="00CE34C8" w:rsidP="00CE34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لا تزال العادات والتقاليد تؤثر على تصور الحقوق والسلطة، وذلك على الرغم من العدد الكبير من أنشطة وحملات التوعية ودورات التدريب المتعلقة بهما.</w:t>
      </w:r>
    </w:p>
    <w:p w:rsidR="00CE34C8" w:rsidRDefault="00CE34C8" w:rsidP="00CE34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ما زال كثير من الرجال والنساء لا ينظرون بشكل ممنهج لاستخدام الرجل للقوة البدنية في العلاقة الحميمة باعتباره جرما، ويعتبرونه أمرا عادي الحدوث في المنازل.</w:t>
      </w:r>
    </w:p>
    <w:p w:rsidR="00CE34C8" w:rsidRPr="00C214A5" w:rsidRDefault="00CE34C8" w:rsidP="00CE34C8">
      <w:pPr>
        <w:pStyle w:val="SingleTxt"/>
        <w:spacing w:after="0" w:line="120" w:lineRule="exact"/>
        <w:rPr>
          <w:rFonts w:hint="cs"/>
          <w:sz w:val="10"/>
          <w:rtl/>
        </w:rPr>
      </w:pPr>
    </w:p>
    <w:p w:rsidR="00CE34C8" w:rsidRDefault="00CE34C8" w:rsidP="00CE34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المشاركة السياسية والمشاركة في الحياة العامة</w:t>
      </w:r>
    </w:p>
    <w:p w:rsidR="00CE34C8" w:rsidRDefault="00CE34C8" w:rsidP="00CE34C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C214A5">
        <w:rPr>
          <w:rtl/>
        </w:rPr>
        <w:t>التطورات الإيجابية</w:t>
      </w:r>
    </w:p>
    <w:p w:rsidR="00CE34C8" w:rsidRDefault="00CE34C8" w:rsidP="00CE34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أدى التعديل الثاني لقانون الانتخابات البرلمانية المؤرخ حزيران/يونيه 2013 الذي ينص على أن تضم كل مجموعة من ثلاثة مرشحين امرأة واحدة على الأقل، إلى</w:t>
      </w:r>
      <w:r>
        <w:rPr>
          <w:rFonts w:hint="cs"/>
          <w:rtl/>
        </w:rPr>
        <w:t> </w:t>
      </w:r>
      <w:r>
        <w:rPr>
          <w:rtl/>
        </w:rPr>
        <w:t>بلوغ نسبة تمثيل المرأة في البرلمان 38 في المائة.</w:t>
      </w:r>
    </w:p>
    <w:p w:rsidR="00CE34C8" w:rsidRDefault="00CE34C8" w:rsidP="00CE34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التزم البرنامج السياسي بشأن مشاركة المرأة في الحياة السياسية في الفترة 2012-2017 بمعالجة 7 مجالات ذات أولوية بالنسبة للمرأة، وهي: التعليم، والاقتصاد، والصحة، والسياسة، والثقافة، ووسائط الإعلام والعدالة، والسلام والأمن.</w:t>
      </w:r>
    </w:p>
    <w:p w:rsidR="00CE34C8" w:rsidRDefault="00CE34C8" w:rsidP="00CE34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أُجريت على المستوى المجتمعي دورات تدريبية وبرامج لبناء قدرات النساء لإعدادهن لتولي المناصب القيادية، ولا سيما قبل كل عملية انتخاب.</w:t>
      </w:r>
    </w:p>
    <w:p w:rsidR="00CE34C8" w:rsidRDefault="00CE34C8" w:rsidP="00CE34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يتمث</w:t>
      </w:r>
      <w:r>
        <w:rPr>
          <w:rFonts w:hint="cs"/>
          <w:rtl/>
        </w:rPr>
        <w:t>ّ</w:t>
      </w:r>
      <w:r>
        <w:rPr>
          <w:rtl/>
        </w:rPr>
        <w:t>ل الهدف الذي يتوخاه البرنامج الوطني لتنمية القرى، المنبثق من الآلية الوطنية</w:t>
      </w:r>
      <w:r>
        <w:rPr>
          <w:rFonts w:hint="cs"/>
          <w:rtl/>
        </w:rPr>
        <w:t> </w:t>
      </w:r>
      <w:r>
        <w:rPr>
          <w:rtl/>
        </w:rPr>
        <w:t>لتسريع وتيرة التنمية المجتمعية، في استقدام وتدريب عدد تشكل النساء نسبة 40 في المائة منه لتنفيذ الآلية، ويرصد البرنامج أيضا اعتمادا مخصصا للاجتماعات التي تعقدها النساء المحليات.</w:t>
      </w:r>
    </w:p>
    <w:p w:rsidR="00CE34C8" w:rsidRPr="00C214A5" w:rsidRDefault="00CE34C8" w:rsidP="00CE34C8">
      <w:pPr>
        <w:pStyle w:val="SingleTxt"/>
        <w:spacing w:after="0" w:line="120" w:lineRule="exact"/>
        <w:rPr>
          <w:rFonts w:hint="cs"/>
          <w:sz w:val="10"/>
          <w:rtl/>
        </w:rPr>
      </w:pPr>
    </w:p>
    <w:p w:rsidR="00CE34C8" w:rsidRDefault="00CE34C8" w:rsidP="00CE34C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FD41A6">
        <w:rPr>
          <w:rtl/>
        </w:rPr>
        <w:t>التحديات المتبقية</w:t>
      </w:r>
    </w:p>
    <w:p w:rsidR="00CE34C8" w:rsidRDefault="00CE34C8" w:rsidP="00CE34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لا تزال مشاركة المرأة في الحياة السياسية على الصعيد المحلي منخفضة جدا (تبلغ نسبة الإناث بين زعماء القرى 2 في المائة فقط).</w:t>
      </w:r>
    </w:p>
    <w:p w:rsidR="00CE34C8" w:rsidRPr="00FD41A6" w:rsidRDefault="00CE34C8" w:rsidP="00CE34C8">
      <w:pPr>
        <w:pStyle w:val="SingleTxt"/>
        <w:spacing w:after="0" w:line="120" w:lineRule="exact"/>
        <w:rPr>
          <w:sz w:val="10"/>
          <w:rtl/>
        </w:rPr>
      </w:pPr>
    </w:p>
    <w:p w:rsidR="00CE34C8" w:rsidRPr="00FD41A6" w:rsidRDefault="00CE34C8" w:rsidP="00CE34C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FD41A6">
        <w:rPr>
          <w:rtl/>
        </w:rPr>
        <w:t>المادة 1: تعريف التمييز</w:t>
      </w:r>
    </w:p>
    <w:p w:rsidR="00CE34C8" w:rsidRDefault="00CE34C8" w:rsidP="00CE34C8">
      <w:pPr>
        <w:pStyle w:val="SingleTxt"/>
        <w:rPr>
          <w:rtl/>
        </w:rPr>
      </w:pPr>
      <w:r>
        <w:rPr>
          <w:rtl/>
        </w:rPr>
        <w:t>1 -</w:t>
      </w:r>
      <w:r>
        <w:rPr>
          <w:rtl/>
        </w:rPr>
        <w:tab/>
        <w:t>نُشر أول بحث شامل في مجال القانون الدستوري التيموري في أواخر عام 2011. وقد أوضحت هذه الدراسة المرجعية في مجال القانون الدستوري التيموري مفاهيم الدستور، ولا سيما مفهوم عدم التمييز المنصوص عليه في المادة 16. وتعر</w:t>
      </w:r>
      <w:r>
        <w:rPr>
          <w:rFonts w:hint="cs"/>
          <w:rtl/>
        </w:rPr>
        <w:t>ّ</w:t>
      </w:r>
      <w:r>
        <w:rPr>
          <w:rtl/>
        </w:rPr>
        <w:t>ف المادة المذكورة مبدأ عدم</w:t>
      </w:r>
      <w:r>
        <w:rPr>
          <w:rFonts w:hint="cs"/>
          <w:rtl/>
        </w:rPr>
        <w:t> </w:t>
      </w:r>
      <w:r>
        <w:rPr>
          <w:rtl/>
        </w:rPr>
        <w:t xml:space="preserve">التمييز على أنه ملازم لمبدأ المساواة: </w:t>
      </w:r>
      <w:r>
        <w:rPr>
          <w:rFonts w:hint="cs"/>
          <w:rtl/>
        </w:rPr>
        <w:t>”</w:t>
      </w:r>
      <w:r>
        <w:rPr>
          <w:rtl/>
        </w:rPr>
        <w:t>عدم مشروعية التفريق بين الأفراد وتقسيمهم إلى فئات، منها نوع الجنس، استنادا إلى اعتبارات شخصية محضة على النحو الوارد في الفقرة 2 من هذه المادة</w:t>
      </w:r>
      <w:r>
        <w:rPr>
          <w:rFonts w:hint="cs"/>
          <w:rtl/>
        </w:rPr>
        <w:t>“</w:t>
      </w:r>
      <w:r w:rsidRPr="00FD41A6">
        <w:rPr>
          <w:vertAlign w:val="superscript"/>
          <w:rtl/>
        </w:rPr>
        <w:t>(</w:t>
      </w:r>
      <w:r w:rsidRPr="00FD41A6">
        <w:rPr>
          <w:rStyle w:val="FootnoteReference"/>
          <w:szCs w:val="30"/>
          <w:rtl/>
        </w:rPr>
        <w:footnoteReference w:id="1"/>
      </w:r>
      <w:r w:rsidRPr="00FD41A6">
        <w:rPr>
          <w:vertAlign w:val="superscript"/>
          <w:rtl/>
        </w:rPr>
        <w:t>)</w:t>
      </w:r>
      <w:r>
        <w:rPr>
          <w:rtl/>
        </w:rPr>
        <w:t>.</w:t>
      </w:r>
    </w:p>
    <w:p w:rsidR="00CE34C8" w:rsidRDefault="00CE34C8" w:rsidP="00CE34C8">
      <w:pPr>
        <w:pStyle w:val="SingleTxt"/>
        <w:rPr>
          <w:rtl/>
        </w:rPr>
      </w:pPr>
      <w:r>
        <w:rPr>
          <w:rtl/>
        </w:rPr>
        <w:t>2 -</w:t>
      </w:r>
      <w:r>
        <w:rPr>
          <w:rtl/>
        </w:rPr>
        <w:tab/>
        <w:t>ومع ذلك، لا يتضمن الدستور ولا القوانين الأخرى أي تعريف للتمييز ضد المرأة وفقا للمادة 1 من الاتفاقية.</w:t>
      </w:r>
    </w:p>
    <w:p w:rsidR="00CE34C8" w:rsidRDefault="00CE34C8" w:rsidP="00CE34C8">
      <w:pPr>
        <w:pStyle w:val="SingleTxt"/>
        <w:rPr>
          <w:rtl/>
        </w:rPr>
      </w:pPr>
      <w:r>
        <w:rPr>
          <w:rtl/>
        </w:rPr>
        <w:t>3 -</w:t>
      </w:r>
      <w:r>
        <w:rPr>
          <w:rtl/>
        </w:rPr>
        <w:tab/>
        <w:t xml:space="preserve">وعلى الدولة واجب حماية شعبها من جميع أشكال التمييز، وذلك بوسائل منها القانون الجنائي. ويعتبر القانون الجنائي، الذي أُقر بموجب المرسوم بقانون رقم </w:t>
      </w:r>
      <w:r w:rsidRPr="00D131C7">
        <w:rPr>
          <w:rtl/>
        </w:rPr>
        <w:t>19/2009</w:t>
      </w:r>
      <w:r>
        <w:rPr>
          <w:rtl/>
        </w:rPr>
        <w:t xml:space="preserve"> المؤرخ نيسان/أبريل 2009، ارتكاب شخص ما جريمة بدافع نوع الجنس ظرفا مشددا للعقوبة [الفقرة (هاء) من المادة 52]</w:t>
      </w:r>
      <w:r w:rsidRPr="00FD41A6">
        <w:rPr>
          <w:vertAlign w:val="superscript"/>
          <w:rtl/>
        </w:rPr>
        <w:t>(</w:t>
      </w:r>
      <w:r w:rsidRPr="00FD41A6">
        <w:rPr>
          <w:rStyle w:val="FootnoteReference"/>
          <w:szCs w:val="30"/>
          <w:rtl/>
        </w:rPr>
        <w:footnoteReference w:id="2"/>
      </w:r>
      <w:r w:rsidRPr="00FD41A6">
        <w:rPr>
          <w:vertAlign w:val="superscript"/>
          <w:rtl/>
        </w:rPr>
        <w:t>)</w:t>
      </w:r>
      <w:r>
        <w:rPr>
          <w:rtl/>
        </w:rPr>
        <w:t>.</w:t>
      </w:r>
    </w:p>
    <w:p w:rsidR="00CE34C8" w:rsidRDefault="00CE34C8" w:rsidP="00CE34C8">
      <w:pPr>
        <w:pStyle w:val="SingleTxt"/>
        <w:rPr>
          <w:rFonts w:hint="cs"/>
          <w:rtl/>
        </w:rPr>
      </w:pPr>
      <w:r>
        <w:rPr>
          <w:rtl/>
        </w:rPr>
        <w:t>4 -</w:t>
      </w:r>
      <w:r>
        <w:rPr>
          <w:rtl/>
        </w:rPr>
        <w:tab/>
        <w:t>وتجعل أحادية نظام تطبيق القانون الدولي في تيمور- ليشتي من تعريف التمييز الوارد في المادة 1 من الاتفاقية جزءا من الإطار القانوني المحلي رغم عدم خضوعه لأي تفسير أو</w:t>
      </w:r>
      <w:r>
        <w:rPr>
          <w:rFonts w:hint="cs"/>
          <w:rtl/>
        </w:rPr>
        <w:t> </w:t>
      </w:r>
      <w:r>
        <w:rPr>
          <w:rtl/>
        </w:rPr>
        <w:t>اجتهاد قضائي حتى الآن.</w:t>
      </w:r>
    </w:p>
    <w:p w:rsidR="00CE34C8" w:rsidRPr="00A229A6" w:rsidRDefault="00CE34C8" w:rsidP="00CE34C8">
      <w:pPr>
        <w:pStyle w:val="SingleTxt"/>
        <w:spacing w:after="0" w:line="120" w:lineRule="exact"/>
        <w:rPr>
          <w:rFonts w:hint="cs"/>
          <w:sz w:val="10"/>
          <w:rtl/>
        </w:rPr>
      </w:pPr>
    </w:p>
    <w:p w:rsidR="00CE34C8" w:rsidRPr="00A229A6" w:rsidRDefault="00A44507" w:rsidP="00A445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CE34C8" w:rsidRPr="00A229A6">
        <w:rPr>
          <w:rtl/>
        </w:rPr>
        <w:t>تقديم الشكاوى المتعلقة بالتمييز ضد المرأة</w:t>
      </w:r>
    </w:p>
    <w:p w:rsidR="00CE34C8" w:rsidRDefault="00CE34C8" w:rsidP="00CE34C8">
      <w:pPr>
        <w:pStyle w:val="SingleTxt"/>
        <w:rPr>
          <w:rtl/>
        </w:rPr>
      </w:pPr>
      <w:r>
        <w:rPr>
          <w:rtl/>
        </w:rPr>
        <w:t>5 -</w:t>
      </w:r>
      <w:r>
        <w:rPr>
          <w:rtl/>
        </w:rPr>
        <w:tab/>
        <w:t xml:space="preserve"> يتلقى الشكاوى مكتب أمين المظالم المعني بالعدالة وحقوق الإنسان، الذي يعمل في إطار شعبة المساعدة العامة. وهو يتلقى الشكاوى المقدمة إما شخصيا في المكتب الوطني والمكاتب الإقليمية الأربعة، أو عن طريق الهاتف، أو الشكاوى الخطية التي تودع في الصناديق المخصصة لهذا الغرض في كل مكتب إداري من مكاتب المقاطعات الرئيسية والفرعية.</w:t>
      </w:r>
    </w:p>
    <w:p w:rsidR="00CE34C8" w:rsidRDefault="00CE34C8" w:rsidP="00CE34C8">
      <w:pPr>
        <w:pStyle w:val="SingleTxt"/>
        <w:rPr>
          <w:rtl/>
        </w:rPr>
      </w:pPr>
      <w:r>
        <w:rPr>
          <w:rtl/>
        </w:rPr>
        <w:t>6 -</w:t>
      </w:r>
      <w:r>
        <w:rPr>
          <w:rtl/>
        </w:rPr>
        <w:tab/>
        <w:t>وتخضع الشكاوى في البداية، إلى تقييم أو</w:t>
      </w:r>
      <w:r>
        <w:rPr>
          <w:rFonts w:hint="cs"/>
          <w:rtl/>
        </w:rPr>
        <w:t>ّ</w:t>
      </w:r>
      <w:r>
        <w:rPr>
          <w:rtl/>
        </w:rPr>
        <w:t>لى من ق</w:t>
      </w:r>
      <w:r>
        <w:rPr>
          <w:rFonts w:hint="cs"/>
          <w:rtl/>
        </w:rPr>
        <w:t>ِ</w:t>
      </w:r>
      <w:r>
        <w:rPr>
          <w:rtl/>
        </w:rPr>
        <w:t>بل لجنة إدارة الشكاوى، ثم يشرع مكتب أمين المظالم في التحقيق فيها إذا كانت تندرج ضمن نطاق ولايته القضائية. وبمجرد انتهاء التحقيق، تحال القضية إلى المدع</w:t>
      </w:r>
      <w:r>
        <w:rPr>
          <w:rFonts w:hint="cs"/>
          <w:rtl/>
        </w:rPr>
        <w:t>ي</w:t>
      </w:r>
      <w:r>
        <w:rPr>
          <w:rtl/>
        </w:rPr>
        <w:t xml:space="preserve"> العام مشفوعة بتوصيات باتخاذ إجراءات فيها في</w:t>
      </w:r>
      <w:r>
        <w:rPr>
          <w:rFonts w:hint="cs"/>
          <w:rtl/>
        </w:rPr>
        <w:t> </w:t>
      </w:r>
      <w:r>
        <w:rPr>
          <w:rtl/>
        </w:rPr>
        <w:t>غضون 60 يوما. وتسمح له ولاية المكتب بالتحقيق فقط في قضايا التمييز وانتهاك حقوق الإنسان أو قضايا سوء الإدارة من قبل جهات فاعلة تابعة للدولة. غير أنها تجيز له تحليل ما تتخذه الدولة من إجراءات أو تقاعسها عن ذلك فيما يخص تطبيق القانون، وتدابير الرقابة على مؤسسات الدولة، ومدى إتاحة سبل الانتصاف للأطراف المتضررة. وللحصول على مزيد من المعلومات، يرجى الرجوع إلى الوثيقة الأساسية الموحدة لتيمور - ليشتي، الفقرات من 150 إلى 156</w:t>
      </w:r>
      <w:r w:rsidRPr="00AD65A4">
        <w:rPr>
          <w:vertAlign w:val="superscript"/>
          <w:rtl/>
        </w:rPr>
        <w:t>(</w:t>
      </w:r>
      <w:r w:rsidRPr="00AD65A4">
        <w:rPr>
          <w:rStyle w:val="FootnoteReference"/>
          <w:szCs w:val="30"/>
          <w:rtl/>
        </w:rPr>
        <w:footnoteReference w:id="3"/>
      </w:r>
      <w:r w:rsidRPr="00AD65A4">
        <w:rPr>
          <w:vertAlign w:val="superscript"/>
          <w:rtl/>
        </w:rPr>
        <w:t>)</w:t>
      </w:r>
      <w:r>
        <w:rPr>
          <w:rtl/>
        </w:rPr>
        <w:t>.</w:t>
      </w:r>
    </w:p>
    <w:p w:rsidR="00CE34C8" w:rsidRPr="00AD65A4" w:rsidRDefault="00CE34C8" w:rsidP="00CE34C8">
      <w:pPr>
        <w:pStyle w:val="SingleTxt"/>
        <w:spacing w:after="0" w:line="120" w:lineRule="exact"/>
        <w:rPr>
          <w:sz w:val="10"/>
          <w:rtl/>
        </w:rPr>
      </w:pPr>
    </w:p>
    <w:p w:rsidR="00CE34C8" w:rsidRPr="00AD65A4" w:rsidRDefault="00CE34C8" w:rsidP="00CE34C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AD65A4">
        <w:rPr>
          <w:rtl/>
        </w:rPr>
        <w:t>المادة 2: تدابير السياسة العامة</w:t>
      </w:r>
    </w:p>
    <w:p w:rsidR="00CE34C8" w:rsidRPr="00AD65A4" w:rsidRDefault="0060789F" w:rsidP="006078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CE34C8" w:rsidRPr="00AD65A4">
        <w:rPr>
          <w:rtl/>
        </w:rPr>
        <w:t>التشريعات الأساسية</w:t>
      </w:r>
    </w:p>
    <w:p w:rsidR="00CE34C8" w:rsidRPr="00AD65A4" w:rsidRDefault="00CE34C8" w:rsidP="00CE34C8">
      <w:pPr>
        <w:pStyle w:val="SingleTxt"/>
        <w:rPr>
          <w:i/>
          <w:iCs/>
          <w:rtl/>
        </w:rPr>
      </w:pPr>
      <w:r w:rsidRPr="00AD65A4">
        <w:rPr>
          <w:i/>
          <w:iCs/>
          <w:rtl/>
        </w:rPr>
        <w:t>الوضع القانوني للاتفاقية</w:t>
      </w:r>
    </w:p>
    <w:p w:rsidR="00CE34C8" w:rsidRDefault="00CE34C8" w:rsidP="00CE34C8">
      <w:pPr>
        <w:pStyle w:val="SingleTxt"/>
        <w:rPr>
          <w:rtl/>
        </w:rPr>
      </w:pPr>
      <w:r>
        <w:rPr>
          <w:rtl/>
        </w:rPr>
        <w:t>7 -</w:t>
      </w:r>
      <w:r>
        <w:rPr>
          <w:rtl/>
        </w:rPr>
        <w:tab/>
        <w:t xml:space="preserve">فيما يخص المركز القانوني للصكوك الدولية وأرجحيتها على التشريعات الوطنية، اعتُمد في عام 2010 القانون رقم 6/2010 المتعلق بالمعاهدات الدولية (يرد في المرفق) بغية توضيح هذه المسألة. وينص القانون على أن </w:t>
      </w:r>
      <w:r>
        <w:rPr>
          <w:rFonts w:hint="cs"/>
          <w:rtl/>
        </w:rPr>
        <w:t>”</w:t>
      </w:r>
      <w:r>
        <w:rPr>
          <w:rtl/>
        </w:rPr>
        <w:t>الدولة التيمورية تصبح م</w:t>
      </w:r>
      <w:r>
        <w:rPr>
          <w:rFonts w:hint="cs"/>
          <w:rtl/>
        </w:rPr>
        <w:t>ُ</w:t>
      </w:r>
      <w:r>
        <w:rPr>
          <w:rtl/>
        </w:rPr>
        <w:t>لزمة بالمعاهدات الرسمية عند تصديقها عليها</w:t>
      </w:r>
      <w:r>
        <w:rPr>
          <w:rFonts w:hint="cs"/>
          <w:rtl/>
        </w:rPr>
        <w:t>“.</w:t>
      </w:r>
    </w:p>
    <w:p w:rsidR="00CE34C8" w:rsidRDefault="00CE34C8" w:rsidP="00CE34C8">
      <w:pPr>
        <w:pStyle w:val="SingleTxt"/>
        <w:rPr>
          <w:rFonts w:hint="cs"/>
          <w:rtl/>
        </w:rPr>
      </w:pPr>
      <w:r>
        <w:rPr>
          <w:rtl/>
        </w:rPr>
        <w:t>8 -</w:t>
      </w:r>
      <w:r>
        <w:rPr>
          <w:rtl/>
        </w:rPr>
        <w:tab/>
        <w:t>وفي إشارة إلى مسألة أرجحية القواعد بين القانون الدولي الموحد والقانون المحلي، تؤكد المادة 9-3 أسبقية القانون الدولي على القانون المحلي، وبطلان أي قانون محلي تتنافى أحكامه مع أحكام الاتفاقيات والمعاهدات والاتفاقات الدولية. ومن هذا المنظور، يجوز للسلطة القانونية العليا تلقي الطعون الدستورية، ويتوجب عليها أن تكون سباقة في استعراض القوانين والأنظمة بحثا عن انتهاكات الدستور. وتُعد محكمة الاستئناف أعلى محكمة قضائية في الوقت الراهن نظرا إلى أنه لم يتم إنشاء محكمة عليا بعد.</w:t>
      </w:r>
    </w:p>
    <w:p w:rsidR="00CE34C8" w:rsidRPr="00AD65A4" w:rsidRDefault="00CE34C8" w:rsidP="00CE34C8">
      <w:pPr>
        <w:pStyle w:val="SingleTxt"/>
        <w:spacing w:after="0" w:line="120" w:lineRule="exact"/>
        <w:rPr>
          <w:rFonts w:hint="cs"/>
          <w:sz w:val="10"/>
          <w:rtl/>
        </w:rPr>
      </w:pPr>
    </w:p>
    <w:p w:rsidR="00CE34C8" w:rsidRPr="00AD65A4" w:rsidRDefault="00CE34C8" w:rsidP="00CE34C8">
      <w:pPr>
        <w:pStyle w:val="SingleTxt"/>
        <w:rPr>
          <w:i/>
          <w:iCs/>
          <w:rtl/>
        </w:rPr>
      </w:pPr>
      <w:r w:rsidRPr="00AD65A4">
        <w:rPr>
          <w:i/>
          <w:iCs/>
          <w:rtl/>
        </w:rPr>
        <w:t>التشريعات المحددة المتعلقة بالمساواة</w:t>
      </w:r>
    </w:p>
    <w:p w:rsidR="00CE34C8" w:rsidRDefault="00CE34C8" w:rsidP="00CE34C8">
      <w:pPr>
        <w:pStyle w:val="SingleTxt"/>
        <w:rPr>
          <w:rtl/>
        </w:rPr>
      </w:pPr>
      <w:r>
        <w:rPr>
          <w:rtl/>
        </w:rPr>
        <w:t>9 -</w:t>
      </w:r>
      <w:r>
        <w:rPr>
          <w:rtl/>
        </w:rPr>
        <w:tab/>
        <w:t xml:space="preserve">فيما يتعلق بتفسير مبدأ المساواة وإدراجه في الدستور الوطني، تنص المادة 17 بشأن </w:t>
      </w:r>
      <w:r>
        <w:rPr>
          <w:rFonts w:hint="cs"/>
          <w:rtl/>
        </w:rPr>
        <w:t>”</w:t>
      </w:r>
      <w:r>
        <w:rPr>
          <w:rtl/>
        </w:rPr>
        <w:t>المساواة بين المرأة والرجل</w:t>
      </w:r>
      <w:r>
        <w:rPr>
          <w:rFonts w:hint="cs"/>
          <w:rtl/>
        </w:rPr>
        <w:t>“</w:t>
      </w:r>
      <w:r>
        <w:rPr>
          <w:rtl/>
        </w:rPr>
        <w:t xml:space="preserve"> على أن </w:t>
      </w:r>
      <w:r>
        <w:rPr>
          <w:rFonts w:hint="cs"/>
          <w:rtl/>
        </w:rPr>
        <w:t>”</w:t>
      </w:r>
      <w:r>
        <w:rPr>
          <w:rtl/>
        </w:rPr>
        <w:t>المرأة والرجل لهما نفس الحقوق وعليهما نفس الواجبات في جميع المجالات الأسرية والسياسية والاقتصادية والاجتماعية وفي الحياة الثقافية</w:t>
      </w:r>
      <w:r>
        <w:rPr>
          <w:rFonts w:hint="cs"/>
          <w:rtl/>
        </w:rPr>
        <w:t>“</w:t>
      </w:r>
      <w:r>
        <w:rPr>
          <w:rtl/>
        </w:rPr>
        <w:t>.</w:t>
      </w:r>
    </w:p>
    <w:p w:rsidR="00CE34C8" w:rsidRDefault="00CE34C8" w:rsidP="00CE34C8">
      <w:pPr>
        <w:pStyle w:val="SingleTxt"/>
        <w:rPr>
          <w:rtl/>
        </w:rPr>
      </w:pPr>
      <w:r>
        <w:rPr>
          <w:rtl/>
        </w:rPr>
        <w:t>10 -</w:t>
      </w:r>
      <w:r>
        <w:rPr>
          <w:rtl/>
        </w:rPr>
        <w:tab/>
        <w:t>وقد أُدرج مبدأ المساواة أيضا في عدد من القوانين المحددة مثل القانون المدني (المادة</w:t>
      </w:r>
      <w:r>
        <w:rPr>
          <w:rFonts w:hint="cs"/>
          <w:rtl/>
        </w:rPr>
        <w:t> </w:t>
      </w:r>
      <w:r>
        <w:rPr>
          <w:rtl/>
        </w:rPr>
        <w:t>1559)، وقانون العمل (المادة 6)، وقانون الانتخابات للبرلمان الوطني (المادة 8)، وقانون مكافحة العنف العائلي (المادة 4)، وما إلى ذلك […]. ويتضمن كل قانون من هذه القوانين شرحا أوفى لهذا المبدأ (انظر المرفق).</w:t>
      </w:r>
    </w:p>
    <w:p w:rsidR="00CE34C8" w:rsidRDefault="00CE34C8" w:rsidP="00CE34C8">
      <w:pPr>
        <w:pStyle w:val="SingleTxt"/>
        <w:rPr>
          <w:rtl/>
        </w:rPr>
      </w:pPr>
      <w:r>
        <w:rPr>
          <w:rtl/>
        </w:rPr>
        <w:t>11 -</w:t>
      </w:r>
      <w:r>
        <w:rPr>
          <w:rtl/>
        </w:rPr>
        <w:tab/>
        <w:t>وفي عام 2008، بدأت مناقشات بشأن وضع قانون يتعلق بالمساواة بين الجنسين، بقيادة مجموعة النائبات البرلمانيات في تيمور - ليشتي وبدعم من صندوق الأمم المتحدة الإنمائي للمرأة. وكان ضعف الإطار القانوني العام يبرر اتخاذ هذه المبادرة في ذلك الحين لأن القانون الجنائي والقانون المدني وقانون مكافحة العنف العائلي، وقوانين أخرى لم تكن قد</w:t>
      </w:r>
      <w:r>
        <w:rPr>
          <w:rFonts w:hint="cs"/>
          <w:rtl/>
        </w:rPr>
        <w:t> </w:t>
      </w:r>
      <w:r>
        <w:rPr>
          <w:rtl/>
        </w:rPr>
        <w:t>اعتُمدت بعد. وقد اعتمد البرلمان تلك التشريعات الرئيسية منذ ذلك الحين واضعا في اعتباره دواعي القلق الكثيرة المتعلقة بقانون المساواة بين الجنسين، ومن ثم، قرر البرلمان السابق عدم المضي قدما في مشروع قانون المساواة بين الجنسين بغية التركيز على إنفاذ القوانين التي سنت مؤخرا وعلى حماية حقوق المرأة.</w:t>
      </w:r>
    </w:p>
    <w:p w:rsidR="00CE34C8" w:rsidRDefault="00CE34C8" w:rsidP="00CE34C8">
      <w:pPr>
        <w:pStyle w:val="SingleTxt"/>
        <w:rPr>
          <w:rtl/>
        </w:rPr>
      </w:pPr>
      <w:r>
        <w:rPr>
          <w:rtl/>
        </w:rPr>
        <w:t>12 -</w:t>
      </w:r>
      <w:r>
        <w:rPr>
          <w:rtl/>
        </w:rPr>
        <w:tab/>
        <w:t>وعلى سبيل الإيضاح، أُدرجت في قانون العمل جميع أحكام مشروع القانون السابق المتعلقة بالمساواة في العمل، أي التساوي في الحق في العمل والتساوي في الأجر لقاء العمل المتساوي القيمة، والحمل والأمومة المأمونين، والنص على إجازة الأمومة، وما إلى ذلك؛ وأدرجت في القانون المدني أحكام تنص على المساواة في الحياة الأسرية، أي المساواة في الحق في اختيار الزوج، والمساواة في الحقوق والمسؤوليات أثناء الزواج، والمساواة في الحقوق والمسؤوليات فيما يتعلق بالوصاية على الأطفال، وما إلى ذلك.</w:t>
      </w:r>
    </w:p>
    <w:p w:rsidR="00CE34C8" w:rsidRDefault="00CE34C8" w:rsidP="00CE34C8">
      <w:pPr>
        <w:pStyle w:val="SingleTxt"/>
        <w:rPr>
          <w:rFonts w:hint="cs"/>
          <w:rtl/>
        </w:rPr>
      </w:pPr>
      <w:r>
        <w:rPr>
          <w:rtl/>
        </w:rPr>
        <w:t>13 -</w:t>
      </w:r>
      <w:r>
        <w:rPr>
          <w:rtl/>
        </w:rPr>
        <w:tab/>
        <w:t>وتجدر الإشارة إلى أن المجلس التشريعي أجرى مناقشات في الآونة الأخيرة، بقيادة مجموعة النائبات البرلمانيات في تيمور - ليشتي، بغية إعادة النظر في موقف البرلمان بشأن هذه المسألة وربما إعادة فتح النقاش الرسمي من أجل وضع قانون المساواة بين الجنسين وسنه</w:t>
      </w:r>
      <w:r w:rsidRPr="00CD329D">
        <w:rPr>
          <w:vertAlign w:val="superscript"/>
          <w:rtl/>
        </w:rPr>
        <w:t>(</w:t>
      </w:r>
      <w:r w:rsidRPr="00CD329D">
        <w:rPr>
          <w:rStyle w:val="FootnoteReference"/>
          <w:szCs w:val="30"/>
          <w:rtl/>
        </w:rPr>
        <w:footnoteReference w:id="4"/>
      </w:r>
      <w:r w:rsidRPr="00CD329D">
        <w:rPr>
          <w:vertAlign w:val="superscript"/>
          <w:rtl/>
        </w:rPr>
        <w:t>)</w:t>
      </w:r>
      <w:r>
        <w:rPr>
          <w:rtl/>
        </w:rPr>
        <w:t>.</w:t>
      </w:r>
    </w:p>
    <w:p w:rsidR="00CE34C8" w:rsidRPr="00CD329D" w:rsidRDefault="00CE34C8" w:rsidP="00CE34C8">
      <w:pPr>
        <w:pStyle w:val="SingleTxt"/>
        <w:spacing w:after="0" w:line="120" w:lineRule="exact"/>
        <w:rPr>
          <w:rFonts w:hint="cs"/>
          <w:sz w:val="10"/>
          <w:rtl/>
        </w:rPr>
      </w:pPr>
    </w:p>
    <w:p w:rsidR="00CE34C8" w:rsidRPr="00CD329D" w:rsidRDefault="0060789F" w:rsidP="006078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CE34C8" w:rsidRPr="00CD329D">
        <w:rPr>
          <w:rtl/>
        </w:rPr>
        <w:t>الأجهزة الوطنية المعنية بالمرأة</w:t>
      </w:r>
    </w:p>
    <w:p w:rsidR="00CE34C8" w:rsidRDefault="00CE34C8" w:rsidP="00CE34C8">
      <w:pPr>
        <w:pStyle w:val="SingleTxt"/>
        <w:rPr>
          <w:rtl/>
        </w:rPr>
      </w:pPr>
      <w:r>
        <w:rPr>
          <w:rtl/>
        </w:rPr>
        <w:t>14 -</w:t>
      </w:r>
      <w:r>
        <w:rPr>
          <w:rtl/>
        </w:rPr>
        <w:tab/>
        <w:t xml:space="preserve"> أنشأت الحكومة الرابعة في 4 حزيران/يونيه 2008، وزارة الدولة لتعزيز المساواة بين الجنسين بموجب المرسوم</w:t>
      </w:r>
      <w:r>
        <w:rPr>
          <w:rFonts w:hint="cs"/>
          <w:rtl/>
        </w:rPr>
        <w:t xml:space="preserve"> </w:t>
      </w:r>
      <w:r>
        <w:rPr>
          <w:rtl/>
        </w:rPr>
        <w:t>-</w:t>
      </w:r>
      <w:r>
        <w:rPr>
          <w:rFonts w:hint="cs"/>
          <w:rtl/>
        </w:rPr>
        <w:t xml:space="preserve"> </w:t>
      </w:r>
      <w:r>
        <w:rPr>
          <w:rtl/>
        </w:rPr>
        <w:t xml:space="preserve">بقانون </w:t>
      </w:r>
      <w:r w:rsidRPr="00A44507">
        <w:rPr>
          <w:rFonts w:hint="cs"/>
          <w:rtl/>
        </w:rPr>
        <w:t>16/2008</w:t>
      </w:r>
      <w:r>
        <w:rPr>
          <w:rtl/>
        </w:rPr>
        <w:t>، لتحل محل المكتب السابق لمستشار رئيس الوزراء المعني بتعزيز المساواة بين الجنسين، على النحو المبين بالتفصيل في التقرير الأو</w:t>
      </w:r>
      <w:r>
        <w:rPr>
          <w:rFonts w:hint="cs"/>
          <w:rtl/>
        </w:rPr>
        <w:t>ّ</w:t>
      </w:r>
      <w:r>
        <w:rPr>
          <w:rtl/>
        </w:rPr>
        <w:t>لي. وأصبحت الوزارة، منذ إنشائها، الهيئة الحكومية الرئيسية المسؤولة عن تنسيق سياسات المساواة بين الجنسين وتعزيزها.</w:t>
      </w:r>
    </w:p>
    <w:p w:rsidR="00CE34C8" w:rsidRDefault="00CE34C8" w:rsidP="00CE34C8">
      <w:pPr>
        <w:pStyle w:val="SingleTxt"/>
        <w:rPr>
          <w:rtl/>
        </w:rPr>
      </w:pPr>
      <w:r>
        <w:rPr>
          <w:rtl/>
        </w:rPr>
        <w:t>15 -</w:t>
      </w:r>
      <w:r>
        <w:rPr>
          <w:rtl/>
        </w:rPr>
        <w:tab/>
        <w:t>ومن ثم، فإن دور الوزارة الرئيسي وقيمتها المضافة يكمنان فيما تضطلع به من مهام تنسيق ورقابة. فهي ليست وكالة منف</w:t>
      </w:r>
      <w:r>
        <w:rPr>
          <w:rFonts w:hint="cs"/>
          <w:rtl/>
        </w:rPr>
        <w:t>ِّ</w:t>
      </w:r>
      <w:r>
        <w:rPr>
          <w:rtl/>
        </w:rPr>
        <w:t>ذة لأن المسؤولية عن تنفيذ القوانين والسياسات العامة والبرامج تقع على عاتق الوزارات التنفيذية. غير أنها تؤدي دورا</w:t>
      </w:r>
      <w:r>
        <w:rPr>
          <w:rFonts w:hint="cs"/>
          <w:rtl/>
        </w:rPr>
        <w:t>ً</w:t>
      </w:r>
      <w:r>
        <w:rPr>
          <w:rtl/>
        </w:rPr>
        <w:t xml:space="preserve"> حفازا</w:t>
      </w:r>
      <w:r>
        <w:rPr>
          <w:rFonts w:hint="cs"/>
          <w:rtl/>
        </w:rPr>
        <w:t>ً</w:t>
      </w:r>
      <w:r>
        <w:rPr>
          <w:rtl/>
        </w:rPr>
        <w:t xml:space="preserve"> في تعزيز المساواة بين الجنسين في تيمور - ليشتي. فهي بمثابة المحرك الأساسي للمساواة بين الجنسين داخل الحكومة ويتعين عليها الدعوة حتى يتم إدراج المنظور الجنساني في جميع السياسات والبرامج وميزانيات المؤسسات الحكومية</w:t>
      </w:r>
      <w:r w:rsidRPr="00CD329D">
        <w:rPr>
          <w:vertAlign w:val="superscript"/>
          <w:rtl/>
        </w:rPr>
        <w:t>(</w:t>
      </w:r>
      <w:r w:rsidRPr="00CD329D">
        <w:rPr>
          <w:rStyle w:val="FootnoteReference"/>
          <w:szCs w:val="30"/>
          <w:rtl/>
        </w:rPr>
        <w:footnoteReference w:id="5"/>
      </w:r>
      <w:r w:rsidRPr="00CD329D">
        <w:rPr>
          <w:vertAlign w:val="superscript"/>
          <w:rtl/>
        </w:rPr>
        <w:t>)</w:t>
      </w:r>
      <w:r>
        <w:rPr>
          <w:rtl/>
        </w:rPr>
        <w:t>.</w:t>
      </w:r>
    </w:p>
    <w:p w:rsidR="00CE34C8" w:rsidRDefault="00CE34C8" w:rsidP="00CE34C8">
      <w:pPr>
        <w:pStyle w:val="SingleTxt"/>
        <w:rPr>
          <w:rtl/>
        </w:rPr>
      </w:pPr>
      <w:r>
        <w:rPr>
          <w:rtl/>
        </w:rPr>
        <w:t>16 -</w:t>
      </w:r>
      <w:r>
        <w:rPr>
          <w:rtl/>
        </w:rPr>
        <w:tab/>
        <w:t xml:space="preserve">وبناء على تجربة المكتب السابق لنائب رئيس الوزراء، حددت وزارة الدولة لتعزيز المساواة بين الجنسين خمسة أهداف استراتيجية في الخطة الاستراتيجية للفترة 2012-2017، وهي: </w:t>
      </w:r>
    </w:p>
    <w:p w:rsidR="00CE34C8" w:rsidRDefault="00CE34C8" w:rsidP="00CE34C8">
      <w:pPr>
        <w:pStyle w:val="SingleTxt"/>
        <w:rPr>
          <w:rtl/>
        </w:rPr>
      </w:pPr>
      <w:r>
        <w:tab/>
      </w:r>
      <w:r w:rsidR="00A51F30">
        <w:rPr>
          <w:rFonts w:hint="cs"/>
          <w:rtl/>
        </w:rPr>
        <w:tab/>
      </w:r>
      <w:r>
        <w:rPr>
          <w:rFonts w:hint="cs"/>
          <w:rtl/>
        </w:rPr>
        <w:t>’1‘</w:t>
      </w:r>
      <w:r>
        <w:rPr>
          <w:rtl/>
        </w:rPr>
        <w:tab/>
        <w:t>بناء قدرات الوزارة على تعميم مراعاة المنظور الجنساني</w:t>
      </w:r>
      <w:r>
        <w:rPr>
          <w:rFonts w:hint="cs"/>
          <w:rtl/>
        </w:rPr>
        <w:t>؛</w:t>
      </w:r>
    </w:p>
    <w:p w:rsidR="00CE34C8" w:rsidRDefault="00CE34C8" w:rsidP="00CE34C8">
      <w:pPr>
        <w:pStyle w:val="SingleTxt"/>
        <w:ind w:left="2592" w:hanging="1325"/>
        <w:rPr>
          <w:rtl/>
        </w:rPr>
      </w:pPr>
      <w:r>
        <w:rPr>
          <w:rFonts w:hint="cs"/>
          <w:rtl/>
        </w:rPr>
        <w:tab/>
        <w:t>’2‘</w:t>
      </w:r>
      <w:r>
        <w:rPr>
          <w:rtl/>
        </w:rPr>
        <w:tab/>
        <w:t>الدعوة إلى وضع سياسات وسن تشريعات مراعية للمنظور الجنساني على الصعيدين الوطني والمحلي</w:t>
      </w:r>
      <w:r>
        <w:rPr>
          <w:rFonts w:hint="cs"/>
          <w:rtl/>
        </w:rPr>
        <w:t>؛</w:t>
      </w:r>
    </w:p>
    <w:p w:rsidR="00CE34C8" w:rsidRDefault="00CE34C8" w:rsidP="00CE34C8">
      <w:pPr>
        <w:pStyle w:val="SingleTxt"/>
        <w:ind w:left="2592" w:hanging="1325"/>
        <w:rPr>
          <w:rtl/>
        </w:rPr>
      </w:pPr>
      <w:r>
        <w:rPr>
          <w:rFonts w:hint="cs"/>
          <w:rtl/>
        </w:rPr>
        <w:tab/>
        <w:t>’3‘</w:t>
      </w:r>
      <w:r>
        <w:rPr>
          <w:rtl/>
        </w:rPr>
        <w:tab/>
        <w:t>تعزيز آليات تعميم مراعاة المنظور الجنساني في سياسات المؤسسات والوكالات الحكومية، وبرامجها وعملياتها وميزانياتها</w:t>
      </w:r>
      <w:r>
        <w:rPr>
          <w:rFonts w:hint="cs"/>
          <w:rtl/>
        </w:rPr>
        <w:t>؛</w:t>
      </w:r>
    </w:p>
    <w:p w:rsidR="00CE34C8" w:rsidRDefault="00CE34C8" w:rsidP="00CE34C8">
      <w:pPr>
        <w:pStyle w:val="SingleTxt"/>
        <w:ind w:left="2592" w:hanging="1325"/>
        <w:rPr>
          <w:rFonts w:hint="cs"/>
          <w:rtl/>
        </w:rPr>
      </w:pPr>
      <w:r>
        <w:rPr>
          <w:rFonts w:hint="cs"/>
          <w:rtl/>
        </w:rPr>
        <w:tab/>
        <w:t>’4‘</w:t>
      </w:r>
      <w:r>
        <w:rPr>
          <w:rtl/>
        </w:rPr>
        <w:tab/>
        <w:t>إذكاء وعي أصحاب المصلحة وعامة الجمهور على الصعيدين الوطني والمحلي دعما للمساواة بين الجنسين وتعزيزا لها</w:t>
      </w:r>
      <w:r>
        <w:rPr>
          <w:rFonts w:hint="cs"/>
          <w:rtl/>
        </w:rPr>
        <w:t>؛</w:t>
      </w:r>
    </w:p>
    <w:p w:rsidR="00CE34C8" w:rsidRDefault="00CE34C8" w:rsidP="00CE34C8">
      <w:pPr>
        <w:pStyle w:val="SingleTxt"/>
        <w:ind w:left="2592" w:hanging="1325"/>
        <w:rPr>
          <w:rtl/>
        </w:rPr>
      </w:pPr>
      <w:r>
        <w:rPr>
          <w:rFonts w:hint="cs"/>
          <w:rtl/>
        </w:rPr>
        <w:tab/>
        <w:t>’5‘</w:t>
      </w:r>
      <w:r>
        <w:rPr>
          <w:rFonts w:hint="cs"/>
          <w:rtl/>
        </w:rPr>
        <w:tab/>
      </w:r>
      <w:r>
        <w:rPr>
          <w:rtl/>
        </w:rPr>
        <w:t>تمكين المرأة اقتصاديا</w:t>
      </w:r>
      <w:r>
        <w:rPr>
          <w:rFonts w:hint="cs"/>
          <w:rtl/>
        </w:rPr>
        <w:t>.</w:t>
      </w:r>
    </w:p>
    <w:p w:rsidR="00CE34C8" w:rsidRDefault="00CE34C8" w:rsidP="00CE34C8">
      <w:pPr>
        <w:pStyle w:val="SingleTxt"/>
        <w:rPr>
          <w:rtl/>
        </w:rPr>
      </w:pPr>
      <w:r>
        <w:rPr>
          <w:rtl/>
        </w:rPr>
        <w:t>17 -</w:t>
      </w:r>
      <w:r>
        <w:rPr>
          <w:rtl/>
        </w:rPr>
        <w:tab/>
        <w:t>فيما يخص افتقار الوزارة إلى ما يكفي من الموارد المالية والبشرية لكفالة أداء مهامها بفعالية، تفتخر حكومة تيمور</w:t>
      </w:r>
      <w:r>
        <w:rPr>
          <w:rFonts w:hint="cs"/>
          <w:rtl/>
        </w:rPr>
        <w:t xml:space="preserve"> </w:t>
      </w:r>
      <w:r>
        <w:rPr>
          <w:rtl/>
        </w:rPr>
        <w:t>-</w:t>
      </w:r>
      <w:r>
        <w:rPr>
          <w:rFonts w:hint="cs"/>
          <w:rtl/>
        </w:rPr>
        <w:t xml:space="preserve"> </w:t>
      </w:r>
      <w:r>
        <w:rPr>
          <w:rtl/>
        </w:rPr>
        <w:t>ليشتي بالزيادة المطردة التي تشهدها ميزانية الوزارة ومواردها</w:t>
      </w:r>
      <w:r>
        <w:rPr>
          <w:rFonts w:hint="cs"/>
          <w:rtl/>
        </w:rPr>
        <w:t> </w:t>
      </w:r>
      <w:r>
        <w:rPr>
          <w:rtl/>
        </w:rPr>
        <w:t>المالية منذ إنشائها. والواقع أن الميزانية الإجمالية  المخصصة للوزارة قد ارتفعت من</w:t>
      </w:r>
      <w:r>
        <w:rPr>
          <w:rFonts w:hint="cs"/>
          <w:rtl/>
        </w:rPr>
        <w:t> </w:t>
      </w:r>
      <w:r>
        <w:rPr>
          <w:rtl/>
        </w:rPr>
        <w:t>000</w:t>
      </w:r>
      <w:r>
        <w:rPr>
          <w:rFonts w:hint="cs"/>
          <w:rtl/>
        </w:rPr>
        <w:t> </w:t>
      </w:r>
      <w:r>
        <w:rPr>
          <w:rtl/>
        </w:rPr>
        <w:t>342 دولار من دولارات الولايات المتحدة في عام 2008، إلى ما يناهز 000</w:t>
      </w:r>
      <w:r>
        <w:rPr>
          <w:rFonts w:hint="cs"/>
          <w:rtl/>
        </w:rPr>
        <w:t> </w:t>
      </w:r>
      <w:r>
        <w:rPr>
          <w:rtl/>
        </w:rPr>
        <w:t>378 1 دولار في عام 2012 (تفوق النفقات عموما نسبة 90 في المائة في السنة)، ومن المتوقع أن ترتفع مرة أخرى في عام 2013 لتناهز 000 867 1 دولار من دولارات الولايات المتحدة. ويمثل ذلك زيادة بنسبة 303 في المائة في فترة مدتها أربع سنوات</w:t>
      </w:r>
      <w:r w:rsidRPr="00E81B7E">
        <w:rPr>
          <w:vertAlign w:val="superscript"/>
          <w:rtl/>
        </w:rPr>
        <w:t>(</w:t>
      </w:r>
      <w:r w:rsidRPr="00E81B7E">
        <w:rPr>
          <w:rStyle w:val="FootnoteReference"/>
          <w:szCs w:val="30"/>
          <w:rtl/>
        </w:rPr>
        <w:footnoteReference w:id="6"/>
      </w:r>
      <w:r w:rsidRPr="00E81B7E">
        <w:rPr>
          <w:vertAlign w:val="superscript"/>
          <w:rtl/>
        </w:rPr>
        <w:t>)</w:t>
      </w:r>
      <w:r>
        <w:rPr>
          <w:rtl/>
        </w:rPr>
        <w:t>.</w:t>
      </w:r>
    </w:p>
    <w:p w:rsidR="00CE34C8" w:rsidRDefault="00CE34C8" w:rsidP="00CE34C8">
      <w:pPr>
        <w:pStyle w:val="SingleTxt"/>
        <w:rPr>
          <w:rtl/>
        </w:rPr>
      </w:pPr>
      <w:r>
        <w:rPr>
          <w:rtl/>
        </w:rPr>
        <w:t>18 -</w:t>
      </w:r>
      <w:r>
        <w:rPr>
          <w:rtl/>
        </w:rPr>
        <w:tab/>
        <w:t>ومع ذلك، فلا بد من الموازنة بين الزيادة التي طرأت على هذه الميزانية مقارنة بميزانية الحكومة ككل. والواقع أن ميزانية الحكومة زادت زيادة كبيرة أيضا خلال الفترة ذاتها، ولا</w:t>
      </w:r>
      <w:r>
        <w:rPr>
          <w:rFonts w:hint="cs"/>
          <w:rtl/>
        </w:rPr>
        <w:t> </w:t>
      </w:r>
      <w:r>
        <w:rPr>
          <w:rtl/>
        </w:rPr>
        <w:t>تزال ميزانية وزارة الدولة لتعزيز المساواة بين الجنسين إحدى أقل ميزانيات مؤسسات الحكومة، وهو ما يمكن تبريره مجددا بأن الوزارة ليست وكالة منفِذة. وبلغ إجمالي ميزانية الحكومة لعام 2008 ما مجموعه 000 312 788 دولار من دولارات الولايات المتحدة، وزادت بمبلغ 945 781 806 1 دولار من دولارات الولايات المتحدة في عام 2012، وهو ما يمثل زيادة نسبتها 129 في المائة في فترة الأربع سنوات نفسها</w:t>
      </w:r>
      <w:r w:rsidRPr="00E81B7E">
        <w:rPr>
          <w:vertAlign w:val="superscript"/>
          <w:rtl/>
        </w:rPr>
        <w:t>(</w:t>
      </w:r>
      <w:r w:rsidRPr="00E81B7E">
        <w:rPr>
          <w:rStyle w:val="FootnoteReference"/>
          <w:szCs w:val="30"/>
          <w:rtl/>
        </w:rPr>
        <w:footnoteReference w:id="7"/>
      </w:r>
      <w:r w:rsidRPr="00E81B7E">
        <w:rPr>
          <w:vertAlign w:val="superscript"/>
          <w:rtl/>
        </w:rPr>
        <w:t>)</w:t>
      </w:r>
      <w:r>
        <w:rPr>
          <w:rtl/>
        </w:rPr>
        <w:t>.</w:t>
      </w:r>
    </w:p>
    <w:p w:rsidR="00CE34C8" w:rsidRDefault="00CE34C8" w:rsidP="00CE34C8">
      <w:pPr>
        <w:pStyle w:val="SingleTxt"/>
        <w:rPr>
          <w:rtl/>
        </w:rPr>
      </w:pPr>
      <w:r>
        <w:rPr>
          <w:rtl/>
        </w:rPr>
        <w:t>19 -</w:t>
      </w:r>
      <w:r>
        <w:rPr>
          <w:rtl/>
        </w:rPr>
        <w:tab/>
        <w:t>وقد اتبعت الموارد البشرية المخصصة للوزارة المسار نفسه الذي اتبعته مواردها المالية تقريبا. فقد كانت الوزارة تضم 15 موظفا حكوميا عند إنشائها. وفي وقت كتابة هذا التقرير، تضم الوزارة 61 موظفا حكوميا يعملون لحسابها، منهم 13 موظفا جديدا في المقاطعات</w:t>
      </w:r>
      <w:r>
        <w:rPr>
          <w:rFonts w:hint="cs"/>
          <w:rtl/>
        </w:rPr>
        <w:t xml:space="preserve"> </w:t>
      </w:r>
      <w:r>
        <w:rPr>
          <w:rtl/>
        </w:rPr>
        <w:t>سيتم تعيينهم في مكاتب إدارة شؤون المقاطعات لمساعدة الأفرقة العاملة المعنية بالشؤون الجنسانية</w:t>
      </w:r>
      <w:r>
        <w:rPr>
          <w:rFonts w:hint="cs"/>
          <w:rtl/>
        </w:rPr>
        <w:t xml:space="preserve"> </w:t>
      </w:r>
      <w:r>
        <w:rPr>
          <w:rtl/>
        </w:rPr>
        <w:t>(عُي</w:t>
      </w:r>
      <w:r>
        <w:rPr>
          <w:rFonts w:hint="cs"/>
          <w:rtl/>
        </w:rPr>
        <w:t>ِّ</w:t>
      </w:r>
      <w:r>
        <w:rPr>
          <w:rtl/>
        </w:rPr>
        <w:t>ن منهم 8 موظفين وتولوا مهامهم). وبلغت نسبة النساء من هؤلاء الموظفين الدائمين زهاء 60 في المائة في عام 2012. وبالإضافة إلى الموظفين الحكوميين البالغ عددهم 61 موظفا، هناك أيضا عدد من المستشارين الوطنيين والدوليين الذين يوفرون المساعدة التقنية ويضطلعون ببناء القدرات، ومتطوعان دوليان في مقاطعتي بوكاو وليكيشا يتوليان مساعدة الأفرقة العاملة المعنية بالشؤون الجنسانية</w:t>
      </w:r>
      <w:r w:rsidRPr="00D01FCC">
        <w:rPr>
          <w:vertAlign w:val="superscript"/>
          <w:rtl/>
        </w:rPr>
        <w:t>(</w:t>
      </w:r>
      <w:r w:rsidRPr="00D01FCC">
        <w:rPr>
          <w:rStyle w:val="FootnoteReference"/>
          <w:szCs w:val="30"/>
          <w:rtl/>
        </w:rPr>
        <w:footnoteReference w:id="8"/>
      </w:r>
      <w:r w:rsidRPr="00D01FCC">
        <w:rPr>
          <w:vertAlign w:val="superscript"/>
          <w:rtl/>
        </w:rPr>
        <w:t>)</w:t>
      </w:r>
      <w:r>
        <w:rPr>
          <w:rtl/>
        </w:rPr>
        <w:t>.</w:t>
      </w:r>
    </w:p>
    <w:p w:rsidR="00CE34C8" w:rsidRPr="00212398" w:rsidRDefault="00CE34C8" w:rsidP="00CE34C8">
      <w:pPr>
        <w:pStyle w:val="SingleTxt"/>
        <w:spacing w:after="0" w:line="120" w:lineRule="exact"/>
        <w:rPr>
          <w:sz w:val="10"/>
          <w:rtl/>
        </w:rPr>
      </w:pPr>
    </w:p>
    <w:p w:rsidR="00CE34C8" w:rsidRPr="00212398" w:rsidRDefault="00CE34C8" w:rsidP="00CE34C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212398">
        <w:rPr>
          <w:rtl/>
        </w:rPr>
        <w:t>المساعدة التقنية والمالية</w:t>
      </w:r>
    </w:p>
    <w:p w:rsidR="00CE34C8" w:rsidRDefault="00CE34C8" w:rsidP="00CE34C8">
      <w:pPr>
        <w:pStyle w:val="SingleTxt"/>
        <w:rPr>
          <w:rtl/>
        </w:rPr>
      </w:pPr>
      <w:r>
        <w:rPr>
          <w:rtl/>
        </w:rPr>
        <w:t>20 -</w:t>
      </w:r>
      <w:r>
        <w:rPr>
          <w:rtl/>
        </w:rPr>
        <w:tab/>
        <w:t>تلق</w:t>
      </w:r>
      <w:r>
        <w:rPr>
          <w:rFonts w:hint="cs"/>
          <w:rtl/>
        </w:rPr>
        <w:t>ّ</w:t>
      </w:r>
      <w:r>
        <w:rPr>
          <w:rtl/>
        </w:rPr>
        <w:t>ت الوزارة مساعدة تقنية ومالية من عدة وكالات وبرامج متخصصة في الأمم المتحدة، ولا سيما من صندوق الأمم المتحدة للسكان وهيئة الأمم المتحدة للمرأة، بالإضافة إلى الجهات المانحة الأخرى، مثل الحكومة النرويجية والمعونة الأيرلندية ووكالة المعونة الإسبانية. وبلغت المساعدة المالية التي حصلت عليها الوزارة خلال الفترة 2009-2012 مبلغا قدره 437 018 4 دولار من دولارات الولايات المتحدة؛ وصندوق الأمم المتحدة للسكان هو المساهم الرئيسي (280 570 2 دولار من دولارات الولايات المتحدة)، ويعزى ذلك أساسا إلى استحداث برامج تتعلق بالقضاء على العنف الجنساني (سترد بالتفصيل لاحقا في هذا التقرير)</w:t>
      </w:r>
      <w:r w:rsidRPr="00212398">
        <w:rPr>
          <w:vertAlign w:val="superscript"/>
          <w:rtl/>
        </w:rPr>
        <w:t>(</w:t>
      </w:r>
      <w:r w:rsidRPr="00212398">
        <w:rPr>
          <w:rStyle w:val="FootnoteReference"/>
          <w:szCs w:val="30"/>
          <w:rtl/>
        </w:rPr>
        <w:footnoteReference w:id="9"/>
      </w:r>
      <w:r w:rsidRPr="00212398">
        <w:rPr>
          <w:vertAlign w:val="superscript"/>
          <w:rtl/>
        </w:rPr>
        <w:t>)</w:t>
      </w:r>
      <w:r>
        <w:rPr>
          <w:rtl/>
        </w:rPr>
        <w:t xml:space="preserve">. </w:t>
      </w:r>
    </w:p>
    <w:p w:rsidR="00CE34C8" w:rsidRDefault="00CE34C8" w:rsidP="00CE34C8">
      <w:pPr>
        <w:pStyle w:val="SingleTxt"/>
        <w:rPr>
          <w:rFonts w:hint="cs"/>
          <w:rtl/>
        </w:rPr>
      </w:pPr>
      <w:r>
        <w:rPr>
          <w:rtl/>
        </w:rPr>
        <w:t>21 -</w:t>
      </w:r>
      <w:r>
        <w:rPr>
          <w:rtl/>
        </w:rPr>
        <w:tab/>
        <w:t>ومن أجل مساعدة الوزارة وتيسير مهمتها المتمثلة في تنفيذ المرحلة الثانية من خطتها الاستراتيجية، وقع في عام 2012 كتاب موافقة موحد بين الوزارة وهيئة الأمم المتحدة للمرأة. ويتمثل الغرض من تنفيذ كتاب الموافقة في دعم الأهداف ذات الأولوية المبي</w:t>
      </w:r>
      <w:r>
        <w:rPr>
          <w:rFonts w:hint="cs"/>
          <w:rtl/>
        </w:rPr>
        <w:t>ّ</w:t>
      </w:r>
      <w:r>
        <w:rPr>
          <w:rtl/>
        </w:rPr>
        <w:t>نة في استراتيجية الوزارة للفترة 2010-2017، وكذلك الأولويات الوطنية ذات الصلة بالمساواة بين الجنسين وتمكين المرأة المدرجة في الخطة الإنمائية الاستراتيجية لتيمور</w:t>
      </w:r>
      <w:r>
        <w:rPr>
          <w:rFonts w:hint="cs"/>
          <w:rtl/>
        </w:rPr>
        <w:t xml:space="preserve"> </w:t>
      </w:r>
      <w:r>
        <w:rPr>
          <w:rtl/>
        </w:rPr>
        <w:t>-</w:t>
      </w:r>
      <w:r>
        <w:rPr>
          <w:rFonts w:hint="cs"/>
          <w:rtl/>
        </w:rPr>
        <w:t xml:space="preserve"> </w:t>
      </w:r>
      <w:r>
        <w:rPr>
          <w:rtl/>
        </w:rPr>
        <w:t>ليشتي للفترة 2011-2030.</w:t>
      </w:r>
    </w:p>
    <w:p w:rsidR="00CE34C8" w:rsidRPr="00212398" w:rsidRDefault="00CE34C8" w:rsidP="00CE34C8">
      <w:pPr>
        <w:pStyle w:val="SingleTxt"/>
        <w:spacing w:after="0" w:line="120" w:lineRule="exact"/>
        <w:rPr>
          <w:rFonts w:hint="cs"/>
          <w:sz w:val="10"/>
          <w:rtl/>
        </w:rPr>
      </w:pPr>
    </w:p>
    <w:p w:rsidR="00CE34C8" w:rsidRPr="00212398" w:rsidRDefault="00CE34C8" w:rsidP="00CE34C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212398">
        <w:rPr>
          <w:rtl/>
        </w:rPr>
        <w:t>التعاون الدولي</w:t>
      </w:r>
    </w:p>
    <w:p w:rsidR="00CE34C8" w:rsidRDefault="00CE34C8" w:rsidP="00CE34C8">
      <w:pPr>
        <w:pStyle w:val="SingleTxt"/>
        <w:rPr>
          <w:rtl/>
        </w:rPr>
      </w:pPr>
      <w:r>
        <w:rPr>
          <w:rtl/>
        </w:rPr>
        <w:t>22 -</w:t>
      </w:r>
      <w:r>
        <w:rPr>
          <w:rtl/>
        </w:rPr>
        <w:tab/>
        <w:t>فيما يخص التعاون الدولي من أجل تمكين المرأة وتعزيز المساواة بين الجنسين في عملية التنمية الوطنية، وقعت حكومة تيمور</w:t>
      </w:r>
      <w:r>
        <w:rPr>
          <w:rFonts w:hint="cs"/>
          <w:rtl/>
        </w:rPr>
        <w:t xml:space="preserve"> </w:t>
      </w:r>
      <w:r>
        <w:rPr>
          <w:rtl/>
        </w:rPr>
        <w:t>-</w:t>
      </w:r>
      <w:r>
        <w:rPr>
          <w:rFonts w:hint="cs"/>
          <w:rtl/>
        </w:rPr>
        <w:t xml:space="preserve"> </w:t>
      </w:r>
      <w:r>
        <w:rPr>
          <w:rtl/>
        </w:rPr>
        <w:t>ليشتي في عام 2012، من خلال وزارة الدولة لتعزيز المساواة بين الجنسين، مذكرة تفاهم مع حكومة إندونيسيا، التي وقعتها من خلال وزارة تمكين المرأة وحماية الطفل؛ ووقعت أيضا مذكرة تفاهم مع البرتغال في عام 2011، من خلال لجنتها المعنية بالمواطنة والمساواة بين الجنسين</w:t>
      </w:r>
      <w:r w:rsidRPr="00212398">
        <w:rPr>
          <w:vertAlign w:val="superscript"/>
          <w:rtl/>
        </w:rPr>
        <w:t>(</w:t>
      </w:r>
      <w:r w:rsidRPr="00212398">
        <w:rPr>
          <w:rStyle w:val="FootnoteReference"/>
          <w:szCs w:val="30"/>
          <w:rtl/>
        </w:rPr>
        <w:footnoteReference w:id="10"/>
      </w:r>
      <w:r w:rsidRPr="00212398">
        <w:rPr>
          <w:vertAlign w:val="superscript"/>
          <w:rtl/>
        </w:rPr>
        <w:t>)</w:t>
      </w:r>
      <w:r>
        <w:rPr>
          <w:rtl/>
        </w:rPr>
        <w:t>. وتهدف مذكرتا التفاهم هاتان على وجه الخصوص إلى تعزيز التعاون وتوسيع نطاقه في مجالي بناء القدرات والسياسة العامة.</w:t>
      </w:r>
    </w:p>
    <w:p w:rsidR="00CE34C8" w:rsidRDefault="00CE34C8" w:rsidP="00CE34C8">
      <w:pPr>
        <w:pStyle w:val="SingleTxt"/>
        <w:rPr>
          <w:rFonts w:hint="cs"/>
          <w:rtl/>
        </w:rPr>
      </w:pPr>
      <w:r>
        <w:rPr>
          <w:rtl/>
        </w:rPr>
        <w:t>23 -</w:t>
      </w:r>
      <w:r>
        <w:rPr>
          <w:rtl/>
        </w:rPr>
        <w:tab/>
        <w:t>ومما يجسد رغبة الوزارة في تطوير العلاقات الأكاديمية في مجال القضايا الجنسانية، المبينة بالتفصيل في مذكرة التفاهم التي وقعتها الوزارة مع وزارة تمكين المرأة وحماية الطفل الإندونيسية، الاتفاق الذي توصلت إليه مع جامعة غادجاه مادا في يوغياكارتا ، إندونيسيا، في مجالات تدريب الموارد البشرية وتعزيز المؤسسات والبحث العلمي، ومجالات أخرى منها تدريب موظفي الوزارة التقنيين وتمكينهم.</w:t>
      </w:r>
    </w:p>
    <w:p w:rsidR="00CE34C8" w:rsidRPr="00212398" w:rsidRDefault="00CE34C8" w:rsidP="00CE34C8">
      <w:pPr>
        <w:pStyle w:val="SingleTxt"/>
        <w:spacing w:after="0" w:line="120" w:lineRule="exact"/>
        <w:rPr>
          <w:rFonts w:hint="cs"/>
          <w:sz w:val="10"/>
          <w:rtl/>
        </w:rPr>
      </w:pPr>
    </w:p>
    <w:p w:rsidR="00CE34C8" w:rsidRPr="00212398" w:rsidRDefault="00CE34C8" w:rsidP="00CE34C8">
      <w:pPr>
        <w:pStyle w:val="SingleTxt"/>
        <w:rPr>
          <w:b/>
          <w:bCs/>
          <w:rtl/>
        </w:rPr>
      </w:pPr>
      <w:r w:rsidRPr="00212398">
        <w:rPr>
          <w:b/>
          <w:bCs/>
          <w:rtl/>
        </w:rPr>
        <w:t>الجهود التي تبذلها الحكومة تعزيزا لتعميم مراعاة المنظور الجنساني</w:t>
      </w:r>
    </w:p>
    <w:p w:rsidR="00CE34C8" w:rsidRDefault="00CE34C8" w:rsidP="00CE34C8">
      <w:pPr>
        <w:pStyle w:val="SingleTxt"/>
        <w:rPr>
          <w:rtl/>
        </w:rPr>
      </w:pPr>
      <w:r>
        <w:rPr>
          <w:rtl/>
        </w:rPr>
        <w:t>24 -</w:t>
      </w:r>
      <w:r>
        <w:rPr>
          <w:rtl/>
        </w:rPr>
        <w:tab/>
        <w:t xml:space="preserve">تنص الخطة الإنمائية الاستراتيجية للفترة 2011-2030 على ما يلي: </w:t>
      </w:r>
      <w:r>
        <w:rPr>
          <w:rFonts w:hint="cs"/>
          <w:rtl/>
        </w:rPr>
        <w:t>”</w:t>
      </w:r>
      <w:r>
        <w:rPr>
          <w:rtl/>
        </w:rPr>
        <w:t>إن رؤيتنا لتيمور</w:t>
      </w:r>
      <w:r>
        <w:rPr>
          <w:rFonts w:hint="cs"/>
          <w:rtl/>
        </w:rPr>
        <w:t xml:space="preserve"> </w:t>
      </w:r>
      <w:r>
        <w:rPr>
          <w:rtl/>
        </w:rPr>
        <w:t>- ليشتي في عام 2030 تتمثل في مجتمع عادل جنسانيا تكفل قوانينه وثقافته تقدير كرامة الإنسان وحقوق المرأة، وحمايتهما وتعزيزهما. ولتحقيق هذه الرؤية، سنعمل على</w:t>
      </w:r>
      <w:r>
        <w:rPr>
          <w:rFonts w:hint="cs"/>
          <w:rtl/>
        </w:rPr>
        <w:t> </w:t>
      </w:r>
      <w:r>
        <w:rPr>
          <w:rtl/>
        </w:rPr>
        <w:t>تعزيز تعميم مراعاة المنظور الجنساني في سياسات الحكومة وبرامجها وعملياتها وميزانياتها</w:t>
      </w:r>
      <w:r>
        <w:rPr>
          <w:rFonts w:hint="cs"/>
          <w:rtl/>
        </w:rPr>
        <w:t>“</w:t>
      </w:r>
      <w:r w:rsidRPr="00212398">
        <w:rPr>
          <w:vertAlign w:val="superscript"/>
          <w:rtl/>
        </w:rPr>
        <w:t>(</w:t>
      </w:r>
      <w:r w:rsidRPr="00212398">
        <w:rPr>
          <w:rStyle w:val="FootnoteReference"/>
          <w:szCs w:val="30"/>
          <w:rtl/>
        </w:rPr>
        <w:footnoteReference w:id="11"/>
      </w:r>
      <w:r w:rsidRPr="00212398">
        <w:rPr>
          <w:vertAlign w:val="superscript"/>
          <w:rtl/>
        </w:rPr>
        <w:t>)</w:t>
      </w:r>
      <w:r>
        <w:rPr>
          <w:rtl/>
        </w:rPr>
        <w:t>.</w:t>
      </w:r>
    </w:p>
    <w:p w:rsidR="00CE34C8" w:rsidRDefault="00CE34C8" w:rsidP="00CE34C8">
      <w:pPr>
        <w:pStyle w:val="SingleTxt"/>
        <w:rPr>
          <w:rtl/>
        </w:rPr>
      </w:pPr>
      <w:r>
        <w:rPr>
          <w:rtl/>
        </w:rPr>
        <w:t>25 -</w:t>
      </w:r>
      <w:r>
        <w:rPr>
          <w:rtl/>
        </w:rPr>
        <w:tab/>
        <w:t xml:space="preserve">وقامت وزارة الدولة لتعزيز المساواة بين الجنسين، بوصفها الهيئة الحكومية الرئيسية المعنية بتعزيز المساواة بين الجنسين، بإنشاء آلية تنسيق في عام 2008 من خلال إقامة شبكة منسقين للشؤون الجنسانية في كل وزارة وفي المقاطعات، وهو إجراء أقرته الحكومة بموجب قرارها رقم </w:t>
      </w:r>
      <w:r w:rsidRPr="00D131C7">
        <w:rPr>
          <w:rtl/>
        </w:rPr>
        <w:t>11/200</w:t>
      </w:r>
      <w:r>
        <w:rPr>
          <w:rtl/>
        </w:rPr>
        <w:t>8. وقد تكلل عمل الآلية بالنجاح في كثير من الحالات، إذ إنها دع</w:t>
      </w:r>
      <w:r>
        <w:rPr>
          <w:rFonts w:hint="cs"/>
          <w:rtl/>
        </w:rPr>
        <w:t>ّ</w:t>
      </w:r>
      <w:r>
        <w:rPr>
          <w:rtl/>
        </w:rPr>
        <w:t>مت بعض الوزارات في إجراء تقييمات لمدى تمثيل الجنسين، ووضع استراتيجيات أو</w:t>
      </w:r>
      <w:r>
        <w:rPr>
          <w:rFonts w:hint="cs"/>
          <w:rtl/>
        </w:rPr>
        <w:t> </w:t>
      </w:r>
      <w:r>
        <w:rPr>
          <w:rtl/>
        </w:rPr>
        <w:t>سياسات جنسانية، وتنظيم دورات تدريبية داخلية في المجال الجنساني. وتمكن منسقو الشؤون الجنسانية، في الوزارات التي يشغلون فيها مواقع نفوذ، من التأثير على سياسات</w:t>
      </w:r>
      <w:r>
        <w:rPr>
          <w:rFonts w:hint="cs"/>
          <w:rtl/>
        </w:rPr>
        <w:t> </w:t>
      </w:r>
      <w:r>
        <w:rPr>
          <w:rtl/>
        </w:rPr>
        <w:t xml:space="preserve">وزاراتهم. </w:t>
      </w:r>
    </w:p>
    <w:p w:rsidR="00CE34C8" w:rsidRDefault="00CE34C8" w:rsidP="00CE34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Pr>
          <w:rtl/>
        </w:rPr>
        <w:t>26 -</w:t>
      </w:r>
      <w:r>
        <w:rPr>
          <w:rtl/>
        </w:rPr>
        <w:tab/>
        <w:t>غير أنهم يواجهون بعض العقبات، لا سيما عندما يكون المنصب الذي يشغلونه أدنى من منصب المدير، بسبب عجزهم عن التأثير في عمليتي التخطيط والميزنة</w:t>
      </w:r>
      <w:r w:rsidRPr="00D0624C">
        <w:rPr>
          <w:vertAlign w:val="superscript"/>
          <w:rtl/>
        </w:rPr>
        <w:t>(</w:t>
      </w:r>
      <w:r w:rsidRPr="00D0624C">
        <w:rPr>
          <w:rStyle w:val="FootnoteReference"/>
          <w:szCs w:val="30"/>
          <w:rtl/>
        </w:rPr>
        <w:footnoteReference w:id="12"/>
      </w:r>
      <w:r w:rsidRPr="00D0624C">
        <w:rPr>
          <w:vertAlign w:val="superscript"/>
          <w:rtl/>
        </w:rPr>
        <w:t>)</w:t>
      </w:r>
      <w:r>
        <w:rPr>
          <w:rtl/>
        </w:rPr>
        <w:t>.</w:t>
      </w:r>
    </w:p>
    <w:p w:rsidR="00CE34C8" w:rsidRPr="00CE34C8" w:rsidRDefault="00CE34C8" w:rsidP="00CE34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right="1267" w:hanging="662"/>
        <w:rPr>
          <w:rFonts w:hint="cs"/>
          <w:sz w:val="10"/>
          <w:rtl/>
        </w:rPr>
      </w:pPr>
    </w:p>
    <w:p w:rsidR="00CE34C8" w:rsidRPr="00A44507" w:rsidRDefault="00CE34C8" w:rsidP="00A4450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44507">
        <w:tab/>
      </w:r>
      <w:r w:rsidRPr="00A44507">
        <w:tab/>
      </w:r>
      <w:r w:rsidRPr="00A44507">
        <w:rPr>
          <w:rtl/>
        </w:rPr>
        <w:t xml:space="preserve">آلية الفريق العامل المعني بالشؤون الجنسانية </w:t>
      </w:r>
    </w:p>
    <w:p w:rsidR="00CE34C8" w:rsidRDefault="00CE34C8" w:rsidP="00CE34C8">
      <w:pPr>
        <w:pStyle w:val="SingleTxt"/>
        <w:rPr>
          <w:rtl/>
        </w:rPr>
      </w:pPr>
      <w:r>
        <w:rPr>
          <w:rtl/>
        </w:rPr>
        <w:t>27</w:t>
      </w:r>
      <w:r>
        <w:rPr>
          <w:rFonts w:hint="cs"/>
          <w:rtl/>
        </w:rPr>
        <w:t xml:space="preserve"> </w:t>
      </w:r>
      <w:r>
        <w:rPr>
          <w:rtl/>
        </w:rPr>
        <w:t>-</w:t>
      </w:r>
      <w:r>
        <w:rPr>
          <w:rtl/>
        </w:rPr>
        <w:tab/>
        <w:t>وبعد ما يقرب من ثلاث سنوات من تنفيذ آلية مركز تنسيق الشؤون الجنسانية قدمت وزارة الدولة لتعزيز المساواة قرارا جديدا إلى مجلس الوزراء في عام</w:t>
      </w:r>
      <w:r>
        <w:rPr>
          <w:rFonts w:hint="cs"/>
          <w:rtl/>
        </w:rPr>
        <w:t> </w:t>
      </w:r>
      <w:r>
        <w:rPr>
          <w:rtl/>
        </w:rPr>
        <w:t xml:space="preserve">2011 يقضي برفع مستوى مركز التنسيق ليصبح آلية لفريق عامل معني بالشؤون الجنسانية. واعتمد هذا القرار في أيلول/سبتمبر 2011 من خلال القرار الحكومي رقم </w:t>
      </w:r>
      <w:r>
        <w:rPr>
          <w:rFonts w:hint="cs"/>
          <w:rtl/>
        </w:rPr>
        <w:t>27/2011</w:t>
      </w:r>
      <w:r>
        <w:rPr>
          <w:rtl/>
        </w:rPr>
        <w:t>. واعتزمت الآلية الجديدة جعل التنسيق والرصد أكثر فعالية وتعميم مراعاة المنظور الجنساني بشكل أفضل، من خلال ترقية الأعضاء إلى رتبة موظفي الإدارة العليا بحيث يتمتعون بنفوذ أكبر في وزاراتهم.</w:t>
      </w:r>
    </w:p>
    <w:p w:rsidR="00CE34C8" w:rsidRPr="00264CA6" w:rsidRDefault="00CE34C8" w:rsidP="00CE34C8">
      <w:pPr>
        <w:pStyle w:val="SingleTxt"/>
        <w:spacing w:after="0" w:line="120" w:lineRule="exact"/>
        <w:rPr>
          <w:sz w:val="10"/>
          <w:rtl/>
        </w:rPr>
      </w:pPr>
    </w:p>
    <w:p w:rsidR="00CE34C8" w:rsidRPr="00A44507" w:rsidRDefault="00CE34C8" w:rsidP="00A4450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44507">
        <w:rPr>
          <w:rFonts w:hint="cs"/>
          <w:rtl/>
        </w:rPr>
        <w:tab/>
      </w:r>
      <w:r w:rsidRPr="00A44507">
        <w:rPr>
          <w:rFonts w:hint="cs"/>
          <w:rtl/>
        </w:rPr>
        <w:tab/>
      </w:r>
      <w:r w:rsidRPr="00A44507">
        <w:rPr>
          <w:rtl/>
        </w:rPr>
        <w:t>الأفرقة العاملة المعنية بالشؤون الجنسانية على الصعيد الوطني</w:t>
      </w:r>
    </w:p>
    <w:p w:rsidR="00CE34C8" w:rsidRDefault="00CE34C8" w:rsidP="00CE34C8">
      <w:pPr>
        <w:pStyle w:val="SingleTxt"/>
        <w:rPr>
          <w:rtl/>
        </w:rPr>
      </w:pPr>
      <w:r>
        <w:rPr>
          <w:rtl/>
        </w:rPr>
        <w:t xml:space="preserve">28 </w:t>
      </w:r>
      <w:r>
        <w:rPr>
          <w:rFonts w:hint="cs"/>
          <w:rtl/>
        </w:rPr>
        <w:t>-</w:t>
      </w:r>
      <w:r>
        <w:rPr>
          <w:rFonts w:hint="cs"/>
          <w:rtl/>
        </w:rPr>
        <w:tab/>
      </w:r>
      <w:r>
        <w:rPr>
          <w:rtl/>
        </w:rPr>
        <w:t xml:space="preserve">وعلى الصعيد الوطني، ينص القرار </w:t>
      </w:r>
      <w:hyperlink r:id="rId15" w:history="1">
        <w:r w:rsidRPr="001D6547">
          <w:rPr>
            <w:rStyle w:val="Hyperlink"/>
            <w:rtl/>
          </w:rPr>
          <w:t>27/2011</w:t>
        </w:r>
      </w:hyperlink>
      <w:r>
        <w:rPr>
          <w:rtl/>
        </w:rPr>
        <w:t xml:space="preserve"> على أن تنشئ كل الوزارات وأمانات الدولة فريقا عاملا معنيا بالشؤون الجنسانية يرأسه مدير عام ويتكون من أعضاء برتبة مدير عام من كافة الإدارات المسؤولة عن التخطيط والسياسات والشؤون المالية والرصد والتقييم. وحتى الآن، أنشئ 15 فريقا عاملا معنيا بالشؤون الجنسانية.</w:t>
      </w:r>
    </w:p>
    <w:p w:rsidR="00CE34C8" w:rsidRDefault="00CE34C8" w:rsidP="00CE34C8">
      <w:pPr>
        <w:pStyle w:val="SingleTxt"/>
        <w:rPr>
          <w:rtl/>
        </w:rPr>
      </w:pPr>
      <w:r>
        <w:rPr>
          <w:rtl/>
        </w:rPr>
        <w:t>29 -</w:t>
      </w:r>
      <w:r>
        <w:rPr>
          <w:rtl/>
        </w:rPr>
        <w:tab/>
        <w:t>وبالرغم من التقدم البطيء الذي حققته الأفرقة العاملة المعنية بالشؤون الجنسانية في السنة الأولى من وجودها (وهو ما يرجع بصفة أساسية إلى ازدحام تلك الفترة بالانتخابات) فقد تمثلت الإنجازات الرئيسية للأفرقة العاملة المعنية بالشؤون الجنسانية على الصعيد الوطني في زيادة إدماج الأولويات الجنسانية في خططها وميزانياتها السنوية لعام</w:t>
      </w:r>
      <w:r>
        <w:rPr>
          <w:rFonts w:hint="cs"/>
          <w:rtl/>
        </w:rPr>
        <w:t> </w:t>
      </w:r>
      <w:r>
        <w:rPr>
          <w:rtl/>
        </w:rPr>
        <w:t>2013 (عل</w:t>
      </w:r>
      <w:r>
        <w:rPr>
          <w:rFonts w:hint="cs"/>
          <w:rtl/>
        </w:rPr>
        <w:t>ى</w:t>
      </w:r>
      <w:r>
        <w:rPr>
          <w:rtl/>
        </w:rPr>
        <w:t xml:space="preserve"> النحو المفصل في الباب أدناه)</w:t>
      </w:r>
      <w:r w:rsidRPr="00047C73">
        <w:rPr>
          <w:vertAlign w:val="superscript"/>
          <w:rtl/>
        </w:rPr>
        <w:t>(</w:t>
      </w:r>
      <w:r w:rsidRPr="00047C73">
        <w:rPr>
          <w:rStyle w:val="FootnoteReference"/>
          <w:szCs w:val="30"/>
          <w:rtl/>
        </w:rPr>
        <w:footnoteReference w:id="13"/>
      </w:r>
      <w:r w:rsidRPr="00047C73">
        <w:rPr>
          <w:vertAlign w:val="superscript"/>
          <w:rtl/>
        </w:rPr>
        <w:t>)</w:t>
      </w:r>
      <w:r>
        <w:rPr>
          <w:rFonts w:hint="cs"/>
          <w:rtl/>
        </w:rPr>
        <w:t>.</w:t>
      </w:r>
    </w:p>
    <w:p w:rsidR="00CE34C8" w:rsidRPr="00264CA6" w:rsidRDefault="00CE34C8" w:rsidP="00CE34C8">
      <w:pPr>
        <w:pStyle w:val="SingleTxt"/>
        <w:spacing w:after="0" w:line="120" w:lineRule="exact"/>
        <w:rPr>
          <w:sz w:val="10"/>
          <w:rtl/>
        </w:rPr>
      </w:pPr>
    </w:p>
    <w:p w:rsidR="00CE34C8" w:rsidRPr="00A44507" w:rsidRDefault="00CE34C8" w:rsidP="00A4450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44507">
        <w:rPr>
          <w:rFonts w:hint="cs"/>
          <w:rtl/>
        </w:rPr>
        <w:tab/>
      </w:r>
      <w:r w:rsidRPr="00A44507">
        <w:rPr>
          <w:rFonts w:hint="cs"/>
          <w:rtl/>
        </w:rPr>
        <w:tab/>
      </w:r>
      <w:r w:rsidRPr="00A44507">
        <w:rPr>
          <w:rtl/>
        </w:rPr>
        <w:t>الأفرقة العاملة المعنية بالشؤون الجنسانية على مستوى المقاطعات</w:t>
      </w:r>
    </w:p>
    <w:p w:rsidR="00CE34C8" w:rsidRDefault="00CE34C8" w:rsidP="00A44507">
      <w:pPr>
        <w:pStyle w:val="SingleTxt"/>
        <w:rPr>
          <w:rtl/>
        </w:rPr>
      </w:pPr>
      <w:r>
        <w:rPr>
          <w:rtl/>
        </w:rPr>
        <w:t>30 -</w:t>
      </w:r>
      <w:r>
        <w:rPr>
          <w:rtl/>
        </w:rPr>
        <w:tab/>
        <w:t>بالنسبة للأفرقة العاملة المعنية بالشؤون الجنسانية على مستوى المقاطعات يلزم أن يكون رئيس الفريق نائب المسؤول الإداري للمقاطعة وأن يشمل الأعضاء قائد الوحدة المعنية بالضعفاء في المقاطعة ومديري المقاطعات بوزارات الزراعة والاقتصاد والتنمية والتعليم والصحة والهياكل الأساسية والعدل والتضامن الاجتماعي. وقد عقدت جميع الأفرقة العاملة الثلاثة عشر المعنية بالشؤون الجنسانية في المقاطعات ما يتراوح بين اجتماعين وثلاثة اجتماعات في عام 2012. واستخدمت الاجتماعات في المقام الأول للتحضير للاحتفالات</w:t>
      </w:r>
      <w:r w:rsidR="00A44507">
        <w:rPr>
          <w:rFonts w:hint="cs"/>
          <w:rtl/>
        </w:rPr>
        <w:t> </w:t>
      </w:r>
      <w:r>
        <w:rPr>
          <w:rtl/>
        </w:rPr>
        <w:t>باليوم العالمي للمرأة الريفية (15 تشرين الأول/أكتوبر)، واليوم الوطني للمرأة (3</w:t>
      </w:r>
      <w:r>
        <w:rPr>
          <w:rFonts w:hint="cs"/>
          <w:rtl/>
        </w:rPr>
        <w:t> </w:t>
      </w:r>
      <w:r>
        <w:rPr>
          <w:rtl/>
        </w:rPr>
        <w:t>تشرين</w:t>
      </w:r>
      <w:r>
        <w:rPr>
          <w:rFonts w:hint="cs"/>
          <w:rtl/>
        </w:rPr>
        <w:t xml:space="preserve"> </w:t>
      </w:r>
      <w:r>
        <w:rPr>
          <w:rtl/>
        </w:rPr>
        <w:t>الثاني/نوفمبر) وحملة الـ</w:t>
      </w:r>
      <w:r>
        <w:rPr>
          <w:rFonts w:hint="cs"/>
          <w:rtl/>
        </w:rPr>
        <w:t> </w:t>
      </w:r>
      <w:r>
        <w:rPr>
          <w:rtl/>
        </w:rPr>
        <w:t>16 يوما لإنهاء العنف ضد المرأة (25</w:t>
      </w:r>
      <w:r>
        <w:rPr>
          <w:rFonts w:hint="cs"/>
          <w:rtl/>
        </w:rPr>
        <w:t> </w:t>
      </w:r>
      <w:r>
        <w:rPr>
          <w:rtl/>
        </w:rPr>
        <w:t>تشرين</w:t>
      </w:r>
      <w:r>
        <w:rPr>
          <w:rFonts w:hint="cs"/>
          <w:rtl/>
        </w:rPr>
        <w:t> </w:t>
      </w:r>
      <w:r>
        <w:rPr>
          <w:rtl/>
        </w:rPr>
        <w:t>الثاني/نوفمبر</w:t>
      </w:r>
      <w:r>
        <w:rPr>
          <w:rFonts w:hint="cs"/>
          <w:rtl/>
        </w:rPr>
        <w:t xml:space="preserve"> - </w:t>
      </w:r>
      <w:r>
        <w:rPr>
          <w:rtl/>
        </w:rPr>
        <w:t>10</w:t>
      </w:r>
      <w:r>
        <w:rPr>
          <w:rFonts w:hint="cs"/>
          <w:rtl/>
        </w:rPr>
        <w:t> </w:t>
      </w:r>
      <w:r>
        <w:rPr>
          <w:rtl/>
        </w:rPr>
        <w:t>كانون الأول/ديسمبر). واستخدمت بعض المقاطعات اجتماعاتها لمناقشة اختصاصات فريقها العامل المعني بالشؤون الجنسانية وإعداد الصيغة النهائية لهذه الاختصاصات ووضع خطط عمل جنسانية. وحتى الآن، وضع 12 فريقا خطط عمل جنسانية شاملة على مستوى المقاطعات لعام</w:t>
      </w:r>
      <w:r>
        <w:rPr>
          <w:rFonts w:hint="cs"/>
          <w:rtl/>
        </w:rPr>
        <w:t> </w:t>
      </w:r>
      <w:r>
        <w:rPr>
          <w:rtl/>
        </w:rPr>
        <w:t>2013 بمساعدة تقنية من أمانة الدولة لتعزيز المساواة</w:t>
      </w:r>
      <w:r w:rsidRPr="00047C73">
        <w:rPr>
          <w:vertAlign w:val="superscript"/>
          <w:rtl/>
        </w:rPr>
        <w:t>(</w:t>
      </w:r>
      <w:r w:rsidRPr="00047C73">
        <w:rPr>
          <w:rStyle w:val="FootnoteReference"/>
          <w:szCs w:val="30"/>
          <w:rtl/>
        </w:rPr>
        <w:footnoteReference w:id="14"/>
      </w:r>
      <w:r w:rsidRPr="00047C73">
        <w:rPr>
          <w:vertAlign w:val="superscript"/>
          <w:rtl/>
        </w:rPr>
        <w:t>)</w:t>
      </w:r>
      <w:r>
        <w:rPr>
          <w:rtl/>
        </w:rPr>
        <w:t>. ومما يؤسف له أن</w:t>
      </w:r>
      <w:r>
        <w:rPr>
          <w:rFonts w:hint="cs"/>
          <w:rtl/>
        </w:rPr>
        <w:t> </w:t>
      </w:r>
      <w:r>
        <w:rPr>
          <w:rtl/>
        </w:rPr>
        <w:t>نشير إلى أن هذه الخطط لم تعتمد في استعراض الميزانية الوطنية حيث تم الانتهاء من غالبيتها في الربع الأول من عام</w:t>
      </w:r>
      <w:r>
        <w:rPr>
          <w:rFonts w:hint="cs"/>
          <w:rtl/>
        </w:rPr>
        <w:t> </w:t>
      </w:r>
      <w:r>
        <w:rPr>
          <w:rtl/>
        </w:rPr>
        <w:t>2013</w:t>
      </w:r>
      <w:r>
        <w:rPr>
          <w:rFonts w:hint="cs"/>
          <w:rtl/>
        </w:rPr>
        <w:t>.</w:t>
      </w:r>
    </w:p>
    <w:p w:rsidR="00CE34C8" w:rsidRDefault="00CE34C8" w:rsidP="00CE34C8">
      <w:pPr>
        <w:pStyle w:val="SingleTxt"/>
        <w:rPr>
          <w:rtl/>
        </w:rPr>
      </w:pPr>
      <w:r>
        <w:rPr>
          <w:rtl/>
        </w:rPr>
        <w:t>31 -</w:t>
      </w:r>
      <w:r>
        <w:rPr>
          <w:rtl/>
        </w:rPr>
        <w:tab/>
        <w:t>وعلى الصعيد الوطني، يبلغ عدد النساء من أعضاء الأفرقة العاملة المعنية بالشؤون الجنسانية 53 (45.7 في المائة) ويبلغ عدد الأعضاء من الرجال 63 (54.3</w:t>
      </w:r>
      <w:r>
        <w:rPr>
          <w:rFonts w:hint="cs"/>
          <w:rtl/>
        </w:rPr>
        <w:t> </w:t>
      </w:r>
      <w:r>
        <w:rPr>
          <w:rtl/>
        </w:rPr>
        <w:t>في</w:t>
      </w:r>
      <w:r>
        <w:rPr>
          <w:rFonts w:hint="cs"/>
          <w:rtl/>
        </w:rPr>
        <w:t> </w:t>
      </w:r>
      <w:r>
        <w:rPr>
          <w:rtl/>
        </w:rPr>
        <w:t>المائة) لما</w:t>
      </w:r>
      <w:r>
        <w:rPr>
          <w:rFonts w:hint="cs"/>
          <w:rtl/>
        </w:rPr>
        <w:t> </w:t>
      </w:r>
      <w:r>
        <w:rPr>
          <w:rtl/>
        </w:rPr>
        <w:t>مجموعه 116</w:t>
      </w:r>
      <w:r>
        <w:rPr>
          <w:rFonts w:hint="cs"/>
          <w:rtl/>
        </w:rPr>
        <w:t> </w:t>
      </w:r>
      <w:r>
        <w:rPr>
          <w:rtl/>
        </w:rPr>
        <w:t>عضوا. وعلى مستوى المقاطعات،</w:t>
      </w:r>
      <w:r>
        <w:rPr>
          <w:rFonts w:hint="cs"/>
          <w:rtl/>
        </w:rPr>
        <w:t xml:space="preserve"> </w:t>
      </w:r>
      <w:r>
        <w:rPr>
          <w:rtl/>
        </w:rPr>
        <w:t>يبلغ عدد النساء من أعضاء الأفرقة العاملة المعنية بالشؤون الجنسانية بالمقاطعات 90 (45.7 في المائة) ويبلغ عدد الرجال 107 (54.3 في المائة) لما مجموعه 197 عضوا. ويزداد هذا الاختلال فيما يتعلق برؤساء الأفرقة. فعلى الصعيد الوطني، من بين 17 رئيسا يوجد 6 من النساء (35.3 في المائة) و</w:t>
      </w:r>
      <w:r>
        <w:rPr>
          <w:rFonts w:hint="cs"/>
          <w:rtl/>
        </w:rPr>
        <w:t> </w:t>
      </w:r>
      <w:r>
        <w:rPr>
          <w:rtl/>
        </w:rPr>
        <w:t>11</w:t>
      </w:r>
      <w:r>
        <w:rPr>
          <w:rFonts w:hint="cs"/>
          <w:rtl/>
        </w:rPr>
        <w:t> </w:t>
      </w:r>
      <w:r>
        <w:rPr>
          <w:rtl/>
        </w:rPr>
        <w:t>رجلا (64.7 في المائة) وتزداد الفجوة اتساعا على مستوى المقاطعات؛ فمن بين 13 رئيسا، هناك امرأة واحدة فقط (7.7 في المائة) و</w:t>
      </w:r>
      <w:r>
        <w:rPr>
          <w:rFonts w:hint="cs"/>
          <w:rtl/>
        </w:rPr>
        <w:t> </w:t>
      </w:r>
      <w:r>
        <w:rPr>
          <w:rtl/>
        </w:rPr>
        <w:t>12</w:t>
      </w:r>
      <w:r>
        <w:rPr>
          <w:rFonts w:hint="cs"/>
          <w:rtl/>
        </w:rPr>
        <w:t> </w:t>
      </w:r>
      <w:r>
        <w:rPr>
          <w:rtl/>
        </w:rPr>
        <w:t>رجلا (92.3</w:t>
      </w:r>
      <w:r>
        <w:rPr>
          <w:rFonts w:hint="cs"/>
          <w:rtl/>
        </w:rPr>
        <w:t> </w:t>
      </w:r>
      <w:r>
        <w:rPr>
          <w:rtl/>
        </w:rPr>
        <w:t>في</w:t>
      </w:r>
      <w:r>
        <w:rPr>
          <w:rFonts w:hint="cs"/>
          <w:rtl/>
        </w:rPr>
        <w:t> </w:t>
      </w:r>
      <w:r>
        <w:rPr>
          <w:rtl/>
        </w:rPr>
        <w:t>المائة)</w:t>
      </w:r>
      <w:r w:rsidRPr="00047C73">
        <w:rPr>
          <w:vertAlign w:val="superscript"/>
          <w:rtl/>
        </w:rPr>
        <w:t>(</w:t>
      </w:r>
      <w:r w:rsidRPr="00047C73">
        <w:rPr>
          <w:rStyle w:val="FootnoteReference"/>
          <w:szCs w:val="30"/>
          <w:rtl/>
        </w:rPr>
        <w:footnoteReference w:id="15"/>
      </w:r>
      <w:r w:rsidRPr="00047C73">
        <w:rPr>
          <w:vertAlign w:val="superscript"/>
          <w:rtl/>
        </w:rPr>
        <w:t>)</w:t>
      </w:r>
      <w:r>
        <w:rPr>
          <w:rFonts w:hint="cs"/>
          <w:rtl/>
        </w:rPr>
        <w:t>.</w:t>
      </w:r>
    </w:p>
    <w:p w:rsidR="00CE34C8" w:rsidRDefault="00CE34C8" w:rsidP="00CE34C8">
      <w:pPr>
        <w:pStyle w:val="SingleTxt"/>
        <w:rPr>
          <w:rtl/>
        </w:rPr>
      </w:pPr>
      <w:r>
        <w:rPr>
          <w:rtl/>
        </w:rPr>
        <w:t>32 -</w:t>
      </w:r>
      <w:r>
        <w:rPr>
          <w:rtl/>
        </w:rPr>
        <w:tab/>
        <w:t>ووفقا لولاية تنسيق ودعم الأفرقة العاملة التي تضطلع بها وزارة الدولة لتعزيز المساواة (انظر أدناه)، أضيفت 13 وظيفة جديدة لموظفين من المقاطعات إلى هيكل الأمانة في عام</w:t>
      </w:r>
      <w:r>
        <w:rPr>
          <w:rFonts w:hint="cs"/>
          <w:rtl/>
        </w:rPr>
        <w:t> </w:t>
      </w:r>
      <w:r>
        <w:rPr>
          <w:rtl/>
        </w:rPr>
        <w:t>2012. ومما يؤسف له أن عملية الموافقة على القانون الأساسي للوزارة وتعيين الموظفين من خلال لجنة الخدمة المدنية قد استغرقت وقتا أكثر مما هو متوقع. ونتيجة لذلك أصبح من الصعب أن تقوم الوزارة بتقديم المساعدة للأفرقة العاملة المعنية بالشؤون الجنسانية على مستوى المقاطعات خلال السنة الأولى من وجودها. وفي وقت كتابة هذا التقرير، تم تعيين 8</w:t>
      </w:r>
      <w:r>
        <w:rPr>
          <w:rFonts w:hint="cs"/>
          <w:rtl/>
        </w:rPr>
        <w:t> </w:t>
      </w:r>
      <w:r>
        <w:rPr>
          <w:rtl/>
        </w:rPr>
        <w:t>موظفين وما</w:t>
      </w:r>
      <w:r>
        <w:rPr>
          <w:rFonts w:hint="cs"/>
          <w:rtl/>
        </w:rPr>
        <w:t> </w:t>
      </w:r>
      <w:r>
        <w:rPr>
          <w:rtl/>
        </w:rPr>
        <w:t>زال من المتوقع تعيين 5 آخرين</w:t>
      </w:r>
      <w:r w:rsidRPr="00047C73">
        <w:rPr>
          <w:vertAlign w:val="superscript"/>
          <w:rtl/>
        </w:rPr>
        <w:t>(</w:t>
      </w:r>
      <w:r w:rsidRPr="00047C73">
        <w:rPr>
          <w:rStyle w:val="FootnoteReference"/>
          <w:szCs w:val="30"/>
          <w:rtl/>
        </w:rPr>
        <w:footnoteReference w:id="16"/>
      </w:r>
      <w:r w:rsidRPr="00047C73">
        <w:rPr>
          <w:vertAlign w:val="superscript"/>
          <w:rtl/>
        </w:rPr>
        <w:t>)</w:t>
      </w:r>
      <w:r>
        <w:rPr>
          <w:rFonts w:hint="cs"/>
          <w:rtl/>
        </w:rPr>
        <w:t>.</w:t>
      </w:r>
    </w:p>
    <w:p w:rsidR="00CE34C8" w:rsidRPr="00264CA6" w:rsidRDefault="00CE34C8" w:rsidP="00CE34C8">
      <w:pPr>
        <w:pStyle w:val="SingleTxt"/>
        <w:spacing w:after="0" w:line="120" w:lineRule="exact"/>
        <w:rPr>
          <w:sz w:val="10"/>
          <w:rtl/>
        </w:rPr>
      </w:pPr>
    </w:p>
    <w:p w:rsidR="00CE34C8" w:rsidRPr="00A44507" w:rsidRDefault="00CE34C8" w:rsidP="00A4450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44507">
        <w:rPr>
          <w:rFonts w:hint="cs"/>
          <w:rtl/>
        </w:rPr>
        <w:tab/>
      </w:r>
      <w:r w:rsidRPr="00A44507">
        <w:rPr>
          <w:rFonts w:hint="cs"/>
          <w:rtl/>
        </w:rPr>
        <w:tab/>
      </w:r>
      <w:r w:rsidRPr="00A44507">
        <w:rPr>
          <w:rtl/>
        </w:rPr>
        <w:t>الآلية الحكومية الدولية المعنية بالتنسيق التابعة لأمانة الدولة لتعزيز المساواة</w:t>
      </w:r>
    </w:p>
    <w:p w:rsidR="00CE34C8" w:rsidRDefault="00CE34C8" w:rsidP="00CE34C8">
      <w:pPr>
        <w:pStyle w:val="SingleTxt"/>
        <w:rPr>
          <w:rtl/>
        </w:rPr>
      </w:pPr>
      <w:r>
        <w:rPr>
          <w:rtl/>
        </w:rPr>
        <w:t>33 -</w:t>
      </w:r>
      <w:r>
        <w:rPr>
          <w:rtl/>
        </w:rPr>
        <w:tab/>
        <w:t xml:space="preserve">يحضر ممثلون من الأفرقة العاملة المعنية بالشؤون الجنسانية على كل من الصعيد الوطني وعلى صعيد المقاطعات اجتماعات تنسيق فصلية مشتركة بين القطاعات تنظمها الأمانة من أجل التنسيق والتعاون وتبادل المعلومات. وتستضيف الأمانة أيضا اجتماعات شهرية مع الوزارات ذات الأولوية على الصعيد الوطني، بما في ذلك وزارات الصحة والتعليم، والزراعة، والعدل والمالية لضمان التنسيق الوثيق بشأن مسائل محددة مثل تنفيذ اتفاقية القضاء على جميع أشكال التمييز ضد المرأة والعنف الجنساني. </w:t>
      </w:r>
    </w:p>
    <w:p w:rsidR="00CE34C8" w:rsidRDefault="00CE34C8" w:rsidP="00CE34C8">
      <w:pPr>
        <w:pStyle w:val="SingleTxt"/>
        <w:rPr>
          <w:rtl/>
        </w:rPr>
      </w:pPr>
      <w:r>
        <w:rPr>
          <w:rtl/>
        </w:rPr>
        <w:t>34 -</w:t>
      </w:r>
      <w:r>
        <w:rPr>
          <w:rtl/>
        </w:rPr>
        <w:tab/>
        <w:t>وتقدم الأمانة أيضا الدعم التقني وبناء القدرات للأفرقة العاملة المعنية بالشؤون الجنسانية من أجل زيادة الفهم في مجال القضايا الجنسانية وذلك بهدف تنفيذ السياسات والبرامج المراعية للمنظور الجنساني.</w:t>
      </w:r>
    </w:p>
    <w:p w:rsidR="00CE34C8" w:rsidRDefault="00CE34C8" w:rsidP="00CE34C8">
      <w:pPr>
        <w:pStyle w:val="SingleTxt"/>
        <w:rPr>
          <w:rtl/>
        </w:rPr>
      </w:pPr>
      <w:r>
        <w:rPr>
          <w:rtl/>
        </w:rPr>
        <w:t>35 -</w:t>
      </w:r>
      <w:r>
        <w:rPr>
          <w:rtl/>
        </w:rPr>
        <w:tab/>
        <w:t>وتمكن هذه الآلية الجديدة الحكومة من إجراء رصد أفضل للأنشطة الرامية إلى كفالة استفادة الرجال والنساء على قدم المساواة من السياسات والبرامج التي يتم تنفيذها والميزانيات المرصودة</w:t>
      </w:r>
      <w:r w:rsidRPr="00047C73">
        <w:rPr>
          <w:vertAlign w:val="superscript"/>
          <w:rtl/>
        </w:rPr>
        <w:t>(</w:t>
      </w:r>
      <w:r w:rsidRPr="00047C73">
        <w:rPr>
          <w:rStyle w:val="FootnoteReference"/>
          <w:szCs w:val="30"/>
          <w:rtl/>
        </w:rPr>
        <w:footnoteReference w:id="17"/>
      </w:r>
      <w:r w:rsidRPr="00047C73">
        <w:rPr>
          <w:vertAlign w:val="superscript"/>
          <w:rtl/>
        </w:rPr>
        <w:t>)</w:t>
      </w:r>
      <w:r>
        <w:rPr>
          <w:rFonts w:hint="cs"/>
          <w:rtl/>
        </w:rPr>
        <w:t>.</w:t>
      </w:r>
    </w:p>
    <w:p w:rsidR="00CE34C8" w:rsidRPr="00264CA6" w:rsidRDefault="00CE34C8" w:rsidP="00CE34C8">
      <w:pPr>
        <w:pStyle w:val="SingleTxt"/>
        <w:spacing w:after="0" w:line="120" w:lineRule="exact"/>
        <w:rPr>
          <w:sz w:val="10"/>
          <w:rtl/>
        </w:rPr>
      </w:pPr>
    </w:p>
    <w:p w:rsidR="00CE34C8" w:rsidRPr="00A44507" w:rsidRDefault="00CE34C8" w:rsidP="00A4450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44507">
        <w:rPr>
          <w:rFonts w:hint="cs"/>
          <w:rtl/>
        </w:rPr>
        <w:tab/>
      </w:r>
      <w:r w:rsidRPr="00A44507">
        <w:rPr>
          <w:rFonts w:hint="cs"/>
          <w:rtl/>
        </w:rPr>
        <w:tab/>
      </w:r>
      <w:r w:rsidRPr="00A44507">
        <w:rPr>
          <w:rtl/>
        </w:rPr>
        <w:t>الجهود المبذولة في مجال الميزنة المراعية للمنظور الجنساني</w:t>
      </w:r>
    </w:p>
    <w:p w:rsidR="00CE34C8" w:rsidRDefault="00CE34C8" w:rsidP="00CE34C8">
      <w:pPr>
        <w:pStyle w:val="SingleTxt"/>
        <w:rPr>
          <w:rtl/>
        </w:rPr>
      </w:pPr>
      <w:r>
        <w:rPr>
          <w:rtl/>
        </w:rPr>
        <w:t>36 -</w:t>
      </w:r>
      <w:r>
        <w:rPr>
          <w:rtl/>
        </w:rPr>
        <w:tab/>
        <w:t>التزمت حكومة تيمور</w:t>
      </w:r>
      <w:r>
        <w:rPr>
          <w:rFonts w:hint="cs"/>
          <w:rtl/>
        </w:rPr>
        <w:t xml:space="preserve"> </w:t>
      </w:r>
      <w:r>
        <w:rPr>
          <w:rtl/>
        </w:rPr>
        <w:t>-</w:t>
      </w:r>
      <w:r>
        <w:rPr>
          <w:rFonts w:hint="cs"/>
          <w:rtl/>
        </w:rPr>
        <w:t xml:space="preserve"> </w:t>
      </w:r>
      <w:r>
        <w:rPr>
          <w:rtl/>
        </w:rPr>
        <w:t>ليشتي منذ عام</w:t>
      </w:r>
      <w:r>
        <w:rPr>
          <w:rFonts w:hint="cs"/>
          <w:rtl/>
        </w:rPr>
        <w:t> </w:t>
      </w:r>
      <w:r>
        <w:rPr>
          <w:rtl/>
        </w:rPr>
        <w:t>2007 بالميزنة المراعية للمنظور الجنساني في عملية الميزانية. ففي الفترة من عام 2007 إلى عام</w:t>
      </w:r>
      <w:r>
        <w:rPr>
          <w:rFonts w:hint="cs"/>
          <w:rtl/>
        </w:rPr>
        <w:t> </w:t>
      </w:r>
      <w:r>
        <w:rPr>
          <w:rtl/>
        </w:rPr>
        <w:t>2010، ساهمت وزارة الدولة لتعزيز المساواة في بعض القطاعات فيما يتعلق بالتخطيط وإعداد وثائق الميزانية بنتائج متفاوتة. وأقر البرلمان الوطني الميزنة المراعية للمنظور الجنساني من خلال اعتماد القرار البرلماني رقم</w:t>
      </w:r>
      <w:r>
        <w:rPr>
          <w:rFonts w:hint="cs"/>
          <w:rtl/>
        </w:rPr>
        <w:t> </w:t>
      </w:r>
      <w:r w:rsidRPr="001D6547">
        <w:rPr>
          <w:rtl/>
        </w:rPr>
        <w:t>12/201</w:t>
      </w:r>
      <w:r>
        <w:rPr>
          <w:rtl/>
        </w:rPr>
        <w:t>0 المنشور في التاسع عشر من أيار/مايو 2010 والمتعلق بإعداد ميزانية تراعي المساواة بين الجنسين. ويرد في ديباجة هذا القرار، كمبرر للميزنة المراعية للمنظور الجنساني، أنه يتعين على حكومة تيمور</w:t>
      </w:r>
      <w:r>
        <w:rPr>
          <w:rFonts w:hint="cs"/>
          <w:rtl/>
        </w:rPr>
        <w:t xml:space="preserve"> </w:t>
      </w:r>
      <w:r>
        <w:rPr>
          <w:rtl/>
        </w:rPr>
        <w:t>-</w:t>
      </w:r>
      <w:r>
        <w:rPr>
          <w:rFonts w:hint="cs"/>
          <w:rtl/>
        </w:rPr>
        <w:t xml:space="preserve"> </w:t>
      </w:r>
      <w:r>
        <w:rPr>
          <w:rtl/>
        </w:rPr>
        <w:t>ليشتي أن تفي بالتزاماتها الدولية، ولا</w:t>
      </w:r>
      <w:r>
        <w:rPr>
          <w:rFonts w:hint="cs"/>
          <w:rtl/>
        </w:rPr>
        <w:t> </w:t>
      </w:r>
      <w:r>
        <w:rPr>
          <w:rtl/>
        </w:rPr>
        <w:t>سيما تلك المتعلقة باتفاقية القضاء على جميع أشكال التمييز ضد المرأة</w:t>
      </w:r>
      <w:r w:rsidRPr="00047C73">
        <w:rPr>
          <w:vertAlign w:val="superscript"/>
          <w:rtl/>
        </w:rPr>
        <w:t>(</w:t>
      </w:r>
      <w:r w:rsidRPr="00047C73">
        <w:rPr>
          <w:rStyle w:val="FootnoteReference"/>
          <w:szCs w:val="30"/>
          <w:rtl/>
        </w:rPr>
        <w:footnoteReference w:id="18"/>
      </w:r>
      <w:r w:rsidRPr="00047C73">
        <w:rPr>
          <w:vertAlign w:val="superscript"/>
          <w:rtl/>
        </w:rPr>
        <w:t>)</w:t>
      </w:r>
      <w:r>
        <w:rPr>
          <w:rFonts w:hint="cs"/>
          <w:rtl/>
        </w:rPr>
        <w:t>.</w:t>
      </w:r>
    </w:p>
    <w:p w:rsidR="00CE34C8" w:rsidRDefault="00CE34C8" w:rsidP="00CE34C8">
      <w:pPr>
        <w:pStyle w:val="SingleTxt"/>
        <w:rPr>
          <w:rtl/>
        </w:rPr>
      </w:pPr>
      <w:r>
        <w:rPr>
          <w:rtl/>
        </w:rPr>
        <w:t>37 -</w:t>
      </w:r>
      <w:r>
        <w:rPr>
          <w:rtl/>
        </w:rPr>
        <w:tab/>
        <w:t>وفي عام 2010، دعا مكتب رئيس الوزراء الوزارة لاستعراض خطط العمل السنوية القطاعية السنوية بغرض تحسين تنفيذ الميزنة المراعية للمنظور الجنساني. واستعرضت الوزارة 10</w:t>
      </w:r>
      <w:r>
        <w:rPr>
          <w:rFonts w:hint="cs"/>
          <w:rtl/>
        </w:rPr>
        <w:t> </w:t>
      </w:r>
      <w:r>
        <w:rPr>
          <w:rtl/>
        </w:rPr>
        <w:t>خطط عمل في عام 2010 واستعرضت 12 خطة عمل في عام</w:t>
      </w:r>
      <w:r>
        <w:rPr>
          <w:rFonts w:hint="cs"/>
          <w:rtl/>
        </w:rPr>
        <w:t> </w:t>
      </w:r>
      <w:r>
        <w:rPr>
          <w:rtl/>
        </w:rPr>
        <w:t>2011. وفي عام</w:t>
      </w:r>
      <w:r>
        <w:rPr>
          <w:rFonts w:hint="cs"/>
          <w:rtl/>
        </w:rPr>
        <w:t> </w:t>
      </w:r>
      <w:r>
        <w:rPr>
          <w:rtl/>
        </w:rPr>
        <w:t>2012 تم استعراض جميع خطط العمل الـ</w:t>
      </w:r>
      <w:r>
        <w:rPr>
          <w:rFonts w:hint="cs"/>
          <w:rtl/>
        </w:rPr>
        <w:t> </w:t>
      </w:r>
      <w:r>
        <w:rPr>
          <w:rtl/>
        </w:rPr>
        <w:t>32 الواردة من الجهات الحكومية وغير</w:t>
      </w:r>
      <w:r>
        <w:rPr>
          <w:rFonts w:hint="cs"/>
          <w:rtl/>
        </w:rPr>
        <w:t> </w:t>
      </w:r>
      <w:r>
        <w:rPr>
          <w:rtl/>
        </w:rPr>
        <w:t xml:space="preserve">الحكومية، الممولة من الميزانية العامة للدولة. ومن المقرر عبر الزمن أن تسهم مؤشرات الأداء المحددة القابلة للقياس الواردة في خطط العمل السنوية في الميزنة والتخطيط المراعيين للمنظور الجنساني. </w:t>
      </w:r>
    </w:p>
    <w:p w:rsidR="00CE34C8" w:rsidRDefault="00CE34C8" w:rsidP="00CE34C8">
      <w:pPr>
        <w:pStyle w:val="SingleTxt"/>
        <w:rPr>
          <w:rtl/>
        </w:rPr>
      </w:pPr>
      <w:r>
        <w:rPr>
          <w:rtl/>
        </w:rPr>
        <w:t>38 -</w:t>
      </w:r>
      <w:r>
        <w:rPr>
          <w:rtl/>
        </w:rPr>
        <w:tab/>
        <w:t>وقد زاد تنفيذ الميزنة المراعية للمنظور الجنساني في الفترة ما بين عام</w:t>
      </w:r>
      <w:r>
        <w:rPr>
          <w:rFonts w:hint="cs"/>
          <w:rtl/>
        </w:rPr>
        <w:t> </w:t>
      </w:r>
      <w:r>
        <w:rPr>
          <w:rtl/>
        </w:rPr>
        <w:t>2011 والوقت الحالي زيادة كبيرة بسبب الدعم المالي الكبير المقدم من هيئة الأمم المتحدة للمرأة مما</w:t>
      </w:r>
      <w:r>
        <w:rPr>
          <w:rFonts w:hint="cs"/>
          <w:rtl/>
        </w:rPr>
        <w:t> </w:t>
      </w:r>
      <w:r>
        <w:rPr>
          <w:rtl/>
        </w:rPr>
        <w:t xml:space="preserve">سمح للأمانة بالتماس المساعدة التقنية من المتخصصين في الميزنة المراعية للمنظور الجنساني الذين يقومون بتقديم سلسلة من الدورات التدريبية بشأن التخطيط والميزنة المراعيين للمنظور الجنساني مع الأعضاء السابقين في مركز تنسيق الشؤون الجنسانية والأعضاء الحاليين في الأفرقة العاملة المعنية بالشؤون الجنسانية وموظفي الوزارة وموظفي الميزانية والتخطيط في الوزارات الرئيسية والمجتمع المدني. </w:t>
      </w:r>
    </w:p>
    <w:p w:rsidR="00CE34C8" w:rsidRDefault="00CE34C8" w:rsidP="00CE34C8">
      <w:pPr>
        <w:pStyle w:val="SingleTxt"/>
        <w:rPr>
          <w:rtl/>
        </w:rPr>
      </w:pPr>
      <w:r>
        <w:rPr>
          <w:rtl/>
        </w:rPr>
        <w:t>39</w:t>
      </w:r>
      <w:r>
        <w:rPr>
          <w:rFonts w:hint="cs"/>
          <w:rtl/>
        </w:rPr>
        <w:t xml:space="preserve"> -</w:t>
      </w:r>
      <w:r>
        <w:rPr>
          <w:rtl/>
        </w:rPr>
        <w:tab/>
        <w:t>وكما هو الحال في السنوات السابقة منذ عام</w:t>
      </w:r>
      <w:r>
        <w:rPr>
          <w:rFonts w:hint="cs"/>
          <w:rtl/>
        </w:rPr>
        <w:t> </w:t>
      </w:r>
      <w:r>
        <w:rPr>
          <w:rtl/>
        </w:rPr>
        <w:t>2009، أدرج بيان يتعلق بالشؤون الجنسانية في تعميم إعداد الميزانية في عام</w:t>
      </w:r>
      <w:r>
        <w:rPr>
          <w:rFonts w:hint="cs"/>
          <w:rtl/>
        </w:rPr>
        <w:t> </w:t>
      </w:r>
      <w:r>
        <w:rPr>
          <w:rtl/>
        </w:rPr>
        <w:t>2013، وأشار إلى ضرورة التزام الهيئات،</w:t>
      </w:r>
      <w:r>
        <w:rPr>
          <w:rFonts w:hint="cs"/>
          <w:rtl/>
        </w:rPr>
        <w:t xml:space="preserve"> </w:t>
      </w:r>
      <w:r>
        <w:rPr>
          <w:rtl/>
        </w:rPr>
        <w:t xml:space="preserve">والوزارات والأجهزة الحكومية فيما تقدمه من مشاريع الميزانية بالمبادئ التوجيهية الصادرة عن الوزارة بشأن الميزنة المراعية للمنظور الجنساني. وقد توطد هذا بالسماح للوزارة بمقعد في لجنة استعراض الميزانية للمرة الأولى، وبالدخول في حوار بناء، وفرض تنقيحات مراعية للمنظور الجنساني قبل الموافقة على خطط العمل وإرسالها إلى البرلمان. </w:t>
      </w:r>
    </w:p>
    <w:p w:rsidR="00CE34C8" w:rsidRDefault="00CE34C8" w:rsidP="00CE34C8">
      <w:pPr>
        <w:pStyle w:val="SingleTxt"/>
        <w:rPr>
          <w:rtl/>
        </w:rPr>
      </w:pPr>
      <w:r>
        <w:rPr>
          <w:rtl/>
        </w:rPr>
        <w:t>40 -</w:t>
      </w:r>
      <w:r>
        <w:rPr>
          <w:rtl/>
        </w:rPr>
        <w:tab/>
        <w:t>وما زالت عملية الميزنة المراعية للمنظور الجنساني برمتها في مرحلة مبكرة من التنفيذ، حيث ما برحت الوزارة تركز على تقديم مدخلات مراعية للاعتبارات الجنسانية في خطط العمل السنوية. ومع ذلك، لا</w:t>
      </w:r>
      <w:r>
        <w:rPr>
          <w:rFonts w:hint="cs"/>
          <w:rtl/>
        </w:rPr>
        <w:t> </w:t>
      </w:r>
      <w:r>
        <w:rPr>
          <w:rtl/>
        </w:rPr>
        <w:t>يوجد حتى الآن نظام سليم لرصد وتقييم الإدماج التام لما</w:t>
      </w:r>
      <w:r>
        <w:rPr>
          <w:rFonts w:hint="cs"/>
          <w:rtl/>
        </w:rPr>
        <w:t> </w:t>
      </w:r>
      <w:r>
        <w:rPr>
          <w:rtl/>
        </w:rPr>
        <w:t>تبديه الأمانة من ملاحظات وتنفيذ الخطط والميزانيات المراعية للمنظور الجنساني.</w:t>
      </w:r>
    </w:p>
    <w:p w:rsidR="00CE34C8" w:rsidRDefault="00CE34C8" w:rsidP="00CE34C8">
      <w:pPr>
        <w:pStyle w:val="SingleTxt"/>
        <w:rPr>
          <w:rtl/>
        </w:rPr>
      </w:pPr>
      <w:r>
        <w:rPr>
          <w:rtl/>
        </w:rPr>
        <w:t>41 -</w:t>
      </w:r>
      <w:r>
        <w:rPr>
          <w:rtl/>
        </w:rPr>
        <w:tab/>
        <w:t>وبالرغم من وجود عدد من التحديات المتبقية، من قبيل الخلط بين الدور الذي تضطلع به الوزارة ودور وزارة المالية في الميزنة المراعية للمنظور الجنساني، والمسؤوليات القطاعية عن تعميم مراعاة المنظور الجنساني، فقد كان الأثر التدريجي الإيجابي للاستعراض الذي أدى إلى وضع خطط العمل السنوية واضحا. وثمة جانب إيجابي آخر لمشروع الميزنة المراعية للمنظور الجنساني الذي تدعمه هيئة الأمم المتحدة للمرأة تمثل في إشراك أصحاب مصلحة جدد في عملية الميزنة المراعية للمنظور الجنساني مثل جامعة تيمور</w:t>
      </w:r>
      <w:r>
        <w:rPr>
          <w:rFonts w:hint="cs"/>
          <w:rtl/>
        </w:rPr>
        <w:t xml:space="preserve"> </w:t>
      </w:r>
      <w:r>
        <w:rPr>
          <w:rtl/>
        </w:rPr>
        <w:t>-</w:t>
      </w:r>
      <w:r>
        <w:rPr>
          <w:rFonts w:hint="cs"/>
          <w:rtl/>
        </w:rPr>
        <w:t xml:space="preserve"> </w:t>
      </w:r>
      <w:r>
        <w:rPr>
          <w:rtl/>
        </w:rPr>
        <w:t xml:space="preserve">ليشتي الوطنية ومركز الدراسات الجنسانية، والمنظمة غير الحكومية الوطنية </w:t>
      </w:r>
      <w:r>
        <w:t>Lao Hamutuk</w:t>
      </w:r>
      <w:r>
        <w:rPr>
          <w:rtl/>
        </w:rPr>
        <w:t xml:space="preserve"> (المعروفة باسم معهد تيمور الشرقية لرصد وتحليل إعادة الإعمار) ووزارة إدارة الدولة والإدارة الإقليمية سابقا (في عهد الحكومة السابقة وقد أصبحت الآن وزارة إدارة الدولة).</w:t>
      </w:r>
    </w:p>
    <w:p w:rsidR="00CE34C8" w:rsidRPr="00264CA6" w:rsidRDefault="00CE34C8" w:rsidP="00CE34C8">
      <w:pPr>
        <w:pStyle w:val="SingleTxt"/>
        <w:spacing w:after="0" w:line="120" w:lineRule="exact"/>
        <w:rPr>
          <w:sz w:val="10"/>
          <w:rtl/>
        </w:rPr>
      </w:pPr>
    </w:p>
    <w:p w:rsidR="00CE34C8" w:rsidRPr="00A44507" w:rsidRDefault="00CE34C8" w:rsidP="00A4450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44507">
        <w:rPr>
          <w:rFonts w:hint="cs"/>
          <w:rtl/>
        </w:rPr>
        <w:tab/>
      </w:r>
      <w:r w:rsidRPr="00A44507">
        <w:rPr>
          <w:rFonts w:hint="cs"/>
          <w:rtl/>
        </w:rPr>
        <w:tab/>
      </w:r>
      <w:r w:rsidRPr="00A44507">
        <w:rPr>
          <w:rtl/>
        </w:rPr>
        <w:t>الأولويات الوطنية</w:t>
      </w:r>
    </w:p>
    <w:p w:rsidR="00CE34C8" w:rsidRDefault="00CE34C8" w:rsidP="00CE34C8">
      <w:pPr>
        <w:pStyle w:val="SingleTxt"/>
        <w:rPr>
          <w:rtl/>
        </w:rPr>
      </w:pPr>
      <w:r>
        <w:rPr>
          <w:rtl/>
        </w:rPr>
        <w:t>42</w:t>
      </w:r>
      <w:r>
        <w:rPr>
          <w:rFonts w:hint="cs"/>
          <w:rtl/>
        </w:rPr>
        <w:t xml:space="preserve"> </w:t>
      </w:r>
      <w:r>
        <w:rPr>
          <w:rtl/>
        </w:rPr>
        <w:t>-</w:t>
      </w:r>
      <w:r>
        <w:rPr>
          <w:rtl/>
        </w:rPr>
        <w:tab/>
        <w:t>كان برنامج الأولويات الوطنية للفترة 2008-2011 تحت قيادة وزارة المالية، عاملا أساسيا في تحويل تركيز تيمور</w:t>
      </w:r>
      <w:r>
        <w:rPr>
          <w:rFonts w:hint="cs"/>
          <w:rtl/>
        </w:rPr>
        <w:t xml:space="preserve"> </w:t>
      </w:r>
      <w:r>
        <w:rPr>
          <w:rtl/>
        </w:rPr>
        <w:t>-</w:t>
      </w:r>
      <w:r>
        <w:rPr>
          <w:rFonts w:hint="cs"/>
          <w:rtl/>
        </w:rPr>
        <w:t xml:space="preserve"> </w:t>
      </w:r>
      <w:r>
        <w:rPr>
          <w:rtl/>
        </w:rPr>
        <w:t>ليشتي من المساعدة في حالات الطوارئ والمساعدة الإنسانية إلى تحقيق الاستقرار والتعافي في مرحلة ما بعد انتهاء النزاع بهدف تحقيق التنمية. وخلال القيام بذلك، وفر البرنامج أداة لتحديد المسائل الرئيسية التي تعتبر ذات أولوية كل عام ووضعها موضع التنفيذ. وعلاوة على ذلك، أصبحت جماعات المجتمع المدني تشارك بصورة منتظمة في جميع الأفرقة العاملة المعنية بالأولويات الوطنية اعتبارا من عام</w:t>
      </w:r>
      <w:r>
        <w:rPr>
          <w:rFonts w:hint="cs"/>
          <w:rtl/>
        </w:rPr>
        <w:t> </w:t>
      </w:r>
      <w:r>
        <w:rPr>
          <w:rtl/>
        </w:rPr>
        <w:t>2009، مع</w:t>
      </w:r>
      <w:r>
        <w:rPr>
          <w:rFonts w:hint="cs"/>
          <w:rtl/>
        </w:rPr>
        <w:t> </w:t>
      </w:r>
      <w:r>
        <w:rPr>
          <w:rtl/>
        </w:rPr>
        <w:t xml:space="preserve">انطلاق الجهود الرامية إلى إشراك الجماعات النسائية عن طريق الشبكة النسائية في </w:t>
      </w:r>
      <w:r>
        <w:rPr>
          <w:rFonts w:hint="cs"/>
          <w:rtl/>
        </w:rPr>
        <w:br/>
      </w:r>
      <w:r>
        <w:rPr>
          <w:rtl/>
        </w:rPr>
        <w:t>تيمور</w:t>
      </w:r>
      <w:r>
        <w:rPr>
          <w:rFonts w:hint="cs"/>
          <w:rtl/>
        </w:rPr>
        <w:t xml:space="preserve"> </w:t>
      </w:r>
      <w:r>
        <w:rPr>
          <w:rtl/>
        </w:rPr>
        <w:t>-</w:t>
      </w:r>
      <w:r>
        <w:rPr>
          <w:rFonts w:hint="cs"/>
          <w:rtl/>
        </w:rPr>
        <w:t xml:space="preserve"> </w:t>
      </w:r>
      <w:r>
        <w:rPr>
          <w:rtl/>
        </w:rPr>
        <w:t>ليشتي، ريدي فيتو</w:t>
      </w:r>
      <w:r>
        <w:rPr>
          <w:rFonts w:hint="cs"/>
          <w:rtl/>
        </w:rPr>
        <w:t xml:space="preserve"> </w:t>
      </w:r>
      <w:r>
        <w:rPr>
          <w:rtl/>
        </w:rPr>
        <w:t>(</w:t>
      </w:r>
      <w:r>
        <w:t>Rede Feto</w:t>
      </w:r>
      <w:r>
        <w:rPr>
          <w:rtl/>
        </w:rPr>
        <w:t>)</w:t>
      </w:r>
      <w:r w:rsidRPr="00047C73">
        <w:rPr>
          <w:vertAlign w:val="superscript"/>
          <w:rtl/>
        </w:rPr>
        <w:t>(</w:t>
      </w:r>
      <w:r w:rsidRPr="00047C73">
        <w:rPr>
          <w:rStyle w:val="FootnoteReference"/>
          <w:szCs w:val="30"/>
          <w:rtl/>
        </w:rPr>
        <w:footnoteReference w:id="19"/>
      </w:r>
      <w:r w:rsidRPr="00047C73">
        <w:rPr>
          <w:vertAlign w:val="superscript"/>
          <w:rtl/>
        </w:rPr>
        <w:t>)</w:t>
      </w:r>
      <w:r>
        <w:rPr>
          <w:rtl/>
        </w:rPr>
        <w:t>.</w:t>
      </w:r>
    </w:p>
    <w:p w:rsidR="00CE34C8" w:rsidRDefault="00CE34C8" w:rsidP="00CE34C8">
      <w:pPr>
        <w:pStyle w:val="SingleTxt"/>
        <w:rPr>
          <w:rFonts w:hint="cs"/>
          <w:rtl/>
        </w:rPr>
      </w:pPr>
      <w:r>
        <w:rPr>
          <w:rtl/>
        </w:rPr>
        <w:t>43 -</w:t>
      </w:r>
      <w:r>
        <w:rPr>
          <w:rtl/>
        </w:rPr>
        <w:tab/>
        <w:t>وبدأت مشاركة الوزارة منذ البداية مع ازدياد المشاركة والتأثير تدريجيا</w:t>
      </w:r>
      <w:r>
        <w:rPr>
          <w:rFonts w:hint="cs"/>
          <w:rtl/>
        </w:rPr>
        <w:t xml:space="preserve"> </w:t>
      </w:r>
      <w:r>
        <w:rPr>
          <w:rtl/>
        </w:rPr>
        <w:t>بتحديد 5</w:t>
      </w:r>
      <w:r>
        <w:rPr>
          <w:rFonts w:hint="cs"/>
          <w:rtl/>
        </w:rPr>
        <w:t> </w:t>
      </w:r>
      <w:r>
        <w:rPr>
          <w:rtl/>
        </w:rPr>
        <w:t>أهداف فريدة في عام 2008 تشمل أهدافا جنسانية معينة أو ذات صلة بالقضايا الجنسانية تحديدا في 4 مجالات مختلفة، وهي السلامة العامة والأمن العام، والحماية الاجتماعية والتضامن والتوظيف وإدرار الدخل وتحسين تقديم الخدمات الاجتماعية. ثم توسعت هذه المجالات فبلغت 18 في عام 2011، وهو العام الأخير لتنفيذ آلية الأولويات الوطنية، وشملت على وجه الخصوص التنمية الريفية، وتنمية الموارد البشرية، واللجوء إلى العدالة.</w:t>
      </w:r>
      <w:r>
        <w:rPr>
          <w:rFonts w:hint="cs"/>
          <w:rtl/>
        </w:rPr>
        <w:t xml:space="preserve"> </w:t>
      </w:r>
      <w:r>
        <w:rPr>
          <w:rtl/>
        </w:rPr>
        <w:t>وتقديم الخدمات الاجتماعية</w:t>
      </w:r>
      <w:r w:rsidRPr="00047C73">
        <w:rPr>
          <w:vertAlign w:val="superscript"/>
          <w:rtl/>
        </w:rPr>
        <w:t>(</w:t>
      </w:r>
      <w:r w:rsidRPr="00047C73">
        <w:rPr>
          <w:rStyle w:val="FootnoteReference"/>
          <w:szCs w:val="30"/>
          <w:rtl/>
        </w:rPr>
        <w:footnoteReference w:id="20"/>
      </w:r>
      <w:r w:rsidRPr="00047C73">
        <w:rPr>
          <w:vertAlign w:val="superscript"/>
          <w:rtl/>
        </w:rPr>
        <w:t>)</w:t>
      </w:r>
      <w:r>
        <w:rPr>
          <w:rFonts w:hint="cs"/>
          <w:rtl/>
        </w:rPr>
        <w:t>.</w:t>
      </w:r>
    </w:p>
    <w:p w:rsidR="00CE34C8" w:rsidRDefault="00CE34C8" w:rsidP="00CE34C8">
      <w:pPr>
        <w:pStyle w:val="SingleTxt"/>
        <w:rPr>
          <w:rtl/>
        </w:rPr>
      </w:pPr>
      <w:r>
        <w:rPr>
          <w:rtl/>
        </w:rPr>
        <w:t>44 -</w:t>
      </w:r>
      <w:r>
        <w:rPr>
          <w:rtl/>
        </w:rPr>
        <w:tab/>
        <w:t xml:space="preserve">وفي عام 2011، كان إطلاق الخطة الإنمائية الاستراتيجية الوطنية </w:t>
      </w:r>
      <w:r>
        <w:rPr>
          <w:rFonts w:hint="cs"/>
          <w:rtl/>
        </w:rPr>
        <w:br/>
      </w:r>
      <w:r>
        <w:rPr>
          <w:rtl/>
        </w:rPr>
        <w:t>للفترة 2011-2030 إيذانا بانتقال تيمور</w:t>
      </w:r>
      <w:r>
        <w:rPr>
          <w:rFonts w:hint="cs"/>
          <w:rtl/>
        </w:rPr>
        <w:t xml:space="preserve"> </w:t>
      </w:r>
      <w:r>
        <w:rPr>
          <w:rtl/>
        </w:rPr>
        <w:t>-</w:t>
      </w:r>
      <w:r>
        <w:rPr>
          <w:rFonts w:hint="cs"/>
          <w:rtl/>
        </w:rPr>
        <w:t xml:space="preserve"> </w:t>
      </w:r>
      <w:r>
        <w:rPr>
          <w:rtl/>
        </w:rPr>
        <w:t>ليشتي من التخطيط السنوي إلى التخطيط المتعدد السنوات وتحديد الأولويات من أجل دعم التعجيل بالتنمية</w:t>
      </w:r>
      <w:r w:rsidRPr="00047C73">
        <w:rPr>
          <w:vertAlign w:val="superscript"/>
          <w:rtl/>
        </w:rPr>
        <w:t>(</w:t>
      </w:r>
      <w:r w:rsidRPr="00047C73">
        <w:rPr>
          <w:rStyle w:val="FootnoteReference"/>
          <w:szCs w:val="30"/>
          <w:rtl/>
        </w:rPr>
        <w:footnoteReference w:id="21"/>
      </w:r>
      <w:r w:rsidRPr="00047C73">
        <w:rPr>
          <w:vertAlign w:val="superscript"/>
          <w:rtl/>
        </w:rPr>
        <w:t>)</w:t>
      </w:r>
      <w:r>
        <w:rPr>
          <w:rtl/>
        </w:rPr>
        <w:t>. والوزارة هي الآن جزء</w:t>
      </w:r>
      <w:r>
        <w:rPr>
          <w:rFonts w:hint="cs"/>
          <w:rtl/>
        </w:rPr>
        <w:t> </w:t>
      </w:r>
      <w:r>
        <w:rPr>
          <w:rtl/>
        </w:rPr>
        <w:t>من آلية تنسيق السياسات الإنمائية الجديدة، التي تحل محل الأفرقة العاملة السابقة المعنية بالأولويات الوطنية</w:t>
      </w:r>
      <w:r>
        <w:rPr>
          <w:rFonts w:hint="cs"/>
          <w:rtl/>
        </w:rPr>
        <w:t>.</w:t>
      </w:r>
    </w:p>
    <w:p w:rsidR="00CE34C8" w:rsidRPr="00264CA6" w:rsidRDefault="00CE34C8" w:rsidP="00CE34C8">
      <w:pPr>
        <w:pStyle w:val="SingleTxt"/>
        <w:spacing w:after="0" w:line="120" w:lineRule="exact"/>
        <w:rPr>
          <w:sz w:val="10"/>
          <w:rtl/>
        </w:rPr>
      </w:pPr>
    </w:p>
    <w:p w:rsidR="00CE34C8" w:rsidRPr="00A44507" w:rsidRDefault="00CE34C8" w:rsidP="00A4450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44507">
        <w:rPr>
          <w:rFonts w:hint="cs"/>
          <w:rtl/>
        </w:rPr>
        <w:tab/>
      </w:r>
      <w:r w:rsidRPr="00A44507">
        <w:rPr>
          <w:rFonts w:hint="cs"/>
          <w:rtl/>
        </w:rPr>
        <w:tab/>
      </w:r>
      <w:r w:rsidRPr="00A44507">
        <w:rPr>
          <w:rtl/>
        </w:rPr>
        <w:t>أنشطة التوعية الجنسانية</w:t>
      </w:r>
    </w:p>
    <w:p w:rsidR="00CE34C8" w:rsidRDefault="00CE34C8" w:rsidP="00CE34C8">
      <w:pPr>
        <w:pStyle w:val="SingleTxt"/>
        <w:rPr>
          <w:rtl/>
        </w:rPr>
      </w:pPr>
      <w:r>
        <w:rPr>
          <w:rtl/>
        </w:rPr>
        <w:t>45 -</w:t>
      </w:r>
      <w:r>
        <w:rPr>
          <w:rtl/>
        </w:rPr>
        <w:tab/>
        <w:t>أعدت الوزارة مذكرة تفاهم في عام 2008 مع تلفزيون تيمور</w:t>
      </w:r>
      <w:r>
        <w:rPr>
          <w:rFonts w:hint="cs"/>
          <w:rtl/>
        </w:rPr>
        <w:t xml:space="preserve"> </w:t>
      </w:r>
      <w:r>
        <w:rPr>
          <w:rtl/>
        </w:rPr>
        <w:t>-</w:t>
      </w:r>
      <w:r>
        <w:rPr>
          <w:rFonts w:hint="cs"/>
          <w:rtl/>
        </w:rPr>
        <w:t xml:space="preserve"> </w:t>
      </w:r>
      <w:r>
        <w:rPr>
          <w:rtl/>
        </w:rPr>
        <w:t>ليشتي ومركز تيمور</w:t>
      </w:r>
      <w:r>
        <w:rPr>
          <w:rFonts w:hint="cs"/>
          <w:rtl/>
        </w:rPr>
        <w:t xml:space="preserve"> - </w:t>
      </w:r>
      <w:r>
        <w:rPr>
          <w:rtl/>
        </w:rPr>
        <w:t xml:space="preserve">ليشتي لتطوير وسائط الإعلام لبث برنامج حواري عبر التلفزيون التفاعلي يحمل عنوان </w:t>
      </w:r>
      <w:r>
        <w:rPr>
          <w:rFonts w:hint="cs"/>
          <w:rtl/>
        </w:rPr>
        <w:t>”</w:t>
      </w:r>
      <w:r>
        <w:rPr>
          <w:rtl/>
        </w:rPr>
        <w:t>فلنفكر معا</w:t>
      </w:r>
      <w:r>
        <w:rPr>
          <w:rFonts w:hint="cs"/>
          <w:rtl/>
        </w:rPr>
        <w:t>“</w:t>
      </w:r>
      <w:r>
        <w:rPr>
          <w:rtl/>
        </w:rPr>
        <w:t xml:space="preserve">. وكان الهدف الرئيسي من هذه البرامج تبادل المعلومات على نطاق البلد بشأن المساواة بين الجنسين ومشاركة المرأة في التنمية وزيادة الوعي العام بشأن القضاء على التمييز والعنف ضد المرأة. وبثت ثمانية برامج في عام 2009 تغطي مواضيع من قبيل </w:t>
      </w:r>
      <w:r>
        <w:rPr>
          <w:rFonts w:hint="cs"/>
          <w:rtl/>
        </w:rPr>
        <w:t>”</w:t>
      </w:r>
      <w:r>
        <w:rPr>
          <w:rtl/>
        </w:rPr>
        <w:t>ما</w:t>
      </w:r>
      <w:r>
        <w:rPr>
          <w:rFonts w:hint="cs"/>
          <w:rtl/>
        </w:rPr>
        <w:t> </w:t>
      </w:r>
      <w:r>
        <w:rPr>
          <w:rtl/>
        </w:rPr>
        <w:t>هي اتفاقية القضاء على جميع أشكال التمييز ضد المرأة</w:t>
      </w:r>
      <w:r>
        <w:rPr>
          <w:rFonts w:hint="cs"/>
          <w:rtl/>
        </w:rPr>
        <w:t>“</w:t>
      </w:r>
      <w:r>
        <w:rPr>
          <w:rtl/>
        </w:rPr>
        <w:t>، و</w:t>
      </w:r>
      <w:r>
        <w:rPr>
          <w:rFonts w:hint="cs"/>
          <w:rtl/>
        </w:rPr>
        <w:t> </w:t>
      </w:r>
      <w:r>
        <w:rPr>
          <w:rFonts w:hint="eastAsia"/>
          <w:rtl/>
        </w:rPr>
        <w:t>”</w:t>
      </w:r>
      <w:r>
        <w:rPr>
          <w:rtl/>
        </w:rPr>
        <w:t>مشاركة المرأة في التدريب</w:t>
      </w:r>
      <w:r>
        <w:rPr>
          <w:rFonts w:hint="cs"/>
          <w:rtl/>
        </w:rPr>
        <w:t> </w:t>
      </w:r>
      <w:r>
        <w:rPr>
          <w:rtl/>
        </w:rPr>
        <w:t>المهني</w:t>
      </w:r>
      <w:r>
        <w:rPr>
          <w:rFonts w:hint="cs"/>
          <w:rtl/>
        </w:rPr>
        <w:t xml:space="preserve">“ </w:t>
      </w:r>
      <w:r>
        <w:rPr>
          <w:rtl/>
        </w:rPr>
        <w:t>و</w:t>
      </w:r>
      <w:r>
        <w:rPr>
          <w:rFonts w:hint="cs"/>
          <w:rtl/>
        </w:rPr>
        <w:t> </w:t>
      </w:r>
      <w:r>
        <w:rPr>
          <w:rFonts w:hint="eastAsia"/>
          <w:rtl/>
        </w:rPr>
        <w:t>”</w:t>
      </w:r>
      <w:r>
        <w:rPr>
          <w:rtl/>
        </w:rPr>
        <w:t>العنف الجنساني</w:t>
      </w:r>
      <w:r>
        <w:rPr>
          <w:rFonts w:hint="cs"/>
          <w:rtl/>
        </w:rPr>
        <w:t>“</w:t>
      </w:r>
      <w:r>
        <w:rPr>
          <w:rtl/>
        </w:rPr>
        <w:t xml:space="preserve"> و</w:t>
      </w:r>
      <w:r>
        <w:rPr>
          <w:rFonts w:hint="eastAsia"/>
          <w:rtl/>
        </w:rPr>
        <w:t> ”</w:t>
      </w:r>
      <w:r>
        <w:rPr>
          <w:rtl/>
        </w:rPr>
        <w:t>المرأة الريفية والتنمية</w:t>
      </w:r>
      <w:r>
        <w:rPr>
          <w:rFonts w:hint="cs"/>
          <w:rtl/>
        </w:rPr>
        <w:t>“</w:t>
      </w:r>
      <w:r>
        <w:rPr>
          <w:rtl/>
        </w:rPr>
        <w:t>، و</w:t>
      </w:r>
      <w:r>
        <w:rPr>
          <w:rFonts w:hint="eastAsia"/>
          <w:rtl/>
        </w:rPr>
        <w:t> ”</w:t>
      </w:r>
      <w:r>
        <w:rPr>
          <w:rtl/>
        </w:rPr>
        <w:t>النساء كقائدات للمجتمع</w:t>
      </w:r>
      <w:r>
        <w:rPr>
          <w:rFonts w:hint="cs"/>
          <w:rtl/>
        </w:rPr>
        <w:t> </w:t>
      </w:r>
      <w:r>
        <w:rPr>
          <w:rtl/>
        </w:rPr>
        <w:t>المحلي</w:t>
      </w:r>
      <w:r>
        <w:rPr>
          <w:rFonts w:hint="cs"/>
          <w:rtl/>
        </w:rPr>
        <w:t>“</w:t>
      </w:r>
      <w:r w:rsidRPr="00047C73">
        <w:rPr>
          <w:vertAlign w:val="superscript"/>
          <w:rtl/>
        </w:rPr>
        <w:t>(</w:t>
      </w:r>
      <w:r w:rsidRPr="00047C73">
        <w:rPr>
          <w:rStyle w:val="FootnoteReference"/>
          <w:szCs w:val="30"/>
          <w:rtl/>
        </w:rPr>
        <w:footnoteReference w:id="22"/>
      </w:r>
      <w:r w:rsidRPr="00047C73">
        <w:rPr>
          <w:vertAlign w:val="superscript"/>
          <w:rtl/>
        </w:rPr>
        <w:t>)</w:t>
      </w:r>
      <w:r>
        <w:rPr>
          <w:rFonts w:hint="cs"/>
          <w:rtl/>
        </w:rPr>
        <w:t>.</w:t>
      </w:r>
    </w:p>
    <w:p w:rsidR="00CE34C8" w:rsidRDefault="00CE34C8" w:rsidP="00CE34C8">
      <w:pPr>
        <w:pStyle w:val="SingleTxt"/>
        <w:rPr>
          <w:rtl/>
        </w:rPr>
      </w:pPr>
      <w:r>
        <w:rPr>
          <w:rtl/>
        </w:rPr>
        <w:t>46 -</w:t>
      </w:r>
      <w:r>
        <w:rPr>
          <w:rtl/>
        </w:rPr>
        <w:tab/>
        <w:t>وجرى العمل بمذكرة التفاهم هذه على أساس سنوي ومددت حتى عام</w:t>
      </w:r>
      <w:r>
        <w:rPr>
          <w:rFonts w:hint="cs"/>
          <w:rtl/>
        </w:rPr>
        <w:t> </w:t>
      </w:r>
      <w:r>
        <w:rPr>
          <w:rtl/>
        </w:rPr>
        <w:t>2012. ومما</w:t>
      </w:r>
      <w:r>
        <w:rPr>
          <w:rFonts w:hint="cs"/>
          <w:rtl/>
        </w:rPr>
        <w:t> </w:t>
      </w:r>
      <w:r>
        <w:rPr>
          <w:rtl/>
        </w:rPr>
        <w:t>يؤسف له أن تغير الإدارة في تلفزيون تيمور -</w:t>
      </w:r>
      <w:r>
        <w:rPr>
          <w:rFonts w:hint="cs"/>
          <w:rtl/>
        </w:rPr>
        <w:t xml:space="preserve"> </w:t>
      </w:r>
      <w:r>
        <w:rPr>
          <w:rtl/>
        </w:rPr>
        <w:t>ليشتي وزيادة أسعار الخدمات التي يقدمها حالا دون استمرار الوزارة في الالتزام بمذكرة التفاهم. ومع ذلك، أجرت الوزارة سلسلة من المناقشات التلفزيونية بمناسبة الانتخابات الوطنية في عام</w:t>
      </w:r>
      <w:r>
        <w:rPr>
          <w:rFonts w:hint="cs"/>
          <w:rtl/>
        </w:rPr>
        <w:t> </w:t>
      </w:r>
      <w:r>
        <w:rPr>
          <w:rtl/>
        </w:rPr>
        <w:t>2012 باستخدام محطة التلفزيون المعروفة باسم صوت تيمور</w:t>
      </w:r>
      <w:r>
        <w:rPr>
          <w:rFonts w:hint="cs"/>
          <w:rtl/>
        </w:rPr>
        <w:t xml:space="preserve"> - </w:t>
      </w:r>
      <w:r>
        <w:rPr>
          <w:rtl/>
        </w:rPr>
        <w:t>ليشتي</w:t>
      </w:r>
      <w:r w:rsidRPr="00047C73">
        <w:rPr>
          <w:vertAlign w:val="superscript"/>
          <w:rtl/>
        </w:rPr>
        <w:t>(</w:t>
      </w:r>
      <w:r w:rsidRPr="00047C73">
        <w:rPr>
          <w:rStyle w:val="FootnoteReference"/>
          <w:szCs w:val="30"/>
          <w:rtl/>
        </w:rPr>
        <w:footnoteReference w:id="23"/>
      </w:r>
      <w:r w:rsidRPr="00047C73">
        <w:rPr>
          <w:vertAlign w:val="superscript"/>
          <w:rtl/>
        </w:rPr>
        <w:t>)</w:t>
      </w:r>
      <w:r>
        <w:rPr>
          <w:rFonts w:hint="cs"/>
          <w:rtl/>
        </w:rPr>
        <w:t>.</w:t>
      </w:r>
    </w:p>
    <w:p w:rsidR="00CE34C8" w:rsidRDefault="00CE34C8" w:rsidP="00CE34C8">
      <w:pPr>
        <w:pStyle w:val="SingleTxt"/>
        <w:rPr>
          <w:rtl/>
        </w:rPr>
      </w:pPr>
      <w:r>
        <w:rPr>
          <w:rtl/>
        </w:rPr>
        <w:t>47 -</w:t>
      </w:r>
      <w:r>
        <w:rPr>
          <w:rtl/>
        </w:rPr>
        <w:tab/>
        <w:t>وقامت الوزارة أيضا باستخدام الإذاعة في جهودها الرامية إلى تعزيز المساواة بين الجنسين. وبالشراكة مع مركز تيمور -</w:t>
      </w:r>
      <w:r>
        <w:rPr>
          <w:rFonts w:hint="cs"/>
          <w:rtl/>
        </w:rPr>
        <w:t xml:space="preserve"> </w:t>
      </w:r>
      <w:r>
        <w:rPr>
          <w:rtl/>
        </w:rPr>
        <w:t>ليشتي لتطوير وسائط الإعلام كانت جميع البرامج متعلقة بمشاركة المرأة في التنمية ولا</w:t>
      </w:r>
      <w:r>
        <w:rPr>
          <w:rFonts w:hint="cs"/>
          <w:rtl/>
        </w:rPr>
        <w:t> </w:t>
      </w:r>
      <w:r>
        <w:rPr>
          <w:rtl/>
        </w:rPr>
        <w:t>سيما في عمليات صنع القرارات المجتمعية. وبثت 4</w:t>
      </w:r>
      <w:r>
        <w:rPr>
          <w:rFonts w:hint="cs"/>
          <w:rtl/>
        </w:rPr>
        <w:t> </w:t>
      </w:r>
      <w:r>
        <w:rPr>
          <w:rtl/>
        </w:rPr>
        <w:t>برامج عن طريق محطات الإذاعات المحلية على مستوى المقاطعات حتى عام</w:t>
      </w:r>
      <w:r>
        <w:rPr>
          <w:rFonts w:hint="cs"/>
          <w:rtl/>
        </w:rPr>
        <w:t> </w:t>
      </w:r>
      <w:r>
        <w:rPr>
          <w:rtl/>
        </w:rPr>
        <w:t>2012.</w:t>
      </w:r>
    </w:p>
    <w:p w:rsidR="00CE34C8" w:rsidRPr="00264CA6" w:rsidRDefault="00CE34C8" w:rsidP="00CE34C8">
      <w:pPr>
        <w:pStyle w:val="SingleTxt"/>
        <w:spacing w:after="0" w:line="120" w:lineRule="exact"/>
        <w:rPr>
          <w:sz w:val="10"/>
          <w:rtl/>
        </w:rPr>
      </w:pPr>
    </w:p>
    <w:p w:rsidR="00CE34C8" w:rsidRPr="00A44507" w:rsidRDefault="00CE34C8" w:rsidP="00A4450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44507">
        <w:rPr>
          <w:rFonts w:hint="cs"/>
          <w:rtl/>
        </w:rPr>
        <w:tab/>
      </w:r>
      <w:r w:rsidRPr="00A44507">
        <w:rPr>
          <w:rFonts w:hint="cs"/>
          <w:rtl/>
        </w:rPr>
        <w:tab/>
      </w:r>
      <w:r w:rsidRPr="00A44507">
        <w:rPr>
          <w:rtl/>
        </w:rPr>
        <w:t>جمع البيانات وتحليلها</w:t>
      </w:r>
    </w:p>
    <w:p w:rsidR="00CE34C8" w:rsidRDefault="00CE34C8" w:rsidP="00CE34C8">
      <w:pPr>
        <w:pStyle w:val="SingleTxt"/>
        <w:rPr>
          <w:rtl/>
        </w:rPr>
      </w:pPr>
      <w:r>
        <w:rPr>
          <w:rtl/>
        </w:rPr>
        <w:t>48</w:t>
      </w:r>
      <w:r>
        <w:rPr>
          <w:rFonts w:hint="cs"/>
          <w:rtl/>
        </w:rPr>
        <w:t xml:space="preserve"> </w:t>
      </w:r>
      <w:r>
        <w:rPr>
          <w:rtl/>
        </w:rPr>
        <w:t>-</w:t>
      </w:r>
      <w:r>
        <w:rPr>
          <w:rtl/>
        </w:rPr>
        <w:tab/>
        <w:t xml:space="preserve">كانت المعلومات الإحصائية المتاحة عن حالة المرأة في جميع المجالات من المسائل المطروحة. فعلى سبيل المثال، كانت عملية جمع البيانات المتعلقة بإحدى القضايا الجنسانية الرئيسية في تيمور </w:t>
      </w:r>
      <w:r>
        <w:rPr>
          <w:rFonts w:hint="cs"/>
          <w:rtl/>
        </w:rPr>
        <w:t xml:space="preserve">- </w:t>
      </w:r>
      <w:r>
        <w:rPr>
          <w:rtl/>
        </w:rPr>
        <w:t>ليشتي</w:t>
      </w:r>
      <w:r>
        <w:rPr>
          <w:rFonts w:hint="cs"/>
          <w:rtl/>
        </w:rPr>
        <w:t xml:space="preserve"> </w:t>
      </w:r>
      <w:r>
        <w:rPr>
          <w:rtl/>
        </w:rPr>
        <w:t>-</w:t>
      </w:r>
      <w:r>
        <w:rPr>
          <w:rFonts w:hint="cs"/>
          <w:rtl/>
        </w:rPr>
        <w:t xml:space="preserve"> </w:t>
      </w:r>
      <w:r>
        <w:rPr>
          <w:rtl/>
        </w:rPr>
        <w:t>العنف المنزلي</w:t>
      </w:r>
      <w:r>
        <w:rPr>
          <w:rFonts w:hint="cs"/>
          <w:rtl/>
        </w:rPr>
        <w:t xml:space="preserve"> </w:t>
      </w:r>
      <w:r>
        <w:rPr>
          <w:rtl/>
        </w:rPr>
        <w:t>- مثالا لغياب نظام موحد لجمع البيانات المتعلقة بإحصاءات العنف الجنساني. ومع ذلك، يوفر آخر مصدرين للمعلومات الإحصائية تم</w:t>
      </w:r>
      <w:r>
        <w:rPr>
          <w:rFonts w:hint="cs"/>
          <w:rtl/>
        </w:rPr>
        <w:t> </w:t>
      </w:r>
      <w:r>
        <w:rPr>
          <w:rtl/>
        </w:rPr>
        <w:t xml:space="preserve">إطلاقهما مؤخرا، وهما الاستقصاء الديمغرافي والصحي لعام 2009/10 وتعداد السكان والمساكن لعام 2010 معظم البيانات المصنفة حسب نوع الجنس. </w:t>
      </w:r>
    </w:p>
    <w:p w:rsidR="00CE34C8" w:rsidRDefault="00CE34C8" w:rsidP="00CE34C8">
      <w:pPr>
        <w:pStyle w:val="SingleTxt"/>
        <w:rPr>
          <w:rtl/>
        </w:rPr>
      </w:pPr>
      <w:r>
        <w:rPr>
          <w:rtl/>
        </w:rPr>
        <w:t>49 -</w:t>
      </w:r>
      <w:r>
        <w:rPr>
          <w:rtl/>
        </w:rPr>
        <w:tab/>
        <w:t>في عام 2011 قامت الوزارة، بمساعدة من الشعبة الإحصائية التابعة للجنة الأمم المتحدة الاقتصادية والاجتماعية لآسيا والمحيط الهادئ، وبتمويل من مصرف التنمية الآسيوي، بوضع برنامج للإحصاءات الجنسانية، تضمن عقد حلقات عمل بشأن الإحصاءات الجنسانية المتصلة بالعنف الجنساني، والصحة، والتوظيف، فضلا عن استخدام قاعدة بيانات معلومات التنمية ذات الأهمية لتعزيز التحليل الجنساني من أجل وضع سياسات قائمة على الأدلة. ويجري حاليا تقييم القضايا الجنسانية على المستوى القطري بدعم إضافي من هيئة الأمم</w:t>
      </w:r>
      <w:r>
        <w:rPr>
          <w:rFonts w:hint="cs"/>
          <w:rtl/>
        </w:rPr>
        <w:t> </w:t>
      </w:r>
      <w:r>
        <w:rPr>
          <w:rtl/>
        </w:rPr>
        <w:t>المتحدة للمرأة.</w:t>
      </w:r>
    </w:p>
    <w:p w:rsidR="00CE34C8" w:rsidRDefault="00CE34C8" w:rsidP="00CE34C8">
      <w:pPr>
        <w:pStyle w:val="SingleTxt"/>
        <w:rPr>
          <w:rtl/>
        </w:rPr>
      </w:pPr>
      <w:r>
        <w:rPr>
          <w:rtl/>
        </w:rPr>
        <w:t>50</w:t>
      </w:r>
      <w:r>
        <w:rPr>
          <w:rFonts w:hint="cs"/>
          <w:rtl/>
        </w:rPr>
        <w:t xml:space="preserve"> -</w:t>
      </w:r>
      <w:r>
        <w:rPr>
          <w:rtl/>
        </w:rPr>
        <w:tab/>
        <w:t>والتعداد أداة هامة لرصد التقدم المحرز نحو تحقيق المساواة بين الجنسين. ومع تسجيل نوع الجنس الخاص لكل فرد من أفراد الأسر المعيشية فإنه يتيح إجراء التحليل الجنساني لبعض المجالات، مثل التعليم، والتوظيف، وتكوين الأسر المعيشية والسكن. وقد أعدت سلسلة من الدراسات المواضيعية في مجالات من قبيل القضايا الجنسانية والتعليم والخصوبة، والزواج، والقوة العاملة</w:t>
      </w:r>
      <w:r w:rsidRPr="00047C73">
        <w:rPr>
          <w:vertAlign w:val="superscript"/>
          <w:rtl/>
        </w:rPr>
        <w:t>(</w:t>
      </w:r>
      <w:r w:rsidRPr="00047C73">
        <w:rPr>
          <w:rStyle w:val="FootnoteReference"/>
          <w:szCs w:val="30"/>
          <w:rtl/>
        </w:rPr>
        <w:footnoteReference w:id="24"/>
      </w:r>
      <w:r w:rsidRPr="00047C73">
        <w:rPr>
          <w:vertAlign w:val="superscript"/>
          <w:rtl/>
        </w:rPr>
        <w:t>)</w:t>
      </w:r>
      <w:r>
        <w:rPr>
          <w:rtl/>
        </w:rPr>
        <w:t>. وكانت الوزارة جزءا من اللجنة التوجيهية المعنية بوضع التعداد وأتيحت لها فرصة إدراج بيانات محددة يتعين جمعها من قبيل البيانات المتعلقة بالأنشطة الاقتصادية الثانوية، من أجل حصر الإسهام الاقتصادي للنساء اللائي يقمن بواجباتهن كربات بيوت في المقام</w:t>
      </w:r>
      <w:r>
        <w:rPr>
          <w:rFonts w:hint="cs"/>
          <w:rtl/>
        </w:rPr>
        <w:t> </w:t>
      </w:r>
      <w:r>
        <w:rPr>
          <w:rtl/>
        </w:rPr>
        <w:t>الأول.</w:t>
      </w:r>
    </w:p>
    <w:p w:rsidR="00CE34C8" w:rsidRDefault="00CE34C8" w:rsidP="00CE34C8">
      <w:pPr>
        <w:pStyle w:val="SingleTxt"/>
        <w:rPr>
          <w:rtl/>
        </w:rPr>
      </w:pPr>
      <w:r>
        <w:rPr>
          <w:rtl/>
        </w:rPr>
        <w:t>51</w:t>
      </w:r>
      <w:r>
        <w:rPr>
          <w:rFonts w:hint="cs"/>
          <w:rtl/>
        </w:rPr>
        <w:t xml:space="preserve"> </w:t>
      </w:r>
      <w:r>
        <w:rPr>
          <w:rtl/>
        </w:rPr>
        <w:t>-</w:t>
      </w:r>
      <w:r>
        <w:rPr>
          <w:rtl/>
        </w:rPr>
        <w:tab/>
        <w:t>وفيما يتعلق بالاستقصاء الديمغرافي والصحي، تمثل الهدف الرئيسي في توفير بيانات حديثة وموثوقة فيما يتعلق بالخصوبة وتنظيم الأسرة ووفيات الأطفال، ووفيات الكبار والوفيات النفاسية، والحالة التغذوية للأطفال، والاستفادة من خدمات صحة الأم والطفل، والعنف الجنساني والإلمام بفيروس نقص المناعة البشرية/الإيدز</w:t>
      </w:r>
      <w:r w:rsidRPr="00047C73">
        <w:rPr>
          <w:vertAlign w:val="superscript"/>
          <w:rtl/>
        </w:rPr>
        <w:t>(</w:t>
      </w:r>
      <w:r w:rsidRPr="00047C73">
        <w:rPr>
          <w:rStyle w:val="FootnoteReference"/>
          <w:szCs w:val="30"/>
          <w:rtl/>
        </w:rPr>
        <w:footnoteReference w:id="25"/>
      </w:r>
      <w:r w:rsidRPr="00047C73">
        <w:rPr>
          <w:vertAlign w:val="superscript"/>
          <w:rtl/>
        </w:rPr>
        <w:t>)</w:t>
      </w:r>
      <w:r>
        <w:rPr>
          <w:rtl/>
        </w:rPr>
        <w:t>.</w:t>
      </w:r>
    </w:p>
    <w:p w:rsidR="00CE34C8" w:rsidRDefault="00CE34C8" w:rsidP="00A44507">
      <w:pPr>
        <w:pStyle w:val="SingleTxt"/>
        <w:rPr>
          <w:rFonts w:hint="cs"/>
          <w:rtl/>
        </w:rPr>
      </w:pPr>
      <w:r>
        <w:rPr>
          <w:rtl/>
        </w:rPr>
        <w:t>52 -</w:t>
      </w:r>
      <w:r>
        <w:rPr>
          <w:rtl/>
        </w:rPr>
        <w:tab/>
        <w:t>وتلتزم وزارة المالية من خلال مديرية الإحصاءات الوطنية التابعة لها بتعزيز كافة أشكال جمع البيانات المصنفة حسب نوع الجنس كما هو الحال في الدراسات الاستقصائية للقوى العاملة لعام 2010 التي تضمنت معلومات وافية عن المرأة في القوى العاملة</w:t>
      </w:r>
      <w:r w:rsidRPr="00E00656">
        <w:rPr>
          <w:vertAlign w:val="superscript"/>
          <w:rtl/>
        </w:rPr>
        <w:t>(</w:t>
      </w:r>
      <w:r w:rsidRPr="00E00656">
        <w:rPr>
          <w:rStyle w:val="FootnoteReference"/>
          <w:szCs w:val="30"/>
          <w:rtl/>
        </w:rPr>
        <w:footnoteReference w:id="26"/>
      </w:r>
      <w:r w:rsidRPr="00E00656">
        <w:rPr>
          <w:vertAlign w:val="superscript"/>
          <w:rtl/>
        </w:rPr>
        <w:t>)</w:t>
      </w:r>
      <w:r>
        <w:rPr>
          <w:rtl/>
        </w:rPr>
        <w:t>.</w:t>
      </w:r>
    </w:p>
    <w:p w:rsidR="00CE34C8" w:rsidRPr="00CE34C8" w:rsidRDefault="00CE34C8" w:rsidP="00CE34C8">
      <w:pPr>
        <w:pStyle w:val="SingleTxt"/>
        <w:spacing w:after="0" w:line="120" w:lineRule="exact"/>
        <w:rPr>
          <w:rFonts w:hint="cs"/>
          <w:sz w:val="10"/>
          <w:rtl/>
        </w:rPr>
      </w:pPr>
    </w:p>
    <w:p w:rsidR="00CE34C8" w:rsidRDefault="00CE34C8" w:rsidP="00CE34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الأهداف الإنمائية للألفية</w:t>
      </w:r>
    </w:p>
    <w:p w:rsidR="00CE34C8" w:rsidRDefault="00CE34C8" w:rsidP="00CE34C8">
      <w:pPr>
        <w:pStyle w:val="SingleTxt"/>
        <w:rPr>
          <w:rtl/>
        </w:rPr>
      </w:pPr>
      <w:r>
        <w:rPr>
          <w:rtl/>
        </w:rPr>
        <w:t>53 -</w:t>
      </w:r>
      <w:r>
        <w:rPr>
          <w:rtl/>
        </w:rPr>
        <w:tab/>
        <w:t>خطة تيمور</w:t>
      </w:r>
      <w:r>
        <w:rPr>
          <w:rFonts w:hint="cs"/>
          <w:rtl/>
        </w:rPr>
        <w:t xml:space="preserve"> </w:t>
      </w:r>
      <w:r>
        <w:rPr>
          <w:rtl/>
        </w:rPr>
        <w:t>- ليشتي الاستراتيجية الإنمائية للفترة 2011-2030 هي مجموعة</w:t>
      </w:r>
      <w:r>
        <w:rPr>
          <w:rFonts w:hint="cs"/>
          <w:rtl/>
        </w:rPr>
        <w:t> </w:t>
      </w:r>
      <w:r>
        <w:rPr>
          <w:rtl/>
        </w:rPr>
        <w:t>متكاملة من السياسات الاستراتيجية المتسقة مع الأهداف الإنمائية للألفية</w:t>
      </w:r>
      <w:r w:rsidRPr="00F62564">
        <w:rPr>
          <w:vertAlign w:val="superscript"/>
          <w:rtl/>
        </w:rPr>
        <w:t>(</w:t>
      </w:r>
      <w:r w:rsidRPr="00F62564">
        <w:rPr>
          <w:rStyle w:val="FootnoteReference"/>
          <w:szCs w:val="30"/>
          <w:rtl/>
        </w:rPr>
        <w:footnoteReference w:id="27"/>
      </w:r>
      <w:r w:rsidRPr="00F62564">
        <w:rPr>
          <w:vertAlign w:val="superscript"/>
          <w:rtl/>
        </w:rPr>
        <w:t>)</w:t>
      </w:r>
      <w:r>
        <w:rPr>
          <w:rtl/>
        </w:rPr>
        <w:t>. فتيمور</w:t>
      </w:r>
      <w:r>
        <w:rPr>
          <w:rFonts w:hint="eastAsia"/>
          <w:rtl/>
        </w:rPr>
        <w:t> </w:t>
      </w:r>
      <w:r>
        <w:rPr>
          <w:rtl/>
        </w:rPr>
        <w:t>- ليشتي تعطي الأولوية لبناء الدولة وبناء السلام باعتبارهما شاغلين من الشواغل الرئيسية التي يجب معالجتها ابتغاء تحقيق أهداف اجتماعية واقتصادية أخرى</w:t>
      </w:r>
      <w:r w:rsidRPr="00F62564">
        <w:rPr>
          <w:vertAlign w:val="superscript"/>
          <w:rtl/>
        </w:rPr>
        <w:t>(</w:t>
      </w:r>
      <w:r w:rsidRPr="00F62564">
        <w:rPr>
          <w:rStyle w:val="FootnoteReference"/>
          <w:szCs w:val="30"/>
          <w:rtl/>
        </w:rPr>
        <w:footnoteReference w:id="28"/>
      </w:r>
      <w:r w:rsidRPr="00F62564">
        <w:rPr>
          <w:vertAlign w:val="superscript"/>
          <w:rtl/>
        </w:rPr>
        <w:t>)</w:t>
      </w:r>
      <w:r>
        <w:rPr>
          <w:rtl/>
        </w:rPr>
        <w:t>.</w:t>
      </w:r>
    </w:p>
    <w:p w:rsidR="00CE34C8" w:rsidRDefault="00CE34C8" w:rsidP="00CE34C8">
      <w:pPr>
        <w:pStyle w:val="SingleTxt"/>
        <w:rPr>
          <w:rtl/>
        </w:rPr>
      </w:pPr>
      <w:r>
        <w:rPr>
          <w:rtl/>
        </w:rPr>
        <w:t>54 -</w:t>
      </w:r>
      <w:r>
        <w:rPr>
          <w:rtl/>
        </w:rPr>
        <w:tab/>
        <w:t>ولدى وزارة المالية أمانةٌ عامة معنية بالأهداف الإنمائية للألفية ولجنة توجيهية معنية بالأهداف الإنمائية للألفية تترأسها صاحبة السعادة إميليا بيريس، في حين تتولّى الوزارات المختصة الرئيسية، بما في ذلك وزارة الدولة لتعزيز المساواة، مهام رصد وتحليل مدى التقدم المحرز في هذا الصدد، وإقرار أهداف جديدة لما بعد عام 2015</w:t>
      </w:r>
      <w:r w:rsidRPr="00452C19">
        <w:rPr>
          <w:vertAlign w:val="superscript"/>
          <w:rtl/>
        </w:rPr>
        <w:t>(</w:t>
      </w:r>
      <w:r w:rsidRPr="00452C19">
        <w:rPr>
          <w:rStyle w:val="FootnoteReference"/>
          <w:szCs w:val="30"/>
          <w:rtl/>
        </w:rPr>
        <w:footnoteReference w:id="29"/>
      </w:r>
      <w:r w:rsidRPr="00452C19">
        <w:rPr>
          <w:vertAlign w:val="superscript"/>
          <w:rtl/>
        </w:rPr>
        <w:t>)</w:t>
      </w:r>
      <w:r>
        <w:rPr>
          <w:rtl/>
        </w:rPr>
        <w:t>.</w:t>
      </w:r>
    </w:p>
    <w:p w:rsidR="00CE34C8" w:rsidRPr="00634AAA" w:rsidRDefault="00CE34C8" w:rsidP="00CE34C8">
      <w:pPr>
        <w:pStyle w:val="SingleTxt"/>
        <w:spacing w:after="0" w:line="120" w:lineRule="exact"/>
        <w:rPr>
          <w:sz w:val="10"/>
          <w:rtl/>
        </w:rPr>
      </w:pPr>
    </w:p>
    <w:p w:rsidR="00CE34C8" w:rsidRPr="00634AAA" w:rsidRDefault="00CE34C8" w:rsidP="00CE34C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634AAA">
        <w:rPr>
          <w:rFonts w:hint="cs"/>
          <w:rtl/>
        </w:rPr>
        <w:tab/>
      </w:r>
      <w:r w:rsidRPr="00634AAA">
        <w:rPr>
          <w:rFonts w:hint="cs"/>
          <w:rtl/>
        </w:rPr>
        <w:tab/>
      </w:r>
      <w:r w:rsidRPr="00634AAA">
        <w:rPr>
          <w:rtl/>
        </w:rPr>
        <w:t>المشاورات الوطنية بشأن الأهداف الإنمائية للألفية لما بعد عام 2015</w:t>
      </w:r>
    </w:p>
    <w:p w:rsidR="00CE34C8" w:rsidRDefault="00CE34C8" w:rsidP="00CE34C8">
      <w:pPr>
        <w:pStyle w:val="SingleTxt"/>
        <w:rPr>
          <w:rtl/>
        </w:rPr>
      </w:pPr>
      <w:r>
        <w:rPr>
          <w:rtl/>
        </w:rPr>
        <w:t>55 -</w:t>
      </w:r>
      <w:r>
        <w:rPr>
          <w:rtl/>
        </w:rPr>
        <w:tab/>
        <w:t>وزيرة المالية الحالية، صاحبة السعادة إميليا بيريس، عضو في فريق الشخصيات البارزة الرفيع المستوى المعني بتقديم المشورة إلى الأمم المتحدة بشأن خطة التنمية لما</w:t>
      </w:r>
      <w:r>
        <w:rPr>
          <w:rFonts w:hint="cs"/>
          <w:rtl/>
        </w:rPr>
        <w:t> </w:t>
      </w:r>
      <w:r>
        <w:rPr>
          <w:rtl/>
        </w:rPr>
        <w:t>بعد</w:t>
      </w:r>
      <w:r>
        <w:rPr>
          <w:rFonts w:hint="cs"/>
          <w:rtl/>
        </w:rPr>
        <w:t> </w:t>
      </w:r>
      <w:r>
        <w:rPr>
          <w:rtl/>
        </w:rPr>
        <w:t>عام</w:t>
      </w:r>
      <w:r>
        <w:rPr>
          <w:rFonts w:hint="cs"/>
          <w:rtl/>
        </w:rPr>
        <w:t> </w:t>
      </w:r>
      <w:r>
        <w:rPr>
          <w:rtl/>
        </w:rPr>
        <w:t>2015</w:t>
      </w:r>
      <w:r w:rsidRPr="00452C19">
        <w:rPr>
          <w:vertAlign w:val="superscript"/>
          <w:rtl/>
        </w:rPr>
        <w:t>(</w:t>
      </w:r>
      <w:r w:rsidRPr="00452C19">
        <w:rPr>
          <w:rStyle w:val="FootnoteReference"/>
          <w:szCs w:val="30"/>
          <w:rtl/>
        </w:rPr>
        <w:footnoteReference w:id="30"/>
      </w:r>
      <w:r w:rsidRPr="00452C19">
        <w:rPr>
          <w:vertAlign w:val="superscript"/>
          <w:rtl/>
        </w:rPr>
        <w:t>)</w:t>
      </w:r>
      <w:r>
        <w:rPr>
          <w:rtl/>
        </w:rPr>
        <w:t>. وتسهم حكومة تيمور</w:t>
      </w:r>
      <w:r>
        <w:rPr>
          <w:rFonts w:hint="cs"/>
          <w:rtl/>
        </w:rPr>
        <w:t xml:space="preserve"> </w:t>
      </w:r>
      <w:r>
        <w:rPr>
          <w:rtl/>
        </w:rPr>
        <w:t>- ليشتي بنشاط كبير في العملية التشاورية، بما</w:t>
      </w:r>
      <w:r>
        <w:rPr>
          <w:rFonts w:hint="cs"/>
          <w:rtl/>
        </w:rPr>
        <w:t> </w:t>
      </w:r>
      <w:r>
        <w:rPr>
          <w:rtl/>
        </w:rPr>
        <w:t>في ذلك وزارة الدولة لتعزيز المساواة وطائفة واسعة من منظمات المجتمع المدني وممثلي الإدارات اللامركزية لشؤون المقاطعات</w:t>
      </w:r>
      <w:r w:rsidRPr="00452C19">
        <w:rPr>
          <w:vertAlign w:val="superscript"/>
          <w:rtl/>
        </w:rPr>
        <w:t>(</w:t>
      </w:r>
      <w:r w:rsidRPr="00452C19">
        <w:rPr>
          <w:rStyle w:val="FootnoteReference"/>
          <w:szCs w:val="30"/>
          <w:rtl/>
        </w:rPr>
        <w:footnoteReference w:id="31"/>
      </w:r>
      <w:r w:rsidRPr="00452C19">
        <w:rPr>
          <w:vertAlign w:val="superscript"/>
          <w:rtl/>
        </w:rPr>
        <w:t>)</w:t>
      </w:r>
      <w:r>
        <w:rPr>
          <w:rtl/>
        </w:rPr>
        <w:t>.</w:t>
      </w:r>
    </w:p>
    <w:p w:rsidR="00CE34C8" w:rsidRPr="00634AAA" w:rsidRDefault="00CE34C8" w:rsidP="00CE34C8">
      <w:pPr>
        <w:pStyle w:val="SingleTxt"/>
        <w:spacing w:after="0" w:line="120" w:lineRule="exact"/>
        <w:rPr>
          <w:sz w:val="10"/>
          <w:rtl/>
        </w:rPr>
      </w:pPr>
    </w:p>
    <w:p w:rsidR="00CE34C8" w:rsidRPr="00634AAA" w:rsidRDefault="00CE34C8" w:rsidP="003C1BD3">
      <w:pPr>
        <w:pStyle w:val="H1"/>
        <w:keepNext/>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634AAA">
        <w:rPr>
          <w:rFonts w:hint="cs"/>
          <w:rtl/>
        </w:rPr>
        <w:tab/>
      </w:r>
      <w:r w:rsidRPr="00634AAA">
        <w:rPr>
          <w:rFonts w:hint="cs"/>
          <w:rtl/>
        </w:rPr>
        <w:tab/>
      </w:r>
      <w:r w:rsidRPr="00634AAA">
        <w:rPr>
          <w:rtl/>
        </w:rPr>
        <w:t>المادة 3: ضمان حقوق الإنسان والحريات الأساسية</w:t>
      </w:r>
    </w:p>
    <w:p w:rsidR="00CE34C8" w:rsidRDefault="00CE34C8" w:rsidP="00CE34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تعميم اتفاقية القضاء على جميع أشكال التمييز ضد المرأة والوثائق ذات الصلة بها</w:t>
      </w:r>
    </w:p>
    <w:p w:rsidR="00CE34C8" w:rsidRDefault="00CE34C8" w:rsidP="00CE34C8">
      <w:pPr>
        <w:pStyle w:val="SingleTxt"/>
        <w:rPr>
          <w:rtl/>
        </w:rPr>
      </w:pPr>
      <w:r>
        <w:rPr>
          <w:rtl/>
        </w:rPr>
        <w:t>56 -</w:t>
      </w:r>
      <w:r>
        <w:rPr>
          <w:rtl/>
        </w:rPr>
        <w:tab/>
        <w:t>سعياً إلى توسيع نطاق التعميم، صدرت اتفاقية القضاء على جميع أشكال التمييز ضد المرأة وبروتوكولها الاختياري وما أُبدي عليها من ملاحظات ختامية وقُدّم بشأنها من توصيات عامة معينة، والتي تُرجمت إلى لغة تيتوم (</w:t>
      </w:r>
      <w:r>
        <w:t>Tetum</w:t>
      </w:r>
      <w:r>
        <w:rPr>
          <w:rtl/>
        </w:rPr>
        <w:t>) المحلية، في شكل كتيبات ووُزّعت على الصعيد الوطني وصعيد المقاطعات، بما في ذلك الوزارات المختصة ومنظمات المجتمع المدني والجماعات النسائية والطلاب والأوساط الأكاديمية والسلطات المحلية، بما في ذلك وُجهاء القبائل والقبائل الصغرى، والزعماء التقليديين، وفئات الشباب، والشرطة، والجهات الفاعلة الدينية، والمجتمع المحلي عموما، في الفترة بين عامي 2009 و 2012. وقد جرى نشر هذه المعلومات بالتعاون مع هيئة الأمم المتحدة للمرأة وصندوق الأمم المتحدة للسكان وبعثة الأمم المتحدة المتكاملة في تيمور - ليشتي وبرنامج الأمم المتحدة الإنمائي والمنظمة الدولية للهجرة</w:t>
      </w:r>
      <w:r w:rsidRPr="00452C19">
        <w:rPr>
          <w:vertAlign w:val="superscript"/>
          <w:rtl/>
        </w:rPr>
        <w:t>(</w:t>
      </w:r>
      <w:r w:rsidRPr="00452C19">
        <w:rPr>
          <w:rStyle w:val="FootnoteReference"/>
          <w:szCs w:val="30"/>
          <w:rtl/>
        </w:rPr>
        <w:footnoteReference w:id="32"/>
      </w:r>
      <w:r w:rsidRPr="00452C19">
        <w:rPr>
          <w:vertAlign w:val="superscript"/>
          <w:rtl/>
        </w:rPr>
        <w:t>)</w:t>
      </w:r>
      <w:r>
        <w:rPr>
          <w:rtl/>
        </w:rPr>
        <w:t>.</w:t>
      </w:r>
    </w:p>
    <w:p w:rsidR="00CE34C8" w:rsidRDefault="00CE34C8" w:rsidP="00CE34C8">
      <w:pPr>
        <w:pStyle w:val="SingleTxt"/>
        <w:rPr>
          <w:rtl/>
        </w:rPr>
      </w:pPr>
      <w:r>
        <w:rPr>
          <w:rtl/>
        </w:rPr>
        <w:t>57 -</w:t>
      </w:r>
      <w:r>
        <w:rPr>
          <w:rtl/>
        </w:rPr>
        <w:tab/>
        <w:t>وبُسِّطت خمس توصيات عامة حددت باعتباره</w:t>
      </w:r>
      <w:r>
        <w:rPr>
          <w:rFonts w:hint="cs"/>
          <w:rtl/>
        </w:rPr>
        <w:t>ــ</w:t>
      </w:r>
      <w:r>
        <w:rPr>
          <w:rtl/>
        </w:rPr>
        <w:t>ا ذات صلة خ</w:t>
      </w:r>
      <w:r>
        <w:rPr>
          <w:rFonts w:hint="cs"/>
          <w:rtl/>
        </w:rPr>
        <w:t>ـ</w:t>
      </w:r>
      <w:r>
        <w:rPr>
          <w:rtl/>
        </w:rPr>
        <w:t>اص</w:t>
      </w:r>
      <w:r>
        <w:rPr>
          <w:rFonts w:hint="cs"/>
          <w:rtl/>
        </w:rPr>
        <w:t>ـ</w:t>
      </w:r>
      <w:r>
        <w:rPr>
          <w:rtl/>
        </w:rPr>
        <w:t>ة بس</w:t>
      </w:r>
      <w:r>
        <w:rPr>
          <w:rFonts w:hint="cs"/>
          <w:rtl/>
        </w:rPr>
        <w:t>ــ</w:t>
      </w:r>
      <w:r>
        <w:rPr>
          <w:rtl/>
        </w:rPr>
        <w:t>ياق تيمور</w:t>
      </w:r>
      <w:r>
        <w:rPr>
          <w:rFonts w:hint="cs"/>
          <w:rtl/>
        </w:rPr>
        <w:t> </w:t>
      </w:r>
      <w:r>
        <w:rPr>
          <w:rtl/>
        </w:rPr>
        <w:t>- ليشتي (التوصيات العامة 16 و 19 و 21 و 24 و 28) وتُرجمت إلى لغة تيتوم في أواخر عام 2012 لغرض نشرها</w:t>
      </w:r>
      <w:r w:rsidRPr="00452C19">
        <w:rPr>
          <w:vertAlign w:val="superscript"/>
          <w:rtl/>
        </w:rPr>
        <w:t>(</w:t>
      </w:r>
      <w:r w:rsidRPr="00452C19">
        <w:rPr>
          <w:rStyle w:val="FootnoteReference"/>
          <w:szCs w:val="30"/>
          <w:rtl/>
        </w:rPr>
        <w:footnoteReference w:id="33"/>
      </w:r>
      <w:r w:rsidRPr="00452C19">
        <w:rPr>
          <w:vertAlign w:val="superscript"/>
          <w:rtl/>
        </w:rPr>
        <w:t>)</w:t>
      </w:r>
      <w:r>
        <w:rPr>
          <w:rtl/>
        </w:rPr>
        <w:t>.</w:t>
      </w:r>
    </w:p>
    <w:p w:rsidR="00CE34C8" w:rsidRPr="00634AAA" w:rsidRDefault="00CE34C8" w:rsidP="00CE34C8">
      <w:pPr>
        <w:pStyle w:val="SingleTxt"/>
        <w:spacing w:after="0" w:line="120" w:lineRule="exact"/>
        <w:rPr>
          <w:sz w:val="10"/>
          <w:rtl/>
        </w:rPr>
      </w:pPr>
    </w:p>
    <w:p w:rsidR="00CE34C8" w:rsidRPr="00634AAA" w:rsidRDefault="00CE34C8" w:rsidP="00CE34C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634AAA">
        <w:rPr>
          <w:rFonts w:hint="cs"/>
          <w:rtl/>
        </w:rPr>
        <w:tab/>
      </w:r>
      <w:r w:rsidRPr="00634AAA">
        <w:rPr>
          <w:rFonts w:hint="cs"/>
          <w:rtl/>
        </w:rPr>
        <w:tab/>
      </w:r>
      <w:r w:rsidRPr="00634AAA">
        <w:rPr>
          <w:rtl/>
        </w:rPr>
        <w:t>تعميم الملاحظات الختامية</w:t>
      </w:r>
    </w:p>
    <w:p w:rsidR="00CE34C8" w:rsidRDefault="00CE34C8" w:rsidP="00CE34C8">
      <w:pPr>
        <w:pStyle w:val="SingleTxt"/>
        <w:rPr>
          <w:rFonts w:hint="cs"/>
          <w:rtl/>
        </w:rPr>
      </w:pPr>
      <w:r>
        <w:rPr>
          <w:rtl/>
        </w:rPr>
        <w:t>58 -</w:t>
      </w:r>
      <w:r>
        <w:rPr>
          <w:rtl/>
        </w:rPr>
        <w:tab/>
        <w:t>عقب إصدار اللجنة ملاحظاتها الختامية على التقرير الأولي الذي أعدّ</w:t>
      </w:r>
      <w:r>
        <w:rPr>
          <w:rFonts w:hint="cs"/>
          <w:rtl/>
        </w:rPr>
        <w:t>ت</w:t>
      </w:r>
      <w:r>
        <w:rPr>
          <w:rtl/>
        </w:rPr>
        <w:t>ه الدولة، دأبت وزارة الدولة لتعزيز المساواة على بذل جهود فعالة في قيادة جهود تعميم تلك الملاحظات منذ أواخر عام 2009 إلى الآن. وجدير بالذكر أن دورة استثنائية عن تلك الملاحظات الختامية قد عُقدت لصالح مجلس الوزراء في تشرين الثاني/نوفمبر 2009 بدعم من براميلا</w:t>
      </w:r>
      <w:r>
        <w:rPr>
          <w:rFonts w:hint="cs"/>
          <w:rtl/>
        </w:rPr>
        <w:t> </w:t>
      </w:r>
      <w:r>
        <w:rPr>
          <w:rtl/>
        </w:rPr>
        <w:t xml:space="preserve">باتن، العضو في اللجنة المعنية بالقضاء على التمييز ضد المرأة. وبُسِّطت أيضا الملاحظات الختامية بحيث صدرت في شكل كتيبات ووُجّهت إلى جميع الوزارات المختصة ووزارات الدولة والشرطة والجيش والفئات المجتمعية. وعقد وفد تيمور - ليشتي المعني بالقضاء على التمييز ضد المرأة لدى عودته من نيويورك مؤتمرا صحفيا عرض أثناءه تلك الملاحظات الختامية على المجتمع المحلي عموما. واضطُلع بمزيد من أنشطة الدعوة في هذا الصدد عبر وسائط الإعلام والنشرات الإخبارية الأسبوعية والبرامج الإذاعية والمناقشات المنتظمة والبرامج الحوارية التلفزيونية في الفترة بين عامي 2009 و 2011. وعُقدت في عام 2009 حلقات عمل على الصعيد الوطني وصعيد المقاطعات عن الملاحظات الختامية لصالح البرلمانيات ومنسقي الشؤون الجنسانية الحكوميين سواء في مراكز التنسيق الوطنية أو في المقاطعات، وأعضاء شبكة </w:t>
      </w:r>
      <w:r>
        <w:rPr>
          <w:rFonts w:hint="cs"/>
          <w:rtl/>
        </w:rPr>
        <w:t>”</w:t>
      </w:r>
      <w:r>
        <w:rPr>
          <w:rtl/>
        </w:rPr>
        <w:t>ريدي</w:t>
      </w:r>
      <w:r>
        <w:rPr>
          <w:rFonts w:hint="cs"/>
          <w:rtl/>
        </w:rPr>
        <w:t xml:space="preserve"> </w:t>
      </w:r>
      <w:r>
        <w:rPr>
          <w:rtl/>
        </w:rPr>
        <w:t>-</w:t>
      </w:r>
      <w:r>
        <w:rPr>
          <w:rFonts w:hint="cs"/>
          <w:rtl/>
        </w:rPr>
        <w:t xml:space="preserve"> </w:t>
      </w:r>
      <w:r>
        <w:rPr>
          <w:rtl/>
        </w:rPr>
        <w:t>فيتو</w:t>
      </w:r>
      <w:r>
        <w:rPr>
          <w:rFonts w:hint="cs"/>
          <w:rtl/>
        </w:rPr>
        <w:t>“</w:t>
      </w:r>
      <w:r>
        <w:rPr>
          <w:rtl/>
        </w:rPr>
        <w:t xml:space="preserve"> للمنظمات النسائية في تيمور - ليشتي ومجلس القرى النسائي وزعماء القرى والأوساط الأكاديمية ومنظمات المجتمع المدني</w:t>
      </w:r>
      <w:r w:rsidRPr="00452C19">
        <w:rPr>
          <w:vertAlign w:val="superscript"/>
          <w:rtl/>
        </w:rPr>
        <w:t>(</w:t>
      </w:r>
      <w:r w:rsidRPr="00452C19">
        <w:rPr>
          <w:rStyle w:val="FootnoteReference"/>
          <w:szCs w:val="30"/>
          <w:rtl/>
        </w:rPr>
        <w:footnoteReference w:id="34"/>
      </w:r>
      <w:r w:rsidRPr="00452C19">
        <w:rPr>
          <w:vertAlign w:val="superscript"/>
          <w:rtl/>
        </w:rPr>
        <w:t>)</w:t>
      </w:r>
      <w:r>
        <w:rPr>
          <w:rtl/>
        </w:rPr>
        <w:t>.</w:t>
      </w:r>
    </w:p>
    <w:p w:rsidR="00CE34C8" w:rsidRPr="00634AAA" w:rsidRDefault="00CE34C8" w:rsidP="00CE34C8">
      <w:pPr>
        <w:pStyle w:val="SingleTxt"/>
        <w:spacing w:after="0" w:line="120" w:lineRule="exact"/>
        <w:rPr>
          <w:sz w:val="10"/>
          <w:rtl/>
        </w:rPr>
      </w:pPr>
    </w:p>
    <w:p w:rsidR="00CE34C8" w:rsidRPr="00634AAA" w:rsidRDefault="00CE34C8" w:rsidP="00CE34C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634AAA">
        <w:rPr>
          <w:rFonts w:hint="cs"/>
          <w:rtl/>
        </w:rPr>
        <w:tab/>
      </w:r>
      <w:r w:rsidRPr="00634AAA">
        <w:rPr>
          <w:rFonts w:hint="cs"/>
          <w:rtl/>
        </w:rPr>
        <w:tab/>
      </w:r>
      <w:r w:rsidRPr="00634AAA">
        <w:rPr>
          <w:rtl/>
        </w:rPr>
        <w:t>مستوى وعي موظفي القضاء وإنفاذ القانون باتفاقية القضاء على جميع أشكال التمييز ضد</w:t>
      </w:r>
      <w:r>
        <w:rPr>
          <w:rFonts w:hint="cs"/>
          <w:rtl/>
        </w:rPr>
        <w:t> </w:t>
      </w:r>
      <w:r w:rsidRPr="00634AAA">
        <w:rPr>
          <w:rtl/>
        </w:rPr>
        <w:t>المرأة</w:t>
      </w:r>
    </w:p>
    <w:p w:rsidR="00CE34C8" w:rsidRDefault="00CE34C8" w:rsidP="00CE34C8">
      <w:pPr>
        <w:pStyle w:val="SingleTxt"/>
        <w:rPr>
          <w:rtl/>
        </w:rPr>
      </w:pPr>
      <w:r>
        <w:rPr>
          <w:rtl/>
        </w:rPr>
        <w:t>59 -</w:t>
      </w:r>
      <w:r>
        <w:rPr>
          <w:rtl/>
        </w:rPr>
        <w:tab/>
        <w:t>دأب مركز التدريب القانوني منذ عام 2008 على تنظيم التدريب في مجال حقوق الإنسان والمعاهدات من قبيل اتفاقية القضاء على جميع أشكال التمييز ضد المرأة والإعلان العالمي لحقوق الإنسان والعهد الدولي الخاص بالحقوق المدنية والسياسية والعهد الدولي الخاص بالحقوق الاقتصادية والاجتماعية والثقافية</w:t>
      </w:r>
      <w:r w:rsidRPr="00452C19">
        <w:rPr>
          <w:vertAlign w:val="superscript"/>
          <w:rtl/>
        </w:rPr>
        <w:t>(</w:t>
      </w:r>
      <w:r w:rsidRPr="00452C19">
        <w:rPr>
          <w:rStyle w:val="FootnoteReference"/>
          <w:szCs w:val="30"/>
          <w:rtl/>
        </w:rPr>
        <w:footnoteReference w:id="35"/>
      </w:r>
      <w:r w:rsidRPr="00452C19">
        <w:rPr>
          <w:vertAlign w:val="superscript"/>
          <w:rtl/>
        </w:rPr>
        <w:t>)</w:t>
      </w:r>
      <w:r>
        <w:rPr>
          <w:rtl/>
        </w:rPr>
        <w:t>. وإضافةً إلى ذلك، نظّمت المديرية الوطنية لحقوق الإنسان والمواطنة بوزارة العدل حلقات دراسية منتظمة لصالح المدعين العامين وموظفي المحاكم والمحامين العامين منذ عام 2007 تناولت اتفاقية القضاء على جميع أشكال التمييز ضد المرأة</w:t>
      </w:r>
      <w:r w:rsidRPr="00BC59D8">
        <w:rPr>
          <w:vertAlign w:val="superscript"/>
          <w:rtl/>
        </w:rPr>
        <w:t>(</w:t>
      </w:r>
      <w:r w:rsidRPr="00BC59D8">
        <w:rPr>
          <w:rStyle w:val="FootnoteReference"/>
          <w:szCs w:val="30"/>
          <w:rtl/>
        </w:rPr>
        <w:footnoteReference w:id="36"/>
      </w:r>
      <w:r w:rsidRPr="00BC59D8">
        <w:rPr>
          <w:vertAlign w:val="superscript"/>
          <w:rtl/>
        </w:rPr>
        <w:t>)</w:t>
      </w:r>
      <w:r>
        <w:rPr>
          <w:rtl/>
        </w:rPr>
        <w:t xml:space="preserve">. </w:t>
      </w:r>
    </w:p>
    <w:p w:rsidR="00CE34C8" w:rsidRDefault="00CE34C8" w:rsidP="00CE34C8">
      <w:pPr>
        <w:pStyle w:val="SingleTxt"/>
        <w:rPr>
          <w:rtl/>
        </w:rPr>
      </w:pPr>
      <w:r>
        <w:rPr>
          <w:rtl/>
        </w:rPr>
        <w:t>60 -</w:t>
      </w:r>
      <w:r>
        <w:rPr>
          <w:rtl/>
        </w:rPr>
        <w:tab/>
        <w:t>بيد أن عدة مدعين عامّين وطنيين ذكروا، خلال مرحلة جمع بيانات هذا التقرير، بأنهم لم يحضروا قط أي تدريب محدد بشأن اتفاقية القضاء على جميع أشكال التمييز ضد المرأة وبأنهم غير ملمّين بها</w:t>
      </w:r>
      <w:r w:rsidRPr="00BC59D8">
        <w:rPr>
          <w:vertAlign w:val="superscript"/>
          <w:rtl/>
        </w:rPr>
        <w:t>(</w:t>
      </w:r>
      <w:r w:rsidRPr="00BC59D8">
        <w:rPr>
          <w:rStyle w:val="FootnoteReference"/>
          <w:szCs w:val="30"/>
          <w:rtl/>
        </w:rPr>
        <w:footnoteReference w:id="37"/>
      </w:r>
      <w:r w:rsidRPr="00BC59D8">
        <w:rPr>
          <w:vertAlign w:val="superscript"/>
          <w:rtl/>
        </w:rPr>
        <w:t>)</w:t>
      </w:r>
      <w:r>
        <w:rPr>
          <w:rtl/>
        </w:rPr>
        <w:t>. ويعتري النقص البيانات المتعلقة بمعارف ومهارات موظفي القضاء وإنفاذ القانون فيما يتعلق بكيفية التعامل مع الاتفاقية. ولمعالجة هذا الوضع، طلب مركز التدريب القانوني من وزير الدولة لشؤون تعزيز المساواة أن يسنّ تدريبا منتظما على مسائل المساواة بين الجنسين لصالح جميع الجهات الفاعلة القضائية.</w:t>
      </w:r>
    </w:p>
    <w:p w:rsidR="00CE34C8" w:rsidRPr="00634AAA" w:rsidRDefault="00CE34C8" w:rsidP="00CE34C8">
      <w:pPr>
        <w:pStyle w:val="SingleTxt"/>
        <w:spacing w:after="0" w:line="120" w:lineRule="exact"/>
        <w:rPr>
          <w:sz w:val="10"/>
          <w:rtl/>
        </w:rPr>
      </w:pPr>
    </w:p>
    <w:p w:rsidR="00CE34C8" w:rsidRDefault="00CE34C8" w:rsidP="00CE34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العنف الجنساني</w:t>
      </w:r>
    </w:p>
    <w:p w:rsidR="00CE34C8" w:rsidRDefault="00CE34C8" w:rsidP="00CE34C8">
      <w:pPr>
        <w:pStyle w:val="SingleTxt"/>
        <w:rPr>
          <w:rtl/>
        </w:rPr>
      </w:pPr>
      <w:r>
        <w:rPr>
          <w:rtl/>
        </w:rPr>
        <w:t>61</w:t>
      </w:r>
      <w:r>
        <w:rPr>
          <w:rFonts w:hint="cs"/>
          <w:rtl/>
        </w:rPr>
        <w:t xml:space="preserve"> </w:t>
      </w:r>
      <w:r>
        <w:rPr>
          <w:rtl/>
        </w:rPr>
        <w:t>-</w:t>
      </w:r>
      <w:r>
        <w:rPr>
          <w:rtl/>
        </w:rPr>
        <w:tab/>
        <w:t>يشكّل ارتفاع معدل انتشار العنف الجنساني أحد التحديات الرئيسية الماثلة أمام إعادة بناء البلد وتنميته. فالعنف العائلي يمثّل أكثر أشكال العنف الجنساني شيوعا في تيمور</w:t>
      </w:r>
      <w:r>
        <w:rPr>
          <w:rFonts w:hint="cs"/>
          <w:rtl/>
        </w:rPr>
        <w:t> </w:t>
      </w:r>
      <w:r>
        <w:rPr>
          <w:rtl/>
        </w:rPr>
        <w:t xml:space="preserve">- ليشتي بل إنه يحول إلى حد كبير دون مشاركة المرأة مشاركة فعالة في التنمية بجميع جوانبها لأنه أحد مظاهر اللامساواة بين الجنسين وسبب من أسبابها كذلك. </w:t>
      </w:r>
    </w:p>
    <w:p w:rsidR="00CE34C8" w:rsidRDefault="00CE34C8" w:rsidP="00CE34C8">
      <w:pPr>
        <w:pStyle w:val="SingleTxt"/>
        <w:rPr>
          <w:rtl/>
        </w:rPr>
      </w:pPr>
      <w:r>
        <w:rPr>
          <w:rtl/>
        </w:rPr>
        <w:t>62 -</w:t>
      </w:r>
      <w:r>
        <w:rPr>
          <w:rtl/>
        </w:rPr>
        <w:tab/>
        <w:t>ورغم الافتقار إلى بيانات دقيقة، يتضح أن نسبة كبيرة من القضايا التي حُوكم المتهمون فيها عن طريق نظام العدل الرسمي ترتبط بالعنف الجنساني. ففي الفترة من</w:t>
      </w:r>
      <w:r>
        <w:rPr>
          <w:rFonts w:hint="cs"/>
          <w:rtl/>
        </w:rPr>
        <w:t> </w:t>
      </w:r>
      <w:r>
        <w:rPr>
          <w:rtl/>
        </w:rPr>
        <w:t xml:space="preserve">أيلول/سبتمبر 2009 إلى كانون الثاني/يناير 2010، شكّلت نسبة العنف العائلي نحو 60 في المائة من جميع الجرائم التي أُبلغت الشرطة بارتكابها. وقد يُعزى ذلك إلى أن القانون الجنائي لم يدخل حيز النفاذ إلا في حزيران/يونيه 2009، بحيث أصبح العنف العائلي، بموجبه، جريمة عامة وبسبب تشجيع السكان على الإبلاغ عن هذه الجرائم. </w:t>
      </w:r>
    </w:p>
    <w:p w:rsidR="00CE34C8" w:rsidRDefault="00CE34C8" w:rsidP="00CE34C8">
      <w:pPr>
        <w:pStyle w:val="SingleTxt"/>
        <w:rPr>
          <w:rtl/>
        </w:rPr>
      </w:pPr>
      <w:r>
        <w:rPr>
          <w:rtl/>
        </w:rPr>
        <w:t>63 -</w:t>
      </w:r>
      <w:r>
        <w:rPr>
          <w:rtl/>
        </w:rPr>
        <w:tab/>
        <w:t>ويؤكد الاستقصاء الديمغرافي والصحي التاريخ الطويل لقبول العنف العائلي بشتى أشكاله في ثقافة تيمور - ليشتي، حيث يُمنح الرجال الحقوق في حماية زوجاتهم وأطفالهم. والتحكم في شؤونهم فالتصرفات والمواقف من قبيل ضرب الزوجة والأطفال وعزل الزوجة عن الأنشطة الاجتماعية تُعتبر تصرفات ومواقف عادية ومقبولة ثقافيا، حتى في صفوف النساء أنفسهن. ويحجم الناس عن الحديث عن العنف العائلي، باعتبارها مسألة خصوصية. وتشكّل الجرائم الجنسية مثل الاغتصاب والاغتصاب الزوجي بعض أكثر المسائل المحرّمة التي كثيرا ما لا يُبلّغ عنها، ما يجعل من الصعوبة بمكان جمع بيانات دقيقة عنها</w:t>
      </w:r>
      <w:r w:rsidRPr="00BC59D8">
        <w:rPr>
          <w:vertAlign w:val="superscript"/>
          <w:rtl/>
        </w:rPr>
        <w:t>(</w:t>
      </w:r>
      <w:r w:rsidRPr="00BC59D8">
        <w:rPr>
          <w:rStyle w:val="FootnoteReference"/>
          <w:szCs w:val="30"/>
          <w:rtl/>
        </w:rPr>
        <w:footnoteReference w:id="38"/>
      </w:r>
      <w:r w:rsidRPr="00BC59D8">
        <w:rPr>
          <w:vertAlign w:val="superscript"/>
          <w:rtl/>
        </w:rPr>
        <w:t>)</w:t>
      </w:r>
      <w:r>
        <w:rPr>
          <w:rtl/>
        </w:rPr>
        <w:t>.</w:t>
      </w:r>
    </w:p>
    <w:p w:rsidR="00CE34C8" w:rsidRPr="00634AAA" w:rsidRDefault="00CE34C8" w:rsidP="00CE34C8">
      <w:pPr>
        <w:pStyle w:val="SingleTxt"/>
        <w:spacing w:after="0" w:line="120" w:lineRule="exact"/>
        <w:rPr>
          <w:sz w:val="10"/>
          <w:rtl/>
        </w:rPr>
      </w:pPr>
    </w:p>
    <w:p w:rsidR="00CE34C8" w:rsidRPr="00634AAA" w:rsidRDefault="00CE34C8" w:rsidP="00CE34C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634AAA">
        <w:rPr>
          <w:rFonts w:hint="cs"/>
          <w:rtl/>
        </w:rPr>
        <w:tab/>
      </w:r>
      <w:r w:rsidRPr="00634AAA">
        <w:rPr>
          <w:rFonts w:hint="cs"/>
          <w:rtl/>
        </w:rPr>
        <w:tab/>
      </w:r>
      <w:r w:rsidRPr="00634AAA">
        <w:rPr>
          <w:rtl/>
        </w:rPr>
        <w:t>بيانات عن العنف الجنساني ومسائل جمع البيانات</w:t>
      </w:r>
    </w:p>
    <w:p w:rsidR="00CE34C8" w:rsidRDefault="00CE34C8" w:rsidP="00CE34C8">
      <w:pPr>
        <w:pStyle w:val="SingleTxt"/>
        <w:rPr>
          <w:rtl/>
        </w:rPr>
      </w:pPr>
      <w:r>
        <w:rPr>
          <w:rtl/>
        </w:rPr>
        <w:t>64 -</w:t>
      </w:r>
      <w:r>
        <w:rPr>
          <w:rtl/>
        </w:rPr>
        <w:tab/>
        <w:t>قاس الاستقصاء الديمغرافي والصحي للفترة 2009-2010 للمرة الأولى معدل انتشار العنف العائلي. فقد كشف الاستقصاء أن 38 في المائة من النساء تعرضن لعنف بدني في حياتهن. وأفادت ما نسبته 74 في المائة من النساء اللائي سبق لهن الزواج وتعرّضن لعنف بدني أن أزواجهن أو مُعاشريهن الحاليين قد ارتكبوا العنف البدني بحقهن. وتعرضت امرأة من كل خمس نساء (أي ما نسبته 20 في المائة) لعنف بدني أو جنسي على أيدي أزواجهن ولحقت بهن إصابات جراء ذلك. وأكثر ما تتعرض له تلك النساء من إصابات شيوعا الجروح والكدمات والأوجاع</w:t>
      </w:r>
      <w:r w:rsidRPr="00BC59D8">
        <w:rPr>
          <w:vertAlign w:val="superscript"/>
          <w:rtl/>
        </w:rPr>
        <w:t>(</w:t>
      </w:r>
      <w:r w:rsidRPr="00BC59D8">
        <w:rPr>
          <w:rStyle w:val="FootnoteReference"/>
          <w:szCs w:val="30"/>
          <w:rtl/>
        </w:rPr>
        <w:footnoteReference w:id="39"/>
      </w:r>
      <w:r w:rsidRPr="00BC59D8">
        <w:rPr>
          <w:vertAlign w:val="superscript"/>
          <w:rtl/>
        </w:rPr>
        <w:t>)</w:t>
      </w:r>
      <w:r>
        <w:rPr>
          <w:rtl/>
        </w:rPr>
        <w:t>. وكشف الاستقصاء أن ثلث نساء تيمور - ليشتي تقريبا تعرضن لعنف بدني في الأشهر الاثني عشر الماضية (1 في المائة بوتيرة متكررة و 28 في المائة في بعض الأحيان)</w:t>
      </w:r>
      <w:r w:rsidRPr="00BC59D8">
        <w:rPr>
          <w:vertAlign w:val="superscript"/>
          <w:rtl/>
        </w:rPr>
        <w:t>(</w:t>
      </w:r>
      <w:r w:rsidRPr="00BC59D8">
        <w:rPr>
          <w:rStyle w:val="FootnoteReference"/>
          <w:szCs w:val="30"/>
          <w:rtl/>
        </w:rPr>
        <w:footnoteReference w:id="40"/>
      </w:r>
      <w:r w:rsidRPr="00BC59D8">
        <w:rPr>
          <w:vertAlign w:val="superscript"/>
          <w:rtl/>
        </w:rPr>
        <w:t>)</w:t>
      </w:r>
      <w:r>
        <w:rPr>
          <w:rtl/>
        </w:rPr>
        <w:t>.</w:t>
      </w:r>
    </w:p>
    <w:p w:rsidR="00CE34C8" w:rsidRDefault="00CE34C8" w:rsidP="00CE34C8">
      <w:pPr>
        <w:pStyle w:val="SingleTxt"/>
        <w:rPr>
          <w:rtl/>
        </w:rPr>
      </w:pPr>
      <w:r>
        <w:rPr>
          <w:rtl/>
        </w:rPr>
        <w:t>65 -</w:t>
      </w:r>
      <w:r>
        <w:rPr>
          <w:rtl/>
        </w:rPr>
        <w:tab/>
        <w:t>وكشف الاستقصاء الديمغرافي والصحي أيضا أن 3.4 في المائة من النساء تعرضن لعنف جنسي. وأهم مرتكبي العنف الجنسي الموجه ضد النساء اللائي سبق لهن الزواج هم الزوج/العشير الحالي (بنسبة 71 في المائة) أو السابق (بنسبة 9 في المائة)</w:t>
      </w:r>
      <w:r w:rsidRPr="00BC59D8">
        <w:rPr>
          <w:vertAlign w:val="superscript"/>
          <w:rtl/>
        </w:rPr>
        <w:t>(</w:t>
      </w:r>
      <w:r w:rsidRPr="00BC59D8">
        <w:rPr>
          <w:rStyle w:val="FootnoteReference"/>
          <w:szCs w:val="30"/>
          <w:rtl/>
        </w:rPr>
        <w:footnoteReference w:id="41"/>
      </w:r>
      <w:r w:rsidRPr="00BC59D8">
        <w:rPr>
          <w:vertAlign w:val="superscript"/>
          <w:rtl/>
        </w:rPr>
        <w:t>)</w:t>
      </w:r>
      <w:r>
        <w:rPr>
          <w:rtl/>
        </w:rPr>
        <w:t>.</w:t>
      </w:r>
    </w:p>
    <w:p w:rsidR="00CE34C8" w:rsidRDefault="00CE34C8" w:rsidP="00CE34C8">
      <w:pPr>
        <w:pStyle w:val="SingleTxt"/>
        <w:rPr>
          <w:rtl/>
        </w:rPr>
      </w:pPr>
      <w:r>
        <w:rPr>
          <w:rtl/>
        </w:rPr>
        <w:t>66</w:t>
      </w:r>
      <w:r>
        <w:rPr>
          <w:rFonts w:hint="cs"/>
          <w:rtl/>
        </w:rPr>
        <w:t xml:space="preserve"> </w:t>
      </w:r>
      <w:r>
        <w:rPr>
          <w:rtl/>
        </w:rPr>
        <w:t>-</w:t>
      </w:r>
      <w:r>
        <w:rPr>
          <w:rtl/>
        </w:rPr>
        <w:tab/>
        <w:t>والبيانات المتعلقة بالعنف الجنساني المبلغ عنها متاحة في سجلات الشرطة وبيانات غرف الطوارئ في المستشفيات وتقارير المحاكم ولدى مقدمي خدمات المنظمات غير الحكومية ووزارة التضامن الاجتماعي. إلا أن السجلات المحتفظ بها عن العنف الجنساني ليست موحدة، وهو ما يعيق القيام بتحليلها. فعلى سبيل المثال، تقدم قواعد البيانات المستمدة من مكتب المدعي العام، ومن أمين المظالم المعني بحقوق الإنسان والعدالة، ومن الوحدة المعنية بالضعفاء التابعة لشرطة تيمور - ليشتي الوطنية أرقاما متباينة إلى حد كبير، مما يبرز اختلاف النُهج المتبعة في جمعها. ويتطلب رصد اتجاهات العنف نظاما موحدا لجمع البيانات عنه والإبلاغ عن ارتكابه، بما في ذلك تسوية التحقيقات وإجراءات المحاكم</w:t>
      </w:r>
      <w:r w:rsidRPr="00BC59D8">
        <w:rPr>
          <w:vertAlign w:val="superscript"/>
          <w:rtl/>
        </w:rPr>
        <w:t>(</w:t>
      </w:r>
      <w:r w:rsidRPr="00BC59D8">
        <w:rPr>
          <w:rStyle w:val="FootnoteReference"/>
          <w:szCs w:val="30"/>
          <w:rtl/>
        </w:rPr>
        <w:footnoteReference w:id="42"/>
      </w:r>
      <w:r w:rsidRPr="00BC59D8">
        <w:rPr>
          <w:vertAlign w:val="superscript"/>
          <w:rtl/>
        </w:rPr>
        <w:t>)</w:t>
      </w:r>
      <w:r>
        <w:rPr>
          <w:rtl/>
        </w:rPr>
        <w:t xml:space="preserve"> (يرجى الرجوع إلى المرفقات - الجدول 1).</w:t>
      </w:r>
    </w:p>
    <w:p w:rsidR="00CE34C8" w:rsidRDefault="00CE34C8" w:rsidP="00CE34C8">
      <w:pPr>
        <w:pStyle w:val="SingleTxt"/>
        <w:rPr>
          <w:rtl/>
        </w:rPr>
      </w:pPr>
      <w:r>
        <w:rPr>
          <w:rtl/>
        </w:rPr>
        <w:t>67 -</w:t>
      </w:r>
      <w:r>
        <w:rPr>
          <w:rtl/>
        </w:rPr>
        <w:tab/>
        <w:t>ووفقا لما ورد في بيانات المدعي العام، بلغت حالات العنف العائلي التي سُجّلت ضمن الولاية القضائية لمنطقة ديلي وحدها (التي تشمل مقاطعات ديلي وأيلو وليكيتشا وإرميرا) 420 حالة في عام 2011 و 210 حالة في عام 2012 (الفترة حتى تشرين الثاني/نوفمبر). وحُوكم المتهمون في معظم تلك الحالات من العنف العائلي أمام المحاكم</w:t>
      </w:r>
      <w:r w:rsidRPr="00BC59D8">
        <w:rPr>
          <w:vertAlign w:val="superscript"/>
          <w:rtl/>
        </w:rPr>
        <w:t>(</w:t>
      </w:r>
      <w:r w:rsidRPr="00BC59D8">
        <w:rPr>
          <w:rStyle w:val="FootnoteReference"/>
          <w:szCs w:val="30"/>
          <w:rtl/>
        </w:rPr>
        <w:footnoteReference w:id="43"/>
      </w:r>
      <w:r w:rsidRPr="00BC59D8">
        <w:rPr>
          <w:vertAlign w:val="superscript"/>
          <w:rtl/>
        </w:rPr>
        <w:t>)</w:t>
      </w:r>
      <w:r>
        <w:rPr>
          <w:rtl/>
        </w:rPr>
        <w:t>. وأصدرت الوحدة المعنية بالضعفاء التابعة لشرطة تيمور</w:t>
      </w:r>
      <w:r>
        <w:rPr>
          <w:rFonts w:hint="cs"/>
          <w:rtl/>
        </w:rPr>
        <w:t xml:space="preserve"> </w:t>
      </w:r>
      <w:r>
        <w:rPr>
          <w:rtl/>
        </w:rPr>
        <w:t>- ليشتي الوطنية تقارير عن العنف ضد المرأة تبيّن أرقاما مختلفة</w:t>
      </w:r>
      <w:r w:rsidRPr="00BC59D8">
        <w:rPr>
          <w:vertAlign w:val="superscript"/>
          <w:rtl/>
        </w:rPr>
        <w:t>(</w:t>
      </w:r>
      <w:r w:rsidRPr="00BC59D8">
        <w:rPr>
          <w:rStyle w:val="FootnoteReference"/>
          <w:szCs w:val="30"/>
          <w:rtl/>
        </w:rPr>
        <w:footnoteReference w:id="44"/>
      </w:r>
      <w:r w:rsidRPr="00BC59D8">
        <w:rPr>
          <w:vertAlign w:val="superscript"/>
          <w:rtl/>
        </w:rPr>
        <w:t>)</w:t>
      </w:r>
      <w:r>
        <w:rPr>
          <w:rtl/>
        </w:rPr>
        <w:t xml:space="preserve"> (معظم الحالات التي عالجتها الوحدة سُجّلت في مكتب المدعي العام)</w:t>
      </w:r>
      <w:r w:rsidRPr="00BC59D8">
        <w:rPr>
          <w:vertAlign w:val="superscript"/>
          <w:rtl/>
        </w:rPr>
        <w:t>(</w:t>
      </w:r>
      <w:r w:rsidRPr="00BC59D8">
        <w:rPr>
          <w:rStyle w:val="FootnoteReference"/>
          <w:szCs w:val="30"/>
          <w:rtl/>
        </w:rPr>
        <w:footnoteReference w:id="45"/>
      </w:r>
      <w:r w:rsidRPr="00BC59D8">
        <w:rPr>
          <w:vertAlign w:val="superscript"/>
          <w:rtl/>
        </w:rPr>
        <w:t>)</w:t>
      </w:r>
      <w:r>
        <w:rPr>
          <w:rtl/>
        </w:rPr>
        <w:t>. وسجلت وزارة التضامن عن طريق إدارتها المعنية بحماية المرأة والأسر الضعيفة 36 حالة عنف عائلي و 24 حالة عنف جنسي و 16 حالة تحرش جنسي و 9</w:t>
      </w:r>
      <w:r>
        <w:rPr>
          <w:rFonts w:hint="cs"/>
          <w:rtl/>
        </w:rPr>
        <w:t> </w:t>
      </w:r>
      <w:r>
        <w:rPr>
          <w:rtl/>
        </w:rPr>
        <w:t>حالات من سفاح المحارم و 30 حالة من حالات هجر الزوجة، في الفترة بين عامي 2010 و 2012</w:t>
      </w:r>
      <w:r w:rsidRPr="00BC59D8">
        <w:rPr>
          <w:vertAlign w:val="superscript"/>
          <w:rtl/>
        </w:rPr>
        <w:t>(</w:t>
      </w:r>
      <w:r w:rsidRPr="00BC59D8">
        <w:rPr>
          <w:rStyle w:val="FootnoteReference"/>
          <w:szCs w:val="30"/>
          <w:rtl/>
        </w:rPr>
        <w:footnoteReference w:id="46"/>
      </w:r>
      <w:r w:rsidRPr="00BC59D8">
        <w:rPr>
          <w:vertAlign w:val="superscript"/>
          <w:rtl/>
        </w:rPr>
        <w:t>)</w:t>
      </w:r>
      <w:r>
        <w:rPr>
          <w:rtl/>
        </w:rPr>
        <w:t>.</w:t>
      </w:r>
    </w:p>
    <w:p w:rsidR="00CE34C8" w:rsidRPr="00634AAA" w:rsidRDefault="00CE34C8" w:rsidP="00CE34C8">
      <w:pPr>
        <w:pStyle w:val="SingleTxt"/>
        <w:spacing w:after="0" w:line="120" w:lineRule="exact"/>
        <w:rPr>
          <w:sz w:val="10"/>
          <w:rtl/>
        </w:rPr>
      </w:pPr>
    </w:p>
    <w:p w:rsidR="00CE34C8" w:rsidRPr="00C42C4C" w:rsidRDefault="00CE34C8" w:rsidP="00CE34C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42C4C">
        <w:rPr>
          <w:rFonts w:hint="cs"/>
          <w:rtl/>
        </w:rPr>
        <w:tab/>
      </w:r>
      <w:r w:rsidRPr="00C42C4C">
        <w:rPr>
          <w:rFonts w:hint="cs"/>
          <w:rtl/>
        </w:rPr>
        <w:tab/>
      </w:r>
      <w:r w:rsidRPr="00C42C4C">
        <w:rPr>
          <w:rtl/>
        </w:rPr>
        <w:t>تطور الإطار القانوني المتعلق بالعنف العائلي</w:t>
      </w:r>
    </w:p>
    <w:p w:rsidR="00CE34C8" w:rsidRDefault="00CE34C8" w:rsidP="00CE34C8">
      <w:pPr>
        <w:pStyle w:val="SingleTxt"/>
        <w:rPr>
          <w:rtl/>
        </w:rPr>
      </w:pPr>
      <w:r>
        <w:rPr>
          <w:rtl/>
        </w:rPr>
        <w:t>68 -</w:t>
      </w:r>
      <w:r>
        <w:rPr>
          <w:rtl/>
        </w:rPr>
        <w:tab/>
        <w:t>لا يزال الإطار القانوني العام في تيمور - ليشتي، منذ حصولها على الاستقلال، قيد الإعداد. ففي مجال العنف الجنساني، أُدخلت تحسينات كبيرة عليه منذ التقرير الأولي الذي أعدّته الدولة.</w:t>
      </w:r>
    </w:p>
    <w:p w:rsidR="00CE34C8" w:rsidRPr="00C42C4C" w:rsidRDefault="00CE34C8" w:rsidP="00CE34C8">
      <w:pPr>
        <w:pStyle w:val="SingleTxt"/>
        <w:spacing w:after="0" w:line="120" w:lineRule="exact"/>
        <w:rPr>
          <w:sz w:val="10"/>
          <w:rtl/>
        </w:rPr>
      </w:pPr>
    </w:p>
    <w:p w:rsidR="00CE34C8" w:rsidRPr="003C1BD3" w:rsidRDefault="00CE34C8" w:rsidP="00CE34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
          <w:iCs/>
          <w:rtl/>
        </w:rPr>
      </w:pPr>
      <w:r w:rsidRPr="003C1BD3">
        <w:rPr>
          <w:rFonts w:hint="cs"/>
          <w:i/>
          <w:iCs/>
          <w:rtl/>
        </w:rPr>
        <w:tab/>
      </w:r>
      <w:r w:rsidRPr="003C1BD3">
        <w:rPr>
          <w:rFonts w:hint="cs"/>
          <w:i/>
          <w:iCs/>
          <w:rtl/>
        </w:rPr>
        <w:tab/>
      </w:r>
      <w:r w:rsidRPr="003C1BD3">
        <w:rPr>
          <w:i/>
          <w:iCs/>
          <w:rtl/>
        </w:rPr>
        <w:t>القانون الجنائي</w:t>
      </w:r>
    </w:p>
    <w:p w:rsidR="00CE34C8" w:rsidRDefault="00CE34C8" w:rsidP="00CE34C8">
      <w:pPr>
        <w:pStyle w:val="SingleTxt"/>
        <w:rPr>
          <w:rtl/>
        </w:rPr>
      </w:pPr>
      <w:r>
        <w:rPr>
          <w:rtl/>
        </w:rPr>
        <w:t>69 -</w:t>
      </w:r>
      <w:r>
        <w:rPr>
          <w:rtl/>
        </w:rPr>
        <w:tab/>
        <w:t>أصبح العنف العائلي جريمة عامة عقِب سنّ القانون الجنائي في آذار/مارس 2009، الذي يكفل عدم رهن الإجراءات الجنائية بشكوى رسمية من المجني عليهم ويُلزِم الدولة بالتحقيق في جرائم العنف العائلي ومحاكمة مرتكبيه</w:t>
      </w:r>
      <w:r w:rsidRPr="00BC59D8">
        <w:rPr>
          <w:vertAlign w:val="superscript"/>
          <w:rtl/>
        </w:rPr>
        <w:t>(</w:t>
      </w:r>
      <w:r w:rsidRPr="00BC59D8">
        <w:rPr>
          <w:rStyle w:val="FootnoteReference"/>
          <w:szCs w:val="30"/>
          <w:rtl/>
        </w:rPr>
        <w:footnoteReference w:id="47"/>
      </w:r>
      <w:r w:rsidRPr="00BC59D8">
        <w:rPr>
          <w:vertAlign w:val="superscript"/>
          <w:rtl/>
        </w:rPr>
        <w:t>)</w:t>
      </w:r>
      <w:r>
        <w:rPr>
          <w:rtl/>
        </w:rPr>
        <w:t>. وتتناول الفقرتان 154 و 155 من ذلك القانون العنف العائلي (سوء معاملة أحد الزوجين للآخر والأطفال القصّر). ورغم انعدام أي تعريف للعنف العائلي في القانون، فإن هاتين المادتين توفران مجالا للقضاة لمحاكمة المتهمين في قضايا العنف العائلي، سواء كان عنفا بدنيا أم نفسيا. ويُعاقَب على الجريمتين</w:t>
      </w:r>
      <w:r>
        <w:rPr>
          <w:rFonts w:hint="cs"/>
          <w:rtl/>
        </w:rPr>
        <w:t> </w:t>
      </w:r>
      <w:r>
        <w:rPr>
          <w:rtl/>
        </w:rPr>
        <w:t xml:space="preserve">بالسجن لمدة تتراوح بين سنتين و 6 سنوات ويمكن زيادتها إلى ما بين 10 سنوات و 15 سنة في حالة الظروف المشدِّدة للعقوبة (المادة 156). </w:t>
      </w:r>
    </w:p>
    <w:p w:rsidR="00CE34C8" w:rsidRDefault="00CE34C8" w:rsidP="00CE34C8">
      <w:pPr>
        <w:pStyle w:val="SingleTxt"/>
        <w:rPr>
          <w:rtl/>
        </w:rPr>
      </w:pPr>
      <w:r>
        <w:rPr>
          <w:rtl/>
        </w:rPr>
        <w:t>70 -</w:t>
      </w:r>
      <w:r>
        <w:rPr>
          <w:rtl/>
        </w:rPr>
        <w:tab/>
        <w:t>وتتناول المادتان 171 و 172 الاعتداء الجنسي والاغتصاب ويُعاقب عليهما بالسجن لمدة تتراوح بين سنتين و 8 سنوات في الحالة الأولى، وما بين 5 سنوات إلى 15</w:t>
      </w:r>
      <w:r>
        <w:rPr>
          <w:rFonts w:hint="cs"/>
          <w:rtl/>
        </w:rPr>
        <w:t> </w:t>
      </w:r>
      <w:r>
        <w:rPr>
          <w:rtl/>
        </w:rPr>
        <w:t>سنة في الحالة الثانية. وتنص المادة 173</w:t>
      </w:r>
      <w:r>
        <w:rPr>
          <w:rFonts w:hint="cs"/>
          <w:rtl/>
        </w:rPr>
        <w:t xml:space="preserve"> </w:t>
      </w:r>
      <w:r>
        <w:rPr>
          <w:rtl/>
        </w:rPr>
        <w:t xml:space="preserve">- </w:t>
      </w:r>
      <w:r>
        <w:rPr>
          <w:rFonts w:hint="cs"/>
          <w:rtl/>
        </w:rPr>
        <w:t>”</w:t>
      </w:r>
      <w:r>
        <w:rPr>
          <w:rtl/>
        </w:rPr>
        <w:t>ظروف التشديد</w:t>
      </w:r>
      <w:r>
        <w:rPr>
          <w:rFonts w:hint="cs"/>
          <w:rtl/>
        </w:rPr>
        <w:t>“</w:t>
      </w:r>
      <w:r>
        <w:rPr>
          <w:rtl/>
        </w:rPr>
        <w:t>، على المعاقبة بالسجن لمدة يمكن أن تصل إلى 12 سنة على ارتكاب الاعتداء الجنسي، ولمدة تصل إلى 20 سنة على الاغتصاب. ولا يوجد أي استثناء خاص (مثل الاغتصاب الزوجي).</w:t>
      </w:r>
    </w:p>
    <w:p w:rsidR="00CE34C8" w:rsidRPr="00C42C4C" w:rsidRDefault="00CE34C8" w:rsidP="00CE34C8">
      <w:pPr>
        <w:pStyle w:val="SingleTxt"/>
        <w:spacing w:after="0" w:line="120" w:lineRule="exact"/>
        <w:rPr>
          <w:sz w:val="10"/>
          <w:rtl/>
        </w:rPr>
      </w:pPr>
    </w:p>
    <w:p w:rsidR="00CE34C8" w:rsidRPr="003C1BD3" w:rsidRDefault="00CE34C8" w:rsidP="00CE34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
          <w:iCs/>
          <w:rtl/>
        </w:rPr>
      </w:pPr>
      <w:r w:rsidRPr="003C1BD3">
        <w:rPr>
          <w:rFonts w:hint="cs"/>
          <w:i/>
          <w:iCs/>
          <w:rtl/>
        </w:rPr>
        <w:tab/>
      </w:r>
      <w:r w:rsidRPr="003C1BD3">
        <w:rPr>
          <w:rFonts w:hint="cs"/>
          <w:i/>
          <w:iCs/>
          <w:rtl/>
        </w:rPr>
        <w:tab/>
      </w:r>
      <w:r w:rsidRPr="003C1BD3">
        <w:rPr>
          <w:i/>
          <w:iCs/>
          <w:rtl/>
        </w:rPr>
        <w:t>قانون مكافحة العنف العائلي</w:t>
      </w:r>
    </w:p>
    <w:p w:rsidR="00CE34C8" w:rsidRDefault="00CE34C8" w:rsidP="00CE34C8">
      <w:pPr>
        <w:pStyle w:val="SingleTxt"/>
        <w:rPr>
          <w:rtl/>
        </w:rPr>
      </w:pPr>
      <w:r>
        <w:rPr>
          <w:rtl/>
        </w:rPr>
        <w:t>71 -</w:t>
      </w:r>
      <w:r>
        <w:rPr>
          <w:rtl/>
        </w:rPr>
        <w:tab/>
        <w:t xml:space="preserve">أقرّ البرلمان الوطني قانون مكافحة العنف العائلي في 3 </w:t>
      </w:r>
      <w:r>
        <w:rPr>
          <w:rFonts w:hint="cs"/>
          <w:rtl/>
        </w:rPr>
        <w:t>أيار</w:t>
      </w:r>
      <w:r>
        <w:rPr>
          <w:rtl/>
        </w:rPr>
        <w:t>/مايو 2010 ونُشر رسميا بوصفه القانون رقم 7/2010. ويدعّم هذا القانون أحكام القانون الجنائي إضافةً إلى إنشائه آليةً لمنع العنف العائلي، ويعزز حقوق الضحايا ويكفل توفير الحماية لهم. وعلى هذا الأساس، يعزّز القانون الدعم المقدم إلى الضحايا ويحدد مسؤوليات مختلف المؤسسات الحكومية وتعاونها مع منظمات المجتمع المدني. وقد شكّل هذا القانون انتقالا من الأساليب التقليدية لتسوية النزاعات إلى العمل بنظام رسمي للعدالة الجنائية</w:t>
      </w:r>
      <w:r w:rsidRPr="00BC59D8">
        <w:rPr>
          <w:vertAlign w:val="superscript"/>
          <w:rtl/>
        </w:rPr>
        <w:t>(</w:t>
      </w:r>
      <w:r w:rsidRPr="00BC59D8">
        <w:rPr>
          <w:rStyle w:val="FootnoteReference"/>
          <w:szCs w:val="30"/>
          <w:rtl/>
        </w:rPr>
        <w:footnoteReference w:id="48"/>
      </w:r>
      <w:r w:rsidRPr="00BC59D8">
        <w:rPr>
          <w:vertAlign w:val="superscript"/>
          <w:rtl/>
        </w:rPr>
        <w:t>)</w:t>
      </w:r>
      <w:r>
        <w:rPr>
          <w:rtl/>
        </w:rPr>
        <w:t>.</w:t>
      </w:r>
    </w:p>
    <w:p w:rsidR="00CE34C8" w:rsidRDefault="00CE34C8" w:rsidP="00CE34C8">
      <w:pPr>
        <w:pStyle w:val="SingleTxt"/>
        <w:rPr>
          <w:rtl/>
        </w:rPr>
      </w:pPr>
      <w:r>
        <w:rPr>
          <w:rtl/>
        </w:rPr>
        <w:t>72 -</w:t>
      </w:r>
      <w:r>
        <w:rPr>
          <w:rtl/>
        </w:rPr>
        <w:tab/>
        <w:t xml:space="preserve">وتعزز المادة 36 من قانون مكافحة العنف العائلي اعتبار جميع جرائم العنف العائلي جرائمَ عامة. ولا تنص المادة أيضا على أي استثناءات من ذلك، وهي بذلك تيسّر الملاحقة القضائية الفعالة للجناة، بمن فيهم الزوج/العشير. </w:t>
      </w:r>
    </w:p>
    <w:p w:rsidR="00CE34C8" w:rsidRDefault="00CE34C8" w:rsidP="00CE34C8">
      <w:pPr>
        <w:pStyle w:val="SingleTxt"/>
        <w:rPr>
          <w:rtl/>
        </w:rPr>
      </w:pPr>
      <w:r>
        <w:rPr>
          <w:rtl/>
        </w:rPr>
        <w:t>73 -</w:t>
      </w:r>
      <w:r>
        <w:rPr>
          <w:rtl/>
        </w:rPr>
        <w:tab/>
        <w:t>ويشمل نطاق قانون مكافحة العنف العائلي ومفهوم الأسرة الموسَّعة (المادة 3</w:t>
      </w:r>
      <w:r>
        <w:rPr>
          <w:rFonts w:hint="cs"/>
          <w:rtl/>
        </w:rPr>
        <w:t xml:space="preserve"> </w:t>
      </w:r>
      <w:r>
        <w:rPr>
          <w:rtl/>
        </w:rPr>
        <w:t>- تعريف الأسرة) الأزواج، والشركاء بحكم الواقع، وجميع الأقارب، وأي شخص يعيش ضمن الأسر المعيشية في سياق من سياقات الإعالة. بيد أنه قد طرح أثناء العملية التشاورية لهذا التقرير، مدى فهم القضاة لهذا الحُكم وتطبيقه الفعلي أثناء المحاكمات.</w:t>
      </w:r>
    </w:p>
    <w:p w:rsidR="00CE34C8" w:rsidRDefault="00CE34C8" w:rsidP="00CE34C8">
      <w:pPr>
        <w:pStyle w:val="SingleTxt"/>
        <w:rPr>
          <w:rtl/>
        </w:rPr>
      </w:pPr>
      <w:r>
        <w:rPr>
          <w:rtl/>
        </w:rPr>
        <w:t>74 -</w:t>
      </w:r>
      <w:r>
        <w:rPr>
          <w:rtl/>
        </w:rPr>
        <w:tab/>
        <w:t>ويشمل العنف العائلي كما يعرّفه قانون مكافحة العنف العائلي ( المادة 2 - تعريف العنف العائلي)، العنف البدني والنفسي والجنسي والاقتصادي. وتشمل الفقرة الثانية من المادة قائمة شاملة لكنها غير حصرية لأشكال العنف العائلي (يرجى الرجوع إلى المرفق).</w:t>
      </w:r>
    </w:p>
    <w:p w:rsidR="00CE34C8" w:rsidRDefault="00CE34C8" w:rsidP="00CE34C8">
      <w:pPr>
        <w:pStyle w:val="SingleTxt"/>
        <w:rPr>
          <w:rtl/>
        </w:rPr>
      </w:pPr>
      <w:r>
        <w:rPr>
          <w:rtl/>
        </w:rPr>
        <w:t>75 -</w:t>
      </w:r>
      <w:r>
        <w:rPr>
          <w:rtl/>
        </w:rPr>
        <w:tab/>
        <w:t>ويقتضي القانون كذلك أن توفر الحكومة تربية مدنية في هذا الصدد وتضع وتحسّن نظاما مجانيا لتقديم الدعم للضحايا يشمل توفير المأوى والخدمات الطبية والتمثيل القانوني وإسداء المشورة وتوفير الحماية وتلبية الاحتياجات الأساسية، عند الاقتضاء. ويعطي الضحايا أيضا الحق في طلب النفقة من الجاني لدعم تلبية احتياجاتهم واحتياجات أطفالهم. ويتعين على الشرطة أن تحقق في الأمر وتقدم تقريرا بسرعة إلى المدعي العام في غضون خمسة أيام (المادة</w:t>
      </w:r>
      <w:r>
        <w:rPr>
          <w:rFonts w:hint="cs"/>
          <w:rtl/>
        </w:rPr>
        <w:t> </w:t>
      </w:r>
      <w:r>
        <w:rPr>
          <w:rtl/>
        </w:rPr>
        <w:t>24).</w:t>
      </w:r>
    </w:p>
    <w:p w:rsidR="00CE34C8" w:rsidRPr="00C42C4C" w:rsidRDefault="00CE34C8" w:rsidP="00CE34C8">
      <w:pPr>
        <w:pStyle w:val="SingleTxt"/>
        <w:spacing w:after="0" w:line="120" w:lineRule="exact"/>
        <w:rPr>
          <w:sz w:val="10"/>
          <w:rtl/>
        </w:rPr>
      </w:pPr>
    </w:p>
    <w:p w:rsidR="00CE34C8" w:rsidRPr="003C1BD3" w:rsidRDefault="00CE34C8" w:rsidP="00CE34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
          <w:iCs/>
          <w:rtl/>
        </w:rPr>
      </w:pPr>
      <w:r w:rsidRPr="003C1BD3">
        <w:rPr>
          <w:rFonts w:hint="cs"/>
          <w:i/>
          <w:iCs/>
          <w:rtl/>
        </w:rPr>
        <w:tab/>
      </w:r>
      <w:r w:rsidRPr="003C1BD3">
        <w:rPr>
          <w:rFonts w:hint="cs"/>
          <w:i/>
          <w:iCs/>
          <w:rtl/>
        </w:rPr>
        <w:tab/>
      </w:r>
      <w:r w:rsidRPr="003C1BD3">
        <w:rPr>
          <w:i/>
          <w:iCs/>
          <w:rtl/>
        </w:rPr>
        <w:t>قانون حماية الشهود</w:t>
      </w:r>
    </w:p>
    <w:p w:rsidR="00CE34C8" w:rsidRDefault="00CE34C8" w:rsidP="00CE34C8">
      <w:pPr>
        <w:pStyle w:val="SingleTxt"/>
        <w:rPr>
          <w:rtl/>
        </w:rPr>
      </w:pPr>
      <w:r>
        <w:rPr>
          <w:rtl/>
        </w:rPr>
        <w:t>76 -</w:t>
      </w:r>
      <w:r>
        <w:rPr>
          <w:rtl/>
        </w:rPr>
        <w:tab/>
        <w:t>على نحو ما سيوضحه هذا التقرير لاحقا، سُنّ قانون حماية الشهود رقم 2/2009 في عام 2009</w:t>
      </w:r>
      <w:r w:rsidRPr="00BC59D8">
        <w:rPr>
          <w:vertAlign w:val="superscript"/>
          <w:rtl/>
        </w:rPr>
        <w:t>(</w:t>
      </w:r>
      <w:r w:rsidRPr="00BC59D8">
        <w:rPr>
          <w:rStyle w:val="FootnoteReference"/>
          <w:szCs w:val="30"/>
          <w:rtl/>
        </w:rPr>
        <w:footnoteReference w:id="49"/>
      </w:r>
      <w:r w:rsidRPr="00BC59D8">
        <w:rPr>
          <w:vertAlign w:val="superscript"/>
          <w:rtl/>
        </w:rPr>
        <w:t>)</w:t>
      </w:r>
      <w:r>
        <w:rPr>
          <w:rtl/>
        </w:rPr>
        <w:t>. إلا أن هذا القانون، وحتى وقت إعداد هذا التقرير، لم يُنفذّ بعدُ وما زال عديم الأثر.</w:t>
      </w:r>
    </w:p>
    <w:p w:rsidR="00CE34C8" w:rsidRPr="00C42C4C" w:rsidRDefault="00CE34C8" w:rsidP="00CE34C8">
      <w:pPr>
        <w:pStyle w:val="SingleTxt"/>
        <w:spacing w:after="0" w:line="120" w:lineRule="exact"/>
        <w:rPr>
          <w:sz w:val="10"/>
          <w:rtl/>
        </w:rPr>
      </w:pPr>
    </w:p>
    <w:p w:rsidR="00CE34C8" w:rsidRPr="00C42C4C" w:rsidRDefault="00CE34C8" w:rsidP="00CE34C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42C4C">
        <w:rPr>
          <w:rFonts w:hint="cs"/>
          <w:rtl/>
        </w:rPr>
        <w:tab/>
      </w:r>
      <w:r w:rsidRPr="00C42C4C">
        <w:rPr>
          <w:rFonts w:hint="cs"/>
          <w:rtl/>
        </w:rPr>
        <w:tab/>
      </w:r>
      <w:r w:rsidRPr="00C42C4C">
        <w:rPr>
          <w:rtl/>
        </w:rPr>
        <w:t>الاغتصاب الزوجي</w:t>
      </w:r>
    </w:p>
    <w:p w:rsidR="00CE34C8" w:rsidRDefault="00CE34C8" w:rsidP="00CE34C8">
      <w:pPr>
        <w:pStyle w:val="SingleTxt"/>
        <w:rPr>
          <w:rtl/>
        </w:rPr>
      </w:pPr>
      <w:r>
        <w:rPr>
          <w:rtl/>
        </w:rPr>
        <w:t>77 -</w:t>
      </w:r>
      <w:r>
        <w:rPr>
          <w:rtl/>
        </w:rPr>
        <w:tab/>
        <w:t xml:space="preserve">يشمل تعريف العنف العائلي الوارد في المادة 2 (1) من قانون مكافحة العنف العائلي والعنف الجنسي </w:t>
      </w:r>
      <w:r>
        <w:rPr>
          <w:rFonts w:hint="cs"/>
          <w:rtl/>
        </w:rPr>
        <w:t>”</w:t>
      </w:r>
      <w:r>
        <w:rPr>
          <w:rtl/>
        </w:rPr>
        <w:t>حتى في إطار الزواج</w:t>
      </w:r>
      <w:r>
        <w:rPr>
          <w:rFonts w:hint="cs"/>
          <w:rtl/>
        </w:rPr>
        <w:t>“</w:t>
      </w:r>
      <w:r>
        <w:rPr>
          <w:rtl/>
        </w:rPr>
        <w:t>. وعلى هذا الأساس، يضم القانون طائفة واسعة من أشكال الأذى الجنسي، تشمل الاغتصاب الزوجي، والشروع في الاغتصاب؛ والاعتداء، والإيذاء، والتحرش؛ وعنف العشير والعنف العائلي، ويؤكد أن الجِماع بالإكراه بين الأزواج/الشركاء جريمة من جرائم العنف العائلي. ومن الواضح الآن أن هذا النوع من العنف الجنسي يُعاقَب عليه ويعتبر جريمة مشدِّدة للعقوبة عملا بالمادة 173 من القانون</w:t>
      </w:r>
      <w:r>
        <w:rPr>
          <w:rFonts w:hint="cs"/>
          <w:rtl/>
        </w:rPr>
        <w:t> </w:t>
      </w:r>
      <w:r>
        <w:rPr>
          <w:rtl/>
        </w:rPr>
        <w:t>الجنائي</w:t>
      </w:r>
      <w:r w:rsidRPr="00BC59D8">
        <w:rPr>
          <w:vertAlign w:val="superscript"/>
          <w:rtl/>
        </w:rPr>
        <w:t>(</w:t>
      </w:r>
      <w:r w:rsidRPr="00BC59D8">
        <w:rPr>
          <w:rStyle w:val="FootnoteReference"/>
          <w:szCs w:val="30"/>
          <w:rtl/>
        </w:rPr>
        <w:footnoteReference w:id="50"/>
      </w:r>
      <w:r w:rsidRPr="00BC59D8">
        <w:rPr>
          <w:vertAlign w:val="superscript"/>
          <w:rtl/>
        </w:rPr>
        <w:t>)</w:t>
      </w:r>
      <w:r>
        <w:rPr>
          <w:rtl/>
        </w:rPr>
        <w:t>.</w:t>
      </w:r>
    </w:p>
    <w:p w:rsidR="00CE34C8" w:rsidRPr="007171AD" w:rsidRDefault="00CE34C8" w:rsidP="00CE34C8">
      <w:pPr>
        <w:pStyle w:val="SingleTxt"/>
        <w:rPr>
          <w:rtl/>
        </w:rPr>
      </w:pPr>
      <w:r>
        <w:rPr>
          <w:rtl/>
        </w:rPr>
        <w:t>78 -</w:t>
      </w:r>
      <w:r>
        <w:rPr>
          <w:rtl/>
        </w:rPr>
        <w:tab/>
        <w:t xml:space="preserve">وعموما، لا يزال </w:t>
      </w:r>
      <w:r>
        <w:rPr>
          <w:rFonts w:hint="cs"/>
          <w:rtl/>
        </w:rPr>
        <w:t>”</w:t>
      </w:r>
      <w:r>
        <w:rPr>
          <w:rtl/>
        </w:rPr>
        <w:t>الاغتصاب الزوجي</w:t>
      </w:r>
      <w:r>
        <w:rPr>
          <w:rFonts w:hint="cs"/>
          <w:rtl/>
        </w:rPr>
        <w:t>“</w:t>
      </w:r>
      <w:r>
        <w:rPr>
          <w:rtl/>
        </w:rPr>
        <w:t xml:space="preserve"> مفهوما جديدا لدى العديد من أبناء تيمور</w:t>
      </w:r>
      <w:r>
        <w:rPr>
          <w:rFonts w:hint="cs"/>
          <w:rtl/>
        </w:rPr>
        <w:t> </w:t>
      </w:r>
      <w:r>
        <w:rPr>
          <w:rtl/>
        </w:rPr>
        <w:t>- ليشتي ويُعتبر مسألة ثقافية. فقد ظل موضوعا محرما ولم يُطرح في المناقشات العامة حتى صدر القانون الجنائي وقانون مكافحة العنف العائلي وعُمّما على المجتمع المحلي على نطاق أوسع. ويتجلى هذا من الاستقصاء الديمغرافي والصحي في تيمور - ليشتي للفترة 2009-2010 الذي أظهر أن 29 المائة من النساء يعتقدن أن الاغتصاب الزوجي أمر مسموح به، مما يعطي الزوج سلطة على الحياة الجنسية لزوجته. وكانت نسبة النساء اللائي يؤمنّ بهذا الاعتقاد أقل بين النساء الحاصلات على تعليم عالٍ (11 في المائة) وأعلى بين اللائي لم يحصلن على تعليم (34 في المائة)</w:t>
      </w:r>
      <w:r w:rsidRPr="00BC59D8">
        <w:rPr>
          <w:vertAlign w:val="superscript"/>
          <w:rtl/>
        </w:rPr>
        <w:t>(</w:t>
      </w:r>
      <w:r w:rsidRPr="00BC59D8">
        <w:rPr>
          <w:rStyle w:val="FootnoteReference"/>
          <w:szCs w:val="30"/>
          <w:rtl/>
        </w:rPr>
        <w:footnoteReference w:id="51"/>
      </w:r>
      <w:r w:rsidRPr="00BC59D8">
        <w:rPr>
          <w:vertAlign w:val="superscript"/>
          <w:rtl/>
        </w:rPr>
        <w:t>)</w:t>
      </w:r>
      <w:r>
        <w:rPr>
          <w:rtl/>
        </w:rPr>
        <w:t>. والواقع أن كلا من الشرطة ومكتب المدعي العام أفادا بعدم تسجيل أي حالات اغتصاب زوجي حتى الآن، مع أنه الآن جريمةٌ يعاقب عليها القانون</w:t>
      </w:r>
      <w:r w:rsidRPr="00BC59D8">
        <w:rPr>
          <w:vertAlign w:val="superscript"/>
          <w:rtl/>
        </w:rPr>
        <w:t>(</w:t>
      </w:r>
      <w:r w:rsidRPr="00BC59D8">
        <w:rPr>
          <w:rStyle w:val="FootnoteReference"/>
          <w:szCs w:val="30"/>
          <w:rtl/>
        </w:rPr>
        <w:footnoteReference w:id="52"/>
      </w:r>
      <w:r w:rsidRPr="00BC59D8">
        <w:rPr>
          <w:vertAlign w:val="superscript"/>
          <w:rtl/>
        </w:rPr>
        <w:t>)</w:t>
      </w:r>
      <w:r>
        <w:rPr>
          <w:rtl/>
        </w:rPr>
        <w:t>.</w:t>
      </w:r>
    </w:p>
    <w:p w:rsidR="00CE34C8" w:rsidRPr="009862F2" w:rsidRDefault="00CE34C8" w:rsidP="009862F2">
      <w:pPr>
        <w:pStyle w:val="SingleTxt"/>
        <w:spacing w:after="0" w:line="120" w:lineRule="exact"/>
        <w:rPr>
          <w:rFonts w:hint="cs"/>
          <w:sz w:val="10"/>
          <w:rtl/>
        </w:rPr>
      </w:pPr>
    </w:p>
    <w:p w:rsidR="009862F2" w:rsidRPr="003245A4" w:rsidRDefault="009862F2" w:rsidP="009862F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sidRPr="003245A4">
        <w:rPr>
          <w:rtl/>
        </w:rPr>
        <w:t xml:space="preserve">التوسع في توعية المجتمع بقانون مكافحة العنف العائلي </w:t>
      </w:r>
    </w:p>
    <w:p w:rsidR="009862F2" w:rsidRDefault="009862F2" w:rsidP="009862F2">
      <w:pPr>
        <w:pStyle w:val="SingleTxt"/>
        <w:rPr>
          <w:rtl/>
        </w:rPr>
      </w:pPr>
      <w:r>
        <w:rPr>
          <w:rtl/>
        </w:rPr>
        <w:t>79</w:t>
      </w:r>
      <w:r>
        <w:rPr>
          <w:rFonts w:hint="cs"/>
          <w:rtl/>
        </w:rPr>
        <w:t xml:space="preserve"> </w:t>
      </w:r>
      <w:r>
        <w:rPr>
          <w:rtl/>
        </w:rPr>
        <w:t>-</w:t>
      </w:r>
      <w:r>
        <w:rPr>
          <w:rtl/>
        </w:rPr>
        <w:tab/>
        <w:t>بمجرد إصدار قانون مكافحة العنف العائلي في عام 2010، اختارت الحكومة 6</w:t>
      </w:r>
      <w:r>
        <w:rPr>
          <w:rFonts w:hint="cs"/>
          <w:rtl/>
        </w:rPr>
        <w:t> </w:t>
      </w:r>
      <w:r>
        <w:rPr>
          <w:rtl/>
        </w:rPr>
        <w:t xml:space="preserve">مقاطعات لتوعيتها بالقانون، بصورة أولية، وهي مقاطعات حددت بواسطة الاستقصاء الديمغرافي والصحي في تيمور </w:t>
      </w:r>
      <w:r>
        <w:rPr>
          <w:rFonts w:hint="cs"/>
          <w:rtl/>
        </w:rPr>
        <w:t>-</w:t>
      </w:r>
      <w:r>
        <w:rPr>
          <w:rtl/>
        </w:rPr>
        <w:t xml:space="preserve"> ليشتي للفترة 2009-2010 بأنها تسجل أعلى معدلات العنف ضد المرأة. وقد تمت في الفترة 2011- 2012 التوعية على نطاق الدولة بهذا القانون بحيث شملت جميع المقاطعات.</w:t>
      </w:r>
    </w:p>
    <w:p w:rsidR="009862F2" w:rsidRDefault="009862F2" w:rsidP="009862F2">
      <w:pPr>
        <w:pStyle w:val="SingleTxt"/>
        <w:rPr>
          <w:rFonts w:hint="cs"/>
          <w:rtl/>
        </w:rPr>
      </w:pPr>
      <w:r>
        <w:rPr>
          <w:rtl/>
        </w:rPr>
        <w:t>80 -</w:t>
      </w:r>
      <w:r>
        <w:rPr>
          <w:rtl/>
        </w:rPr>
        <w:tab/>
        <w:t>وأصبح الاحتفال باليوم الدولي للمرأة في 8 آذار/مارس 2011 معلماً بارزاً لتوعية الجمهور بهذا القانون، حيث نظمت وزارة الدولة لتعزيز المساواة حوارات على المستوى الوطني بشأن العنف العائلي ووجهت الدعوة إلى 228 من زعماء في 13 مقاطعة لحضور حلقة دراسية في ديلي للاطلاع على قانون مكافحة العنف العائلي ودراسته ومناقشته والتوصل إلى أن العنف العائلي جريمة عامة. وقد أجرت أيضاً كل من وزارة الدولة لتعزيز المساواة بين الجنسين مناقشات أكاديمية بشأن هذا القانون في كل من جامعة ديلي وجامعة تيمور</w:t>
      </w:r>
      <w:r>
        <w:rPr>
          <w:rFonts w:hint="cs"/>
          <w:rtl/>
        </w:rPr>
        <w:t xml:space="preserve"> -</w:t>
      </w:r>
      <w:r>
        <w:rPr>
          <w:rtl/>
        </w:rPr>
        <w:t xml:space="preserve"> ليشتي. ومنذ عام 2010، نظمت وزارة الدولة لتعزيز المساواة بين الجنسين حملة مدتها 16 يوماً بشأن العنف ضد المرأة كان هدفها التوعية بقانون مكافحة العنف العائلي</w:t>
      </w:r>
      <w:r w:rsidRPr="00360D91">
        <w:rPr>
          <w:vertAlign w:val="superscript"/>
          <w:rtl/>
        </w:rPr>
        <w:t>(</w:t>
      </w:r>
      <w:r w:rsidRPr="00360D91">
        <w:rPr>
          <w:rStyle w:val="FootnoteReference"/>
          <w:szCs w:val="30"/>
          <w:rtl/>
        </w:rPr>
        <w:footnoteReference w:id="53"/>
      </w:r>
      <w:r w:rsidRPr="00360D91">
        <w:rPr>
          <w:vertAlign w:val="superscript"/>
          <w:rtl/>
        </w:rPr>
        <w:t>)</w:t>
      </w:r>
      <w:r>
        <w:rPr>
          <w:rtl/>
        </w:rPr>
        <w:t>.</w:t>
      </w:r>
    </w:p>
    <w:p w:rsidR="009862F2" w:rsidRPr="00360D91" w:rsidRDefault="009862F2" w:rsidP="009862F2">
      <w:pPr>
        <w:pStyle w:val="SingleTxt"/>
        <w:rPr>
          <w:rtl/>
        </w:rPr>
      </w:pPr>
      <w:r>
        <w:rPr>
          <w:rtl/>
        </w:rPr>
        <w:t>81 -</w:t>
      </w:r>
      <w:r>
        <w:rPr>
          <w:rtl/>
        </w:rPr>
        <w:tab/>
        <w:t>وفي 2012، نظمت وزارة الدولة لتعزيز المساواة بين الجنسين حواراً عند</w:t>
      </w:r>
      <w:r>
        <w:rPr>
          <w:rFonts w:hint="cs"/>
          <w:rtl/>
        </w:rPr>
        <w:t> </w:t>
      </w:r>
      <w:r>
        <w:rPr>
          <w:rtl/>
        </w:rPr>
        <w:t>الحدود</w:t>
      </w:r>
      <w:r>
        <w:rPr>
          <w:rFonts w:hint="cs"/>
          <w:rtl/>
        </w:rPr>
        <w:t> </w:t>
      </w:r>
      <w:r>
        <w:rPr>
          <w:rtl/>
        </w:rPr>
        <w:t>بين تيموريين مشردين يعيشون في تيمور الغربية، بأندونيسيا، وتيموريين من تيمور</w:t>
      </w:r>
      <w:r>
        <w:rPr>
          <w:rFonts w:hint="eastAsia"/>
          <w:rtl/>
        </w:rPr>
        <w:t> </w:t>
      </w:r>
      <w:r>
        <w:rPr>
          <w:rtl/>
        </w:rPr>
        <w:t xml:space="preserve">- ليشتي. وكان هدف موضوع الحوار المعنون </w:t>
      </w:r>
      <w:r>
        <w:rPr>
          <w:rFonts w:hint="cs"/>
          <w:rtl/>
        </w:rPr>
        <w:t>”</w:t>
      </w:r>
      <w:r>
        <w:rPr>
          <w:rtl/>
        </w:rPr>
        <w:t>فلنعمل معاً للقضاء على التمييز والعنف ضد المرأة</w:t>
      </w:r>
      <w:r>
        <w:rPr>
          <w:rFonts w:hint="cs"/>
          <w:rtl/>
        </w:rPr>
        <w:t>“</w:t>
      </w:r>
      <w:r>
        <w:rPr>
          <w:rtl/>
        </w:rPr>
        <w:t xml:space="preserve"> هو إتاحة الفرصة للمرأة التيمورية لمناقشة مشاركتها في الحياة السياسية والاقتصادية والاجتماعية والعقبات (مثل العنف القائم على الجنس) التي تمنعها من المشاركة في تنمية البلد</w:t>
      </w:r>
      <w:r w:rsidRPr="00360D91">
        <w:rPr>
          <w:vertAlign w:val="superscript"/>
          <w:rtl/>
        </w:rPr>
        <w:t>(</w:t>
      </w:r>
      <w:r w:rsidRPr="00360D91">
        <w:rPr>
          <w:rStyle w:val="FootnoteReference"/>
          <w:szCs w:val="30"/>
          <w:rtl/>
        </w:rPr>
        <w:footnoteReference w:id="54"/>
      </w:r>
      <w:r w:rsidRPr="00360D91">
        <w:rPr>
          <w:vertAlign w:val="superscript"/>
          <w:rtl/>
        </w:rPr>
        <w:t>)</w:t>
      </w:r>
      <w:r>
        <w:rPr>
          <w:rtl/>
        </w:rPr>
        <w:t>.</w:t>
      </w:r>
    </w:p>
    <w:p w:rsidR="009862F2" w:rsidRDefault="009862F2" w:rsidP="009862F2">
      <w:pPr>
        <w:pStyle w:val="SingleTxt"/>
        <w:rPr>
          <w:rtl/>
        </w:rPr>
      </w:pPr>
      <w:r>
        <w:rPr>
          <w:rtl/>
        </w:rPr>
        <w:t>82 -</w:t>
      </w:r>
      <w:r>
        <w:rPr>
          <w:rtl/>
        </w:rPr>
        <w:tab/>
        <w:t>وتواصل وزارة الدولة لتعزيز المساواة بين الجنسين تنسيق مناقشات المائدة المستديرة الدورية التي بدأت في آذار/مارس 2011 مع جهات قضائية فاعلة ومنظمات نسائية من أجل مناقشة قانون مكافحة العنف العائلي والطريقة التي يمكن من خلالها تحسين عملية التوعية على جميع المستويات، وعلى الأخص مع الوزارات المختصة</w:t>
      </w:r>
      <w:r w:rsidRPr="00360D91">
        <w:rPr>
          <w:vertAlign w:val="superscript"/>
          <w:rtl/>
        </w:rPr>
        <w:t>(</w:t>
      </w:r>
      <w:r w:rsidRPr="00360D91">
        <w:rPr>
          <w:rStyle w:val="FootnoteReference"/>
          <w:szCs w:val="30"/>
          <w:rtl/>
        </w:rPr>
        <w:footnoteReference w:id="55"/>
      </w:r>
      <w:r w:rsidRPr="00360D91">
        <w:rPr>
          <w:vertAlign w:val="superscript"/>
          <w:rtl/>
        </w:rPr>
        <w:t>)</w:t>
      </w:r>
      <w:r>
        <w:rPr>
          <w:rtl/>
        </w:rPr>
        <w:t>.</w:t>
      </w:r>
    </w:p>
    <w:p w:rsidR="009862F2" w:rsidRPr="003245A4" w:rsidRDefault="009862F2" w:rsidP="009862F2">
      <w:pPr>
        <w:pStyle w:val="SingleTxt"/>
        <w:spacing w:after="0" w:line="120" w:lineRule="exact"/>
        <w:rPr>
          <w:sz w:val="10"/>
          <w:rtl/>
        </w:rPr>
      </w:pPr>
    </w:p>
    <w:p w:rsidR="009862F2" w:rsidRPr="003245A4" w:rsidRDefault="009862F2" w:rsidP="009862F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245A4">
        <w:rPr>
          <w:rtl/>
        </w:rPr>
        <w:t xml:space="preserve">خطة العمل الوطنية بشأن العنف الجنساني </w:t>
      </w:r>
    </w:p>
    <w:p w:rsidR="009862F2" w:rsidRDefault="009862F2" w:rsidP="009862F2">
      <w:pPr>
        <w:pStyle w:val="SingleTxt"/>
        <w:rPr>
          <w:rtl/>
        </w:rPr>
      </w:pPr>
      <w:r>
        <w:rPr>
          <w:rtl/>
        </w:rPr>
        <w:t>83 -</w:t>
      </w:r>
      <w:r>
        <w:rPr>
          <w:rtl/>
        </w:rPr>
        <w:tab/>
        <w:t xml:space="preserve">تعد خطة العمل الوطنية بشأن العنف الجنساني، كما يتطلبها قانون مكافحة العنف العائلي، استراتيجية متعددة القطاعات مدتها 3 سنوات (2012-2014)، وتركز على تنفيذ الأحكام الواردة في قانون مكافحة العنف العائلي وترمي إلى منع العنف القائم على نوع الجنس وتلبي احتياجات ضحاياه وتخضع مرتكبيه للمساءلة. </w:t>
      </w:r>
    </w:p>
    <w:p w:rsidR="009862F2" w:rsidRDefault="009862F2" w:rsidP="009862F2">
      <w:pPr>
        <w:pStyle w:val="SingleTxt"/>
        <w:rPr>
          <w:rtl/>
        </w:rPr>
      </w:pPr>
      <w:r>
        <w:rPr>
          <w:rtl/>
        </w:rPr>
        <w:t>84 -</w:t>
      </w:r>
      <w:r>
        <w:rPr>
          <w:rtl/>
        </w:rPr>
        <w:tab/>
        <w:t xml:space="preserve">وتحدد خطة العمل الوطنية أهدافاً في الأجلين القصير والطويل تشمل مجالات تركيز استراتيجية وميادين للتعاون المتبادل وتحسين التنسيق. ولتحقيق ذلك، تركز الخطة على أربعة مجالات استراتيجية ذات أولوية، وهي: </w:t>
      </w:r>
      <w:r>
        <w:rPr>
          <w:rFonts w:hint="cs"/>
          <w:rtl/>
        </w:rPr>
        <w:t>’</w:t>
      </w:r>
      <w:r>
        <w:rPr>
          <w:rtl/>
        </w:rPr>
        <w:t xml:space="preserve">1‘ منع العنف القائم على نوع الجنس؛ </w:t>
      </w:r>
      <w:r>
        <w:rPr>
          <w:rFonts w:hint="cs"/>
          <w:rtl/>
        </w:rPr>
        <w:t>’</w:t>
      </w:r>
      <w:r>
        <w:rPr>
          <w:rtl/>
        </w:rPr>
        <w:t xml:space="preserve">2‘ وتوفير الخدمات لضحايا العنف القائم على نوع الجنس؛ </w:t>
      </w:r>
      <w:r>
        <w:rPr>
          <w:rFonts w:hint="cs"/>
          <w:rtl/>
        </w:rPr>
        <w:t>’</w:t>
      </w:r>
      <w:r>
        <w:rPr>
          <w:rtl/>
        </w:rPr>
        <w:t>3‘ وإقامة العدل</w:t>
      </w:r>
      <w:r>
        <w:rPr>
          <w:rFonts w:hint="cs"/>
          <w:rtl/>
        </w:rPr>
        <w:t>؛</w:t>
      </w:r>
      <w:r>
        <w:rPr>
          <w:rtl/>
        </w:rPr>
        <w:t xml:space="preserve"> </w:t>
      </w:r>
      <w:r>
        <w:rPr>
          <w:rFonts w:hint="cs"/>
          <w:rtl/>
        </w:rPr>
        <w:t>’</w:t>
      </w:r>
      <w:r>
        <w:rPr>
          <w:rtl/>
        </w:rPr>
        <w:t>4‘ والتنسيق والرصد والتقييم</w:t>
      </w:r>
      <w:r w:rsidRPr="00360D91">
        <w:rPr>
          <w:vertAlign w:val="superscript"/>
          <w:rtl/>
        </w:rPr>
        <w:t>(</w:t>
      </w:r>
      <w:r w:rsidRPr="00360D91">
        <w:rPr>
          <w:rStyle w:val="FootnoteReference"/>
          <w:szCs w:val="30"/>
          <w:rtl/>
        </w:rPr>
        <w:footnoteReference w:id="56"/>
      </w:r>
      <w:r w:rsidRPr="00360D91">
        <w:rPr>
          <w:vertAlign w:val="superscript"/>
          <w:rtl/>
        </w:rPr>
        <w:t>)</w:t>
      </w:r>
      <w:r>
        <w:rPr>
          <w:rtl/>
        </w:rPr>
        <w:t>.</w:t>
      </w:r>
    </w:p>
    <w:p w:rsidR="009862F2" w:rsidRDefault="009862F2" w:rsidP="009862F2">
      <w:pPr>
        <w:pStyle w:val="SingleTxt"/>
        <w:rPr>
          <w:rtl/>
        </w:rPr>
      </w:pPr>
      <w:r>
        <w:rPr>
          <w:rtl/>
        </w:rPr>
        <w:t>85 -</w:t>
      </w:r>
      <w:r>
        <w:rPr>
          <w:rtl/>
        </w:rPr>
        <w:tab/>
        <w:t>وتتضمن خطة العمل الوطنية أيضاً تكلفة إرشادية للأنشطة المشمولة بالخطة لدعم تنفيذ خطة العمل الوطنية، ومساعدة الوزارات المتخصصة في وضع خططها السنوية في إطار جهود الميزنة المراعية للاعتبارات الجنسانية. ويقدر المجموع الكلي لهذه التكاليف الإرشادية بما</w:t>
      </w:r>
      <w:r>
        <w:rPr>
          <w:rFonts w:hint="cs"/>
          <w:rtl/>
        </w:rPr>
        <w:t> </w:t>
      </w:r>
      <w:r>
        <w:rPr>
          <w:rtl/>
        </w:rPr>
        <w:t>يزيد عن 7 ملايين دولار من دولارات الولايات المتحدة (وتلك أكبر ميزانية مخصصة لتقديم الخدمات)</w:t>
      </w:r>
      <w:r w:rsidRPr="00360D91">
        <w:rPr>
          <w:vertAlign w:val="superscript"/>
          <w:rtl/>
        </w:rPr>
        <w:t>(</w:t>
      </w:r>
      <w:r w:rsidRPr="00360D91">
        <w:rPr>
          <w:rStyle w:val="FootnoteReference"/>
          <w:szCs w:val="30"/>
          <w:rtl/>
        </w:rPr>
        <w:footnoteReference w:id="57"/>
      </w:r>
      <w:r w:rsidRPr="00360D91">
        <w:rPr>
          <w:vertAlign w:val="superscript"/>
          <w:rtl/>
        </w:rPr>
        <w:t>)</w:t>
      </w:r>
      <w:r>
        <w:rPr>
          <w:rtl/>
        </w:rPr>
        <w:t>.</w:t>
      </w:r>
    </w:p>
    <w:p w:rsidR="009862F2" w:rsidRPr="00360D91" w:rsidRDefault="009862F2" w:rsidP="009862F2">
      <w:pPr>
        <w:pStyle w:val="SingleTxt"/>
        <w:rPr>
          <w:rtl/>
        </w:rPr>
      </w:pPr>
      <w:r>
        <w:rPr>
          <w:rtl/>
        </w:rPr>
        <w:t>86 -</w:t>
      </w:r>
      <w:r>
        <w:rPr>
          <w:rtl/>
        </w:rPr>
        <w:tab/>
        <w:t xml:space="preserve">وتضطلع وزارة الدولة لتعزيز المساواة بمسؤولية قيادة </w:t>
      </w:r>
      <w:r>
        <w:rPr>
          <w:rFonts w:hint="cs"/>
          <w:rtl/>
        </w:rPr>
        <w:t>”</w:t>
      </w:r>
      <w:r>
        <w:rPr>
          <w:rtl/>
        </w:rPr>
        <w:t>الكيان المعني بالتنسيق</w:t>
      </w:r>
      <w:r>
        <w:rPr>
          <w:rFonts w:hint="cs"/>
          <w:rtl/>
        </w:rPr>
        <w:t>“</w:t>
      </w:r>
      <w:r>
        <w:rPr>
          <w:rtl/>
        </w:rPr>
        <w:t xml:space="preserve"> التي تشرف على تنفيذ الخطة وتعتمد على آلية الفريق العامل المعني بالشؤون الجنسانية في 5</w:t>
      </w:r>
      <w:r>
        <w:rPr>
          <w:rFonts w:hint="cs"/>
          <w:rtl/>
        </w:rPr>
        <w:t> </w:t>
      </w:r>
      <w:r>
        <w:rPr>
          <w:rtl/>
        </w:rPr>
        <w:t xml:space="preserve">وزارات رئيسية هي وزارة الصحة ووزارة التعليم ووزارة العدل ووزارة التضامن الاجتماعي ووزارة الدولة للشؤون الأمنية. وبالإضافة إلى هذه الوزارات الرئيسية، يضم </w:t>
      </w:r>
      <w:r>
        <w:rPr>
          <w:rFonts w:hint="cs"/>
          <w:rtl/>
        </w:rPr>
        <w:t>”</w:t>
      </w:r>
      <w:r>
        <w:rPr>
          <w:rtl/>
        </w:rPr>
        <w:t>الكيان المعني بالتنسيق</w:t>
      </w:r>
      <w:r>
        <w:rPr>
          <w:rFonts w:hint="cs"/>
          <w:rtl/>
        </w:rPr>
        <w:t>“</w:t>
      </w:r>
      <w:r>
        <w:rPr>
          <w:rtl/>
        </w:rPr>
        <w:t xml:space="preserve"> ممثلاً من مكتب أمين المظالم المعني بحقوق الإنسان والعدل، فضلا عن 3 ممثلين للمجتمع المدني، يمثل كل منهم مجالاً مختلفاً من مجالات التركيز الاستراتيجية لخطة العمل الوطنية</w:t>
      </w:r>
      <w:r w:rsidRPr="00360D91">
        <w:rPr>
          <w:vertAlign w:val="superscript"/>
          <w:rtl/>
        </w:rPr>
        <w:t>(</w:t>
      </w:r>
      <w:r w:rsidRPr="00360D91">
        <w:rPr>
          <w:rStyle w:val="FootnoteReference"/>
          <w:szCs w:val="30"/>
          <w:rtl/>
        </w:rPr>
        <w:footnoteReference w:id="58"/>
      </w:r>
      <w:r w:rsidRPr="00360D91">
        <w:rPr>
          <w:vertAlign w:val="superscript"/>
          <w:rtl/>
        </w:rPr>
        <w:t>)</w:t>
      </w:r>
      <w:r>
        <w:rPr>
          <w:rtl/>
        </w:rPr>
        <w:t>.</w:t>
      </w:r>
    </w:p>
    <w:p w:rsidR="009862F2" w:rsidRPr="003245A4" w:rsidRDefault="009862F2" w:rsidP="009862F2">
      <w:pPr>
        <w:pStyle w:val="SingleTxt"/>
        <w:spacing w:after="0" w:line="120" w:lineRule="exact"/>
        <w:rPr>
          <w:sz w:val="10"/>
          <w:rtl/>
        </w:rPr>
      </w:pPr>
    </w:p>
    <w:p w:rsidR="009862F2" w:rsidRPr="003245A4" w:rsidRDefault="009862F2" w:rsidP="009862F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245A4">
        <w:rPr>
          <w:rtl/>
        </w:rPr>
        <w:t>المساعدة المقدمة إلى الضحايا</w:t>
      </w:r>
    </w:p>
    <w:p w:rsidR="009862F2" w:rsidRDefault="009862F2" w:rsidP="009862F2">
      <w:pPr>
        <w:pStyle w:val="SingleTxt"/>
        <w:rPr>
          <w:rtl/>
        </w:rPr>
      </w:pPr>
      <w:r>
        <w:rPr>
          <w:rtl/>
        </w:rPr>
        <w:t>87 -</w:t>
      </w:r>
      <w:r>
        <w:rPr>
          <w:rtl/>
        </w:rPr>
        <w:tab/>
        <w:t>وفقاً لما هو مبين أعلاه، ينص قانون منع العنف العائلي على مجموعة منوعة من الخدمات المكرسة لدعم الضحايا ومساعدتهم، بما فيها توفير الملاجئ والمساعدة الطبية الطارئة وإسداء المشورة وتقديم المساعدة الاجتماعية والقانونية. غير أن إمكانية الحصول على الخدمات أثناء فترة إعداد هذا التقرير تتباين وباتت تشكل تحدياً خاصاً لأولئك الذين يعيشون في مناطق ريفية ونائية. والعديد من الخدمات المقدمة لضحايا العنف الجنساني هي خدمات تيسرها منظمات غير حكومية وتقترن في بعض الأحيان بدعم من الحكومة، ولكنها كثيراً ما تعتمد على تمويل المانحين</w:t>
      </w:r>
      <w:r w:rsidRPr="00360D91">
        <w:rPr>
          <w:vertAlign w:val="superscript"/>
          <w:rtl/>
        </w:rPr>
        <w:t>(</w:t>
      </w:r>
      <w:r w:rsidRPr="00360D91">
        <w:rPr>
          <w:rStyle w:val="FootnoteReference"/>
          <w:szCs w:val="30"/>
          <w:rtl/>
        </w:rPr>
        <w:footnoteReference w:id="59"/>
      </w:r>
      <w:r w:rsidRPr="00360D91">
        <w:rPr>
          <w:vertAlign w:val="superscript"/>
          <w:rtl/>
        </w:rPr>
        <w:t>)</w:t>
      </w:r>
      <w:r>
        <w:rPr>
          <w:rtl/>
        </w:rPr>
        <w:t>.</w:t>
      </w:r>
    </w:p>
    <w:p w:rsidR="009862F2" w:rsidRDefault="009862F2" w:rsidP="009862F2">
      <w:pPr>
        <w:pStyle w:val="SingleTxt"/>
        <w:rPr>
          <w:rtl/>
        </w:rPr>
      </w:pPr>
      <w:r>
        <w:rPr>
          <w:rtl/>
        </w:rPr>
        <w:t>88 -</w:t>
      </w:r>
      <w:r>
        <w:rPr>
          <w:rtl/>
        </w:rPr>
        <w:tab/>
        <w:t>وقد تبين أثناء العملية التشاورية المتعلقة بخطة العمل الوطنية بشأن العنف القائم على نوع الجنس أن قدرة مقدمي الخدمات تفاوتت على مستوى القطاعات وأنه كانت هناك حاجة عامة إلى تنظيم دورات تدريب أثناء العمل بما يضمن تمتع مقدمي الخدمات إلى الضحايا بالمهارة ومراعاة المنظور الجنساني واتباع المبادئ التوجيهية والالتزام بمدونات الأخلاق. وحددت خطة العمل الوطنية أيضا الحاجة إلى زيادة عدد المهنيين المدربين المتاحين لتقديم العناية للضحايا، ولا سيما ضباط الشرطة والأخصائيين الاجتماعيين والأطباء النفسيين والعاملين في مجال الرعاية الصحية</w:t>
      </w:r>
      <w:r w:rsidRPr="00360D91">
        <w:rPr>
          <w:vertAlign w:val="superscript"/>
          <w:rtl/>
        </w:rPr>
        <w:t>(</w:t>
      </w:r>
      <w:r w:rsidRPr="00360D91">
        <w:rPr>
          <w:rStyle w:val="FootnoteReference"/>
          <w:szCs w:val="30"/>
          <w:rtl/>
        </w:rPr>
        <w:footnoteReference w:id="60"/>
      </w:r>
      <w:r w:rsidRPr="00360D91">
        <w:rPr>
          <w:vertAlign w:val="superscript"/>
          <w:rtl/>
        </w:rPr>
        <w:t>)</w:t>
      </w:r>
      <w:r>
        <w:rPr>
          <w:rtl/>
        </w:rPr>
        <w:t>.</w:t>
      </w:r>
    </w:p>
    <w:p w:rsidR="009862F2" w:rsidRDefault="009862F2" w:rsidP="009862F2">
      <w:pPr>
        <w:pStyle w:val="SingleTxt"/>
        <w:rPr>
          <w:rtl/>
        </w:rPr>
      </w:pPr>
      <w:r>
        <w:rPr>
          <w:rtl/>
        </w:rPr>
        <w:t>89 -</w:t>
      </w:r>
      <w:r>
        <w:rPr>
          <w:rtl/>
        </w:rPr>
        <w:tab/>
        <w:t xml:space="preserve">ومن المقرر أن تنشأ، بمقتضى قانون مكافحة العنف العائلي، وفي جميع المقاطعات الثلاث عشرة، مراكز لاستقبال الضحايا وإسداء المشورة إليهم وتسجيل الحالات قبل الانتقال إلى الوحدة المعنية بالضعفاء التابعة للشرطة الوطنية لتيمور </w:t>
      </w:r>
      <w:r>
        <w:rPr>
          <w:rFonts w:hint="cs"/>
          <w:rtl/>
        </w:rPr>
        <w:t xml:space="preserve">- </w:t>
      </w:r>
      <w:r>
        <w:rPr>
          <w:rtl/>
        </w:rPr>
        <w:t>ليشتي لمواصلة المتابعة. بيد أن الوحدة المعنية بالضعفاء ما زالت في الوقت الراهن تضطلع بكل هذه الإجراءات الأولية لاستقبال الضحايا</w:t>
      </w:r>
      <w:r w:rsidRPr="00360D91">
        <w:rPr>
          <w:vertAlign w:val="superscript"/>
          <w:rtl/>
        </w:rPr>
        <w:t>(</w:t>
      </w:r>
      <w:r w:rsidRPr="00360D91">
        <w:rPr>
          <w:rStyle w:val="FootnoteReference"/>
          <w:szCs w:val="30"/>
          <w:rtl/>
        </w:rPr>
        <w:footnoteReference w:id="61"/>
      </w:r>
      <w:r w:rsidRPr="00360D91">
        <w:rPr>
          <w:vertAlign w:val="superscript"/>
          <w:rtl/>
        </w:rPr>
        <w:t>)</w:t>
      </w:r>
      <w:r>
        <w:rPr>
          <w:rtl/>
        </w:rPr>
        <w:t>.</w:t>
      </w:r>
    </w:p>
    <w:p w:rsidR="009862F2" w:rsidRDefault="009862F2" w:rsidP="009862F2">
      <w:pPr>
        <w:pStyle w:val="SingleTxt"/>
        <w:rPr>
          <w:rtl/>
        </w:rPr>
      </w:pPr>
      <w:r>
        <w:rPr>
          <w:rtl/>
        </w:rPr>
        <w:t>90 -</w:t>
      </w:r>
      <w:r>
        <w:rPr>
          <w:rtl/>
        </w:rPr>
        <w:tab/>
        <w:t>ولا تتوفر حالياً المآوى المخصصة للنساء ضحايا العنف التي تشمل بيوتاً مؤقتة وانتقالية إلا في 6 مقاطعات هي بوبونارو (مأوى ماريا تابو) ولوسبالوس (مأوى لوزييرو) وباوكاو (أوما فيتو) وسواي (مأوى إسبرانسا) وأوكيسي، وديلي (كاسا فيدا) ومأوى ماهون الذي يتولى إدارته منتدى الاتصال بنساء تيمور</w:t>
      </w:r>
      <w:r>
        <w:rPr>
          <w:rFonts w:hint="cs"/>
          <w:rtl/>
        </w:rPr>
        <w:t xml:space="preserve"> -</w:t>
      </w:r>
      <w:r>
        <w:rPr>
          <w:rtl/>
        </w:rPr>
        <w:t xml:space="preserve"> ليشتي (فوكوبيرس)، وهو منظمة غير حكومية نسائية وطنية تعمل مع الإناث ضحايا العنف منذ عام 2000. وتعتزم وزارة التضامن الاجتماعي إنشاء 4 مآوى في 4 مقاطعات أخرى. </w:t>
      </w:r>
    </w:p>
    <w:p w:rsidR="009862F2" w:rsidRDefault="009862F2" w:rsidP="009862F2">
      <w:pPr>
        <w:pStyle w:val="SingleTxt"/>
        <w:rPr>
          <w:rtl/>
        </w:rPr>
      </w:pPr>
      <w:r>
        <w:rPr>
          <w:rtl/>
        </w:rPr>
        <w:t>91 -</w:t>
      </w:r>
      <w:r>
        <w:rPr>
          <w:rtl/>
        </w:rPr>
        <w:tab/>
        <w:t>وتعتزم وزارة الصحة إيجاد المزيد من الغرف الآمنة (فاتن هاكماتك) لضحايا العنف الجنساني في المشافي الوطنية والإقليمية، مع توفير الموارد البشرية والمعدات المناسبة، ولا سيما في كوفاليما وبوبونارو وباوكاو وأويكوسي وديلي. ومن المفترض أن توفر الغرف الآمنة الرعاية المجانية والإيواء المؤقت (أقل من يومين/ليلتين) وإمكانية الحصول على خدمات متخصصة لضحايا العنف والأطفال الذين تعرضوا للإيذاء أو الإهمال. وتوجد حالياً غرفة آمنة واحدة في المستشفى الوطني في ديلي وتتولى منظمة براديت (</w:t>
      </w:r>
      <w:r>
        <w:t>PRADET</w:t>
      </w:r>
      <w:r>
        <w:rPr>
          <w:rtl/>
        </w:rPr>
        <w:t xml:space="preserve">) غير الحكومية إدارتها. وتتيح هذه الغرفة الآمنة إمكانية إجراء فحوصات طبية شرعية. </w:t>
      </w:r>
    </w:p>
    <w:p w:rsidR="009862F2" w:rsidRDefault="009862F2" w:rsidP="009862F2">
      <w:pPr>
        <w:pStyle w:val="SingleTxt"/>
        <w:rPr>
          <w:rFonts w:hint="cs"/>
          <w:rtl/>
        </w:rPr>
      </w:pPr>
      <w:r>
        <w:rPr>
          <w:rtl/>
        </w:rPr>
        <w:t>92 -</w:t>
      </w:r>
      <w:r>
        <w:rPr>
          <w:rtl/>
        </w:rPr>
        <w:tab/>
        <w:t>وأنشأت المديرية الوطنية لإعادة الإدماج في المجتمع في إطار وزارة التضامن الاجتماعي نظاماً للحماية الاجتماعية مخصصاً للنساء والأطفال المعرضين للخطر. ولهذه المديرية إدارتان هما: (أ) إدارة معنية بحماية النساء والأسر الضعيفة تتولى إدارة البرامج المخصصة للإنعاش وكذلك إعادة إدماج النساء ضحايا العنف العائلي، والعنف الجنسي، والإتجار بالبشر وانتهاكات حقوق الإنسان، وإعادة الضحايا إلى مجتمعاتهم ولم شمل الأسر التي شتتها كل من النزاعات الاجتماعية والنزاع العسكري</w:t>
      </w:r>
      <w:r>
        <w:rPr>
          <w:rFonts w:hint="cs"/>
          <w:rtl/>
        </w:rPr>
        <w:t xml:space="preserve"> </w:t>
      </w:r>
      <w:r>
        <w:rPr>
          <w:rtl/>
        </w:rPr>
        <w:t>- السياسي والكوارث الطبيعية؛ (ب) وإدارة معنية بحماية الأطفال المعرضين للخطر تتولى إدارة برامج لمنع الاعتداء على الأطفال وإعادة إدماج الأطفال ضحايا الاعتداء في أسرهم ومدارسهم ومجتمعاتهم المحلية</w:t>
      </w:r>
      <w:r w:rsidRPr="00360D91">
        <w:rPr>
          <w:vertAlign w:val="superscript"/>
          <w:rtl/>
        </w:rPr>
        <w:t>(</w:t>
      </w:r>
      <w:r w:rsidRPr="00360D91">
        <w:rPr>
          <w:rStyle w:val="FootnoteReference"/>
          <w:szCs w:val="30"/>
          <w:rtl/>
        </w:rPr>
        <w:footnoteReference w:id="62"/>
      </w:r>
      <w:r w:rsidRPr="00360D91">
        <w:rPr>
          <w:vertAlign w:val="superscript"/>
          <w:rtl/>
        </w:rPr>
        <w:t>)</w:t>
      </w:r>
      <w:r>
        <w:rPr>
          <w:rtl/>
        </w:rPr>
        <w:t>.</w:t>
      </w:r>
    </w:p>
    <w:p w:rsidR="009862F2" w:rsidRDefault="009862F2" w:rsidP="009862F2">
      <w:pPr>
        <w:pStyle w:val="SingleTxt"/>
        <w:rPr>
          <w:rtl/>
        </w:rPr>
      </w:pPr>
      <w:r>
        <w:rPr>
          <w:rtl/>
        </w:rPr>
        <w:t>93 -</w:t>
      </w:r>
      <w:r>
        <w:rPr>
          <w:rtl/>
        </w:rPr>
        <w:tab/>
        <w:t xml:space="preserve">وتتولى وزارة التضامن الاجتماعي أيضاً عقد اجتماعات تنسيقية شهرية مع شبكة إحالة مقدمي الخدمات تمشياً مع اختصاصاتها التي أقرت في 19 أيار/مايو 2010. وأنشئت </w:t>
      </w:r>
      <w:r>
        <w:rPr>
          <w:rFonts w:hint="cs"/>
          <w:rtl/>
        </w:rPr>
        <w:t>”</w:t>
      </w:r>
      <w:r>
        <w:rPr>
          <w:rtl/>
        </w:rPr>
        <w:t>شبكة الشركاء لإحالة مرتكبي العنف القائم على نوع الجنس</w:t>
      </w:r>
      <w:r>
        <w:rPr>
          <w:rFonts w:hint="cs"/>
          <w:rtl/>
        </w:rPr>
        <w:t>“</w:t>
      </w:r>
      <w:r>
        <w:rPr>
          <w:rtl/>
        </w:rPr>
        <w:t xml:space="preserve"> في عام 2001 وما برحت وزارة الدولة لتعزيز المساواة تتولى إدارة هذه الشبكة منذ عام 2009. وتقوم الشبكة بجمع كل الوكالات الرئيسية معاً وتنسيق أعمال الدعوة والخدمات المقدمة من المؤسسات الحكومية ووكالات الأمم المتحدة ومنظمات غير حكومية مثل براديت وفوكوبيرس ومن الجهات التي توفر المأوى. وتضطلع وزارة التضامن الاجتماعي أيضا ببرامج لبناء قدرات الموظفين المعنيين بحماية الطفل والإخصائيين الاجتماعيين لتمكينهم من تحسين عملية توفير خدمات الدعم للضحايا</w:t>
      </w:r>
      <w:r w:rsidRPr="001206FA">
        <w:rPr>
          <w:vertAlign w:val="superscript"/>
          <w:rtl/>
        </w:rPr>
        <w:t>(</w:t>
      </w:r>
      <w:r w:rsidRPr="001206FA">
        <w:rPr>
          <w:rStyle w:val="FootnoteReference"/>
          <w:szCs w:val="30"/>
          <w:rtl/>
        </w:rPr>
        <w:footnoteReference w:id="63"/>
      </w:r>
      <w:r w:rsidRPr="001206FA">
        <w:rPr>
          <w:vertAlign w:val="superscript"/>
          <w:rtl/>
        </w:rPr>
        <w:t>)</w:t>
      </w:r>
      <w:r>
        <w:rPr>
          <w:rtl/>
        </w:rPr>
        <w:t>.</w:t>
      </w:r>
      <w:r>
        <w:rPr>
          <w:rFonts w:hint="cs"/>
          <w:rtl/>
        </w:rPr>
        <w:t xml:space="preserve"> </w:t>
      </w:r>
      <w:r>
        <w:rPr>
          <w:rtl/>
        </w:rPr>
        <w:t xml:space="preserve">وتعتزم الوزارة تكوين موظفين متفانين في مجال الحماية من العنف القائم على نوع الجنس في المستقبل القريب. </w:t>
      </w:r>
    </w:p>
    <w:p w:rsidR="009862F2" w:rsidRPr="001206FA" w:rsidRDefault="009862F2" w:rsidP="009862F2">
      <w:pPr>
        <w:pStyle w:val="SingleTxt"/>
        <w:rPr>
          <w:rtl/>
        </w:rPr>
      </w:pPr>
      <w:r>
        <w:rPr>
          <w:rtl/>
        </w:rPr>
        <w:t>94 -</w:t>
      </w:r>
      <w:r>
        <w:rPr>
          <w:rtl/>
        </w:rPr>
        <w:tab/>
        <w:t>ووفقاً للمادة 16 من قانون مكافحة العنف العائلي، وضعت وزارة التضامن الاجتماعي إجراءات تشغيلية موحدة لتعزيز خدمات دعم الضحايا وشبكة الإحالة لمقدمي الخدمات على كل من المستوى الوطني ومستوى المقاطعات، وتقود ذلك المديرية الوطنية للإدماج المجتمعي التابعة لوزارة التضامن الاجتماعي. وتبين الإجراءات التشغيلية الموحدة طريقة الحصول على الخدمات الأمنية والطبية والنفسية والقانونية. وتقدم وزارة التضامن الاجتماعي أيضاً الدعم المالي لمنظمات غير حكومية مثل فوكوبيرس ومؤسسة ألولا، والمركز الدولي للعدالة الانتقالية ومنظمة براديت ومنظمة أخوات روح القدس في سواي</w:t>
      </w:r>
      <w:r w:rsidRPr="001206FA">
        <w:rPr>
          <w:vertAlign w:val="superscript"/>
          <w:rtl/>
        </w:rPr>
        <w:t>(</w:t>
      </w:r>
      <w:r w:rsidRPr="001206FA">
        <w:rPr>
          <w:rStyle w:val="FootnoteReference"/>
          <w:szCs w:val="30"/>
          <w:rtl/>
        </w:rPr>
        <w:footnoteReference w:id="64"/>
      </w:r>
      <w:r w:rsidRPr="001206FA">
        <w:rPr>
          <w:vertAlign w:val="superscript"/>
          <w:rtl/>
        </w:rPr>
        <w:t>)</w:t>
      </w:r>
      <w:r>
        <w:rPr>
          <w:rtl/>
        </w:rPr>
        <w:t>.</w:t>
      </w:r>
    </w:p>
    <w:p w:rsidR="009862F2" w:rsidRPr="003245A4" w:rsidRDefault="009862F2" w:rsidP="009862F2">
      <w:pPr>
        <w:pStyle w:val="SingleTxt"/>
        <w:spacing w:after="0" w:line="120" w:lineRule="exact"/>
        <w:rPr>
          <w:sz w:val="10"/>
          <w:rtl/>
        </w:rPr>
      </w:pPr>
    </w:p>
    <w:p w:rsidR="009862F2" w:rsidRPr="003245A4" w:rsidRDefault="009862F2" w:rsidP="009862F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245A4">
        <w:rPr>
          <w:rtl/>
        </w:rPr>
        <w:t>القوة العاملة المشتركة بين الشرطة الوطنية لتيمور</w:t>
      </w:r>
      <w:r>
        <w:rPr>
          <w:rFonts w:hint="cs"/>
          <w:rtl/>
        </w:rPr>
        <w:t xml:space="preserve"> -</w:t>
      </w:r>
      <w:r w:rsidRPr="003245A4">
        <w:rPr>
          <w:rtl/>
        </w:rPr>
        <w:t xml:space="preserve"> ليشتي (وحدة المستضعفين)</w:t>
      </w:r>
    </w:p>
    <w:p w:rsidR="009862F2" w:rsidRPr="001206FA" w:rsidRDefault="009862F2" w:rsidP="009862F2">
      <w:pPr>
        <w:pStyle w:val="SingleTxt"/>
        <w:rPr>
          <w:rtl/>
        </w:rPr>
      </w:pPr>
      <w:r>
        <w:rPr>
          <w:rtl/>
        </w:rPr>
        <w:t>95 -</w:t>
      </w:r>
      <w:r>
        <w:rPr>
          <w:rtl/>
        </w:rPr>
        <w:tab/>
        <w:t>تنص ولاية وحدة المستضعفين التابعة للشرطة الوطنية لتيمور</w:t>
      </w:r>
      <w:r>
        <w:rPr>
          <w:rFonts w:hint="cs"/>
          <w:rtl/>
        </w:rPr>
        <w:t xml:space="preserve"> -</w:t>
      </w:r>
      <w:r>
        <w:rPr>
          <w:rtl/>
        </w:rPr>
        <w:t xml:space="preserve"> ليشتي على التحقيق في قضايا العنف القائم على نوع الجنس والعنف العائلي والاغتصاب وإيذاء الأطفال والأشخاص المفقودين والاتجار بالبشر والجرائم الأخرى التي ترتكب بحق الأشخاص الذين تقل قدرتهم على الدفاع عن أنفسهم. وتتألف وحدة المستضعفين من وحدة تنسيق وطنية تضم قائداً واحداً وموظفين اثنين، ومن وحدات المقاطعات الموجودة في كل مقاطعة والتي يضم كل منها بوجه عام عدداً يتراوح بين 7 و</w:t>
      </w:r>
      <w:r>
        <w:rPr>
          <w:rFonts w:hint="cs"/>
          <w:rtl/>
        </w:rPr>
        <w:t xml:space="preserve"> </w:t>
      </w:r>
      <w:r>
        <w:rPr>
          <w:rtl/>
        </w:rPr>
        <w:t>8 موظفين (99 موظف مقاطعة في 13</w:t>
      </w:r>
      <w:r>
        <w:rPr>
          <w:rFonts w:hint="cs"/>
          <w:rtl/>
        </w:rPr>
        <w:t> </w:t>
      </w:r>
      <w:r>
        <w:rPr>
          <w:rtl/>
        </w:rPr>
        <w:t>مقاطعة في عام 2012). وقد ساعدت شرطة الأمم المتحدة وحدة المستضعفين أثناء تواجد بعثة الأمم المتحدة المتكاملة في تيمور - ليشتي في البلد</w:t>
      </w:r>
      <w:r w:rsidRPr="001206FA">
        <w:rPr>
          <w:vertAlign w:val="superscript"/>
          <w:rtl/>
        </w:rPr>
        <w:t>(</w:t>
      </w:r>
      <w:r w:rsidRPr="001206FA">
        <w:rPr>
          <w:rStyle w:val="FootnoteReference"/>
          <w:szCs w:val="30"/>
          <w:rtl/>
        </w:rPr>
        <w:footnoteReference w:id="65"/>
      </w:r>
      <w:r w:rsidRPr="001206FA">
        <w:rPr>
          <w:vertAlign w:val="superscript"/>
          <w:rtl/>
        </w:rPr>
        <w:t>)</w:t>
      </w:r>
      <w:r>
        <w:rPr>
          <w:rtl/>
        </w:rPr>
        <w:t>.</w:t>
      </w:r>
    </w:p>
    <w:p w:rsidR="009862F2" w:rsidRDefault="009862F2" w:rsidP="009862F2">
      <w:pPr>
        <w:pStyle w:val="SingleTxt"/>
        <w:rPr>
          <w:rtl/>
        </w:rPr>
      </w:pPr>
      <w:r>
        <w:rPr>
          <w:rtl/>
        </w:rPr>
        <w:t>96 -</w:t>
      </w:r>
      <w:r>
        <w:rPr>
          <w:rtl/>
        </w:rPr>
        <w:tab/>
        <w:t>ويتمثل التحدي الذي تواجهه وحدة الأشخاص الضعفاء والذي طرح أثناء العملية التشاورية بشأن هذا التقرير في سياسة الموارد البشرية للشرطة الوطنية لتيمور</w:t>
      </w:r>
      <w:r>
        <w:rPr>
          <w:rFonts w:hint="cs"/>
          <w:rtl/>
        </w:rPr>
        <w:t xml:space="preserve"> -</w:t>
      </w:r>
      <w:r>
        <w:rPr>
          <w:rtl/>
        </w:rPr>
        <w:t xml:space="preserve"> ليشتي، التي تنفذ بانتظام عملية تناوب الضباط داخل وحدة الأشخاص الضعفاء، وتشكل تحديات أمام الاحتفاظ بالتدريب والمهارات المتعلقة بتوفير العناية لضحايا العنف القائم على نوع الجنس والتحقيقات في هذا العنف.</w:t>
      </w:r>
    </w:p>
    <w:p w:rsidR="009862F2" w:rsidRPr="003245A4" w:rsidRDefault="009862F2" w:rsidP="009862F2">
      <w:pPr>
        <w:pStyle w:val="SingleTxt"/>
        <w:spacing w:after="0" w:line="120" w:lineRule="exact"/>
        <w:rPr>
          <w:sz w:val="10"/>
          <w:rtl/>
        </w:rPr>
      </w:pPr>
    </w:p>
    <w:p w:rsidR="009862F2" w:rsidRPr="003245A4" w:rsidRDefault="009862F2" w:rsidP="009862F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245A4">
        <w:rPr>
          <w:rtl/>
        </w:rPr>
        <w:t>الوصول إلى العدالة والمقاضاة</w:t>
      </w:r>
    </w:p>
    <w:p w:rsidR="009862F2" w:rsidRDefault="009862F2" w:rsidP="009862F2">
      <w:pPr>
        <w:pStyle w:val="SingleTxt"/>
        <w:rPr>
          <w:rtl/>
        </w:rPr>
      </w:pPr>
      <w:r>
        <w:rPr>
          <w:rtl/>
        </w:rPr>
        <w:t>97 -</w:t>
      </w:r>
      <w:r>
        <w:rPr>
          <w:rtl/>
        </w:rPr>
        <w:tab/>
        <w:t>ما برح مكتب محامي المساعدة القضائية يوفر المعونة القانونية المجانية للمواطنين الفقراء منذ عام 2008. وقد أصبح مكتب محامي المساعدة القضائية موجوداً في المقاطعات منذ عام 2009، وهو مكلف بتنفيذ مبادرات مثل تنظيم حملات توعية مناسبة لزيادة وعي المواطنين بالعدالة الرسمية ومن ثم إمكانية لجوئهم إلى القضاء</w:t>
      </w:r>
      <w:r w:rsidRPr="001206FA">
        <w:rPr>
          <w:vertAlign w:val="superscript"/>
          <w:rtl/>
        </w:rPr>
        <w:t>(</w:t>
      </w:r>
      <w:r w:rsidRPr="001206FA">
        <w:rPr>
          <w:rStyle w:val="FootnoteReference"/>
          <w:szCs w:val="30"/>
          <w:rtl/>
        </w:rPr>
        <w:footnoteReference w:id="66"/>
      </w:r>
      <w:r w:rsidRPr="001206FA">
        <w:rPr>
          <w:vertAlign w:val="superscript"/>
          <w:rtl/>
        </w:rPr>
        <w:t>)</w:t>
      </w:r>
      <w:r>
        <w:rPr>
          <w:rtl/>
        </w:rPr>
        <w:t>.</w:t>
      </w:r>
    </w:p>
    <w:p w:rsidR="009862F2" w:rsidRDefault="009862F2" w:rsidP="009862F2">
      <w:pPr>
        <w:pStyle w:val="SingleTxt"/>
        <w:rPr>
          <w:rtl/>
        </w:rPr>
      </w:pPr>
      <w:r>
        <w:rPr>
          <w:rtl/>
        </w:rPr>
        <w:t>98 -</w:t>
      </w:r>
      <w:r>
        <w:rPr>
          <w:rtl/>
        </w:rPr>
        <w:tab/>
        <w:t xml:space="preserve">والهدف 2 لخطة العمل الوطنية هو </w:t>
      </w:r>
      <w:r>
        <w:rPr>
          <w:rFonts w:hint="cs"/>
          <w:rtl/>
        </w:rPr>
        <w:t>”</w:t>
      </w:r>
      <w:r>
        <w:rPr>
          <w:rtl/>
        </w:rPr>
        <w:t>تحقيق العدالة</w:t>
      </w:r>
      <w:r>
        <w:rPr>
          <w:rFonts w:hint="cs"/>
          <w:rtl/>
        </w:rPr>
        <w:t xml:space="preserve">“ </w:t>
      </w:r>
      <w:r>
        <w:rPr>
          <w:rtl/>
        </w:rPr>
        <w:t>- الذي يركز على ضمان التحقيق في جميع أشكال العنف القائم على نوع الجنس ومقاضاة مرتكبيه ومعاقبتهم. ويرمي هذا البند من خطة العمل الوطنية إلى إزالة الحواجز التي تعيق المقاضاة في قضايا العنف القائم على نوع الجنس وتحسين ثقة الجمهور في قطاع العدل</w:t>
      </w:r>
      <w:r w:rsidRPr="001206FA">
        <w:rPr>
          <w:vertAlign w:val="superscript"/>
          <w:rtl/>
        </w:rPr>
        <w:t>(</w:t>
      </w:r>
      <w:r w:rsidRPr="001206FA">
        <w:rPr>
          <w:rStyle w:val="FootnoteReference"/>
          <w:szCs w:val="30"/>
          <w:rtl/>
        </w:rPr>
        <w:footnoteReference w:id="67"/>
      </w:r>
      <w:r w:rsidRPr="001206FA">
        <w:rPr>
          <w:vertAlign w:val="superscript"/>
          <w:rtl/>
        </w:rPr>
        <w:t>)</w:t>
      </w:r>
      <w:r>
        <w:rPr>
          <w:rtl/>
        </w:rPr>
        <w:t>.</w:t>
      </w:r>
    </w:p>
    <w:p w:rsidR="009862F2" w:rsidRDefault="009862F2" w:rsidP="009862F2">
      <w:pPr>
        <w:pStyle w:val="SingleTxt"/>
        <w:rPr>
          <w:rtl/>
        </w:rPr>
      </w:pPr>
      <w:r>
        <w:rPr>
          <w:rtl/>
        </w:rPr>
        <w:t>99 -</w:t>
      </w:r>
      <w:r>
        <w:rPr>
          <w:rtl/>
        </w:rPr>
        <w:tab/>
        <w:t>وتضطلع وزارة العدل بمشروع المحاكم المتنقلة، بدعم من برنامج نظام العدالة الذي وضعه برنامج الأمم المتحدة الإنمائي. وتعمل المحاكم المتنقلة انطلاقاً من المحاكم المحلية الأربع (ديلي وباوكاو وسواي وأوكيسي) لتغطية مقاطعات تيمور</w:t>
      </w:r>
      <w:r>
        <w:rPr>
          <w:rFonts w:hint="cs"/>
          <w:rtl/>
        </w:rPr>
        <w:t xml:space="preserve"> </w:t>
      </w:r>
      <w:r>
        <w:rPr>
          <w:rtl/>
        </w:rPr>
        <w:t>- ليشتي الثلاث عشرة. وتعرقل أحوال الطرق الرديئة للغاية القدرة على جلب المشتبه فيهم والشهود والضحايا من مختلف المناطق إلى المحكمة</w:t>
      </w:r>
      <w:r w:rsidRPr="001206FA">
        <w:rPr>
          <w:vertAlign w:val="superscript"/>
          <w:rtl/>
        </w:rPr>
        <w:t>(</w:t>
      </w:r>
      <w:r w:rsidRPr="001206FA">
        <w:rPr>
          <w:rStyle w:val="FootnoteReference"/>
          <w:szCs w:val="30"/>
          <w:rtl/>
        </w:rPr>
        <w:footnoteReference w:id="68"/>
      </w:r>
      <w:r w:rsidRPr="001206FA">
        <w:rPr>
          <w:vertAlign w:val="superscript"/>
          <w:rtl/>
        </w:rPr>
        <w:t>)</w:t>
      </w:r>
      <w:r>
        <w:rPr>
          <w:rtl/>
        </w:rPr>
        <w:t xml:space="preserve"> وتساعد المحاكم المتنقلة في تحقيق العدالة لأفقر المناطق وأبعدها. </w:t>
      </w:r>
    </w:p>
    <w:p w:rsidR="009862F2" w:rsidRPr="00C777A1" w:rsidRDefault="009862F2" w:rsidP="009862F2">
      <w:pPr>
        <w:pStyle w:val="SingleTxt"/>
        <w:rPr>
          <w:rtl/>
        </w:rPr>
      </w:pPr>
      <w:r>
        <w:rPr>
          <w:rtl/>
        </w:rPr>
        <w:t>100 -</w:t>
      </w:r>
      <w:r>
        <w:rPr>
          <w:rFonts w:hint="cs"/>
          <w:rtl/>
        </w:rPr>
        <w:t xml:space="preserve"> </w:t>
      </w:r>
      <w:r>
        <w:rPr>
          <w:rtl/>
        </w:rPr>
        <w:t>ولزيادة إلمام المواطنين بالمسائل القانونية وبالمعرفة بحقوقهم، قام مكتب محامي المساعدة القضائية في عام 2012 بوضع استراتيجية للاتصالات هدفها زيادة التوعية بحقوق الاتصال بمحامي المساعدة القضائية تشمل تقديم الخدمات وتوفير المنشورات واستخدام وسائط الإعلام وإنشاء موقع شبكي. وهي حالياً قيد الموافقة</w:t>
      </w:r>
      <w:r w:rsidRPr="00043D63">
        <w:rPr>
          <w:vertAlign w:val="superscript"/>
          <w:rtl/>
        </w:rPr>
        <w:t>(</w:t>
      </w:r>
      <w:r w:rsidRPr="00043D63">
        <w:rPr>
          <w:rStyle w:val="FootnoteReference"/>
          <w:szCs w:val="30"/>
          <w:rtl/>
        </w:rPr>
        <w:footnoteReference w:id="69"/>
      </w:r>
      <w:r w:rsidRPr="00043D63">
        <w:rPr>
          <w:vertAlign w:val="superscript"/>
          <w:rtl/>
        </w:rPr>
        <w:t>)</w:t>
      </w:r>
      <w:r>
        <w:rPr>
          <w:rtl/>
        </w:rPr>
        <w:t>.</w:t>
      </w:r>
    </w:p>
    <w:p w:rsidR="009862F2" w:rsidRDefault="009862F2" w:rsidP="009862F2">
      <w:pPr>
        <w:pStyle w:val="SingleTxt"/>
        <w:rPr>
          <w:rtl/>
        </w:rPr>
      </w:pPr>
      <w:r>
        <w:rPr>
          <w:rtl/>
        </w:rPr>
        <w:t>101 -</w:t>
      </w:r>
      <w:r>
        <w:rPr>
          <w:rFonts w:hint="cs"/>
          <w:rtl/>
        </w:rPr>
        <w:t xml:space="preserve"> </w:t>
      </w:r>
      <w:r>
        <w:rPr>
          <w:rtl/>
        </w:rPr>
        <w:t>وفي إطار تنفيذ الخطة الاستراتيجية للعدالة للفترة 2011-2030، تنفذ أيضاً وزارة العدل، بدعم من برنامج الأمم المتحدة الإنمائي ومختلف منظمات المجتمع المدني، حملة توعية وطنية على كل من المستوى الوطني ومستوى المقاطعات تتناول مواضيع مختلفة (الحق في المساعدة القانونية المجانية وما إلى ذلك</w:t>
      </w:r>
      <w:r>
        <w:rPr>
          <w:rFonts w:hint="cs"/>
          <w:rtl/>
        </w:rPr>
        <w:t xml:space="preserve"> </w:t>
      </w:r>
      <w:r>
        <w:rPr>
          <w:rtl/>
        </w:rPr>
        <w:t>...)، وتشمل الاستفادة من دورات توعية المجتمع والبرامج الإذاعية</w:t>
      </w:r>
      <w:r w:rsidRPr="00C777A1">
        <w:rPr>
          <w:vertAlign w:val="superscript"/>
          <w:rtl/>
        </w:rPr>
        <w:t>(</w:t>
      </w:r>
      <w:r w:rsidRPr="00C777A1">
        <w:rPr>
          <w:rStyle w:val="FootnoteReference"/>
          <w:szCs w:val="30"/>
          <w:rtl/>
        </w:rPr>
        <w:footnoteReference w:id="70"/>
      </w:r>
      <w:r w:rsidRPr="00C777A1">
        <w:rPr>
          <w:vertAlign w:val="superscript"/>
          <w:rtl/>
        </w:rPr>
        <w:t>)</w:t>
      </w:r>
      <w:r>
        <w:rPr>
          <w:rtl/>
        </w:rPr>
        <w:t>.</w:t>
      </w:r>
    </w:p>
    <w:p w:rsidR="009862F2" w:rsidRPr="00C777A1" w:rsidRDefault="009862F2" w:rsidP="009862F2">
      <w:pPr>
        <w:pStyle w:val="SingleTxt"/>
        <w:rPr>
          <w:rtl/>
        </w:rPr>
      </w:pPr>
      <w:r>
        <w:rPr>
          <w:rtl/>
        </w:rPr>
        <w:t>102 -</w:t>
      </w:r>
      <w:r>
        <w:rPr>
          <w:rFonts w:hint="cs"/>
          <w:rtl/>
        </w:rPr>
        <w:t xml:space="preserve"> </w:t>
      </w:r>
      <w:r>
        <w:rPr>
          <w:rtl/>
        </w:rPr>
        <w:t>وتنظم أيضاً وحدة الأشخاص الضعفاء في عام 2013 دورات للتوعية والتدريب في المجال القانوني في المدارس الموجودة في جميع أنحاء البلد، وذلك بالتعاون مع مختلف المنظمات غير الحكومية الرئيسية بهدف التوعية بمؤسسات العدالة الأساسية وتوفير معلومات عن التشريعات الرئيسية ولا سيما قانون مكافحة العنف العائلي</w:t>
      </w:r>
      <w:r w:rsidRPr="00C777A1">
        <w:rPr>
          <w:vertAlign w:val="superscript"/>
          <w:rtl/>
        </w:rPr>
        <w:t>(</w:t>
      </w:r>
      <w:r w:rsidRPr="00C777A1">
        <w:rPr>
          <w:rStyle w:val="FootnoteReference"/>
          <w:szCs w:val="30"/>
          <w:rtl/>
        </w:rPr>
        <w:footnoteReference w:id="71"/>
      </w:r>
      <w:r w:rsidRPr="00C777A1">
        <w:rPr>
          <w:vertAlign w:val="superscript"/>
          <w:rtl/>
        </w:rPr>
        <w:t>)</w:t>
      </w:r>
      <w:r>
        <w:rPr>
          <w:rtl/>
        </w:rPr>
        <w:t>.</w:t>
      </w:r>
    </w:p>
    <w:p w:rsidR="009862F2" w:rsidRDefault="009862F2" w:rsidP="00A44507">
      <w:pPr>
        <w:pStyle w:val="SingleTxt"/>
        <w:rPr>
          <w:rtl/>
        </w:rPr>
      </w:pPr>
      <w:r>
        <w:rPr>
          <w:rtl/>
        </w:rPr>
        <w:t>103 -</w:t>
      </w:r>
      <w:r>
        <w:rPr>
          <w:rFonts w:hint="cs"/>
          <w:rtl/>
        </w:rPr>
        <w:t xml:space="preserve"> </w:t>
      </w:r>
      <w:r>
        <w:rPr>
          <w:rtl/>
        </w:rPr>
        <w:t>ورغم الجهود الكبيرة، لا يزال قطاع العدالة النامي يواجه التحديات، ولا سيما في</w:t>
      </w:r>
      <w:r>
        <w:rPr>
          <w:rFonts w:hint="cs"/>
          <w:rtl/>
        </w:rPr>
        <w:t> </w:t>
      </w:r>
      <w:r>
        <w:rPr>
          <w:rtl/>
        </w:rPr>
        <w:t>ما يتعلق بالموارد البشرية. وفي عام 2010، عين لدى دائرة الادعاء العام 13 مدعياً عاماً تيمورياً (بالإضافة إلى عدد من المدعين العامين الدوليين) و</w:t>
      </w:r>
      <w:r>
        <w:rPr>
          <w:rFonts w:hint="cs"/>
          <w:rtl/>
        </w:rPr>
        <w:t xml:space="preserve"> </w:t>
      </w:r>
      <w:r>
        <w:rPr>
          <w:rtl/>
        </w:rPr>
        <w:t>4 مدعين عامين معينين لفترة اختبارية. غير أن التحديات ما زالت قائمة في عدد من القضايا قيد التحقيق، مما يستوجب مزيداً من التنسيق بين المدعين العامين والشرطة. ففي عام 2012، مثلاً، كانت هناك 723</w:t>
      </w:r>
      <w:r>
        <w:rPr>
          <w:rFonts w:hint="cs"/>
          <w:rtl/>
        </w:rPr>
        <w:t> </w:t>
      </w:r>
      <w:r>
        <w:rPr>
          <w:rtl/>
        </w:rPr>
        <w:t>4</w:t>
      </w:r>
      <w:r>
        <w:rPr>
          <w:rFonts w:hint="cs"/>
          <w:rtl/>
        </w:rPr>
        <w:t xml:space="preserve"> </w:t>
      </w:r>
      <w:r>
        <w:rPr>
          <w:rtl/>
        </w:rPr>
        <w:t>قضية مرحلة من سنوات سابقة</w:t>
      </w:r>
      <w:r w:rsidRPr="00C777A1">
        <w:rPr>
          <w:vertAlign w:val="superscript"/>
          <w:rtl/>
        </w:rPr>
        <w:t>(</w:t>
      </w:r>
      <w:r w:rsidRPr="00C777A1">
        <w:rPr>
          <w:rStyle w:val="FootnoteReference"/>
          <w:szCs w:val="30"/>
          <w:rtl/>
        </w:rPr>
        <w:footnoteReference w:id="72"/>
      </w:r>
      <w:r w:rsidRPr="00C777A1">
        <w:rPr>
          <w:vertAlign w:val="superscript"/>
          <w:rtl/>
        </w:rPr>
        <w:t>)</w:t>
      </w:r>
      <w:r>
        <w:rPr>
          <w:rtl/>
        </w:rPr>
        <w:t>. وعلاوة على ذلك، هناك أيضاً حاجة إلى وضع نظام فعال لمتابعة القضايا من أجل إدارة مجموعة كبيرة من القضايا.</w:t>
      </w:r>
    </w:p>
    <w:p w:rsidR="009862F2" w:rsidRPr="00CE34C8" w:rsidRDefault="009862F2" w:rsidP="00A44507">
      <w:pPr>
        <w:pStyle w:val="SingleTxt"/>
        <w:rPr>
          <w:rFonts w:hint="cs"/>
          <w:rtl/>
        </w:rPr>
      </w:pPr>
      <w:r>
        <w:rPr>
          <w:rtl/>
        </w:rPr>
        <w:t>104 -</w:t>
      </w:r>
      <w:r>
        <w:rPr>
          <w:rFonts w:hint="cs"/>
          <w:rtl/>
        </w:rPr>
        <w:t xml:space="preserve"> </w:t>
      </w:r>
      <w:r>
        <w:rPr>
          <w:rtl/>
        </w:rPr>
        <w:t>وفي جميع محاكم تيمور</w:t>
      </w:r>
      <w:r>
        <w:rPr>
          <w:rFonts w:hint="cs"/>
          <w:rtl/>
        </w:rPr>
        <w:t xml:space="preserve"> -</w:t>
      </w:r>
      <w:r>
        <w:rPr>
          <w:rtl/>
        </w:rPr>
        <w:t xml:space="preserve"> ليشتي المحلية، لم يبت سوى في نسبة مئوية ضئيلة من القضايا المتعلقة بالعنف العائلي والجنسي باتباع الأصول القانونية الكاملة، ويعزى ذلك إلى عدد من الأسباب منها فهم الضحية المحدود للإجراءات القانونية أو حالات التأخير المطولة في إجراءات المحاكم. إلا أن قانون مكافحة العنف العائلي سجل تحسينات هامة في معدلات الإدانة، حيث وجهت التهمة قبل ذلك إلى الكثيرين بموجب المادة 145 من قانون العقوبات التي تتعلق بـ</w:t>
      </w:r>
      <w:r>
        <w:rPr>
          <w:rFonts w:hint="cs"/>
          <w:rtl/>
        </w:rPr>
        <w:t xml:space="preserve"> ”</w:t>
      </w:r>
      <w:r>
        <w:rPr>
          <w:rtl/>
        </w:rPr>
        <w:t>الجرائم البسيطة التي تخص السلامة البدنية</w:t>
      </w:r>
      <w:r>
        <w:rPr>
          <w:rFonts w:hint="cs"/>
          <w:rtl/>
        </w:rPr>
        <w:t>“</w:t>
      </w:r>
      <w:r>
        <w:rPr>
          <w:rtl/>
        </w:rPr>
        <w:t xml:space="preserve"> (جريمة شبه عامة يحكم على مرتكبها بالسجن لمدة أقصاها 3 سنوات)، عوضاً عن المادة 154 المتعلقة بـ </w:t>
      </w:r>
      <w:r>
        <w:rPr>
          <w:rFonts w:hint="eastAsia"/>
          <w:rtl/>
        </w:rPr>
        <w:t>”</w:t>
      </w:r>
      <w:r>
        <w:rPr>
          <w:rtl/>
        </w:rPr>
        <w:t>إساءة معاملة الزوجة</w:t>
      </w:r>
      <w:r>
        <w:rPr>
          <w:rFonts w:hint="cs"/>
          <w:rtl/>
        </w:rPr>
        <w:t>“</w:t>
      </w:r>
      <w:r>
        <w:rPr>
          <w:rtl/>
        </w:rPr>
        <w:t xml:space="preserve"> (وهي جريمة عامة يعاقب عليها بالسجن لمدة أقصاها 6 سنوات). ولهذا، فقد حل العديد من القضايا عن طريق التسوية بناء على طلب من الضحية، وهو أمر لم يعد ممكناً لأن قانون مكافحة العنف العائلي قد جعل العنف العائلي جريمة عامة</w:t>
      </w:r>
      <w:r w:rsidRPr="00C777A1">
        <w:rPr>
          <w:vertAlign w:val="superscript"/>
          <w:rtl/>
        </w:rPr>
        <w:t>(</w:t>
      </w:r>
      <w:r w:rsidRPr="00C777A1">
        <w:rPr>
          <w:rStyle w:val="FootnoteReference"/>
          <w:szCs w:val="30"/>
          <w:rtl/>
        </w:rPr>
        <w:footnoteReference w:id="73"/>
      </w:r>
      <w:r w:rsidRPr="00C777A1">
        <w:rPr>
          <w:vertAlign w:val="superscript"/>
          <w:rtl/>
        </w:rPr>
        <w:t>)</w:t>
      </w:r>
      <w:r>
        <w:rPr>
          <w:rtl/>
        </w:rPr>
        <w:t>.</w:t>
      </w:r>
    </w:p>
    <w:p w:rsidR="00CE34C8" w:rsidRPr="009862F2" w:rsidRDefault="00CE34C8" w:rsidP="009862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right="1267" w:hanging="662"/>
        <w:rPr>
          <w:rFonts w:hint="cs"/>
          <w:sz w:val="10"/>
          <w:rtl/>
        </w:rPr>
      </w:pPr>
    </w:p>
    <w:p w:rsidR="009862F2" w:rsidRPr="00225251" w:rsidRDefault="009862F2" w:rsidP="009862F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25251">
        <w:rPr>
          <w:rFonts w:hint="cs"/>
          <w:rtl/>
        </w:rPr>
        <w:tab/>
      </w:r>
      <w:r w:rsidRPr="00225251">
        <w:rPr>
          <w:rFonts w:hint="cs"/>
          <w:rtl/>
        </w:rPr>
        <w:tab/>
      </w:r>
      <w:r w:rsidRPr="00225251">
        <w:rPr>
          <w:rtl/>
        </w:rPr>
        <w:t>الموقف العام تجاه العنف القائم على نوع الجنس والاتجاهات في إبلاغ الشرطة بالحالات</w:t>
      </w:r>
    </w:p>
    <w:p w:rsidR="009862F2" w:rsidRDefault="009862F2" w:rsidP="009862F2">
      <w:pPr>
        <w:pStyle w:val="SingleTxt"/>
        <w:rPr>
          <w:rtl/>
        </w:rPr>
      </w:pPr>
      <w:r>
        <w:rPr>
          <w:rtl/>
        </w:rPr>
        <w:t>105</w:t>
      </w:r>
      <w:r>
        <w:rPr>
          <w:rFonts w:hint="cs"/>
          <w:rtl/>
        </w:rPr>
        <w:t xml:space="preserve"> </w:t>
      </w:r>
      <w:r>
        <w:rPr>
          <w:rtl/>
        </w:rPr>
        <w:t>- كان عدد الضحايا اللواتي التمسن المساعدة من الشرطة في عام 2012 مساويا تقريبا لعددهن في عام 2005 (492 حالة في الفترة من كانون الثاني/يناير إلى تشرين الأول/أكتوبر 2005 مقارنة بـ 503 حالات خلال نفس الفترة من عام 2012)</w:t>
      </w:r>
      <w:r w:rsidRPr="00225251">
        <w:rPr>
          <w:vertAlign w:val="superscript"/>
          <w:rtl/>
        </w:rPr>
        <w:t>(</w:t>
      </w:r>
      <w:r w:rsidRPr="00225251">
        <w:rPr>
          <w:rStyle w:val="FootnoteReference"/>
          <w:szCs w:val="30"/>
          <w:rtl/>
        </w:rPr>
        <w:footnoteReference w:id="74"/>
      </w:r>
      <w:r w:rsidRPr="00225251">
        <w:rPr>
          <w:vertAlign w:val="superscript"/>
          <w:rtl/>
        </w:rPr>
        <w:t>)</w:t>
      </w:r>
      <w:r>
        <w:rPr>
          <w:rtl/>
        </w:rPr>
        <w:t>.</w:t>
      </w:r>
    </w:p>
    <w:p w:rsidR="009862F2" w:rsidRDefault="009862F2" w:rsidP="009862F2">
      <w:pPr>
        <w:pStyle w:val="SingleTxt"/>
        <w:rPr>
          <w:rtl/>
        </w:rPr>
      </w:pPr>
      <w:r>
        <w:rPr>
          <w:rtl/>
        </w:rPr>
        <w:t>106</w:t>
      </w:r>
      <w:r>
        <w:rPr>
          <w:rFonts w:hint="cs"/>
          <w:rtl/>
        </w:rPr>
        <w:t xml:space="preserve"> </w:t>
      </w:r>
      <w:r>
        <w:rPr>
          <w:rtl/>
        </w:rPr>
        <w:t>- وخلال أنشطة التوعية الاجتماعية بقانون مكافحة العنف العائلي، حدث ردا فعل معارضان تجاه هذا القانون الجديد. فالبعض من الرجال والنساء - أعربوا عن الارتياح لمعرفة المزيد عن القانون وكيفية تطبيقه. ومع ذلك، فإن نسبة كبيرة، وخاصة القادة الذكور، أعربوا عن معارضتهم للقانون وثقتهم في النظام التقليدي، قائلين إن الحكومة ينبغي ألا</w:t>
      </w:r>
      <w:r>
        <w:rPr>
          <w:rFonts w:hint="cs"/>
          <w:rtl/>
        </w:rPr>
        <w:t> </w:t>
      </w:r>
      <w:r>
        <w:rPr>
          <w:rtl/>
        </w:rPr>
        <w:t>تتدخل</w:t>
      </w:r>
      <w:r w:rsidRPr="00225251">
        <w:rPr>
          <w:vertAlign w:val="superscript"/>
          <w:rtl/>
        </w:rPr>
        <w:t>(</w:t>
      </w:r>
      <w:r w:rsidRPr="00225251">
        <w:rPr>
          <w:rStyle w:val="FootnoteReference"/>
          <w:szCs w:val="30"/>
          <w:rtl/>
        </w:rPr>
        <w:footnoteReference w:id="75"/>
      </w:r>
      <w:r w:rsidRPr="00225251">
        <w:rPr>
          <w:vertAlign w:val="superscript"/>
          <w:rtl/>
        </w:rPr>
        <w:t>)</w:t>
      </w:r>
      <w:r>
        <w:rPr>
          <w:rtl/>
        </w:rPr>
        <w:t xml:space="preserve">. </w:t>
      </w:r>
    </w:p>
    <w:p w:rsidR="009862F2" w:rsidRDefault="009862F2" w:rsidP="009862F2">
      <w:pPr>
        <w:pStyle w:val="SingleTxt"/>
        <w:rPr>
          <w:rtl/>
        </w:rPr>
      </w:pPr>
      <w:r>
        <w:rPr>
          <w:rtl/>
        </w:rPr>
        <w:t>107-</w:t>
      </w:r>
      <w:r>
        <w:rPr>
          <w:rtl/>
        </w:rPr>
        <w:tab/>
        <w:t>وتبين، من خلال تقييم أجري في 3 مقاطعات (كوفاليما، وأوكوسي، ومانوفاهي) في نيسان/أبريل 2012، أن مستوى الوعي بين قادة المجتمع بشأن العنف العائلي وقانون مكافحة العنف العائلي مازال بحاجة إلى تعزيز. واستنادا إلى هذه النتيجة، أجرت وزارة الدولة لتعزيز المساواة مزيدا من التدريبات في أيار/مايو 2012، أدت إلى قيام قادة المجتمعات المحلية بتبادل معارفهم من خلال تنظيم لقاءات مجتمعية</w:t>
      </w:r>
      <w:r w:rsidRPr="00225251">
        <w:rPr>
          <w:vertAlign w:val="superscript"/>
          <w:rtl/>
        </w:rPr>
        <w:t>(</w:t>
      </w:r>
      <w:r w:rsidRPr="00225251">
        <w:rPr>
          <w:rStyle w:val="FootnoteReference"/>
          <w:szCs w:val="30"/>
          <w:rtl/>
        </w:rPr>
        <w:footnoteReference w:id="76"/>
      </w:r>
      <w:r w:rsidRPr="00225251">
        <w:rPr>
          <w:vertAlign w:val="superscript"/>
          <w:rtl/>
        </w:rPr>
        <w:t>)</w:t>
      </w:r>
      <w:r>
        <w:rPr>
          <w:rtl/>
        </w:rPr>
        <w:t xml:space="preserve">. </w:t>
      </w:r>
    </w:p>
    <w:p w:rsidR="009862F2" w:rsidRDefault="009862F2" w:rsidP="009862F2">
      <w:pPr>
        <w:pStyle w:val="SingleTxt"/>
        <w:rPr>
          <w:rtl/>
        </w:rPr>
      </w:pPr>
      <w:r>
        <w:rPr>
          <w:rtl/>
        </w:rPr>
        <w:t>108</w:t>
      </w:r>
      <w:r>
        <w:rPr>
          <w:rFonts w:hint="cs"/>
          <w:rtl/>
        </w:rPr>
        <w:t xml:space="preserve"> </w:t>
      </w:r>
      <w:r>
        <w:rPr>
          <w:rtl/>
        </w:rPr>
        <w:t>- وتُـظهر نتائج الدراسة الاستقصائية الديمغرافية والصحية للفترة 2009-2010 أن طريق القضاء على العنف الجنساني مازال طويلا. وقد بينت تلك النتائج أن النساء اللائي يعملن لاكتساب المال أكثر عرضة للعنف الجسدي (43 في المائة) من النساء اللائي لا</w:t>
      </w:r>
      <w:r>
        <w:rPr>
          <w:rFonts w:hint="cs"/>
          <w:rtl/>
        </w:rPr>
        <w:t> </w:t>
      </w:r>
      <w:r>
        <w:rPr>
          <w:rtl/>
        </w:rPr>
        <w:t>يعملن (40 في المائة)، أو اللائي يعملن ولكن ليس لاكتساب المال (34 في المائة). ويشير هذا إلى أن النساء العاملات اللائي لهن مصدر مستقل للدخل النقدي، ربما يشكلن تحديا للقاعدة المعمول بها والمتمثلة في اعتمادهن في معيشتهن على شركائهن الذكور. وبالتالي، فإن المزيد من التمكين الاقتصادي قد يعرض النساء إلى مزيد من العنف إذا لم يتغير سلوك الرجال وموقفهم. وعلاوة على ذلك، فالنساء اللاتي سبق لهن الزواج (المطلقات/المنفصلات/الأرامل) أكثر عرضة للعنف الجسدي (8 في المائة) من النساء المتزوجات في الوقت الحاضر (1 في المائة)، وربما يدل ذلك على الوضع الضعيف للنساء اللائي فقدن أزواجهن وأصبحن معتمدات على الآخرين لتلبية احتياجاتهن الأساسية</w:t>
      </w:r>
      <w:r w:rsidRPr="00225251">
        <w:rPr>
          <w:vertAlign w:val="superscript"/>
          <w:rtl/>
        </w:rPr>
        <w:t>(</w:t>
      </w:r>
      <w:r w:rsidRPr="00225251">
        <w:rPr>
          <w:rStyle w:val="FootnoteReference"/>
          <w:szCs w:val="30"/>
          <w:rtl/>
        </w:rPr>
        <w:footnoteReference w:id="77"/>
      </w:r>
      <w:r w:rsidRPr="00225251">
        <w:rPr>
          <w:vertAlign w:val="superscript"/>
          <w:rtl/>
        </w:rPr>
        <w:t>)</w:t>
      </w:r>
      <w:r>
        <w:rPr>
          <w:rtl/>
        </w:rPr>
        <w:t xml:space="preserve">. </w:t>
      </w:r>
    </w:p>
    <w:p w:rsidR="009862F2" w:rsidRDefault="009862F2" w:rsidP="009862F2">
      <w:pPr>
        <w:pStyle w:val="SingleTxt"/>
        <w:rPr>
          <w:rtl/>
        </w:rPr>
      </w:pPr>
      <w:r>
        <w:rPr>
          <w:rtl/>
        </w:rPr>
        <w:t>109</w:t>
      </w:r>
      <w:r>
        <w:rPr>
          <w:rFonts w:hint="cs"/>
          <w:rtl/>
        </w:rPr>
        <w:t xml:space="preserve"> </w:t>
      </w:r>
      <w:r>
        <w:rPr>
          <w:rtl/>
        </w:rPr>
        <w:t>- وطلب المساعدة أقل من ربع النساء اللاتي تعرضن للعنف (24 في المائة). والأرجح أن من قمن بذلك هن من تعرضن لكل من العنف البدني والجنسي، حيث تطلب المساعدة ما</w:t>
      </w:r>
      <w:r>
        <w:rPr>
          <w:rFonts w:hint="cs"/>
          <w:rtl/>
        </w:rPr>
        <w:t> </w:t>
      </w:r>
      <w:r>
        <w:rPr>
          <w:rtl/>
        </w:rPr>
        <w:t>نسبتهن 50 في المائة من النساء في هذه الحالة.. وكذلك فإن النساء العاطلات عن العمل أقل التماسا للمساعدة من اللائي يعملن لاكتساب المال (24 في المائة و</w:t>
      </w:r>
      <w:r>
        <w:rPr>
          <w:rFonts w:hint="cs"/>
          <w:rtl/>
        </w:rPr>
        <w:t xml:space="preserve"> </w:t>
      </w:r>
      <w:r>
        <w:rPr>
          <w:rtl/>
        </w:rPr>
        <w:t>36 في المائة على التوالي)</w:t>
      </w:r>
      <w:r w:rsidRPr="00225251">
        <w:rPr>
          <w:vertAlign w:val="superscript"/>
          <w:rtl/>
        </w:rPr>
        <w:t>(</w:t>
      </w:r>
      <w:r w:rsidRPr="00225251">
        <w:rPr>
          <w:rStyle w:val="FootnoteReference"/>
          <w:szCs w:val="30"/>
          <w:rtl/>
        </w:rPr>
        <w:footnoteReference w:id="78"/>
      </w:r>
      <w:r w:rsidRPr="00225251">
        <w:rPr>
          <w:vertAlign w:val="superscript"/>
          <w:rtl/>
        </w:rPr>
        <w:t>)</w:t>
      </w:r>
      <w:r>
        <w:rPr>
          <w:rtl/>
        </w:rPr>
        <w:t>. وعندما تطلب المرأة المساعدة فعلا، فإنها تطلب ذلك في معظم الأحيان من أفراد أسرتها (82 في المائة) ومن أصهارها (27 في المائة). وطلب نحو 14 في المائة من النساء المساعدة من الأصدقاء/الجيران. وطلب 4 في المائة فقط من النساء المساعدة من الشرطة، في حين طلب 1 في المائة من النساء المساعدة من منظمات الخدمة الاجتماعية</w:t>
      </w:r>
      <w:r w:rsidRPr="00225251">
        <w:rPr>
          <w:vertAlign w:val="superscript"/>
          <w:rtl/>
        </w:rPr>
        <w:t>(</w:t>
      </w:r>
      <w:r w:rsidRPr="00225251">
        <w:rPr>
          <w:rStyle w:val="FootnoteReference"/>
          <w:szCs w:val="30"/>
          <w:rtl/>
        </w:rPr>
        <w:footnoteReference w:id="79"/>
      </w:r>
      <w:r w:rsidRPr="00225251">
        <w:rPr>
          <w:vertAlign w:val="superscript"/>
          <w:rtl/>
        </w:rPr>
        <w:t>)</w:t>
      </w:r>
      <w:r>
        <w:rPr>
          <w:rtl/>
        </w:rPr>
        <w:t xml:space="preserve">. </w:t>
      </w:r>
    </w:p>
    <w:p w:rsidR="009862F2" w:rsidRDefault="009862F2" w:rsidP="009862F2">
      <w:pPr>
        <w:pStyle w:val="SingleTxt"/>
        <w:rPr>
          <w:rtl/>
        </w:rPr>
      </w:pPr>
      <w:r>
        <w:rPr>
          <w:rtl/>
        </w:rPr>
        <w:t>110</w:t>
      </w:r>
      <w:r>
        <w:rPr>
          <w:rFonts w:hint="cs"/>
          <w:rtl/>
        </w:rPr>
        <w:t xml:space="preserve"> </w:t>
      </w:r>
      <w:r>
        <w:rPr>
          <w:rtl/>
        </w:rPr>
        <w:t>- وذكر نحو ربع النساء (27 في المائة) أن لديهن أفراد من الأسرة يمكن أن يوفروا المأوى لهن لبضع ليال إذا احتجن إليه. أما الشابات (15-24 سنة)، والنساء اللائي يعملن لاكتساب المال، والنساء اللائي لم يسبق لهن الزواج، والمقيمات في الريف، فتقل احتمالات حصولهن على المأوى من أسرهن لبضعة أيام. ويوجد لدى واحدة من كل خمس نساء (20</w:t>
      </w:r>
      <w:r>
        <w:rPr>
          <w:rFonts w:hint="cs"/>
          <w:rtl/>
        </w:rPr>
        <w:t> </w:t>
      </w:r>
      <w:r>
        <w:rPr>
          <w:rtl/>
        </w:rPr>
        <w:t>في المائة) أفراد من الأسرة يمكن أن يقدموا الدعم المالي للنساء إذا احتجن إلى ذلك. ولكن أربعة من كل خمسة (80 في المائة) لم يتح لهن ذلك الدعم</w:t>
      </w:r>
      <w:r w:rsidRPr="00225251">
        <w:rPr>
          <w:vertAlign w:val="superscript"/>
          <w:rtl/>
        </w:rPr>
        <w:t>(</w:t>
      </w:r>
      <w:r w:rsidRPr="00225251">
        <w:rPr>
          <w:rStyle w:val="FootnoteReference"/>
          <w:szCs w:val="30"/>
          <w:rtl/>
        </w:rPr>
        <w:footnoteReference w:id="80"/>
      </w:r>
      <w:r w:rsidRPr="00225251">
        <w:rPr>
          <w:vertAlign w:val="superscript"/>
          <w:rtl/>
        </w:rPr>
        <w:t>)</w:t>
      </w:r>
      <w:r>
        <w:rPr>
          <w:rtl/>
        </w:rPr>
        <w:t xml:space="preserve">. </w:t>
      </w:r>
    </w:p>
    <w:p w:rsidR="009862F2" w:rsidRDefault="009862F2" w:rsidP="009862F2">
      <w:pPr>
        <w:pStyle w:val="SingleTxt"/>
        <w:rPr>
          <w:rtl/>
        </w:rPr>
      </w:pPr>
      <w:r>
        <w:rPr>
          <w:rtl/>
        </w:rPr>
        <w:t>111</w:t>
      </w:r>
      <w:r>
        <w:rPr>
          <w:rFonts w:hint="cs"/>
          <w:rtl/>
        </w:rPr>
        <w:t xml:space="preserve"> </w:t>
      </w:r>
      <w:r>
        <w:rPr>
          <w:rtl/>
        </w:rPr>
        <w:t>- وهناك مؤشر مثير للقلق هو الموقف تجاه ضرب الزوجات، حيث أن 86 في المائة من النساء يتفقن على أن هناك ما يبرر للزوج لطم زوجته أو ضربها لسبب محدد على الأقل مثل حرق الطعام، أو الجدال معه، أو الخروج دون إبلاغه، أو إهمال الأطفال، أو رفض الجماع معه. ومن المثير للاهتمام أن نلاحظ أن نسبة أقل من الرجال (80 في المائة) يعتقدون أن هناك ما يبرر للزوج لطم زوجته أو ضربها لواحد على الأقل من الأسباب المذكورة</w:t>
      </w:r>
      <w:r>
        <w:rPr>
          <w:rFonts w:hint="cs"/>
          <w:rtl/>
        </w:rPr>
        <w:t> </w:t>
      </w:r>
      <w:r>
        <w:rPr>
          <w:rtl/>
        </w:rPr>
        <w:t>أعلاه</w:t>
      </w:r>
      <w:r w:rsidRPr="00225251">
        <w:rPr>
          <w:vertAlign w:val="superscript"/>
          <w:rtl/>
        </w:rPr>
        <w:t>(</w:t>
      </w:r>
      <w:r w:rsidRPr="00225251">
        <w:rPr>
          <w:rStyle w:val="FootnoteReference"/>
          <w:szCs w:val="30"/>
          <w:rtl/>
        </w:rPr>
        <w:footnoteReference w:id="81"/>
      </w:r>
      <w:r w:rsidRPr="00225251">
        <w:rPr>
          <w:vertAlign w:val="superscript"/>
          <w:rtl/>
        </w:rPr>
        <w:t>)</w:t>
      </w:r>
      <w:r>
        <w:rPr>
          <w:rtl/>
        </w:rPr>
        <w:t xml:space="preserve">. </w:t>
      </w:r>
    </w:p>
    <w:p w:rsidR="009862F2" w:rsidRPr="00225251" w:rsidRDefault="009862F2" w:rsidP="009862F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25251">
        <w:rPr>
          <w:rFonts w:hint="cs"/>
          <w:rtl/>
        </w:rPr>
        <w:tab/>
      </w:r>
      <w:r w:rsidRPr="00225251">
        <w:rPr>
          <w:rFonts w:hint="cs"/>
          <w:rtl/>
        </w:rPr>
        <w:tab/>
      </w:r>
      <w:r w:rsidRPr="00225251">
        <w:rPr>
          <w:rtl/>
        </w:rPr>
        <w:t>البحوث المتعلقة بالأسباب الجذرية للعنف العائلي</w:t>
      </w:r>
    </w:p>
    <w:p w:rsidR="009862F2" w:rsidRDefault="009862F2" w:rsidP="009862F2">
      <w:pPr>
        <w:pStyle w:val="SingleTxt"/>
        <w:rPr>
          <w:rtl/>
        </w:rPr>
      </w:pPr>
      <w:r>
        <w:rPr>
          <w:rtl/>
        </w:rPr>
        <w:t>112</w:t>
      </w:r>
      <w:r>
        <w:rPr>
          <w:rFonts w:hint="cs"/>
          <w:rtl/>
        </w:rPr>
        <w:t xml:space="preserve"> </w:t>
      </w:r>
      <w:r>
        <w:rPr>
          <w:rtl/>
        </w:rPr>
        <w:t>-</w:t>
      </w:r>
      <w:r>
        <w:rPr>
          <w:rFonts w:hint="cs"/>
          <w:rtl/>
        </w:rPr>
        <w:t xml:space="preserve"> </w:t>
      </w:r>
      <w:r>
        <w:rPr>
          <w:rtl/>
        </w:rPr>
        <w:t>يوطد تقليد تبادل الهدايا (المهر) في الزواج الروابط بين أسر الأزواج من أجل إظهار احترام عائلة الرجل لعائلة العروس</w:t>
      </w:r>
      <w:r w:rsidRPr="00225251">
        <w:rPr>
          <w:vertAlign w:val="superscript"/>
          <w:rtl/>
        </w:rPr>
        <w:t>(</w:t>
      </w:r>
      <w:r w:rsidRPr="00225251">
        <w:rPr>
          <w:rStyle w:val="FootnoteReference"/>
          <w:szCs w:val="30"/>
          <w:rtl/>
        </w:rPr>
        <w:footnoteReference w:id="82"/>
      </w:r>
      <w:r w:rsidRPr="00225251">
        <w:rPr>
          <w:vertAlign w:val="superscript"/>
          <w:rtl/>
        </w:rPr>
        <w:t>)</w:t>
      </w:r>
      <w:r>
        <w:rPr>
          <w:rtl/>
        </w:rPr>
        <w:t xml:space="preserve"> وقيمة العروس. وقد افتُـرض في عدد من التقارير أن ذلك عامل قد يشجع الرجال على معاملة المرأة بوصفها ملكا لهم (ريدي فيتو 2009؛ وورقة سياسة برنامج رصد النظام القضائي لعام 2006؛ والدراسة الاستقصائية للجنة الإنقاذ الدولية عن مدى انتشار العنف القائم على نوع الجنس 2003؛ وغيرها). ومع ذلك، لم يتم جمع أي أدلة تدعم هذا الرأي حتى الآن. وخلصت إحدى المنظمات غير الحكومية ضمن منتدى للنساء التيموريات في دراسة للروابط بين المهر والعنف العائلي أنه في حين أن المهر ليس دافعا كبيرا للعنف العائلي، فإنه يزيد من خطر هذا العنف</w:t>
      </w:r>
      <w:r w:rsidRPr="00225251">
        <w:rPr>
          <w:vertAlign w:val="superscript"/>
          <w:rtl/>
        </w:rPr>
        <w:t>(</w:t>
      </w:r>
      <w:r w:rsidRPr="00225251">
        <w:rPr>
          <w:rStyle w:val="FootnoteReference"/>
          <w:szCs w:val="30"/>
          <w:rtl/>
        </w:rPr>
        <w:footnoteReference w:id="83"/>
      </w:r>
      <w:r w:rsidRPr="00225251">
        <w:rPr>
          <w:vertAlign w:val="superscript"/>
          <w:rtl/>
        </w:rPr>
        <w:t>)</w:t>
      </w:r>
      <w:r>
        <w:rPr>
          <w:rtl/>
        </w:rPr>
        <w:t xml:space="preserve">. ومع ذلك فلا بد من الإشارة إلى أنه الحكومة لم تؤيد أي بحث رسمي عن الأسباب الجذرية للعنف العائلي. </w:t>
      </w:r>
    </w:p>
    <w:p w:rsidR="009862F2" w:rsidRPr="00451772" w:rsidRDefault="009862F2" w:rsidP="009862F2">
      <w:pPr>
        <w:pStyle w:val="SingleTxt"/>
        <w:spacing w:after="0" w:line="120" w:lineRule="exact"/>
        <w:rPr>
          <w:sz w:val="10"/>
          <w:rtl/>
        </w:rPr>
      </w:pPr>
    </w:p>
    <w:p w:rsidR="009862F2" w:rsidRPr="00451772" w:rsidRDefault="009862F2" w:rsidP="009862F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51772">
        <w:rPr>
          <w:rFonts w:hint="cs"/>
          <w:rtl/>
        </w:rPr>
        <w:tab/>
      </w:r>
      <w:r w:rsidRPr="00451772">
        <w:rPr>
          <w:rFonts w:hint="cs"/>
          <w:rtl/>
        </w:rPr>
        <w:tab/>
      </w:r>
      <w:r w:rsidRPr="00451772">
        <w:rPr>
          <w:rtl/>
        </w:rPr>
        <w:t>العدالة التقليدية</w:t>
      </w:r>
    </w:p>
    <w:p w:rsidR="009862F2" w:rsidRDefault="009862F2" w:rsidP="009862F2">
      <w:pPr>
        <w:pStyle w:val="SingleTxt"/>
        <w:rPr>
          <w:rtl/>
        </w:rPr>
      </w:pPr>
      <w:r>
        <w:rPr>
          <w:rtl/>
        </w:rPr>
        <w:t>113</w:t>
      </w:r>
      <w:r>
        <w:rPr>
          <w:rFonts w:hint="cs"/>
          <w:rtl/>
        </w:rPr>
        <w:t xml:space="preserve"> </w:t>
      </w:r>
      <w:r>
        <w:rPr>
          <w:rtl/>
        </w:rPr>
        <w:t>-</w:t>
      </w:r>
      <w:r>
        <w:rPr>
          <w:rFonts w:hint="cs"/>
          <w:rtl/>
        </w:rPr>
        <w:t xml:space="preserve"> </w:t>
      </w:r>
      <w:r>
        <w:rPr>
          <w:rtl/>
        </w:rPr>
        <w:t>لا يمكن من الناحية النظرية، بموجب قانون العقوبات الجديد وقانون مكافحة العنف العائلي، الفصل في القضايا بعد الآن من خلال الوساطة أو النظام التقليدي. ومع ذلك، فما</w:t>
      </w:r>
      <w:r>
        <w:rPr>
          <w:rFonts w:hint="eastAsia"/>
          <w:rtl/>
        </w:rPr>
        <w:t> </w:t>
      </w:r>
      <w:r>
        <w:rPr>
          <w:rtl/>
        </w:rPr>
        <w:t>زالت النساء يترددن في الإبلاغ عن الحالات إلى الشرطة والمضي قدما من خلال نظام العدالة الرسمي لعدد من الأسباب مثل الخوف من انعدام الأمن الاقتصادي والعار الاجتماعي.</w:t>
      </w:r>
    </w:p>
    <w:p w:rsidR="009862F2" w:rsidRDefault="009862F2" w:rsidP="009862F2">
      <w:pPr>
        <w:pStyle w:val="SingleTxt"/>
        <w:rPr>
          <w:rtl/>
        </w:rPr>
      </w:pPr>
      <w:r>
        <w:rPr>
          <w:rtl/>
        </w:rPr>
        <w:t>114</w:t>
      </w:r>
      <w:r>
        <w:rPr>
          <w:rFonts w:hint="cs"/>
          <w:rtl/>
        </w:rPr>
        <w:t xml:space="preserve"> </w:t>
      </w:r>
      <w:r>
        <w:rPr>
          <w:rtl/>
        </w:rPr>
        <w:t>- ومن أجل التغلب على هذه المشكلة، حددت الخطة الاستراتيجية لقطاع العدل، التي اعتُـمدت في عام 2010، تنظيم ومراقبة آليات القانون العرفي والعدالة المجتمعية، كأحد أهدافها. وتوصي تلك الخطة بتنظيم التفاعل بين نظامي العدالة الرسمي وغير الرسمي، وذلك بهدف أن يتم التعامل مع حالات العنف الجنسي والجنساني بواسطة النظام الجنائي الرسمي</w:t>
      </w:r>
      <w:r w:rsidRPr="00225251">
        <w:rPr>
          <w:vertAlign w:val="superscript"/>
          <w:rtl/>
        </w:rPr>
        <w:t>(</w:t>
      </w:r>
      <w:r w:rsidRPr="00225251">
        <w:rPr>
          <w:rStyle w:val="FootnoteReference"/>
          <w:szCs w:val="30"/>
          <w:rtl/>
        </w:rPr>
        <w:footnoteReference w:id="84"/>
      </w:r>
      <w:r w:rsidRPr="00225251">
        <w:rPr>
          <w:vertAlign w:val="superscript"/>
          <w:rtl/>
        </w:rPr>
        <w:t>)</w:t>
      </w:r>
      <w:r>
        <w:rPr>
          <w:rtl/>
        </w:rPr>
        <w:t xml:space="preserve">. </w:t>
      </w:r>
    </w:p>
    <w:p w:rsidR="009862F2" w:rsidRDefault="009862F2" w:rsidP="009862F2">
      <w:pPr>
        <w:pStyle w:val="SingleTxt"/>
        <w:rPr>
          <w:rtl/>
        </w:rPr>
      </w:pPr>
      <w:r>
        <w:rPr>
          <w:rtl/>
        </w:rPr>
        <w:t>115</w:t>
      </w:r>
      <w:r>
        <w:rPr>
          <w:rFonts w:hint="cs"/>
          <w:rtl/>
        </w:rPr>
        <w:t xml:space="preserve"> </w:t>
      </w:r>
      <w:r>
        <w:rPr>
          <w:rtl/>
        </w:rPr>
        <w:t>-</w:t>
      </w:r>
      <w:r>
        <w:rPr>
          <w:rFonts w:hint="cs"/>
          <w:rtl/>
        </w:rPr>
        <w:t xml:space="preserve"> </w:t>
      </w:r>
      <w:r>
        <w:rPr>
          <w:rtl/>
        </w:rPr>
        <w:t>ويجري وضع مشروعي قانونين في هذا الصدد: قانون بشأن العدالة التقليدية وهو الآن في مرحلة المشاورات العامة والمراجعة النهائية، وقانون بشأن تنظيم الوساطة وهو في مرحلة الصياغة</w:t>
      </w:r>
      <w:r w:rsidRPr="00225251">
        <w:rPr>
          <w:vertAlign w:val="superscript"/>
          <w:rtl/>
        </w:rPr>
        <w:t>(</w:t>
      </w:r>
      <w:r w:rsidRPr="00225251">
        <w:rPr>
          <w:rStyle w:val="FootnoteReference"/>
          <w:szCs w:val="30"/>
          <w:rtl/>
        </w:rPr>
        <w:footnoteReference w:id="85"/>
      </w:r>
      <w:r w:rsidRPr="00225251">
        <w:rPr>
          <w:vertAlign w:val="superscript"/>
          <w:rtl/>
        </w:rPr>
        <w:t>)</w:t>
      </w:r>
      <w:r>
        <w:rPr>
          <w:rtl/>
        </w:rPr>
        <w:t xml:space="preserve">. </w:t>
      </w:r>
    </w:p>
    <w:p w:rsidR="009862F2" w:rsidRPr="00451772" w:rsidRDefault="009862F2" w:rsidP="009862F2">
      <w:pPr>
        <w:pStyle w:val="SingleTxt"/>
        <w:spacing w:after="0" w:line="120" w:lineRule="exact"/>
        <w:rPr>
          <w:sz w:val="10"/>
          <w:rtl/>
        </w:rPr>
      </w:pPr>
    </w:p>
    <w:p w:rsidR="009862F2" w:rsidRDefault="009862F2" w:rsidP="009862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تنفيذ قرار مجلس الأمن رقم 1325</w:t>
      </w:r>
    </w:p>
    <w:p w:rsidR="009862F2" w:rsidRDefault="009862F2" w:rsidP="009862F2">
      <w:pPr>
        <w:pStyle w:val="SingleTxt"/>
        <w:rPr>
          <w:rtl/>
        </w:rPr>
      </w:pPr>
      <w:r>
        <w:rPr>
          <w:rtl/>
        </w:rPr>
        <w:t>116</w:t>
      </w:r>
      <w:r>
        <w:rPr>
          <w:rFonts w:hint="cs"/>
          <w:rtl/>
        </w:rPr>
        <w:t xml:space="preserve"> </w:t>
      </w:r>
      <w:r>
        <w:rPr>
          <w:rtl/>
        </w:rPr>
        <w:t xml:space="preserve">- ظلت الحكومة تعمل من خلال وزير الدولة لتعزيز المساواة ووزير الدولة لشؤون الأمن على تنفيذ قرار مجلس الأمن 1325 بدعم من هيئة الأمم المتحدة للمرأة من خلال البرنامج العالمي المعنون </w:t>
      </w:r>
      <w:r>
        <w:rPr>
          <w:rFonts w:hint="cs"/>
          <w:rtl/>
        </w:rPr>
        <w:t>’</w:t>
      </w:r>
      <w:r>
        <w:rPr>
          <w:rtl/>
        </w:rPr>
        <w:t>من المجتمعات المحلية إلى المؤسسات الأمنية العالمية: إشراك المرأة في بناء السلام والأمن</w:t>
      </w:r>
      <w:r>
        <w:rPr>
          <w:rFonts w:hint="cs"/>
          <w:rtl/>
        </w:rPr>
        <w:t>‘</w:t>
      </w:r>
      <w:r>
        <w:rPr>
          <w:rtl/>
        </w:rPr>
        <w:t xml:space="preserve"> منذ عام 2012. وشملت أنشطة المشروع رفع مستوى الوعي بأهمية مشاركة المرأة في بناء السلام ومنع نشوب الصراعات. </w:t>
      </w:r>
    </w:p>
    <w:p w:rsidR="009862F2" w:rsidRDefault="009862F2" w:rsidP="009862F2">
      <w:pPr>
        <w:pStyle w:val="SingleTxt"/>
        <w:rPr>
          <w:rtl/>
        </w:rPr>
      </w:pPr>
      <w:r>
        <w:rPr>
          <w:rtl/>
        </w:rPr>
        <w:t>117</w:t>
      </w:r>
      <w:r>
        <w:rPr>
          <w:rFonts w:hint="cs"/>
          <w:rtl/>
        </w:rPr>
        <w:t xml:space="preserve"> </w:t>
      </w:r>
      <w:r>
        <w:rPr>
          <w:rtl/>
        </w:rPr>
        <w:t>- ولتنفيذ هذا البرنامج، يستخدم وزير الدولة لتعزيز المساواة على وجه التحديد استراتيجيتين هما:</w:t>
      </w:r>
    </w:p>
    <w:p w:rsidR="009862F2" w:rsidRDefault="009862F2" w:rsidP="009862F2">
      <w:pPr>
        <w:pStyle w:val="SingleTxt"/>
        <w:ind w:left="1930" w:hanging="663"/>
        <w:rPr>
          <w:rtl/>
        </w:rPr>
      </w:pPr>
      <w:r>
        <w:rPr>
          <w:rFonts w:hint="cs"/>
          <w:rtl/>
        </w:rPr>
        <w:tab/>
      </w:r>
      <w:r>
        <w:rPr>
          <w:rtl/>
        </w:rPr>
        <w:t>’1</w:t>
      </w:r>
      <w:r>
        <w:rPr>
          <w:rFonts w:hint="cs"/>
          <w:rtl/>
        </w:rPr>
        <w:t>‘</w:t>
      </w:r>
      <w:r>
        <w:rPr>
          <w:rtl/>
        </w:rPr>
        <w:tab/>
        <w:t>الدعوة - أنشطة التوعية للتأثير على صانعي السياسات في قطاع الأمن والممثلين المنتخبين لدراسة ودمج المنظور الجنساني ضمن السياسات والخطط والميزانيات الرئيسية؛</w:t>
      </w:r>
    </w:p>
    <w:p w:rsidR="009862F2" w:rsidRDefault="009862F2" w:rsidP="009862F2">
      <w:pPr>
        <w:pStyle w:val="SingleTxt"/>
        <w:ind w:left="1930" w:hanging="663"/>
        <w:rPr>
          <w:rtl/>
        </w:rPr>
      </w:pPr>
      <w:r>
        <w:rPr>
          <w:rFonts w:hint="cs"/>
          <w:rtl/>
        </w:rPr>
        <w:tab/>
      </w:r>
      <w:r>
        <w:rPr>
          <w:rtl/>
        </w:rPr>
        <w:t>’2</w:t>
      </w:r>
      <w:r>
        <w:rPr>
          <w:rFonts w:hint="cs"/>
          <w:rtl/>
        </w:rPr>
        <w:t>‘</w:t>
      </w:r>
      <w:r>
        <w:rPr>
          <w:rtl/>
        </w:rPr>
        <w:tab/>
        <w:t>بناء القدرات - التدريب وحلقات العمل للسلطات المحلية وأعضاء</w:t>
      </w:r>
      <w:r>
        <w:rPr>
          <w:rFonts w:hint="cs"/>
          <w:rtl/>
        </w:rPr>
        <w:t> </w:t>
      </w:r>
      <w:r>
        <w:rPr>
          <w:rtl/>
        </w:rPr>
        <w:t>الفريق</w:t>
      </w:r>
      <w:r>
        <w:rPr>
          <w:rFonts w:hint="cs"/>
          <w:rtl/>
        </w:rPr>
        <w:t> </w:t>
      </w:r>
      <w:r>
        <w:rPr>
          <w:rtl/>
        </w:rPr>
        <w:t>العامل المعني بالشؤون الجنسانية في المقاطعات وضباط الشرطة الوطنية لتيمور</w:t>
      </w:r>
      <w:r>
        <w:rPr>
          <w:rFonts w:hint="cs"/>
          <w:rtl/>
        </w:rPr>
        <w:t xml:space="preserve"> </w:t>
      </w:r>
      <w:r>
        <w:rPr>
          <w:rtl/>
        </w:rPr>
        <w:t>-</w:t>
      </w:r>
      <w:r>
        <w:rPr>
          <w:rFonts w:hint="cs"/>
          <w:rtl/>
        </w:rPr>
        <w:t xml:space="preserve"> </w:t>
      </w:r>
      <w:r>
        <w:rPr>
          <w:rtl/>
        </w:rPr>
        <w:t>ليشتي</w:t>
      </w:r>
      <w:r w:rsidRPr="00225251">
        <w:rPr>
          <w:vertAlign w:val="superscript"/>
          <w:rtl/>
        </w:rPr>
        <w:t>(</w:t>
      </w:r>
      <w:r w:rsidRPr="00225251">
        <w:rPr>
          <w:rStyle w:val="FootnoteReference"/>
          <w:szCs w:val="30"/>
          <w:rtl/>
        </w:rPr>
        <w:footnoteReference w:id="86"/>
      </w:r>
      <w:r w:rsidRPr="00225251">
        <w:rPr>
          <w:vertAlign w:val="superscript"/>
          <w:rtl/>
        </w:rPr>
        <w:t>)</w:t>
      </w:r>
      <w:r>
        <w:rPr>
          <w:rtl/>
        </w:rPr>
        <w:t xml:space="preserve">. </w:t>
      </w:r>
    </w:p>
    <w:p w:rsidR="009862F2" w:rsidRPr="00A51F30" w:rsidRDefault="009862F2" w:rsidP="00A51F30">
      <w:pPr>
        <w:pStyle w:val="SingleTxt"/>
        <w:rPr>
          <w:spacing w:val="-2"/>
          <w:w w:val="100"/>
          <w:rtl/>
        </w:rPr>
      </w:pPr>
      <w:r w:rsidRPr="00A51F30">
        <w:rPr>
          <w:spacing w:val="-2"/>
          <w:w w:val="100"/>
          <w:rtl/>
        </w:rPr>
        <w:t>118</w:t>
      </w:r>
      <w:r w:rsidRPr="00A51F30">
        <w:rPr>
          <w:rFonts w:hint="cs"/>
          <w:spacing w:val="-2"/>
          <w:w w:val="100"/>
          <w:rtl/>
        </w:rPr>
        <w:t xml:space="preserve"> </w:t>
      </w:r>
      <w:r w:rsidRPr="00A51F30">
        <w:rPr>
          <w:spacing w:val="-2"/>
          <w:w w:val="100"/>
          <w:rtl/>
        </w:rPr>
        <w:t>- وقبل كتاب الموافقة، قادت وزارة الدولة لتعزيز المساواة فريق عمل معني بالقرار 1325 في الفترة 2010-2011، وقد شرع في القيام بأنشطة التوعية وبناء قدرات قوات الأمن أيضا، لإتاحة تنفيذ هذا القرار. وخلال نفس الفترة، أطلقت مبادرة التعلم المتبادل من خلال سلسلة من الاجتماعات الثلاثية التي شملت ثلاث دول: ليبريا و</w:t>
      </w:r>
      <w:r w:rsidRPr="00A51F30">
        <w:rPr>
          <w:rFonts w:hint="cs"/>
          <w:spacing w:val="-2"/>
          <w:w w:val="100"/>
          <w:rtl/>
        </w:rPr>
        <w:t>أ</w:t>
      </w:r>
      <w:r w:rsidRPr="00A51F30">
        <w:rPr>
          <w:spacing w:val="-2"/>
          <w:w w:val="100"/>
          <w:rtl/>
        </w:rPr>
        <w:t>يرلندا الشمالية وتيمور</w:t>
      </w:r>
      <w:r w:rsidR="00A51F30" w:rsidRPr="00A51F30">
        <w:rPr>
          <w:rFonts w:hint="eastAsia"/>
          <w:spacing w:val="-2"/>
          <w:w w:val="100"/>
          <w:rtl/>
        </w:rPr>
        <w:t> </w:t>
      </w:r>
      <w:r w:rsidRPr="00A51F30">
        <w:rPr>
          <w:spacing w:val="-2"/>
          <w:w w:val="100"/>
          <w:rtl/>
        </w:rPr>
        <w:t>-</w:t>
      </w:r>
      <w:r w:rsidRPr="00A51F30">
        <w:rPr>
          <w:rFonts w:hint="cs"/>
          <w:spacing w:val="-2"/>
          <w:w w:val="100"/>
          <w:rtl/>
        </w:rPr>
        <w:t xml:space="preserve"> </w:t>
      </w:r>
      <w:r w:rsidRPr="00A51F30">
        <w:rPr>
          <w:spacing w:val="-2"/>
          <w:w w:val="100"/>
          <w:rtl/>
        </w:rPr>
        <w:t>ليشتي، لتبادل الخبرات بشأن تنفيذ القرار وبالذات فيما يخص الوقاية والحماية والمحاكمة في مجالات العنف الجنسي والجنساني، والعدالة الانتقالية، والتعافي بعد انتهاء الصراع.</w:t>
      </w:r>
    </w:p>
    <w:p w:rsidR="009862F2" w:rsidRPr="00451772" w:rsidRDefault="009862F2" w:rsidP="009862F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51772">
        <w:rPr>
          <w:rFonts w:hint="cs"/>
          <w:rtl/>
        </w:rPr>
        <w:tab/>
      </w:r>
      <w:r w:rsidRPr="00451772">
        <w:rPr>
          <w:rFonts w:hint="cs"/>
          <w:rtl/>
        </w:rPr>
        <w:tab/>
      </w:r>
      <w:r w:rsidRPr="00451772">
        <w:rPr>
          <w:rtl/>
        </w:rPr>
        <w:t>المشردون داخليا والنساء العائدات</w:t>
      </w:r>
    </w:p>
    <w:p w:rsidR="009862F2" w:rsidRDefault="009862F2" w:rsidP="009862F2">
      <w:pPr>
        <w:pStyle w:val="SingleTxt"/>
        <w:rPr>
          <w:rtl/>
        </w:rPr>
      </w:pPr>
      <w:r>
        <w:rPr>
          <w:rtl/>
        </w:rPr>
        <w:t>119</w:t>
      </w:r>
      <w:r>
        <w:rPr>
          <w:rFonts w:hint="cs"/>
          <w:rtl/>
        </w:rPr>
        <w:t xml:space="preserve"> </w:t>
      </w:r>
      <w:r>
        <w:rPr>
          <w:rtl/>
        </w:rPr>
        <w:t>-</w:t>
      </w:r>
      <w:r>
        <w:rPr>
          <w:rFonts w:hint="cs"/>
          <w:rtl/>
        </w:rPr>
        <w:t xml:space="preserve"> </w:t>
      </w:r>
      <w:r>
        <w:rPr>
          <w:rtl/>
        </w:rPr>
        <w:t xml:space="preserve">تبنت الحكومة في كانون الأول/ديسمبر 2007 الاستراتيجية الوطنية للإنعاش </w:t>
      </w:r>
      <w:r>
        <w:rPr>
          <w:rFonts w:hint="cs"/>
          <w:rtl/>
        </w:rPr>
        <w:t>”</w:t>
      </w:r>
      <w:r>
        <w:rPr>
          <w:rtl/>
        </w:rPr>
        <w:t>بناء المستقبل معا</w:t>
      </w:r>
      <w:r>
        <w:rPr>
          <w:rFonts w:hint="cs"/>
          <w:rtl/>
        </w:rPr>
        <w:t>“</w:t>
      </w:r>
      <w:r>
        <w:rPr>
          <w:rtl/>
        </w:rPr>
        <w:t xml:space="preserve"> (</w:t>
      </w:r>
      <w:r>
        <w:t>Hamutuk Hari’i Futuru</w:t>
      </w:r>
      <w:r>
        <w:rPr>
          <w:rtl/>
        </w:rPr>
        <w:t xml:space="preserve">)، التي تهدف إلى معالجة التشرد، وتقودها وزارة التضامن الاجتماعي. وتمثلت أهدافها في زيادة الثقة بين الشعب والحكومة، وتعزيز المجتمعات المحلية؛ ومساعدة المشردين داخليا على العودة إلى منازلهم عندما تصبح آمنة، وتوفير منازل جديدة حيث تدعو الحاجة؛ وتوفير </w:t>
      </w:r>
      <w:r>
        <w:rPr>
          <w:rFonts w:hint="cs"/>
          <w:rtl/>
        </w:rPr>
        <w:t>”</w:t>
      </w:r>
      <w:r>
        <w:rPr>
          <w:rtl/>
        </w:rPr>
        <w:t>حزمة إنعاش</w:t>
      </w:r>
      <w:r>
        <w:rPr>
          <w:rFonts w:hint="cs"/>
          <w:rtl/>
        </w:rPr>
        <w:t>“</w:t>
      </w:r>
      <w:r>
        <w:rPr>
          <w:rtl/>
        </w:rPr>
        <w:t>. وكانت هذه الحزمة كبيرة في ظروف تيمور</w:t>
      </w:r>
      <w:r>
        <w:rPr>
          <w:rFonts w:hint="cs"/>
          <w:rtl/>
        </w:rPr>
        <w:t xml:space="preserve"> - ليشتي</w:t>
      </w:r>
      <w:r>
        <w:rPr>
          <w:rtl/>
        </w:rPr>
        <w:t>: حيث قُـدم إلى الأسر</w:t>
      </w:r>
      <w:r>
        <w:rPr>
          <w:rFonts w:hint="cs"/>
          <w:rtl/>
        </w:rPr>
        <w:t xml:space="preserve"> </w:t>
      </w:r>
      <w:r>
        <w:rPr>
          <w:rtl/>
        </w:rPr>
        <w:t xml:space="preserve">المعيشية ما بين 500 دولار إلى 500 </w:t>
      </w:r>
      <w:r>
        <w:rPr>
          <w:rFonts w:hint="cs"/>
          <w:rtl/>
        </w:rPr>
        <w:t xml:space="preserve">4 </w:t>
      </w:r>
      <w:r>
        <w:rPr>
          <w:rtl/>
        </w:rPr>
        <w:t>دولار - حسب الأضرار التي لحقت بها</w:t>
      </w:r>
      <w:r w:rsidRPr="00225251">
        <w:rPr>
          <w:vertAlign w:val="superscript"/>
          <w:rtl/>
        </w:rPr>
        <w:t>(</w:t>
      </w:r>
      <w:r w:rsidRPr="00225251">
        <w:rPr>
          <w:rStyle w:val="FootnoteReference"/>
          <w:szCs w:val="30"/>
          <w:rtl/>
        </w:rPr>
        <w:footnoteReference w:id="87"/>
      </w:r>
      <w:r w:rsidRPr="00225251">
        <w:rPr>
          <w:vertAlign w:val="superscript"/>
          <w:rtl/>
        </w:rPr>
        <w:t>)</w:t>
      </w:r>
      <w:r>
        <w:rPr>
          <w:rtl/>
        </w:rPr>
        <w:t xml:space="preserve">. </w:t>
      </w:r>
    </w:p>
    <w:p w:rsidR="009862F2" w:rsidRDefault="009862F2" w:rsidP="009862F2">
      <w:pPr>
        <w:pStyle w:val="SingleTxt"/>
        <w:rPr>
          <w:rtl/>
        </w:rPr>
      </w:pPr>
      <w:r>
        <w:rPr>
          <w:rtl/>
        </w:rPr>
        <w:t>120</w:t>
      </w:r>
      <w:r>
        <w:rPr>
          <w:rFonts w:hint="cs"/>
          <w:rtl/>
        </w:rPr>
        <w:t xml:space="preserve"> </w:t>
      </w:r>
      <w:r>
        <w:rPr>
          <w:rtl/>
        </w:rPr>
        <w:t>- وأثيرت مسألة من الذي ينبغي أن يحصل على المنحة النقدية ضمن الأسرة المعيشية. ونوقشت خيارات مختلفة، ولكن كان هناك شعور بأن أي إجراء بخلاف دفعها إلى رب الأسرة من شأنه أن يسبب مقاومة كبيرة في المخيمات ويخاطر بجعل المرأة في وضع أكثر صعوبة. وكان هذا مثار قلق خاص في ضوء القدرة المحدودة للجهات الفاعلة الأمنية ومدى استعدادها لحماية النساء في تلك الحالات. ولكن، في حالة المتزوجين، تأكدت وزارة التضامن الاجتماعي من إبلاغ كل من الزوجين بتخصيص المنحة النقدية واشترطت توقيعهما معا عليها</w:t>
      </w:r>
      <w:r w:rsidRPr="00225251">
        <w:rPr>
          <w:vertAlign w:val="superscript"/>
          <w:rtl/>
        </w:rPr>
        <w:t>(</w:t>
      </w:r>
      <w:r w:rsidRPr="00225251">
        <w:rPr>
          <w:rStyle w:val="FootnoteReference"/>
          <w:szCs w:val="30"/>
          <w:rtl/>
        </w:rPr>
        <w:footnoteReference w:id="88"/>
      </w:r>
      <w:r w:rsidRPr="00225251">
        <w:rPr>
          <w:vertAlign w:val="superscript"/>
          <w:rtl/>
        </w:rPr>
        <w:t>)</w:t>
      </w:r>
      <w:r>
        <w:rPr>
          <w:rtl/>
        </w:rPr>
        <w:t xml:space="preserve">. </w:t>
      </w:r>
    </w:p>
    <w:p w:rsidR="009862F2" w:rsidRDefault="009862F2" w:rsidP="009862F2">
      <w:pPr>
        <w:pStyle w:val="SingleTxt"/>
        <w:rPr>
          <w:rtl/>
        </w:rPr>
      </w:pPr>
      <w:r>
        <w:rPr>
          <w:rtl/>
        </w:rPr>
        <w:t>121</w:t>
      </w:r>
      <w:r>
        <w:rPr>
          <w:rFonts w:hint="cs"/>
          <w:rtl/>
        </w:rPr>
        <w:t xml:space="preserve"> </w:t>
      </w:r>
      <w:r>
        <w:rPr>
          <w:rtl/>
        </w:rPr>
        <w:t>-</w:t>
      </w:r>
      <w:r>
        <w:rPr>
          <w:rFonts w:hint="cs"/>
          <w:rtl/>
        </w:rPr>
        <w:t xml:space="preserve"> </w:t>
      </w:r>
      <w:r>
        <w:rPr>
          <w:rtl/>
        </w:rPr>
        <w:t>وبعد ثلاث سنوات ونصف من بداية الأزمة وتشرد ما يصل إلى 000</w:t>
      </w:r>
      <w:r>
        <w:rPr>
          <w:rFonts w:hint="cs"/>
          <w:rtl/>
        </w:rPr>
        <w:t> </w:t>
      </w:r>
      <w:r>
        <w:rPr>
          <w:rtl/>
        </w:rPr>
        <w:t>150</w:t>
      </w:r>
      <w:r>
        <w:rPr>
          <w:rFonts w:hint="eastAsia"/>
          <w:rtl/>
        </w:rPr>
        <w:t> </w:t>
      </w:r>
      <w:r>
        <w:rPr>
          <w:rtl/>
        </w:rPr>
        <w:t>شخص، أُغلِـقت جميع مخيمات المشردين وعددها 65 مخيما في مطلع عام 2010 وأعيد توطين سكانها</w:t>
      </w:r>
      <w:r w:rsidRPr="00225251">
        <w:rPr>
          <w:vertAlign w:val="superscript"/>
          <w:rtl/>
        </w:rPr>
        <w:t>(</w:t>
      </w:r>
      <w:r w:rsidRPr="00225251">
        <w:rPr>
          <w:rStyle w:val="FootnoteReference"/>
          <w:szCs w:val="30"/>
          <w:rtl/>
        </w:rPr>
        <w:footnoteReference w:id="89"/>
      </w:r>
      <w:r w:rsidRPr="00225251">
        <w:rPr>
          <w:vertAlign w:val="superscript"/>
          <w:rtl/>
        </w:rPr>
        <w:t>)</w:t>
      </w:r>
      <w:r>
        <w:rPr>
          <w:rtl/>
        </w:rPr>
        <w:t xml:space="preserve">. </w:t>
      </w:r>
    </w:p>
    <w:p w:rsidR="009862F2" w:rsidRDefault="009862F2" w:rsidP="009862F2">
      <w:pPr>
        <w:pStyle w:val="SingleTxt"/>
        <w:rPr>
          <w:rtl/>
        </w:rPr>
      </w:pPr>
      <w:r>
        <w:rPr>
          <w:rtl/>
        </w:rPr>
        <w:t>122</w:t>
      </w:r>
      <w:r>
        <w:rPr>
          <w:rFonts w:hint="cs"/>
          <w:rtl/>
        </w:rPr>
        <w:t xml:space="preserve"> </w:t>
      </w:r>
      <w:r>
        <w:rPr>
          <w:rtl/>
        </w:rPr>
        <w:t xml:space="preserve">- وفيما يتعلق بالعائدات، بذلت الحكومة جهودا من خلال وزارة التضامن الاجتماعي وبالتنسيق الوثيق مع وزارة الدولة لتعزيز المساواة، من أجل تغطية الاحتياجات الخاصة للنساء والفتيات ومعالجتها. وأنشئت </w:t>
      </w:r>
      <w:r>
        <w:rPr>
          <w:rFonts w:hint="cs"/>
          <w:rtl/>
        </w:rPr>
        <w:t>”</w:t>
      </w:r>
      <w:r>
        <w:rPr>
          <w:rtl/>
        </w:rPr>
        <w:t>وحدة منع النزاعات</w:t>
      </w:r>
      <w:r>
        <w:rPr>
          <w:rFonts w:hint="cs"/>
          <w:rtl/>
        </w:rPr>
        <w:t>“</w:t>
      </w:r>
      <w:r>
        <w:rPr>
          <w:rtl/>
        </w:rPr>
        <w:t xml:space="preserve"> التابعة لوزارة التضامن الاجتماعي، وقامت في الفترة بين عامي 2008 و</w:t>
      </w:r>
      <w:r>
        <w:rPr>
          <w:rFonts w:hint="cs"/>
          <w:rtl/>
        </w:rPr>
        <w:t xml:space="preserve"> </w:t>
      </w:r>
      <w:r>
        <w:rPr>
          <w:rtl/>
        </w:rPr>
        <w:t>2010 برصد النساء المشردات، وتقديم معلومات عن الوضع في مخيمات المشردين وكيفية معالجة إعادة الاندماج في المجتمع. وساعد فريق الشؤون الجنسانية بالمنظمة الدولية للهجرة في ذلك الوقت وزارة التضامن الاجتماعي على القيام بحملة إعلامية توضح حقوق المرأة في العودة وإعادة التوطين. وقدمت وزارة</w:t>
      </w:r>
      <w:r>
        <w:rPr>
          <w:rFonts w:hint="cs"/>
          <w:rtl/>
        </w:rPr>
        <w:t> </w:t>
      </w:r>
      <w:r>
        <w:rPr>
          <w:rtl/>
        </w:rPr>
        <w:t xml:space="preserve">التضامن الاجتماعي من خلال نظام الإحالة أيضا مساعدة إلى ضحايا العنف الجنساني بما في ذلك </w:t>
      </w:r>
      <w:r>
        <w:rPr>
          <w:rFonts w:hint="cs"/>
          <w:rtl/>
        </w:rPr>
        <w:t>”</w:t>
      </w:r>
      <w:r>
        <w:rPr>
          <w:rtl/>
        </w:rPr>
        <w:t>مجموعات النظافة الصحية</w:t>
      </w:r>
      <w:r>
        <w:rPr>
          <w:rFonts w:hint="cs"/>
          <w:rtl/>
        </w:rPr>
        <w:t>“</w:t>
      </w:r>
      <w:r>
        <w:rPr>
          <w:rtl/>
        </w:rPr>
        <w:t xml:space="preserve"> في مخيمات المشردين داخليا. </w:t>
      </w:r>
    </w:p>
    <w:p w:rsidR="009862F2" w:rsidRDefault="009862F2" w:rsidP="009862F2">
      <w:pPr>
        <w:pStyle w:val="SingleTxt"/>
        <w:rPr>
          <w:rtl/>
        </w:rPr>
      </w:pPr>
      <w:r>
        <w:rPr>
          <w:rtl/>
        </w:rPr>
        <w:t>123</w:t>
      </w:r>
      <w:r>
        <w:rPr>
          <w:rFonts w:hint="cs"/>
          <w:rtl/>
        </w:rPr>
        <w:t xml:space="preserve"> </w:t>
      </w:r>
      <w:r>
        <w:rPr>
          <w:rtl/>
        </w:rPr>
        <w:t>- وكانت مؤسسة ألولا، بالتنسيق مع وزارة التضامن الاجتماعي، نشطة للغاية فيما</w:t>
      </w:r>
      <w:r>
        <w:rPr>
          <w:rFonts w:hint="cs"/>
          <w:rtl/>
        </w:rPr>
        <w:t> </w:t>
      </w:r>
      <w:r>
        <w:rPr>
          <w:rtl/>
        </w:rPr>
        <w:t>يتعلق بالمشردين، وعقدت دورات تدريبية وحوارات بشأن العنف الجنساني، وأنشطة للأسر بشأن التعافي من الصدمات والتغلب على الخوف</w:t>
      </w:r>
      <w:r w:rsidRPr="00225251">
        <w:rPr>
          <w:vertAlign w:val="superscript"/>
          <w:rtl/>
        </w:rPr>
        <w:t>(</w:t>
      </w:r>
      <w:r w:rsidRPr="00225251">
        <w:rPr>
          <w:rStyle w:val="FootnoteReference"/>
          <w:szCs w:val="30"/>
          <w:rtl/>
        </w:rPr>
        <w:footnoteReference w:id="90"/>
      </w:r>
      <w:r w:rsidRPr="00225251">
        <w:rPr>
          <w:vertAlign w:val="superscript"/>
          <w:rtl/>
        </w:rPr>
        <w:t>)</w:t>
      </w:r>
      <w:r>
        <w:rPr>
          <w:rtl/>
        </w:rPr>
        <w:t xml:space="preserve">. </w:t>
      </w:r>
    </w:p>
    <w:p w:rsidR="009862F2" w:rsidRDefault="009862F2" w:rsidP="009862F2">
      <w:pPr>
        <w:pStyle w:val="SingleTxt"/>
        <w:rPr>
          <w:rtl/>
        </w:rPr>
      </w:pPr>
      <w:r>
        <w:rPr>
          <w:rtl/>
        </w:rPr>
        <w:t>124</w:t>
      </w:r>
      <w:r>
        <w:rPr>
          <w:rFonts w:hint="cs"/>
          <w:rtl/>
        </w:rPr>
        <w:t xml:space="preserve"> </w:t>
      </w:r>
      <w:r>
        <w:rPr>
          <w:rtl/>
        </w:rPr>
        <w:t>- وتمشيا مع المادة 1 من قرار مجلس الأمن 1325، بشأن تمثيل المرأة في صنع القرار لمنع النزاعات وإدارتها وتسويتها</w:t>
      </w:r>
      <w:r w:rsidRPr="00225251">
        <w:rPr>
          <w:vertAlign w:val="superscript"/>
          <w:rtl/>
        </w:rPr>
        <w:t>(</w:t>
      </w:r>
      <w:r w:rsidRPr="00225251">
        <w:rPr>
          <w:rStyle w:val="FootnoteReference"/>
          <w:szCs w:val="30"/>
          <w:rtl/>
        </w:rPr>
        <w:footnoteReference w:id="91"/>
      </w:r>
      <w:r w:rsidRPr="00225251">
        <w:rPr>
          <w:vertAlign w:val="superscript"/>
          <w:rtl/>
        </w:rPr>
        <w:t>)</w:t>
      </w:r>
      <w:r>
        <w:rPr>
          <w:rtl/>
        </w:rPr>
        <w:t>، من المهم أن ندرك أن منصب وزير التضامن الاجتماعي تشغله امرأة، هي السيدة ماريا دومينغاس ألفيس.</w:t>
      </w:r>
    </w:p>
    <w:p w:rsidR="009862F2" w:rsidRPr="00451772" w:rsidRDefault="009862F2" w:rsidP="009862F2">
      <w:pPr>
        <w:pStyle w:val="SingleTxt"/>
        <w:spacing w:after="0" w:line="120" w:lineRule="exact"/>
        <w:rPr>
          <w:sz w:val="10"/>
          <w:rtl/>
        </w:rPr>
      </w:pPr>
    </w:p>
    <w:p w:rsidR="009862F2" w:rsidRDefault="009862F2" w:rsidP="009862F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4: تدابير خاصة للتعجيل بالتقدم نحو تحقيق المساواة</w:t>
      </w:r>
    </w:p>
    <w:p w:rsidR="009862F2" w:rsidRDefault="009862F2" w:rsidP="009862F2">
      <w:pPr>
        <w:pStyle w:val="SingleTxt"/>
        <w:rPr>
          <w:rtl/>
        </w:rPr>
      </w:pPr>
      <w:r>
        <w:rPr>
          <w:rtl/>
        </w:rPr>
        <w:t>125</w:t>
      </w:r>
      <w:r>
        <w:rPr>
          <w:rFonts w:hint="cs"/>
          <w:rtl/>
        </w:rPr>
        <w:t xml:space="preserve"> </w:t>
      </w:r>
      <w:r>
        <w:rPr>
          <w:rtl/>
        </w:rPr>
        <w:t xml:space="preserve">- كما هو الحال بالنسبة للتقرير الأولي، يتضمن عدد قليل من التدابير الخاصة المؤقتة أحكاما محددة لإنهاء هذا التدبير </w:t>
      </w:r>
      <w:r>
        <w:rPr>
          <w:rFonts w:hint="cs"/>
          <w:rtl/>
        </w:rPr>
        <w:t>”</w:t>
      </w:r>
      <w:r>
        <w:rPr>
          <w:rtl/>
        </w:rPr>
        <w:t>متى تحققت أهداف التكافؤ في الفرص والمعاملة</w:t>
      </w:r>
      <w:r>
        <w:rPr>
          <w:rFonts w:hint="cs"/>
          <w:rtl/>
        </w:rPr>
        <w:t>“</w:t>
      </w:r>
      <w:r>
        <w:rPr>
          <w:rtl/>
        </w:rPr>
        <w:t xml:space="preserve">، بما فيها تلك المبينة بالتفصيل في هذا التقرير مثل زيادة الحصص للمرشحات البرلمانيات (يرد تفصيل ذلك في الفرع الذي يتناول </w:t>
      </w:r>
      <w:r>
        <w:rPr>
          <w:rFonts w:hint="cs"/>
          <w:rtl/>
        </w:rPr>
        <w:t>”</w:t>
      </w:r>
      <w:r>
        <w:rPr>
          <w:rtl/>
        </w:rPr>
        <w:t>دور المرأة في السياسة</w:t>
      </w:r>
      <w:r>
        <w:rPr>
          <w:rFonts w:hint="cs"/>
          <w:rtl/>
        </w:rPr>
        <w:t>“</w:t>
      </w:r>
      <w:r>
        <w:rPr>
          <w:rtl/>
        </w:rPr>
        <w:t>). وترد تفاصيل أمثلة أخرى للتدابير الخاصة المؤقتة في جميع فروع التقرير.</w:t>
      </w:r>
    </w:p>
    <w:p w:rsidR="009862F2" w:rsidRPr="00451772" w:rsidRDefault="009862F2" w:rsidP="009862F2">
      <w:pPr>
        <w:pStyle w:val="SingleTxt"/>
        <w:spacing w:after="0" w:line="120" w:lineRule="exact"/>
        <w:rPr>
          <w:sz w:val="10"/>
          <w:rtl/>
        </w:rPr>
      </w:pPr>
    </w:p>
    <w:p w:rsidR="009862F2" w:rsidRDefault="009862F2" w:rsidP="009862F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5: قولبة أدوار الجنسين والتحيز</w:t>
      </w:r>
    </w:p>
    <w:p w:rsidR="009862F2" w:rsidRDefault="009862F2" w:rsidP="009862F2">
      <w:pPr>
        <w:pStyle w:val="SingleTxt"/>
        <w:rPr>
          <w:rtl/>
        </w:rPr>
      </w:pPr>
      <w:r>
        <w:rPr>
          <w:rtl/>
        </w:rPr>
        <w:t>126</w:t>
      </w:r>
      <w:r>
        <w:rPr>
          <w:rFonts w:hint="cs"/>
          <w:rtl/>
        </w:rPr>
        <w:t xml:space="preserve"> </w:t>
      </w:r>
      <w:r>
        <w:rPr>
          <w:rtl/>
        </w:rPr>
        <w:t>- كما هو موضح في التقرير الأولي، يمكن اعتبار عدد من الأنماط الاجتماعية والثقافية في تيمور</w:t>
      </w:r>
      <w:r>
        <w:rPr>
          <w:rFonts w:hint="cs"/>
          <w:rtl/>
        </w:rPr>
        <w:t xml:space="preserve"> </w:t>
      </w:r>
      <w:r>
        <w:rPr>
          <w:rtl/>
        </w:rPr>
        <w:t>-</w:t>
      </w:r>
      <w:r>
        <w:rPr>
          <w:rFonts w:hint="cs"/>
          <w:rtl/>
        </w:rPr>
        <w:t xml:space="preserve"> </w:t>
      </w:r>
      <w:r>
        <w:rPr>
          <w:rtl/>
        </w:rPr>
        <w:t>ليشتي ممارسات تقليدية وثقافية ضارة أو سلبية، لأنها يمكن أن تؤدي إلى أعمال تمييز وعنف ضد المرأة، مثل المهر (</w:t>
      </w:r>
      <w:r>
        <w:t>Barlake</w:t>
      </w:r>
      <w:r>
        <w:rPr>
          <w:rtl/>
        </w:rPr>
        <w:t>) أو الزواج المبكر أو تعدد الزوجات. وكثير من هذه الأعمال يندرج في نظام القيم الأبوي سواء في المجتمعات الأبوية أو الأمومية بسبب ديناميات السلطة القائمة بحكم الأمر الواقع.</w:t>
      </w:r>
    </w:p>
    <w:p w:rsidR="009862F2" w:rsidRDefault="009862F2" w:rsidP="009862F2">
      <w:pPr>
        <w:pStyle w:val="SingleTxt"/>
        <w:rPr>
          <w:rtl/>
        </w:rPr>
      </w:pPr>
      <w:r>
        <w:rPr>
          <w:rtl/>
        </w:rPr>
        <w:t>127</w:t>
      </w:r>
      <w:r>
        <w:rPr>
          <w:rFonts w:hint="cs"/>
          <w:rtl/>
        </w:rPr>
        <w:t xml:space="preserve"> </w:t>
      </w:r>
      <w:r>
        <w:rPr>
          <w:rtl/>
        </w:rPr>
        <w:t xml:space="preserve">- وغالبا ما تبرَّر هذه الممارسات بالحق في احترام ثقافة وتقاليد الأسلاف. ومع ذلك، تؤكد السياسة الوطنية الأخيرة بشأن الثقافة على أن </w:t>
      </w:r>
      <w:r>
        <w:rPr>
          <w:rFonts w:hint="cs"/>
          <w:rtl/>
        </w:rPr>
        <w:t>”</w:t>
      </w:r>
      <w:r>
        <w:rPr>
          <w:rtl/>
        </w:rPr>
        <w:t>الثقافة والتقاليد عمليات ديناميية تتطور مع مرور الوقت، وأن التفاهم والتكامل بشكل أفضل بين هذه العناصر في تحديث البلد سيساعد على تطوير الهوية الثقافية لتيمور</w:t>
      </w:r>
      <w:r>
        <w:rPr>
          <w:rFonts w:hint="cs"/>
          <w:rtl/>
        </w:rPr>
        <w:t xml:space="preserve"> </w:t>
      </w:r>
      <w:r>
        <w:rPr>
          <w:rtl/>
        </w:rPr>
        <w:t>-</w:t>
      </w:r>
      <w:r>
        <w:rPr>
          <w:rFonts w:hint="cs"/>
          <w:rtl/>
        </w:rPr>
        <w:t xml:space="preserve"> </w:t>
      </w:r>
      <w:r>
        <w:rPr>
          <w:rtl/>
        </w:rPr>
        <w:t>ليشتي</w:t>
      </w:r>
      <w:r>
        <w:rPr>
          <w:rFonts w:hint="cs"/>
          <w:rtl/>
        </w:rPr>
        <w:t>“</w:t>
      </w:r>
      <w:r>
        <w:rPr>
          <w:rtl/>
        </w:rPr>
        <w:t xml:space="preserve">. وهي تسلم أيضا بأنه </w:t>
      </w:r>
      <w:r>
        <w:rPr>
          <w:rFonts w:hint="cs"/>
          <w:rtl/>
        </w:rPr>
        <w:t>”</w:t>
      </w:r>
      <w:r>
        <w:rPr>
          <w:rtl/>
        </w:rPr>
        <w:t>لكون الثقافة ديناميية، فإن الانفتاح على التأثيرات الثقافية الأخرى سوف يثري الخبرات والممارسات</w:t>
      </w:r>
      <w:r>
        <w:rPr>
          <w:rFonts w:hint="cs"/>
          <w:rtl/>
        </w:rPr>
        <w:t>“</w:t>
      </w:r>
      <w:r w:rsidRPr="00225251">
        <w:rPr>
          <w:vertAlign w:val="superscript"/>
          <w:rtl/>
        </w:rPr>
        <w:t>(</w:t>
      </w:r>
      <w:r w:rsidRPr="00225251">
        <w:rPr>
          <w:rStyle w:val="FootnoteReference"/>
          <w:szCs w:val="30"/>
          <w:rtl/>
        </w:rPr>
        <w:footnoteReference w:id="92"/>
      </w:r>
      <w:r w:rsidRPr="00225251">
        <w:rPr>
          <w:vertAlign w:val="superscript"/>
          <w:rtl/>
        </w:rPr>
        <w:t>)</w:t>
      </w:r>
      <w:r>
        <w:rPr>
          <w:rFonts w:hint="cs"/>
          <w:rtl/>
        </w:rPr>
        <w:t>.</w:t>
      </w:r>
      <w:r>
        <w:rPr>
          <w:rtl/>
        </w:rPr>
        <w:t xml:space="preserve"> وتدعم هذه السياسة الملاحظة الختامية للجنة القضاء على التمييز ضد المرأة بشأن تعديل أو إلغاء الممارسات الثقافية السلبية والمعايير والعادات والتقاليد والقوالب النمطية التي تميز ضد المرأة. وكما ذكر من قبل، يجري حاليا وضع الصيغة النهائية للقانون العرفي، وقد طرحت في المراحل السابقة من المشاورات مسائل مثل المهر، واستخدام العدالة التقليدية لتسوية حالات العنف العائلي.</w:t>
      </w:r>
    </w:p>
    <w:p w:rsidR="009862F2" w:rsidRPr="00451772" w:rsidRDefault="009862F2" w:rsidP="009862F2">
      <w:pPr>
        <w:pStyle w:val="SingleTxt"/>
        <w:spacing w:after="0" w:line="120" w:lineRule="exact"/>
        <w:rPr>
          <w:sz w:val="10"/>
          <w:rtl/>
        </w:rPr>
      </w:pPr>
    </w:p>
    <w:p w:rsidR="009862F2" w:rsidRPr="00451772" w:rsidRDefault="009862F2" w:rsidP="009862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51772">
        <w:rPr>
          <w:rFonts w:hint="cs"/>
          <w:rtl/>
        </w:rPr>
        <w:tab/>
      </w:r>
      <w:r w:rsidRPr="00451772">
        <w:rPr>
          <w:rFonts w:hint="cs"/>
          <w:rtl/>
        </w:rPr>
        <w:tab/>
      </w:r>
      <w:r w:rsidRPr="00451772">
        <w:rPr>
          <w:rtl/>
        </w:rPr>
        <w:t>المرأة واتخاذ القرارات داخل الأسرة المعيشية</w:t>
      </w:r>
    </w:p>
    <w:p w:rsidR="009862F2" w:rsidRDefault="009862F2" w:rsidP="009862F2">
      <w:pPr>
        <w:pStyle w:val="SingleTxt"/>
        <w:rPr>
          <w:rtl/>
        </w:rPr>
      </w:pPr>
      <w:r>
        <w:rPr>
          <w:rtl/>
        </w:rPr>
        <w:t>128</w:t>
      </w:r>
      <w:r>
        <w:rPr>
          <w:rFonts w:hint="cs"/>
          <w:rtl/>
        </w:rPr>
        <w:t xml:space="preserve"> </w:t>
      </w:r>
      <w:r>
        <w:rPr>
          <w:rtl/>
        </w:rPr>
        <w:t>- أجرى الاستقصاء الديمغرافي والصحي للفترة 2009-2010 تقييما لأربعة أنواع من القرارات الأساسية للأسر المعيشية وهي: الرعاية الصحية الخاصة للمرأة، وإجراء المشتريات المنزلية الكبيرة، وإجراء المشتريات المنزلية لتلبية الاحتياجات اليومية، وزيارات المرأة لعائلتها أو أقاربها. وتبين النتائج أن المرأة تشارك في المجالات الأربعة جميعها، على الرغم من تفاوت مدى مشاركتها. وذكر ما يقرب من الثلث (63 في المائة) من النساء المتزوجات في الوقت الحاضر أنهن اتخذن وحدهن القرار النهائي حول المشتريات المنزلية اليومية، وهو ما يمثل زيادة كبيرة عما ورد في الاستقصاء الديمغرافي والصحي لعام 2003 وهو 44 في المائة. أما فيما يتعلق باتخاذ القرارات في المسائل الأخرى، فيرجح أن تتخذ النساء تلك القرارات بالاشتراك مع أزواجهن</w:t>
      </w:r>
      <w:r w:rsidRPr="00225251">
        <w:rPr>
          <w:vertAlign w:val="superscript"/>
          <w:rtl/>
        </w:rPr>
        <w:t>(</w:t>
      </w:r>
      <w:r w:rsidRPr="00225251">
        <w:rPr>
          <w:rStyle w:val="FootnoteReference"/>
          <w:szCs w:val="30"/>
          <w:rtl/>
        </w:rPr>
        <w:footnoteReference w:id="93"/>
      </w:r>
      <w:r w:rsidRPr="00225251">
        <w:rPr>
          <w:vertAlign w:val="superscript"/>
          <w:rtl/>
        </w:rPr>
        <w:t>)</w:t>
      </w:r>
      <w:r>
        <w:rPr>
          <w:rtl/>
        </w:rPr>
        <w:t xml:space="preserve">. </w:t>
      </w:r>
    </w:p>
    <w:p w:rsidR="009862F2" w:rsidRDefault="009862F2" w:rsidP="009862F2">
      <w:pPr>
        <w:pStyle w:val="SingleTxt"/>
        <w:rPr>
          <w:rFonts w:hint="cs"/>
          <w:rtl/>
        </w:rPr>
      </w:pPr>
      <w:r>
        <w:rPr>
          <w:rtl/>
        </w:rPr>
        <w:t>129</w:t>
      </w:r>
      <w:r>
        <w:rPr>
          <w:rFonts w:hint="cs"/>
          <w:rtl/>
        </w:rPr>
        <w:t xml:space="preserve"> </w:t>
      </w:r>
      <w:r>
        <w:rPr>
          <w:rtl/>
        </w:rPr>
        <w:t xml:space="preserve">- وقد طلب الاستقصاء الديموغرافي والصحي من الرجال المتزوجين في الوقت الحاضر (15-49 سنة) وكان يُـعتقد أنه لا بد أن يكون لهم دور أكبر في خمسة قرارات محددة، هي </w:t>
      </w:r>
      <w:r>
        <w:rPr>
          <w:rFonts w:hint="cs"/>
          <w:rtl/>
        </w:rPr>
        <w:t>’</w:t>
      </w:r>
      <w:r>
        <w:rPr>
          <w:rtl/>
        </w:rPr>
        <w:t>إجراء المشتريات المنزلية الرئيسية</w:t>
      </w:r>
      <w:r>
        <w:rPr>
          <w:rFonts w:hint="cs"/>
          <w:rtl/>
        </w:rPr>
        <w:t>‘</w:t>
      </w:r>
      <w:r>
        <w:rPr>
          <w:rtl/>
        </w:rPr>
        <w:t>، و</w:t>
      </w:r>
      <w:r>
        <w:rPr>
          <w:rFonts w:hint="cs"/>
          <w:rtl/>
        </w:rPr>
        <w:t xml:space="preserve"> ’</w:t>
      </w:r>
      <w:r>
        <w:rPr>
          <w:rtl/>
        </w:rPr>
        <w:t>إجراء المشتريات المنزلية اليومية</w:t>
      </w:r>
      <w:r>
        <w:rPr>
          <w:rFonts w:hint="cs"/>
          <w:rtl/>
        </w:rPr>
        <w:t>‘</w:t>
      </w:r>
      <w:r>
        <w:rPr>
          <w:rtl/>
        </w:rPr>
        <w:t>، و</w:t>
      </w:r>
      <w:r>
        <w:rPr>
          <w:rFonts w:hint="cs"/>
          <w:rtl/>
        </w:rPr>
        <w:t xml:space="preserve"> ’</w:t>
      </w:r>
      <w:r>
        <w:rPr>
          <w:rtl/>
        </w:rPr>
        <w:t>اتخاذ قرار بشأن توقيت زيارة عائلة الزوجة أو أقاربها</w:t>
      </w:r>
      <w:r>
        <w:rPr>
          <w:rFonts w:hint="cs"/>
          <w:rtl/>
        </w:rPr>
        <w:t>‘</w:t>
      </w:r>
      <w:r>
        <w:rPr>
          <w:rtl/>
        </w:rPr>
        <w:t>، و</w:t>
      </w:r>
      <w:r>
        <w:rPr>
          <w:rFonts w:hint="cs"/>
          <w:rtl/>
        </w:rPr>
        <w:t xml:space="preserve"> ’</w:t>
      </w:r>
      <w:r>
        <w:rPr>
          <w:rtl/>
        </w:rPr>
        <w:t>اتخاذ قرار بشأن التصرف في الأموال التي تكسبها الزوجة</w:t>
      </w:r>
      <w:r>
        <w:rPr>
          <w:rFonts w:hint="cs"/>
          <w:rtl/>
        </w:rPr>
        <w:t>‘</w:t>
      </w:r>
      <w:r>
        <w:rPr>
          <w:rtl/>
        </w:rPr>
        <w:t>، و</w:t>
      </w:r>
      <w:r>
        <w:rPr>
          <w:rFonts w:hint="cs"/>
          <w:rtl/>
        </w:rPr>
        <w:t xml:space="preserve"> ’</w:t>
      </w:r>
      <w:r>
        <w:rPr>
          <w:rtl/>
        </w:rPr>
        <w:t>اتخاذ قرار بشأن عدد الأطفال الذين ينبغي إنجابهم</w:t>
      </w:r>
      <w:r>
        <w:rPr>
          <w:rFonts w:hint="cs"/>
          <w:rtl/>
        </w:rPr>
        <w:t>‘</w:t>
      </w:r>
      <w:r>
        <w:rPr>
          <w:rtl/>
        </w:rPr>
        <w:t>. ويعتقد معظم الرجال أن الزوج والزوجة يجب أن يبتا بشكل مشترك في جميع هذه المسائل تقريبا، ويؤيد 88 في المائة اتخاذ قرارات مشتركة بشأن المشتريات المنزلية الرئيسية، و 84 في المائة بشأن زيارة عائلة الزوجة، و</w:t>
      </w:r>
      <w:r>
        <w:rPr>
          <w:rFonts w:hint="cs"/>
          <w:rtl/>
        </w:rPr>
        <w:t xml:space="preserve"> </w:t>
      </w:r>
      <w:r>
        <w:rPr>
          <w:rtl/>
        </w:rPr>
        <w:t>77 في المائة بشأن ما يجب القيام به بالمال الذي تكسبه الزوجة، و</w:t>
      </w:r>
      <w:r>
        <w:rPr>
          <w:rFonts w:hint="cs"/>
          <w:rtl/>
        </w:rPr>
        <w:t xml:space="preserve"> </w:t>
      </w:r>
      <w:r>
        <w:rPr>
          <w:rtl/>
        </w:rPr>
        <w:t>94 في المائة بشأن عدد الأطفال الذين ينبغي إنجابهم. وفي حالة المشتريات المنزلية اليومية، يتوقع أقل من نصف الرجال (42 في المائة) أن يشاركوا في اتخاذ القرارات. وتشير النتائج إلى أن الرجال التيموريون يرون أن مشاركة المرأة في اتخاذ القرارات في المنزل أمر ضروري</w:t>
      </w:r>
      <w:r w:rsidRPr="00225251">
        <w:rPr>
          <w:vertAlign w:val="superscript"/>
          <w:rtl/>
        </w:rPr>
        <w:t>(</w:t>
      </w:r>
      <w:r w:rsidRPr="00225251">
        <w:rPr>
          <w:rStyle w:val="FootnoteReference"/>
          <w:szCs w:val="30"/>
          <w:rtl/>
        </w:rPr>
        <w:footnoteReference w:id="94"/>
      </w:r>
      <w:r w:rsidRPr="00225251">
        <w:rPr>
          <w:vertAlign w:val="superscript"/>
          <w:rtl/>
        </w:rPr>
        <w:t>)</w:t>
      </w:r>
      <w:r>
        <w:rPr>
          <w:rtl/>
        </w:rPr>
        <w:t>.</w:t>
      </w:r>
    </w:p>
    <w:p w:rsidR="009862F2" w:rsidRPr="009862F2" w:rsidRDefault="009862F2" w:rsidP="009862F2">
      <w:pPr>
        <w:pStyle w:val="SingleTxt"/>
        <w:spacing w:after="0" w:line="120" w:lineRule="exact"/>
        <w:rPr>
          <w:rFonts w:hint="cs"/>
          <w:sz w:val="10"/>
          <w:rtl/>
        </w:rPr>
      </w:pPr>
    </w:p>
    <w:p w:rsidR="009862F2" w:rsidRPr="00145804" w:rsidRDefault="009862F2" w:rsidP="009862F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145804">
        <w:rPr>
          <w:rtl/>
        </w:rPr>
        <w:t xml:space="preserve">تغيير التصور لا يعني بالضرورة تغيير الممارسة </w:t>
      </w:r>
    </w:p>
    <w:p w:rsidR="009862F2" w:rsidRDefault="009862F2" w:rsidP="009862F2">
      <w:pPr>
        <w:pStyle w:val="SingleTxt"/>
        <w:rPr>
          <w:rtl/>
        </w:rPr>
      </w:pPr>
      <w:r>
        <w:rPr>
          <w:rtl/>
        </w:rPr>
        <w:t>١٣٠</w:t>
      </w:r>
      <w:r>
        <w:rPr>
          <w:rFonts w:hint="cs"/>
          <w:rtl/>
        </w:rPr>
        <w:t xml:space="preserve"> </w:t>
      </w:r>
      <w:r>
        <w:rPr>
          <w:rtl/>
        </w:rPr>
        <w:t>- ومن ناحية ثانية، يفيد الاستقصاء الديمغرافي والصحي أيضا بأن سلوكيات السيطرة تعد مشكلة في تيمور</w:t>
      </w:r>
      <w:r>
        <w:rPr>
          <w:rFonts w:hint="cs"/>
          <w:rtl/>
        </w:rPr>
        <w:t xml:space="preserve"> </w:t>
      </w:r>
      <w:r>
        <w:rPr>
          <w:rtl/>
        </w:rPr>
        <w:t>-</w:t>
      </w:r>
      <w:r>
        <w:rPr>
          <w:rFonts w:hint="cs"/>
          <w:rtl/>
        </w:rPr>
        <w:t xml:space="preserve"> </w:t>
      </w:r>
      <w:r>
        <w:rPr>
          <w:rtl/>
        </w:rPr>
        <w:t>ليشتي. فقد أفادت واحدة تقريبا من بين كل ثلاثة نساء متزوجات أو</w:t>
      </w:r>
      <w:r>
        <w:rPr>
          <w:rFonts w:hint="cs"/>
          <w:rtl/>
        </w:rPr>
        <w:t> </w:t>
      </w:r>
      <w:r>
        <w:rPr>
          <w:rtl/>
        </w:rPr>
        <w:t>سبق لهن الزواج (31 في المائة)، بأن أزواجهن يصرون على معرفة مكانهن طيلة الوقت. وقالت نسبة مماثلة (31 في المائة) من النساء إن أزواجهن يغارون أو يغضبون إذا تحدثن مع رجال آخرين؛ وقالت 15 في المائة إن أزواجهن يتهمنهن في كثير من الأحيان بعدم الإخلاص. وقد أشارت امرأة واحدة تقريبا من بين كل 10 نساء (9 في المائة) بأن زوجها لا يسمح لها بمقابلة صديقاتها، وأشارت 8 في المائة من النساء إلى أن أزواجهن لا يأمنوهن على الأموال. ومن غير الشائع نسبيا محاولة الزوج لتقييد اتصال زوجته بأسرتها (كانت نسبة من أفدن بحدوث ذلك من النساء المتزوجات أو من سبق لهن الزواج 4 في المائة فقط)</w:t>
      </w:r>
      <w:r w:rsidRPr="00145804">
        <w:rPr>
          <w:vertAlign w:val="superscript"/>
          <w:rtl/>
        </w:rPr>
        <w:t>(</w:t>
      </w:r>
      <w:r w:rsidRPr="00145804">
        <w:rPr>
          <w:rStyle w:val="FootnoteReference"/>
          <w:szCs w:val="30"/>
          <w:rtl/>
        </w:rPr>
        <w:footnoteReference w:id="95"/>
      </w:r>
      <w:r w:rsidRPr="00145804">
        <w:rPr>
          <w:vertAlign w:val="superscript"/>
          <w:rtl/>
        </w:rPr>
        <w:t>)</w:t>
      </w:r>
      <w:r>
        <w:rPr>
          <w:rtl/>
        </w:rPr>
        <w:t>.</w:t>
      </w:r>
    </w:p>
    <w:p w:rsidR="009862F2" w:rsidRDefault="009862F2" w:rsidP="009862F2">
      <w:pPr>
        <w:pStyle w:val="SingleTxt"/>
        <w:rPr>
          <w:rtl/>
        </w:rPr>
      </w:pPr>
      <w:r>
        <w:rPr>
          <w:rtl/>
        </w:rPr>
        <w:t>١٣١</w:t>
      </w:r>
      <w:r>
        <w:rPr>
          <w:rFonts w:hint="cs"/>
          <w:rtl/>
        </w:rPr>
        <w:t xml:space="preserve"> </w:t>
      </w:r>
      <w:r>
        <w:rPr>
          <w:rtl/>
        </w:rPr>
        <w:t>- ومن الأدلة المستمدة من الاستقصاء الديمغرافي والصحي وتؤكد أن النساء من المناطق الحضرية يتعرضن أكثر للعنف العائلي، يستفاد بأن سلوكيات السيطرة تبلغ مستوى أعلى لدى النساء في المناطق الحضرية (25 في المائة) عما هو الحال بالنسبة للنساء الريفيات (10 في المائة). والأرجح أن يمارس الرجال في مقاطعات ديلي (30 في المائة)، وإيرميرا (22</w:t>
      </w:r>
      <w:r>
        <w:rPr>
          <w:rFonts w:hint="cs"/>
          <w:rtl/>
        </w:rPr>
        <w:t> </w:t>
      </w:r>
      <w:r>
        <w:rPr>
          <w:rtl/>
        </w:rPr>
        <w:t>في المائة)، ولوتيم (16 في المائة) سلوكيات السيطرة على زوجاتهم أكثر مما هو الحال في المقاطعات الأخرى. ولا يبدو المستوى التعليمي للزوج عاملا رئيسيا حيث إن الفرق بين المستويات ليس كبيرا. ومما يدعو إلى الاستغراب أن النساء من أعلى الشرائح الخُمسية ثراء أشرن إلى نسب أعلى من سلوكيات السيطرة من جانب أزواجهن</w:t>
      </w:r>
      <w:r w:rsidRPr="00145804">
        <w:rPr>
          <w:vertAlign w:val="superscript"/>
          <w:rtl/>
        </w:rPr>
        <w:t>(</w:t>
      </w:r>
      <w:r w:rsidRPr="00145804">
        <w:rPr>
          <w:rStyle w:val="FootnoteReference"/>
          <w:szCs w:val="30"/>
          <w:rtl/>
        </w:rPr>
        <w:footnoteReference w:id="96"/>
      </w:r>
      <w:r w:rsidRPr="00145804">
        <w:rPr>
          <w:vertAlign w:val="superscript"/>
          <w:rtl/>
        </w:rPr>
        <w:t>)</w:t>
      </w:r>
      <w:r>
        <w:rPr>
          <w:rtl/>
        </w:rPr>
        <w:t xml:space="preserve">. </w:t>
      </w:r>
    </w:p>
    <w:p w:rsidR="009862F2" w:rsidRDefault="009862F2" w:rsidP="009862F2">
      <w:pPr>
        <w:pStyle w:val="SingleTxt"/>
        <w:rPr>
          <w:rtl/>
        </w:rPr>
      </w:pPr>
      <w:r>
        <w:rPr>
          <w:rtl/>
        </w:rPr>
        <w:t>١٣٢</w:t>
      </w:r>
      <w:r>
        <w:rPr>
          <w:rFonts w:hint="cs"/>
          <w:rtl/>
        </w:rPr>
        <w:t xml:space="preserve"> </w:t>
      </w:r>
      <w:r>
        <w:rPr>
          <w:rtl/>
        </w:rPr>
        <w:t>- وبحسب التعليقات الواردة في عدد من الورقات البحثية بشأن العنف العائلي في تيمور</w:t>
      </w:r>
      <w:r>
        <w:rPr>
          <w:rFonts w:hint="cs"/>
          <w:rtl/>
        </w:rPr>
        <w:t xml:space="preserve"> </w:t>
      </w:r>
      <w:r>
        <w:rPr>
          <w:rtl/>
        </w:rPr>
        <w:t>-</w:t>
      </w:r>
      <w:r>
        <w:rPr>
          <w:rFonts w:hint="cs"/>
          <w:rtl/>
        </w:rPr>
        <w:t xml:space="preserve"> </w:t>
      </w:r>
      <w:r>
        <w:rPr>
          <w:rtl/>
        </w:rPr>
        <w:t>ليشتي، لا يُنظر بالضرورة إلى استخدام القوة البدنية من جانب الرجل في العلاقات الحميمة كجريمة، وإنما قد يُعتبر في بعض السياقات أمرا طبيعيا</w:t>
      </w:r>
      <w:r w:rsidRPr="00145804">
        <w:rPr>
          <w:vertAlign w:val="superscript"/>
          <w:rtl/>
        </w:rPr>
        <w:t>(</w:t>
      </w:r>
      <w:r w:rsidRPr="00145804">
        <w:rPr>
          <w:rStyle w:val="FootnoteReference"/>
          <w:szCs w:val="30"/>
          <w:rtl/>
        </w:rPr>
        <w:footnoteReference w:id="97"/>
      </w:r>
      <w:r w:rsidRPr="00145804">
        <w:rPr>
          <w:vertAlign w:val="superscript"/>
          <w:rtl/>
        </w:rPr>
        <w:t>)</w:t>
      </w:r>
      <w:r>
        <w:rPr>
          <w:rtl/>
        </w:rPr>
        <w:t xml:space="preserve">. ولا يزال هناك العديد من النساء ممن لا يعتبرن الصفع والوكز والركل من صور العنف العائلي. ويعكس هذا قبولا كبيرا متبقيا من جانب المجتمع للعنف العائلي الذي لا يزال يوصف أحيانا بأنه ببساطة </w:t>
      </w:r>
      <w:r>
        <w:rPr>
          <w:rFonts w:hint="cs"/>
          <w:rtl/>
        </w:rPr>
        <w:t>”</w:t>
      </w:r>
      <w:r>
        <w:rPr>
          <w:rtl/>
        </w:rPr>
        <w:t>كالطبق والملعقة يصدران ضوضاء من ارتطامهما ببعضهما البعض (</w:t>
      </w:r>
      <w:r>
        <w:t>bikan ho kanuru baku malu</w:t>
      </w:r>
      <w:r>
        <w:rPr>
          <w:rtl/>
        </w:rPr>
        <w:t>)</w:t>
      </w:r>
      <w:r>
        <w:rPr>
          <w:rFonts w:hint="cs"/>
          <w:rtl/>
        </w:rPr>
        <w:t>“</w:t>
      </w:r>
      <w:r>
        <w:rPr>
          <w:rtl/>
        </w:rPr>
        <w:t xml:space="preserve"> على سبيل الإعراب عن أن العنف العائلي شأن خاص ينبغي ألا تتدخل فيه</w:t>
      </w:r>
      <w:r>
        <w:rPr>
          <w:rFonts w:hint="cs"/>
          <w:rtl/>
        </w:rPr>
        <w:t> </w:t>
      </w:r>
      <w:r>
        <w:rPr>
          <w:rtl/>
        </w:rPr>
        <w:t>الدولة</w:t>
      </w:r>
      <w:r w:rsidRPr="00145804">
        <w:rPr>
          <w:vertAlign w:val="superscript"/>
          <w:rtl/>
        </w:rPr>
        <w:t>(</w:t>
      </w:r>
      <w:r w:rsidRPr="00145804">
        <w:rPr>
          <w:rStyle w:val="FootnoteReference"/>
          <w:szCs w:val="30"/>
          <w:rtl/>
        </w:rPr>
        <w:footnoteReference w:id="98"/>
      </w:r>
      <w:r w:rsidRPr="00145804">
        <w:rPr>
          <w:vertAlign w:val="superscript"/>
          <w:rtl/>
        </w:rPr>
        <w:t>)</w:t>
      </w:r>
      <w:r>
        <w:rPr>
          <w:rtl/>
        </w:rPr>
        <w:t xml:space="preserve">. </w:t>
      </w:r>
    </w:p>
    <w:p w:rsidR="009862F2" w:rsidRDefault="009862F2" w:rsidP="009862F2">
      <w:pPr>
        <w:pStyle w:val="SingleTxt"/>
        <w:rPr>
          <w:rtl/>
        </w:rPr>
      </w:pPr>
      <w:r>
        <w:rPr>
          <w:rtl/>
        </w:rPr>
        <w:t>١٣٣</w:t>
      </w:r>
      <w:r>
        <w:rPr>
          <w:rFonts w:hint="cs"/>
          <w:rtl/>
        </w:rPr>
        <w:t xml:space="preserve"> </w:t>
      </w:r>
      <w:r>
        <w:rPr>
          <w:rtl/>
        </w:rPr>
        <w:t>- ويعتبر الزواج (وخاصة في مفهومه التقليدي) مؤسسة قوية ومحترمة للغاية، ويمثل أحد أسس التنظيم الاجتماعي، ولا سيما في المناطق الريفية. وبالتالي، فإن دور القانون العرفي في العلاقات الأسرية ومفاهيم الحقوق والسلطة على النحو المبين في التقرير الأولي لا يزال حقيقيا على الرغم من الجهود الكبيرة الرامية إلى تعزيز المساواة بين الجنسين ومكافحة العنف الجنساني التي تبذلها مجموعة متنوعة من الجهات المعنية.</w:t>
      </w:r>
    </w:p>
    <w:p w:rsidR="009862F2" w:rsidRPr="005363FE" w:rsidRDefault="009862F2" w:rsidP="009862F2">
      <w:pPr>
        <w:pStyle w:val="SingleTxt"/>
        <w:spacing w:after="0" w:line="120" w:lineRule="exact"/>
        <w:rPr>
          <w:sz w:val="10"/>
          <w:rtl/>
        </w:rPr>
      </w:pPr>
    </w:p>
    <w:p w:rsidR="009862F2" w:rsidRDefault="009862F2" w:rsidP="009862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المبادرات التي تتخذها الحكومة بشأن تعديل القوالب النمطية</w:t>
      </w:r>
    </w:p>
    <w:p w:rsidR="009862F2" w:rsidRPr="005363FE" w:rsidRDefault="009862F2" w:rsidP="009862F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5363FE">
        <w:rPr>
          <w:rtl/>
        </w:rPr>
        <w:t>قطاع التعليم</w:t>
      </w:r>
    </w:p>
    <w:p w:rsidR="009862F2" w:rsidRDefault="009862F2" w:rsidP="009862F2">
      <w:pPr>
        <w:pStyle w:val="SingleTxt"/>
        <w:rPr>
          <w:rtl/>
        </w:rPr>
      </w:pPr>
      <w:r>
        <w:rPr>
          <w:rtl/>
        </w:rPr>
        <w:t>١٣٤</w:t>
      </w:r>
      <w:r>
        <w:rPr>
          <w:rFonts w:hint="cs"/>
          <w:rtl/>
        </w:rPr>
        <w:t xml:space="preserve"> </w:t>
      </w:r>
      <w:r>
        <w:rPr>
          <w:rtl/>
        </w:rPr>
        <w:t>- أجرت وزارة التعليم تقييما للمسائل الجنسانية في عام 2009 من أجل الوقوف على المسائل الرئيسية فيما يتعلق بالفرص التعليمية للمرأة. وقد عرض التقرير على الإدارة</w:t>
      </w:r>
      <w:r>
        <w:rPr>
          <w:rFonts w:hint="cs"/>
          <w:rtl/>
        </w:rPr>
        <w:t> </w:t>
      </w:r>
      <w:r>
        <w:rPr>
          <w:rtl/>
        </w:rPr>
        <w:t>العليا، ومخططي السياسات، وصانعي القرارات، من أجل مساعدتهم على تصميم سياسات وبرامج تراعي الاعتبارات الجنسانية وتؤثر على الخطة الاستراتيجية للوزارة للفترة 2010-2015. وحدد هذا التقييم عددا من التوصيات، بما في ذلك زيادة التوعية بالمسائل الجنسانية من أجل تشجيع الآباء والأمهات على إرسال بناتهم إلى المدارس، وإنشاء أفرقة للحوار لمساعدة الآباء والأمهات على فهم أهمية الإبقاء على الفتيات في المدارس، والحاجة إلى إدراج المنظور الجنساني في المناهج الدراسية في المرحلة الثانوية من أجل منع العنف الجنساني والحد من القوالب النمطية</w:t>
      </w:r>
      <w:r w:rsidRPr="005363FE">
        <w:rPr>
          <w:vertAlign w:val="superscript"/>
          <w:rtl/>
        </w:rPr>
        <w:t>(</w:t>
      </w:r>
      <w:r w:rsidRPr="005363FE">
        <w:rPr>
          <w:rStyle w:val="FootnoteReference"/>
          <w:szCs w:val="30"/>
          <w:rtl/>
        </w:rPr>
        <w:footnoteReference w:id="99"/>
      </w:r>
      <w:r w:rsidRPr="005363FE">
        <w:rPr>
          <w:vertAlign w:val="superscript"/>
          <w:rtl/>
        </w:rPr>
        <w:t>)</w:t>
      </w:r>
      <w:r>
        <w:rPr>
          <w:rtl/>
        </w:rPr>
        <w:t xml:space="preserve">. </w:t>
      </w:r>
    </w:p>
    <w:p w:rsidR="009862F2" w:rsidRPr="005363FE" w:rsidRDefault="009862F2" w:rsidP="009862F2">
      <w:pPr>
        <w:pStyle w:val="SingleTxt"/>
        <w:spacing w:after="0" w:line="120" w:lineRule="exact"/>
        <w:rPr>
          <w:sz w:val="10"/>
          <w:rtl/>
        </w:rPr>
      </w:pPr>
    </w:p>
    <w:p w:rsidR="009862F2" w:rsidRPr="005363FE" w:rsidRDefault="009862F2" w:rsidP="009862F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5363FE">
        <w:rPr>
          <w:rtl/>
        </w:rPr>
        <w:t>العلاقات الإعلامية والرصد</w:t>
      </w:r>
    </w:p>
    <w:p w:rsidR="009862F2" w:rsidRDefault="009862F2" w:rsidP="009862F2">
      <w:pPr>
        <w:pStyle w:val="SingleTxt"/>
        <w:rPr>
          <w:rtl/>
        </w:rPr>
      </w:pPr>
      <w:r>
        <w:rPr>
          <w:rtl/>
        </w:rPr>
        <w:t>١٣٥</w:t>
      </w:r>
      <w:r>
        <w:rPr>
          <w:rFonts w:hint="cs"/>
          <w:rtl/>
        </w:rPr>
        <w:t xml:space="preserve"> </w:t>
      </w:r>
      <w:r>
        <w:rPr>
          <w:rtl/>
        </w:rPr>
        <w:t>- عملت الحكومة عن طريق وزارة الدولة المعنية بالنهوض بالمساواة بين الجنسين ومركز تطوير وسائط الإعلام في تيمور - ليشتي مع وسائط الإعلام على الترويج لصورة إيجابية وغير نمطية للمرأة، من خلال تنظيم اجتماعات منتظمة مع الصحفيين لمناقشة المسائل الجنسانية والثقافية والإعلامية، خلال الفترة 2009-2012. وتهدف هذه الاجتماعات إلى زيادة الوعي بالمسائل الجنسانية فيما بين الصحفيين وتشجيع نشر مقالات بشأن المرأة والقضايا الجنسانية، وزيادة مراعاة الاعتبارات الجنسانية في المنشورات</w:t>
      </w:r>
      <w:r w:rsidRPr="005363FE">
        <w:rPr>
          <w:vertAlign w:val="superscript"/>
          <w:rtl/>
        </w:rPr>
        <w:t>(</w:t>
      </w:r>
      <w:r w:rsidRPr="005363FE">
        <w:rPr>
          <w:rStyle w:val="FootnoteReference"/>
          <w:szCs w:val="30"/>
          <w:rtl/>
        </w:rPr>
        <w:footnoteReference w:id="100"/>
      </w:r>
      <w:r w:rsidRPr="005363FE">
        <w:rPr>
          <w:vertAlign w:val="superscript"/>
          <w:rtl/>
        </w:rPr>
        <w:t>)</w:t>
      </w:r>
      <w:r>
        <w:rPr>
          <w:rtl/>
        </w:rPr>
        <w:t xml:space="preserve">. </w:t>
      </w:r>
    </w:p>
    <w:p w:rsidR="009862F2" w:rsidRDefault="009862F2" w:rsidP="009862F2">
      <w:pPr>
        <w:pStyle w:val="SingleTxt"/>
        <w:rPr>
          <w:rtl/>
        </w:rPr>
      </w:pPr>
      <w:r>
        <w:rPr>
          <w:rtl/>
        </w:rPr>
        <w:t>١٣٦</w:t>
      </w:r>
      <w:r>
        <w:rPr>
          <w:rFonts w:hint="cs"/>
          <w:rtl/>
        </w:rPr>
        <w:t xml:space="preserve"> </w:t>
      </w:r>
      <w:r>
        <w:rPr>
          <w:rtl/>
        </w:rPr>
        <w:t>- وقد أنشأت وزارة الدولة لتعزيز المساواة بالشراكة مع مركز تنمية وسائط الإعلام في تيمور</w:t>
      </w:r>
      <w:r>
        <w:rPr>
          <w:rFonts w:hint="cs"/>
          <w:rtl/>
        </w:rPr>
        <w:t xml:space="preserve"> </w:t>
      </w:r>
      <w:r>
        <w:rPr>
          <w:rtl/>
        </w:rPr>
        <w:t>-</w:t>
      </w:r>
      <w:r>
        <w:rPr>
          <w:rFonts w:hint="cs"/>
          <w:rtl/>
        </w:rPr>
        <w:t xml:space="preserve"> </w:t>
      </w:r>
      <w:r>
        <w:rPr>
          <w:rtl/>
        </w:rPr>
        <w:t>ليشتي، ورابطة الصحافيين في تيمور</w:t>
      </w:r>
      <w:r>
        <w:rPr>
          <w:rFonts w:hint="cs"/>
          <w:rtl/>
        </w:rPr>
        <w:t xml:space="preserve"> </w:t>
      </w:r>
      <w:r>
        <w:rPr>
          <w:rtl/>
        </w:rPr>
        <w:t>-</w:t>
      </w:r>
      <w:r>
        <w:rPr>
          <w:rFonts w:hint="cs"/>
          <w:rtl/>
        </w:rPr>
        <w:t xml:space="preserve"> </w:t>
      </w:r>
      <w:r>
        <w:rPr>
          <w:rtl/>
        </w:rPr>
        <w:t>ليشتي والصندوق الإنمائي للمرأة أيضا آلية لرصد التغطية الإعلامية ومواقف الصحفيين تجاه القضايا الجنسانية والعنف ضد المرأة. وللتشجيع على مراعاة الاعتبارات الجنسانية في البرامج الإعلامية والمنشورات، منحت وزارة الدولة لتعزيز المساواة منذ عام 2010 جوائز للأشخاص الذين حسنوا معرفتهم ووعيهم بالقضايا الجنسانية وساهموا في إذكاء الوعي المجتمعي. ومن المتوقع أن يصبح الفائزون بالجوائز محفزين لغيرهم وقدوة لهم</w:t>
      </w:r>
      <w:r w:rsidRPr="005363FE">
        <w:rPr>
          <w:vertAlign w:val="superscript"/>
          <w:rtl/>
        </w:rPr>
        <w:t>(</w:t>
      </w:r>
      <w:r w:rsidRPr="005363FE">
        <w:rPr>
          <w:rStyle w:val="FootnoteReference"/>
          <w:szCs w:val="30"/>
          <w:rtl/>
        </w:rPr>
        <w:footnoteReference w:id="101"/>
      </w:r>
      <w:r w:rsidRPr="005363FE">
        <w:rPr>
          <w:vertAlign w:val="superscript"/>
          <w:rtl/>
        </w:rPr>
        <w:t>)</w:t>
      </w:r>
      <w:r>
        <w:rPr>
          <w:rtl/>
        </w:rPr>
        <w:t xml:space="preserve">. </w:t>
      </w:r>
    </w:p>
    <w:p w:rsidR="009862F2" w:rsidRDefault="009862F2" w:rsidP="009862F2">
      <w:pPr>
        <w:pStyle w:val="SingleTxt"/>
        <w:rPr>
          <w:rtl/>
        </w:rPr>
      </w:pPr>
      <w:r>
        <w:rPr>
          <w:rtl/>
        </w:rPr>
        <w:t>١٣٧</w:t>
      </w:r>
      <w:r>
        <w:rPr>
          <w:rFonts w:hint="cs"/>
          <w:rtl/>
        </w:rPr>
        <w:t xml:space="preserve"> </w:t>
      </w:r>
      <w:r>
        <w:rPr>
          <w:rtl/>
        </w:rPr>
        <w:t>- وتصدر وزارة الدولة لتعزيز المساواة رسائل إخبارية كل ثلاثة أشهر منذ عام</w:t>
      </w:r>
      <w:r>
        <w:rPr>
          <w:rFonts w:hint="cs"/>
          <w:rtl/>
        </w:rPr>
        <w:t> </w:t>
      </w:r>
      <w:r>
        <w:rPr>
          <w:rtl/>
        </w:rPr>
        <w:t xml:space="preserve">2010؛ بالإضافة إلى الملصقات والكراسات والنشرات التي تهدف إلى تعزيز الاعتبارات الجنسانية وتعزيز صورة إيجابية وغير نمطية للمرأة، التي تغطي مختلف المواضيع من قبيل </w:t>
      </w:r>
      <w:r>
        <w:rPr>
          <w:rFonts w:hint="cs"/>
          <w:rtl/>
        </w:rPr>
        <w:t>”</w:t>
      </w:r>
      <w:r>
        <w:rPr>
          <w:rtl/>
        </w:rPr>
        <w:t>مكافحة التمييز</w:t>
      </w:r>
      <w:r>
        <w:rPr>
          <w:rFonts w:hint="cs"/>
          <w:rtl/>
        </w:rPr>
        <w:t>“</w:t>
      </w:r>
      <w:r>
        <w:rPr>
          <w:rtl/>
        </w:rPr>
        <w:t xml:space="preserve">، و </w:t>
      </w:r>
      <w:r>
        <w:rPr>
          <w:rFonts w:hint="cs"/>
          <w:rtl/>
        </w:rPr>
        <w:t>”</w:t>
      </w:r>
      <w:r>
        <w:rPr>
          <w:rtl/>
        </w:rPr>
        <w:t>منع العنف الجنساني والتصدي له</w:t>
      </w:r>
      <w:r>
        <w:rPr>
          <w:rFonts w:hint="cs"/>
          <w:rtl/>
        </w:rPr>
        <w:t>“</w:t>
      </w:r>
      <w:r>
        <w:rPr>
          <w:rtl/>
        </w:rPr>
        <w:t xml:space="preserve">، و </w:t>
      </w:r>
      <w:r>
        <w:rPr>
          <w:rFonts w:hint="cs"/>
          <w:rtl/>
        </w:rPr>
        <w:t>”</w:t>
      </w:r>
      <w:r>
        <w:rPr>
          <w:rtl/>
        </w:rPr>
        <w:t>الدور الذي تضطلع به وزارة الدولة لتعزيز المساواة</w:t>
      </w:r>
      <w:r>
        <w:rPr>
          <w:rFonts w:hint="cs"/>
          <w:rtl/>
        </w:rPr>
        <w:t>“</w:t>
      </w:r>
      <w:r>
        <w:rPr>
          <w:rtl/>
        </w:rPr>
        <w:t>. وقد وزعت هذه المواد على نطاق واسع على المجتمعات المحلية ومنظمات المجتمع المدني.</w:t>
      </w:r>
    </w:p>
    <w:p w:rsidR="009862F2" w:rsidRPr="005363FE" w:rsidRDefault="009862F2" w:rsidP="009862F2">
      <w:pPr>
        <w:pStyle w:val="SingleTxt"/>
        <w:spacing w:after="0" w:line="120" w:lineRule="exact"/>
        <w:rPr>
          <w:sz w:val="10"/>
          <w:rtl/>
        </w:rPr>
      </w:pPr>
    </w:p>
    <w:p w:rsidR="009862F2" w:rsidRPr="005363FE" w:rsidRDefault="009862F2" w:rsidP="009862F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5363FE">
        <w:rPr>
          <w:rtl/>
        </w:rPr>
        <w:t>التدريب على التفكير النقدي</w:t>
      </w:r>
    </w:p>
    <w:p w:rsidR="009862F2" w:rsidRDefault="009862F2" w:rsidP="009862F2">
      <w:pPr>
        <w:pStyle w:val="SingleTxt"/>
        <w:rPr>
          <w:rtl/>
        </w:rPr>
      </w:pPr>
      <w:r>
        <w:rPr>
          <w:rtl/>
        </w:rPr>
        <w:t>١٣٨</w:t>
      </w:r>
      <w:r>
        <w:rPr>
          <w:rFonts w:hint="cs"/>
          <w:rtl/>
        </w:rPr>
        <w:t xml:space="preserve"> </w:t>
      </w:r>
      <w:r>
        <w:rPr>
          <w:rtl/>
        </w:rPr>
        <w:t xml:space="preserve">- وكمثال على تصميم الحكومة على تغيير القوالب النمطية وبناء قدرات موظفات الخدمة المدنية لديها، نظمت وزارة المالية دورة تدريبية إلزامية بشأن </w:t>
      </w:r>
      <w:r>
        <w:rPr>
          <w:rFonts w:hint="cs"/>
          <w:rtl/>
        </w:rPr>
        <w:t>”</w:t>
      </w:r>
      <w:r>
        <w:rPr>
          <w:rtl/>
        </w:rPr>
        <w:t>التفكير النقدي</w:t>
      </w:r>
      <w:r>
        <w:rPr>
          <w:rFonts w:hint="cs"/>
          <w:rtl/>
        </w:rPr>
        <w:t>“</w:t>
      </w:r>
      <w:r>
        <w:rPr>
          <w:rtl/>
        </w:rPr>
        <w:t xml:space="preserve"> مدتها يومان، لكل من الرجال والنساء ولكنها تستهدف الموظفات العاملات لديها، بهدف إعداد النساء كي يصبحن قائدات ومن أجل إيجاد توازن أفضل في الفرص</w:t>
      </w:r>
      <w:r w:rsidRPr="005363FE">
        <w:rPr>
          <w:vertAlign w:val="superscript"/>
          <w:rtl/>
        </w:rPr>
        <w:t>(</w:t>
      </w:r>
      <w:r w:rsidRPr="005363FE">
        <w:rPr>
          <w:rStyle w:val="FootnoteReference"/>
          <w:szCs w:val="30"/>
          <w:rtl/>
        </w:rPr>
        <w:footnoteReference w:id="102"/>
      </w:r>
      <w:r w:rsidRPr="005363FE">
        <w:rPr>
          <w:vertAlign w:val="superscript"/>
          <w:rtl/>
        </w:rPr>
        <w:t>)</w:t>
      </w:r>
      <w:r>
        <w:rPr>
          <w:rtl/>
        </w:rPr>
        <w:t xml:space="preserve">. </w:t>
      </w:r>
    </w:p>
    <w:p w:rsidR="009862F2" w:rsidRPr="005363FE" w:rsidRDefault="009862F2" w:rsidP="009862F2">
      <w:pPr>
        <w:pStyle w:val="SingleTxt"/>
        <w:spacing w:after="0" w:line="120" w:lineRule="exact"/>
        <w:rPr>
          <w:sz w:val="10"/>
          <w:rtl/>
        </w:rPr>
      </w:pPr>
      <w:r>
        <w:rPr>
          <w:rtl/>
        </w:rPr>
        <w:tab/>
      </w:r>
    </w:p>
    <w:p w:rsidR="009862F2" w:rsidRDefault="009862F2" w:rsidP="00A4450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6: الاتجار بالبشر والبغاء </w:t>
      </w:r>
    </w:p>
    <w:p w:rsidR="009862F2" w:rsidRDefault="009862F2" w:rsidP="009862F2">
      <w:pPr>
        <w:pStyle w:val="SingleTxt"/>
        <w:rPr>
          <w:rtl/>
        </w:rPr>
      </w:pPr>
      <w:r>
        <w:rPr>
          <w:rtl/>
        </w:rPr>
        <w:t>١٣٩</w:t>
      </w:r>
      <w:r>
        <w:rPr>
          <w:rFonts w:hint="cs"/>
          <w:rtl/>
        </w:rPr>
        <w:t xml:space="preserve"> -</w:t>
      </w:r>
      <w:r>
        <w:rPr>
          <w:rtl/>
        </w:rPr>
        <w:t xml:space="preserve"> تيمور</w:t>
      </w:r>
      <w:r>
        <w:rPr>
          <w:rFonts w:hint="cs"/>
          <w:rtl/>
        </w:rPr>
        <w:t xml:space="preserve"> </w:t>
      </w:r>
      <w:r>
        <w:rPr>
          <w:rtl/>
        </w:rPr>
        <w:t>-</w:t>
      </w:r>
      <w:r>
        <w:rPr>
          <w:rFonts w:hint="cs"/>
          <w:rtl/>
        </w:rPr>
        <w:t xml:space="preserve"> </w:t>
      </w:r>
      <w:r>
        <w:rPr>
          <w:rtl/>
        </w:rPr>
        <w:t>ليشتي هي بلد مقصد لل</w:t>
      </w:r>
      <w:r>
        <w:rPr>
          <w:rFonts w:hint="cs"/>
          <w:rtl/>
        </w:rPr>
        <w:t>ا</w:t>
      </w:r>
      <w:r>
        <w:rPr>
          <w:rtl/>
        </w:rPr>
        <w:t>تجار بالضحايا الذين يجلبون من بلدان في المنطقة من أجل استغلالهم أساسا كمشتغلين بالجنس على أساس تجاري، أو كخدم في المنازل أو</w:t>
      </w:r>
      <w:r>
        <w:rPr>
          <w:rFonts w:hint="cs"/>
          <w:rtl/>
        </w:rPr>
        <w:t> </w:t>
      </w:r>
      <w:r>
        <w:rPr>
          <w:rtl/>
        </w:rPr>
        <w:t>كعمال على قوارب الصيد. وتشير الدلائل إلى أن التيموريين هم أيضا عرضة للاتجار داخل البلد، بصفة عامة من حيث الاتجار بالنساء والأطفال من المناطق الريفية إلى المدن لأغراض الاستغلال الجنسي. وقد تصبح تيمور</w:t>
      </w:r>
      <w:r>
        <w:rPr>
          <w:rFonts w:hint="cs"/>
          <w:rtl/>
        </w:rPr>
        <w:t xml:space="preserve"> </w:t>
      </w:r>
      <w:r>
        <w:rPr>
          <w:rtl/>
        </w:rPr>
        <w:t>-</w:t>
      </w:r>
      <w:r>
        <w:rPr>
          <w:rFonts w:hint="cs"/>
          <w:rtl/>
        </w:rPr>
        <w:t xml:space="preserve"> </w:t>
      </w:r>
      <w:r>
        <w:rPr>
          <w:rtl/>
        </w:rPr>
        <w:t>ليشتي أيضا بلدا مَصدرا للاتجار بالبشر على الصعيد الدولي بسبب الفقر، والافتقار إلى الوعي بشأن هذه المسألة</w:t>
      </w:r>
      <w:r w:rsidRPr="005363FE">
        <w:rPr>
          <w:vertAlign w:val="superscript"/>
          <w:rtl/>
        </w:rPr>
        <w:t>(</w:t>
      </w:r>
      <w:r w:rsidRPr="005363FE">
        <w:rPr>
          <w:rStyle w:val="FootnoteReference"/>
          <w:szCs w:val="30"/>
          <w:rtl/>
        </w:rPr>
        <w:footnoteReference w:id="103"/>
      </w:r>
      <w:r w:rsidRPr="005363FE">
        <w:rPr>
          <w:vertAlign w:val="superscript"/>
          <w:rtl/>
        </w:rPr>
        <w:t>)</w:t>
      </w:r>
      <w:r>
        <w:rPr>
          <w:rtl/>
        </w:rPr>
        <w:t xml:space="preserve">. </w:t>
      </w:r>
    </w:p>
    <w:p w:rsidR="009862F2" w:rsidRDefault="009862F2" w:rsidP="009862F2">
      <w:pPr>
        <w:pStyle w:val="SingleTxt"/>
        <w:rPr>
          <w:rtl/>
        </w:rPr>
      </w:pPr>
      <w:r>
        <w:rPr>
          <w:rtl/>
        </w:rPr>
        <w:t>١٤٠</w:t>
      </w:r>
      <w:r>
        <w:rPr>
          <w:rFonts w:hint="cs"/>
          <w:rtl/>
        </w:rPr>
        <w:t xml:space="preserve"> </w:t>
      </w:r>
      <w:r>
        <w:rPr>
          <w:rtl/>
        </w:rPr>
        <w:t>- ومع ذلك، فإن معظم الاستنتاجات بشأن الاتجار بالبشر في تيمور</w:t>
      </w:r>
      <w:r>
        <w:rPr>
          <w:rFonts w:hint="cs"/>
          <w:rtl/>
        </w:rPr>
        <w:t xml:space="preserve"> </w:t>
      </w:r>
      <w:r>
        <w:rPr>
          <w:rtl/>
        </w:rPr>
        <w:t>-</w:t>
      </w:r>
      <w:r>
        <w:rPr>
          <w:rFonts w:hint="cs"/>
          <w:rtl/>
        </w:rPr>
        <w:t xml:space="preserve"> </w:t>
      </w:r>
      <w:r>
        <w:rPr>
          <w:rtl/>
        </w:rPr>
        <w:t>ليشتي مستنبطة من أبحاث مؤسسة ألولا في عام 2004، المذكورة في التقرير الأولي. وللأسف، لم</w:t>
      </w:r>
      <w:r>
        <w:rPr>
          <w:rFonts w:hint="cs"/>
          <w:rtl/>
        </w:rPr>
        <w:t> </w:t>
      </w:r>
      <w:r>
        <w:rPr>
          <w:rtl/>
        </w:rPr>
        <w:t>تجر بحوث أخرى سواء من جانب الحكومة أو المجتمع المدني بشأن هذه المسألة على الرغم من عقد المؤتمر الدولي بشأن الاتجار بالبشر في عام 2012 بهدف تعزيز الفهم بشأن الآليات الدولية والوطنية والأطر القانونية التي تهدف لمكافحة الاتجار بالبشر، وخاصة الاتجار بالنساء.</w:t>
      </w:r>
    </w:p>
    <w:p w:rsidR="009862F2" w:rsidRPr="00F550BF" w:rsidRDefault="009862F2" w:rsidP="009862F2">
      <w:pPr>
        <w:pStyle w:val="SingleTxt"/>
        <w:spacing w:after="0" w:line="120" w:lineRule="exact"/>
        <w:rPr>
          <w:sz w:val="10"/>
          <w:rtl/>
        </w:rPr>
      </w:pPr>
    </w:p>
    <w:p w:rsidR="009862F2" w:rsidRDefault="009862F2" w:rsidP="009862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الإطار القانوني</w:t>
      </w:r>
    </w:p>
    <w:p w:rsidR="009862F2" w:rsidRDefault="009862F2" w:rsidP="009862F2">
      <w:pPr>
        <w:pStyle w:val="SingleTxt"/>
        <w:rPr>
          <w:rtl/>
        </w:rPr>
      </w:pPr>
      <w:r>
        <w:rPr>
          <w:rtl/>
        </w:rPr>
        <w:t>١٤١</w:t>
      </w:r>
      <w:r>
        <w:rPr>
          <w:rFonts w:hint="cs"/>
          <w:rtl/>
        </w:rPr>
        <w:t xml:space="preserve"> </w:t>
      </w:r>
      <w:r>
        <w:rPr>
          <w:rtl/>
        </w:rPr>
        <w:t xml:space="preserve">- إضافة إلى قانون الهجرة واللجوء لعام 2003، جرى تفصيل الإطار القانوني بشأن الاتجار بالبشر مع سن القانون الجنائي في نيسان/أبريل 2009. وجريمة الاتجار بالبشر منصوص عليها في المادة 163 </w:t>
      </w:r>
      <w:r>
        <w:rPr>
          <w:rFonts w:hint="cs"/>
          <w:rtl/>
        </w:rPr>
        <w:t>’</w:t>
      </w:r>
      <w:r>
        <w:rPr>
          <w:rtl/>
        </w:rPr>
        <w:t>الجرائم المرتكبة ضد الحرية الفردية</w:t>
      </w:r>
      <w:r>
        <w:rPr>
          <w:rFonts w:hint="cs"/>
          <w:rtl/>
        </w:rPr>
        <w:t>‘</w:t>
      </w:r>
      <w:r w:rsidRPr="00F550BF">
        <w:rPr>
          <w:vertAlign w:val="superscript"/>
          <w:rtl/>
        </w:rPr>
        <w:t>(</w:t>
      </w:r>
      <w:r w:rsidRPr="00F550BF">
        <w:rPr>
          <w:rStyle w:val="FootnoteReference"/>
          <w:szCs w:val="30"/>
          <w:rtl/>
        </w:rPr>
        <w:footnoteReference w:id="104"/>
      </w:r>
      <w:r w:rsidRPr="00F550BF">
        <w:rPr>
          <w:vertAlign w:val="superscript"/>
          <w:rtl/>
        </w:rPr>
        <w:t>)</w:t>
      </w:r>
      <w:r>
        <w:rPr>
          <w:rtl/>
        </w:rPr>
        <w:t>. والظروف المشددة للعقوبة محددة في المادة 164، وترد أحكام أكثر تحديدا في المادة 165 - الاتجار غير</w:t>
      </w:r>
      <w:r>
        <w:rPr>
          <w:rFonts w:hint="cs"/>
          <w:rtl/>
        </w:rPr>
        <w:t> </w:t>
      </w:r>
      <w:r>
        <w:rPr>
          <w:rtl/>
        </w:rPr>
        <w:t>المشروع بالأعضاء البشرية والمادة 166 - بيع البشر. (يرجى الرجوع إلى المرفق)</w:t>
      </w:r>
    </w:p>
    <w:p w:rsidR="009862F2" w:rsidRDefault="009862F2" w:rsidP="009862F2">
      <w:pPr>
        <w:pStyle w:val="SingleTxt"/>
        <w:rPr>
          <w:rtl/>
        </w:rPr>
      </w:pPr>
      <w:r>
        <w:rPr>
          <w:rtl/>
        </w:rPr>
        <w:t>١٤٢</w:t>
      </w:r>
      <w:r>
        <w:rPr>
          <w:rFonts w:hint="cs"/>
          <w:rtl/>
        </w:rPr>
        <w:t xml:space="preserve"> </w:t>
      </w:r>
      <w:r>
        <w:rPr>
          <w:rtl/>
        </w:rPr>
        <w:t>- وقد أقر قانون حماية الشهود، وهو القانون رقم 2/2009، في أيار/مايو 2009. الذي ينشئ آلية كافية لحماية الأشخاص من أجل التنفيذ الفعال للعدالة</w:t>
      </w:r>
      <w:r w:rsidRPr="00F550BF">
        <w:rPr>
          <w:vertAlign w:val="superscript"/>
          <w:rtl/>
        </w:rPr>
        <w:t>(</w:t>
      </w:r>
      <w:r w:rsidRPr="00F550BF">
        <w:rPr>
          <w:rStyle w:val="FootnoteReference"/>
          <w:szCs w:val="30"/>
          <w:rtl/>
        </w:rPr>
        <w:footnoteReference w:id="105"/>
      </w:r>
      <w:r w:rsidRPr="00F550BF">
        <w:rPr>
          <w:vertAlign w:val="superscript"/>
          <w:rtl/>
        </w:rPr>
        <w:t>)</w:t>
      </w:r>
      <w:r>
        <w:rPr>
          <w:rtl/>
        </w:rPr>
        <w:t>. ومع ذلك، فنظرا للافتقار إلى التنسيق والموارد اللازمة لتنفيذ القانون، لم يبدأ نفاذه بعد حتى وقت إعداد هذا التقرير، على الرغم من قيام المدعي العام بتنظيم دورات تدريبية للمحققين الجنائيين في</w:t>
      </w:r>
      <w:r>
        <w:rPr>
          <w:rFonts w:hint="cs"/>
          <w:rtl/>
        </w:rPr>
        <w:t> </w:t>
      </w:r>
      <w:r>
        <w:rPr>
          <w:rtl/>
        </w:rPr>
        <w:t>الشرطة</w:t>
      </w:r>
      <w:r w:rsidRPr="00F550BF">
        <w:rPr>
          <w:vertAlign w:val="superscript"/>
          <w:rtl/>
        </w:rPr>
        <w:t>(</w:t>
      </w:r>
      <w:r w:rsidRPr="00F550BF">
        <w:rPr>
          <w:rStyle w:val="FootnoteReference"/>
          <w:szCs w:val="30"/>
          <w:rtl/>
        </w:rPr>
        <w:footnoteReference w:id="106"/>
      </w:r>
      <w:r w:rsidRPr="00F550BF">
        <w:rPr>
          <w:vertAlign w:val="superscript"/>
          <w:rtl/>
        </w:rPr>
        <w:t>)</w:t>
      </w:r>
      <w:r>
        <w:rPr>
          <w:rtl/>
        </w:rPr>
        <w:t xml:space="preserve">. </w:t>
      </w:r>
    </w:p>
    <w:p w:rsidR="009862F2" w:rsidRDefault="009862F2" w:rsidP="009862F2">
      <w:pPr>
        <w:pStyle w:val="SingleTxt"/>
        <w:rPr>
          <w:rtl/>
        </w:rPr>
      </w:pPr>
      <w:r>
        <w:rPr>
          <w:rtl/>
        </w:rPr>
        <w:t>١٤٣</w:t>
      </w:r>
      <w:r>
        <w:rPr>
          <w:rFonts w:hint="cs"/>
          <w:rtl/>
        </w:rPr>
        <w:t xml:space="preserve"> </w:t>
      </w:r>
      <w:r>
        <w:rPr>
          <w:rtl/>
        </w:rPr>
        <w:t>- ومن أجل التغلب على هذه المسألة، قررت وزارة العدل في آذار/مارس 2013 إنشاء لجنة للمسائل الأمنية في قطاع العدالة وفقا للمادة 22 من قانون حماية الشهود</w:t>
      </w:r>
      <w:r w:rsidRPr="00F550BF">
        <w:rPr>
          <w:vertAlign w:val="superscript"/>
          <w:rtl/>
        </w:rPr>
        <w:t>(</w:t>
      </w:r>
      <w:r w:rsidRPr="00F550BF">
        <w:rPr>
          <w:rStyle w:val="FootnoteReference"/>
          <w:szCs w:val="30"/>
          <w:rtl/>
        </w:rPr>
        <w:footnoteReference w:id="107"/>
      </w:r>
      <w:r w:rsidRPr="00F550BF">
        <w:rPr>
          <w:vertAlign w:val="superscript"/>
          <w:rtl/>
        </w:rPr>
        <w:t>)</w:t>
      </w:r>
      <w:r>
        <w:rPr>
          <w:rtl/>
        </w:rPr>
        <w:t xml:space="preserve">. </w:t>
      </w:r>
    </w:p>
    <w:p w:rsidR="009862F2" w:rsidRPr="00F550BF" w:rsidRDefault="009862F2" w:rsidP="009862F2">
      <w:pPr>
        <w:pStyle w:val="SingleTxt"/>
        <w:spacing w:after="0" w:line="120" w:lineRule="exact"/>
        <w:rPr>
          <w:sz w:val="10"/>
          <w:rtl/>
        </w:rPr>
      </w:pPr>
    </w:p>
    <w:p w:rsidR="009862F2" w:rsidRPr="00F550BF" w:rsidRDefault="009862F2" w:rsidP="009862F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F550BF">
        <w:rPr>
          <w:rtl/>
        </w:rPr>
        <w:t>الاستغلال الجنسي</w:t>
      </w:r>
    </w:p>
    <w:p w:rsidR="009862F2" w:rsidRDefault="009862F2" w:rsidP="009862F2">
      <w:pPr>
        <w:pStyle w:val="SingleTxt"/>
        <w:rPr>
          <w:rtl/>
        </w:rPr>
      </w:pPr>
      <w:r>
        <w:rPr>
          <w:rtl/>
        </w:rPr>
        <w:t>١٤٤</w:t>
      </w:r>
      <w:r>
        <w:rPr>
          <w:rFonts w:hint="cs"/>
          <w:rtl/>
        </w:rPr>
        <w:t xml:space="preserve"> </w:t>
      </w:r>
      <w:r>
        <w:rPr>
          <w:rtl/>
        </w:rPr>
        <w:t>- فيما يتعلق بالبغاء، ينص قانون العقوبات الجديد على أن الاستغلال الجنسي لشخص ثالث يعد جريمة، في المادة 174، وعقوبتها السجن لمدة أقصاها 10 سنوات (تصل</w:t>
      </w:r>
      <w:r>
        <w:rPr>
          <w:rFonts w:hint="cs"/>
          <w:rtl/>
        </w:rPr>
        <w:t> </w:t>
      </w:r>
      <w:r>
        <w:rPr>
          <w:rtl/>
        </w:rPr>
        <w:t xml:space="preserve">إلى 12 سنة في حالة وجود ظروف مشددة للعقوبة). </w:t>
      </w:r>
    </w:p>
    <w:p w:rsidR="009862F2" w:rsidRDefault="009862F2" w:rsidP="009862F2">
      <w:pPr>
        <w:pStyle w:val="SingleTxt"/>
        <w:rPr>
          <w:rtl/>
        </w:rPr>
      </w:pPr>
      <w:r>
        <w:rPr>
          <w:rtl/>
        </w:rPr>
        <w:t>١٤٥</w:t>
      </w:r>
      <w:r>
        <w:rPr>
          <w:rFonts w:hint="cs"/>
          <w:rtl/>
        </w:rPr>
        <w:t xml:space="preserve"> </w:t>
      </w:r>
      <w:r>
        <w:rPr>
          <w:rtl/>
        </w:rPr>
        <w:t xml:space="preserve">- ووفقا للمادة 175 بشأن </w:t>
      </w:r>
      <w:r>
        <w:rPr>
          <w:rFonts w:hint="cs"/>
          <w:rtl/>
        </w:rPr>
        <w:t>”</w:t>
      </w:r>
      <w:r>
        <w:rPr>
          <w:rtl/>
        </w:rPr>
        <w:t>بغاء القصر</w:t>
      </w:r>
      <w:r>
        <w:rPr>
          <w:rFonts w:hint="cs"/>
          <w:rtl/>
        </w:rPr>
        <w:t>“</w:t>
      </w:r>
      <w:r>
        <w:rPr>
          <w:rtl/>
        </w:rPr>
        <w:t xml:space="preserve"> (دون سن 17 سنة)، يمكن زيادة العقوبات لتصل إلى 12 سنة في المادة 174؛ وما يصل إلى 15 سنة عند وجود ظروف مشددة للعقوبة. ويشار إلى استغلال الأطفال في المواد الإباحية في المادة 176، وعقوبته السجن لمدة تتراوح بين 3 و 10 سنوات.</w:t>
      </w:r>
    </w:p>
    <w:p w:rsidR="009862F2" w:rsidRPr="00F550BF" w:rsidRDefault="009862F2" w:rsidP="009862F2">
      <w:pPr>
        <w:pStyle w:val="SingleTxt"/>
        <w:spacing w:after="0" w:line="120" w:lineRule="exact"/>
        <w:rPr>
          <w:sz w:val="10"/>
          <w:rtl/>
        </w:rPr>
      </w:pPr>
    </w:p>
    <w:p w:rsidR="009862F2" w:rsidRPr="00F550BF" w:rsidRDefault="009862F2" w:rsidP="009862F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F550BF">
        <w:rPr>
          <w:rtl/>
        </w:rPr>
        <w:t>التصديق على الاتفاقيات الدولية</w:t>
      </w:r>
    </w:p>
    <w:p w:rsidR="009862F2" w:rsidRDefault="009862F2" w:rsidP="009862F2">
      <w:pPr>
        <w:pStyle w:val="SingleTxt"/>
        <w:rPr>
          <w:rtl/>
        </w:rPr>
      </w:pPr>
      <w:r>
        <w:rPr>
          <w:rtl/>
        </w:rPr>
        <w:t>١٤٦</w:t>
      </w:r>
      <w:r>
        <w:rPr>
          <w:rFonts w:hint="cs"/>
          <w:rtl/>
        </w:rPr>
        <w:t xml:space="preserve"> </w:t>
      </w:r>
      <w:r>
        <w:rPr>
          <w:rtl/>
        </w:rPr>
        <w:t>- وقد صدقت تيمور - ليشتي في 5 تشرين الثاني/نوفمبر 2009 على اتفاقية الأمم</w:t>
      </w:r>
      <w:r>
        <w:rPr>
          <w:rFonts w:hint="cs"/>
          <w:rtl/>
        </w:rPr>
        <w:t> </w:t>
      </w:r>
      <w:r>
        <w:rPr>
          <w:rtl/>
        </w:rPr>
        <w:t>المتحدة لمكافحة الجريمة المنظمة عبر الوطنية (بروتوكول باليرمو) والبروتوكول الإضافي لهذه</w:t>
      </w:r>
      <w:r>
        <w:rPr>
          <w:rFonts w:hint="cs"/>
          <w:rtl/>
        </w:rPr>
        <w:t> </w:t>
      </w:r>
      <w:r>
        <w:rPr>
          <w:rtl/>
        </w:rPr>
        <w:t>الاتفاقية، وبروتوكول منع وقمع الاتجار بالأشخاص، وبخاصة النساء والأطفال، والمعاقبة</w:t>
      </w:r>
      <w:r>
        <w:rPr>
          <w:rFonts w:hint="cs"/>
          <w:rtl/>
        </w:rPr>
        <w:t> </w:t>
      </w:r>
      <w:r>
        <w:rPr>
          <w:rtl/>
        </w:rPr>
        <w:t>عليه</w:t>
      </w:r>
      <w:r w:rsidRPr="00F550BF">
        <w:rPr>
          <w:vertAlign w:val="superscript"/>
          <w:rtl/>
        </w:rPr>
        <w:t>(</w:t>
      </w:r>
      <w:r w:rsidRPr="00F550BF">
        <w:rPr>
          <w:rStyle w:val="FootnoteReference"/>
          <w:szCs w:val="30"/>
          <w:rtl/>
        </w:rPr>
        <w:footnoteReference w:id="108"/>
      </w:r>
      <w:r w:rsidRPr="00F550BF">
        <w:rPr>
          <w:vertAlign w:val="superscript"/>
          <w:rtl/>
        </w:rPr>
        <w:t>)</w:t>
      </w:r>
      <w:r>
        <w:rPr>
          <w:rtl/>
        </w:rPr>
        <w:t>. وتتسق أحكام القانون الجنائي الجديد، المادة 163 بشأن الاتجار بالبشر مع المادة 3 (أ) من بروتوكول باليرمو.</w:t>
      </w:r>
    </w:p>
    <w:p w:rsidR="009862F2" w:rsidRPr="00F550BF" w:rsidRDefault="009862F2" w:rsidP="009862F2">
      <w:pPr>
        <w:pStyle w:val="SingleTxt"/>
        <w:spacing w:after="0" w:line="120" w:lineRule="exact"/>
        <w:rPr>
          <w:sz w:val="10"/>
          <w:rtl/>
        </w:rPr>
      </w:pPr>
    </w:p>
    <w:p w:rsidR="009862F2" w:rsidRDefault="009862F2" w:rsidP="009862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التدابير الرامية إلى تعزيز الإطار القانوني بشأن الاتجار بالبشر</w:t>
      </w:r>
    </w:p>
    <w:p w:rsidR="009862F2" w:rsidRDefault="009862F2" w:rsidP="009862F2">
      <w:pPr>
        <w:pStyle w:val="SingleTxt"/>
        <w:rPr>
          <w:rtl/>
        </w:rPr>
      </w:pPr>
      <w:r>
        <w:rPr>
          <w:rtl/>
        </w:rPr>
        <w:t>١٤٧</w:t>
      </w:r>
      <w:r>
        <w:rPr>
          <w:rFonts w:hint="cs"/>
          <w:rtl/>
        </w:rPr>
        <w:t xml:space="preserve"> </w:t>
      </w:r>
      <w:r>
        <w:rPr>
          <w:rtl/>
        </w:rPr>
        <w:t>- أنشأت الحكومة، بقيادة وزارة الخارجية، فريقا عاملا مشتركا بين الوكالات معنيا بالاتجار بالبشر يضم ممثلين عن الوكالات الحكومية ومنظمات المجتمع المدني والمنظمات الدولية من قبيل المنظمة الدولية للهجرة، للعمل على القضاء على الاتجار بالبشر</w:t>
      </w:r>
      <w:r w:rsidRPr="00F550BF">
        <w:rPr>
          <w:vertAlign w:val="superscript"/>
          <w:rtl/>
        </w:rPr>
        <w:t>(</w:t>
      </w:r>
      <w:r w:rsidRPr="00F550BF">
        <w:rPr>
          <w:rStyle w:val="FootnoteReference"/>
          <w:szCs w:val="30"/>
          <w:rtl/>
        </w:rPr>
        <w:footnoteReference w:id="109"/>
      </w:r>
      <w:r w:rsidRPr="00F550BF">
        <w:rPr>
          <w:vertAlign w:val="superscript"/>
          <w:rtl/>
        </w:rPr>
        <w:t>)</w:t>
      </w:r>
      <w:r>
        <w:rPr>
          <w:rtl/>
        </w:rPr>
        <w:t xml:space="preserve">. </w:t>
      </w:r>
    </w:p>
    <w:p w:rsidR="009862F2" w:rsidRDefault="009862F2" w:rsidP="009862F2">
      <w:pPr>
        <w:pStyle w:val="SingleTxt"/>
        <w:rPr>
          <w:rtl/>
        </w:rPr>
      </w:pPr>
      <w:r>
        <w:rPr>
          <w:rtl/>
        </w:rPr>
        <w:t>١٤٨</w:t>
      </w:r>
      <w:r>
        <w:rPr>
          <w:rFonts w:hint="cs"/>
          <w:rtl/>
        </w:rPr>
        <w:t xml:space="preserve"> </w:t>
      </w:r>
      <w:r>
        <w:rPr>
          <w:rtl/>
        </w:rPr>
        <w:t>- رشحت لجنة فرعية مكلفة بصياغة القانون المتعلق بمنع وقمع الاتجار بالأشخاص والمعاقبة عليه. وقدمت الوزارة مشروع القانون إلى البرلمان في عام 2011. وللأسف، فبسبب الافتقار إلى التنسيق بين الوزارات الرئيسية، وبسبب جدول الأعمال الانتخابي الحافل بالعمل في عام 2012 وتشكيل الحكومة الجديدة، لم يقر البرلمان مشروع القانون حتى الآن. وتعمل الحكومة الجديدة، من خلال التعاون بين وزارة العدل ووزارة الخارجية على إعادة تحليل مشروع القانون، وتهدف إلى تقديم النص النهائي إلى مجلس الوزراء قبل نهاية عام</w:t>
      </w:r>
      <w:r>
        <w:rPr>
          <w:rFonts w:hint="cs"/>
          <w:rtl/>
        </w:rPr>
        <w:t> </w:t>
      </w:r>
      <w:r>
        <w:rPr>
          <w:rtl/>
        </w:rPr>
        <w:t>2013</w:t>
      </w:r>
      <w:r w:rsidRPr="00F550BF">
        <w:rPr>
          <w:vertAlign w:val="superscript"/>
          <w:rtl/>
        </w:rPr>
        <w:t>(</w:t>
      </w:r>
      <w:r w:rsidRPr="00F550BF">
        <w:rPr>
          <w:rStyle w:val="FootnoteReference"/>
          <w:szCs w:val="30"/>
          <w:rtl/>
        </w:rPr>
        <w:footnoteReference w:id="110"/>
      </w:r>
      <w:r w:rsidRPr="00F550BF">
        <w:rPr>
          <w:vertAlign w:val="superscript"/>
          <w:rtl/>
        </w:rPr>
        <w:t>)</w:t>
      </w:r>
      <w:r>
        <w:rPr>
          <w:rtl/>
        </w:rPr>
        <w:t xml:space="preserve">. </w:t>
      </w:r>
    </w:p>
    <w:p w:rsidR="009862F2" w:rsidRDefault="009862F2" w:rsidP="009862F2">
      <w:pPr>
        <w:pStyle w:val="SingleTxt"/>
        <w:rPr>
          <w:rtl/>
        </w:rPr>
      </w:pPr>
      <w:r>
        <w:rPr>
          <w:rtl/>
        </w:rPr>
        <w:t>١٤٩</w:t>
      </w:r>
      <w:r>
        <w:rPr>
          <w:rFonts w:hint="cs"/>
          <w:rtl/>
        </w:rPr>
        <w:t xml:space="preserve"> </w:t>
      </w:r>
      <w:r>
        <w:rPr>
          <w:rtl/>
        </w:rPr>
        <w:t>- ولا تقتصر أحكام مشروع القانون الحالي على التدابير الجنائية والإجرائية من خلال تعريف الجرائم والعقوبات الجنائية، وإنما تنص أيضا على حقوق الضحايا والضمانات المكفولة لهم، وإنشاء صندوق خاص لتعويض ضحايا الاتجار بالبشر</w:t>
      </w:r>
      <w:r w:rsidRPr="00F550BF">
        <w:rPr>
          <w:vertAlign w:val="superscript"/>
          <w:rtl/>
        </w:rPr>
        <w:t>(</w:t>
      </w:r>
      <w:r w:rsidRPr="00F550BF">
        <w:rPr>
          <w:rStyle w:val="FootnoteReference"/>
          <w:szCs w:val="30"/>
          <w:rtl/>
        </w:rPr>
        <w:footnoteReference w:id="111"/>
      </w:r>
      <w:r w:rsidRPr="00F550BF">
        <w:rPr>
          <w:vertAlign w:val="superscript"/>
          <w:rtl/>
        </w:rPr>
        <w:t>)</w:t>
      </w:r>
      <w:r>
        <w:rPr>
          <w:rtl/>
        </w:rPr>
        <w:t xml:space="preserve">. </w:t>
      </w:r>
    </w:p>
    <w:p w:rsidR="009862F2" w:rsidRPr="00F550BF" w:rsidRDefault="009862F2" w:rsidP="009862F2">
      <w:pPr>
        <w:pStyle w:val="SingleTxt"/>
        <w:spacing w:after="0" w:line="120" w:lineRule="exact"/>
        <w:rPr>
          <w:sz w:val="10"/>
          <w:rtl/>
        </w:rPr>
      </w:pPr>
    </w:p>
    <w:p w:rsidR="009862F2" w:rsidRDefault="009862F2" w:rsidP="009862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خطة العمل الوطنية المتعلقة بالاتجار بالبشر</w:t>
      </w:r>
    </w:p>
    <w:p w:rsidR="009862F2" w:rsidRDefault="009862F2" w:rsidP="009862F2">
      <w:pPr>
        <w:pStyle w:val="SingleTxt"/>
        <w:rPr>
          <w:rtl/>
        </w:rPr>
      </w:pPr>
      <w:r>
        <w:rPr>
          <w:rtl/>
        </w:rPr>
        <w:t>١٥٠</w:t>
      </w:r>
      <w:r>
        <w:rPr>
          <w:rFonts w:hint="cs"/>
          <w:rtl/>
        </w:rPr>
        <w:t xml:space="preserve"> </w:t>
      </w:r>
      <w:r>
        <w:rPr>
          <w:rtl/>
        </w:rPr>
        <w:t>- وقد تولت لجنة فرعية أخرى، رشحت في عام 2009، المسؤولية عن وضع خطة عمل وطنية بشأن الاتجار بالبشر من أجل تنفيذ التدابير القانونية القائمة فضلا عن القانون الجديد بشأن الاتجار بالبشر. وبعد إجراء مشاورات مع الحكومة والمجتمع المدني والمجتمعات المحلية، تم الانتهاء من مسودة أولى من المشروع وتقديمها إلى الفريق العامل في آذار/</w:t>
      </w:r>
      <w:r>
        <w:rPr>
          <w:rFonts w:hint="cs"/>
          <w:rtl/>
        </w:rPr>
        <w:t xml:space="preserve"> </w:t>
      </w:r>
      <w:r>
        <w:rPr>
          <w:rtl/>
        </w:rPr>
        <w:t>مارس</w:t>
      </w:r>
      <w:r>
        <w:rPr>
          <w:rFonts w:hint="cs"/>
          <w:rtl/>
        </w:rPr>
        <w:t> </w:t>
      </w:r>
      <w:r>
        <w:rPr>
          <w:rtl/>
        </w:rPr>
        <w:t>2010. وللأسف، نظرا للافتقار إلى التنسيق بين الوكالات والأولوية الممنوحة لصياغة القانون، لم يوافق مجلس الوزراء بعد على خطة العمل الوطنية بشأن الاتجار بالبشر.</w:t>
      </w:r>
    </w:p>
    <w:p w:rsidR="009862F2" w:rsidRDefault="009862F2" w:rsidP="009862F2">
      <w:pPr>
        <w:pStyle w:val="SingleTxt"/>
        <w:rPr>
          <w:rtl/>
        </w:rPr>
      </w:pPr>
      <w:r>
        <w:rPr>
          <w:rtl/>
        </w:rPr>
        <w:t>١٥١</w:t>
      </w:r>
      <w:r>
        <w:rPr>
          <w:rFonts w:hint="cs"/>
          <w:rtl/>
        </w:rPr>
        <w:t xml:space="preserve"> </w:t>
      </w:r>
      <w:r>
        <w:rPr>
          <w:rtl/>
        </w:rPr>
        <w:t>- وأهداف الخطة واضحة، وهي: ’1</w:t>
      </w:r>
      <w:r>
        <w:rPr>
          <w:rFonts w:hint="cs"/>
          <w:rtl/>
        </w:rPr>
        <w:t>‘</w:t>
      </w:r>
      <w:r>
        <w:rPr>
          <w:rtl/>
        </w:rPr>
        <w:t xml:space="preserve"> حماية مواطني تيمور</w:t>
      </w:r>
      <w:r>
        <w:rPr>
          <w:rFonts w:hint="cs"/>
          <w:rtl/>
        </w:rPr>
        <w:t xml:space="preserve"> </w:t>
      </w:r>
      <w:r>
        <w:rPr>
          <w:rtl/>
        </w:rPr>
        <w:t>-</w:t>
      </w:r>
      <w:r>
        <w:rPr>
          <w:rFonts w:hint="cs"/>
          <w:rtl/>
        </w:rPr>
        <w:t xml:space="preserve"> </w:t>
      </w:r>
      <w:r>
        <w:rPr>
          <w:rtl/>
        </w:rPr>
        <w:t>ليشتي من الاتجار بالبشر؛ ’2</w:t>
      </w:r>
      <w:r>
        <w:rPr>
          <w:rFonts w:hint="cs"/>
          <w:rtl/>
        </w:rPr>
        <w:t>‘</w:t>
      </w:r>
      <w:r>
        <w:rPr>
          <w:rtl/>
        </w:rPr>
        <w:t xml:space="preserve"> تقديم الحماية والمساعدة لجميع ضحايا الاتجار بالبشر؛ ’3</w:t>
      </w:r>
      <w:r>
        <w:rPr>
          <w:rFonts w:hint="cs"/>
          <w:rtl/>
        </w:rPr>
        <w:t>‘</w:t>
      </w:r>
      <w:r>
        <w:rPr>
          <w:rtl/>
        </w:rPr>
        <w:t xml:space="preserve"> تعزيز عمليات التحقيق فيما</w:t>
      </w:r>
      <w:r>
        <w:rPr>
          <w:rFonts w:hint="cs"/>
          <w:rtl/>
        </w:rPr>
        <w:t> </w:t>
      </w:r>
      <w:r>
        <w:rPr>
          <w:rtl/>
        </w:rPr>
        <w:t>يتعلق بالقائمين بالاتجار وملاحقتهم قضائيا.</w:t>
      </w:r>
    </w:p>
    <w:p w:rsidR="009862F2" w:rsidRPr="00F550BF" w:rsidRDefault="009862F2" w:rsidP="009862F2">
      <w:pPr>
        <w:pStyle w:val="SingleTxt"/>
        <w:spacing w:after="0" w:line="120" w:lineRule="exact"/>
        <w:rPr>
          <w:sz w:val="10"/>
          <w:rtl/>
        </w:rPr>
      </w:pPr>
    </w:p>
    <w:p w:rsidR="009862F2" w:rsidRPr="00F550BF" w:rsidRDefault="009862F2" w:rsidP="009862F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F550BF">
        <w:rPr>
          <w:rtl/>
        </w:rPr>
        <w:t>التحسينات في إنفاذ القانون</w:t>
      </w:r>
    </w:p>
    <w:p w:rsidR="009862F2" w:rsidRDefault="009862F2" w:rsidP="009862F2">
      <w:pPr>
        <w:pStyle w:val="SingleTxt"/>
        <w:rPr>
          <w:rtl/>
        </w:rPr>
      </w:pPr>
      <w:r>
        <w:rPr>
          <w:rtl/>
        </w:rPr>
        <w:t>١٥٢</w:t>
      </w:r>
      <w:r>
        <w:rPr>
          <w:rFonts w:hint="cs"/>
          <w:rtl/>
        </w:rPr>
        <w:t xml:space="preserve"> </w:t>
      </w:r>
      <w:r>
        <w:rPr>
          <w:rtl/>
        </w:rPr>
        <w:t>- ومن حيث الإجراءات الملموسة التي قامت بها الحكومة فيما يتعلق بمنع الاتجار بالبشر والملاحقة القضائية بشأنه قبل سن القانون الجنائي، شنت الشرطة الوطنية لتيمور</w:t>
      </w:r>
      <w:r>
        <w:rPr>
          <w:rFonts w:hint="cs"/>
          <w:rtl/>
        </w:rPr>
        <w:t xml:space="preserve"> </w:t>
      </w:r>
      <w:r>
        <w:rPr>
          <w:rtl/>
        </w:rPr>
        <w:t>-</w:t>
      </w:r>
      <w:r>
        <w:rPr>
          <w:rFonts w:hint="cs"/>
          <w:rtl/>
        </w:rPr>
        <w:t xml:space="preserve"> </w:t>
      </w:r>
      <w:r>
        <w:rPr>
          <w:rtl/>
        </w:rPr>
        <w:t>ليشتي وشرطة الأمم المتحدة مداهمات للحانات المشتبه في كونها نقاط للاتجار الجنسي في</w:t>
      </w:r>
      <w:r>
        <w:rPr>
          <w:rFonts w:hint="cs"/>
          <w:rtl/>
        </w:rPr>
        <w:t> </w:t>
      </w:r>
      <w:r>
        <w:rPr>
          <w:rtl/>
        </w:rPr>
        <w:t>ديلي. وعلى الرغم من أنه لم تسفر أي من هذه المداهمات عن محاكمة القائمين بالاتجار، فقد أدت إلى تقديم الدعم للضحايا وتكوين فهم أفضل لدى السلطات بشأن طبيعة الاتجار بالبشر. وتراوحت أعمار النساء اللاتي جرى فحصهن بين 19 و 35 عاما وهن ينتمين إلى</w:t>
      </w:r>
      <w:r>
        <w:rPr>
          <w:rFonts w:hint="cs"/>
          <w:rtl/>
        </w:rPr>
        <w:t> </w:t>
      </w:r>
      <w:r>
        <w:rPr>
          <w:rtl/>
        </w:rPr>
        <w:t>بلدان مختلفة من قبيل الصين، وإندونيسيا، وكمبوديا</w:t>
      </w:r>
      <w:r w:rsidRPr="00F550BF">
        <w:rPr>
          <w:vertAlign w:val="superscript"/>
          <w:rtl/>
        </w:rPr>
        <w:t>(</w:t>
      </w:r>
      <w:r w:rsidRPr="00F550BF">
        <w:rPr>
          <w:rStyle w:val="FootnoteReference"/>
          <w:szCs w:val="30"/>
          <w:rtl/>
        </w:rPr>
        <w:footnoteReference w:id="112"/>
      </w:r>
      <w:r w:rsidRPr="00F550BF">
        <w:rPr>
          <w:vertAlign w:val="superscript"/>
          <w:rtl/>
        </w:rPr>
        <w:t>)</w:t>
      </w:r>
      <w:r>
        <w:rPr>
          <w:rtl/>
        </w:rPr>
        <w:t xml:space="preserve">. </w:t>
      </w:r>
    </w:p>
    <w:p w:rsidR="009862F2" w:rsidRDefault="009862F2" w:rsidP="009862F2">
      <w:pPr>
        <w:pStyle w:val="SingleTxt"/>
        <w:rPr>
          <w:rtl/>
        </w:rPr>
      </w:pPr>
      <w:r>
        <w:rPr>
          <w:rtl/>
        </w:rPr>
        <w:t>١٥٣</w:t>
      </w:r>
      <w:r>
        <w:rPr>
          <w:rFonts w:hint="cs"/>
          <w:rtl/>
        </w:rPr>
        <w:t xml:space="preserve"> </w:t>
      </w:r>
      <w:r>
        <w:rPr>
          <w:rtl/>
        </w:rPr>
        <w:t>- وبعد دخول القانون الجنائي الجديد حيز النفاذ، في عام 2011، أفضى تحقيق أجرته الشرطة الوطنية لتيمور</w:t>
      </w:r>
      <w:r>
        <w:rPr>
          <w:rFonts w:hint="cs"/>
          <w:rtl/>
        </w:rPr>
        <w:t xml:space="preserve"> </w:t>
      </w:r>
      <w:r>
        <w:rPr>
          <w:rtl/>
        </w:rPr>
        <w:t>-</w:t>
      </w:r>
      <w:r>
        <w:rPr>
          <w:rFonts w:hint="cs"/>
          <w:rtl/>
        </w:rPr>
        <w:t xml:space="preserve"> </w:t>
      </w:r>
      <w:r>
        <w:rPr>
          <w:rtl/>
        </w:rPr>
        <w:t>ليشتي إلى توجيه الاتهام إلى ثلاثة أشخاص أجانب يدعى قيامهم بارتكاب الاتجار بالبشر. وكانت إحدى الضحايا فتاة صينية يبلغ عمرها 17 عاما. وصدر حكم بالإدانة على اثنين من القائمين بالاتجار بالسجن لمدة 13 عاما، وصدر حكم بالسجن على أحد القائمين بالاتجار لمدة 6 أشهر في أحد سجون تيمور - ليشتي</w:t>
      </w:r>
      <w:r w:rsidRPr="00877851">
        <w:rPr>
          <w:vertAlign w:val="superscript"/>
          <w:rtl/>
        </w:rPr>
        <w:t>(</w:t>
      </w:r>
      <w:r w:rsidRPr="00877851">
        <w:rPr>
          <w:rStyle w:val="FootnoteReference"/>
          <w:szCs w:val="30"/>
          <w:rtl/>
        </w:rPr>
        <w:footnoteReference w:id="113"/>
      </w:r>
      <w:r w:rsidRPr="00877851">
        <w:rPr>
          <w:vertAlign w:val="superscript"/>
          <w:rtl/>
        </w:rPr>
        <w:t>)</w:t>
      </w:r>
      <w:r>
        <w:rPr>
          <w:rtl/>
        </w:rPr>
        <w:t>. والقضية منظورة حاليا أمام محكمة الاستئناف</w:t>
      </w:r>
      <w:r w:rsidRPr="00877851">
        <w:rPr>
          <w:vertAlign w:val="superscript"/>
          <w:rtl/>
        </w:rPr>
        <w:t>(</w:t>
      </w:r>
      <w:r w:rsidRPr="00877851">
        <w:rPr>
          <w:rStyle w:val="FootnoteReference"/>
          <w:szCs w:val="30"/>
          <w:rtl/>
        </w:rPr>
        <w:footnoteReference w:id="114"/>
      </w:r>
      <w:r w:rsidRPr="00877851">
        <w:rPr>
          <w:vertAlign w:val="superscript"/>
          <w:rtl/>
        </w:rPr>
        <w:t>)</w:t>
      </w:r>
      <w:r>
        <w:rPr>
          <w:rtl/>
        </w:rPr>
        <w:t xml:space="preserve">. </w:t>
      </w:r>
    </w:p>
    <w:p w:rsidR="009862F2" w:rsidRPr="00877851" w:rsidRDefault="009862F2" w:rsidP="009862F2">
      <w:pPr>
        <w:pStyle w:val="SingleTxt"/>
        <w:spacing w:after="0" w:line="120" w:lineRule="exact"/>
        <w:rPr>
          <w:sz w:val="10"/>
          <w:rtl/>
        </w:rPr>
      </w:pPr>
    </w:p>
    <w:p w:rsidR="009862F2" w:rsidRPr="00877851" w:rsidRDefault="009862F2" w:rsidP="009862F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77851">
        <w:rPr>
          <w:rtl/>
        </w:rPr>
        <w:t>مساعدة الضحايا</w:t>
      </w:r>
    </w:p>
    <w:p w:rsidR="009862F2" w:rsidRDefault="009862F2" w:rsidP="009862F2">
      <w:pPr>
        <w:pStyle w:val="SingleTxt"/>
        <w:rPr>
          <w:rtl/>
        </w:rPr>
      </w:pPr>
      <w:r>
        <w:rPr>
          <w:rtl/>
        </w:rPr>
        <w:t>١٥٤</w:t>
      </w:r>
      <w:r>
        <w:rPr>
          <w:rFonts w:hint="cs"/>
          <w:rtl/>
        </w:rPr>
        <w:t xml:space="preserve"> </w:t>
      </w:r>
      <w:r>
        <w:rPr>
          <w:rtl/>
        </w:rPr>
        <w:t>- قدمت المنظمة الدولية للهجرة المساعدة إلى 33 من ضحايا الاتجار بالبشر، فيما</w:t>
      </w:r>
      <w:r>
        <w:rPr>
          <w:rFonts w:hint="cs"/>
          <w:rtl/>
        </w:rPr>
        <w:t> </w:t>
      </w:r>
      <w:r>
        <w:rPr>
          <w:rtl/>
        </w:rPr>
        <w:t>بين</w:t>
      </w:r>
      <w:r>
        <w:rPr>
          <w:rFonts w:hint="cs"/>
          <w:rtl/>
        </w:rPr>
        <w:t> </w:t>
      </w:r>
      <w:r>
        <w:rPr>
          <w:rtl/>
        </w:rPr>
        <w:t>عامي 2008 و 2011، بالتعاون مع إدارة خدمات الهجرة التابعة للحكومة، وشبكة الإحالة المعنية بالعنف الجنساني وغيرها من وكالات إنفاذ القانون</w:t>
      </w:r>
      <w:r w:rsidRPr="00877851">
        <w:rPr>
          <w:vertAlign w:val="superscript"/>
          <w:rtl/>
        </w:rPr>
        <w:t>(</w:t>
      </w:r>
      <w:r w:rsidRPr="00877851">
        <w:rPr>
          <w:rStyle w:val="FootnoteReference"/>
          <w:szCs w:val="30"/>
          <w:rtl/>
        </w:rPr>
        <w:footnoteReference w:id="115"/>
      </w:r>
      <w:r w:rsidRPr="00877851">
        <w:rPr>
          <w:vertAlign w:val="superscript"/>
          <w:rtl/>
        </w:rPr>
        <w:t>)</w:t>
      </w:r>
      <w:r>
        <w:rPr>
          <w:rtl/>
        </w:rPr>
        <w:t>. ويبلغ متوسط عمر</w:t>
      </w:r>
      <w:r>
        <w:rPr>
          <w:rFonts w:hint="cs"/>
          <w:rtl/>
        </w:rPr>
        <w:t> </w:t>
      </w:r>
      <w:r>
        <w:rPr>
          <w:rtl/>
        </w:rPr>
        <w:t>الضحايا 25 عاما (الذكور والإناث على حد سواء) وتتراوح أعمارهم بين</w:t>
      </w:r>
      <w:r>
        <w:rPr>
          <w:rFonts w:hint="cs"/>
          <w:rtl/>
        </w:rPr>
        <w:t> </w:t>
      </w:r>
      <w:r>
        <w:rPr>
          <w:rtl/>
        </w:rPr>
        <w:t>17 و</w:t>
      </w:r>
      <w:r>
        <w:rPr>
          <w:rFonts w:hint="cs"/>
          <w:rtl/>
        </w:rPr>
        <w:t> </w:t>
      </w:r>
      <w:r>
        <w:rPr>
          <w:rtl/>
        </w:rPr>
        <w:t>39</w:t>
      </w:r>
      <w:r>
        <w:rPr>
          <w:rFonts w:hint="cs"/>
          <w:rtl/>
        </w:rPr>
        <w:t> </w:t>
      </w:r>
      <w:r>
        <w:rPr>
          <w:rtl/>
        </w:rPr>
        <w:t>عاما. وشمل الأشخاص المتجر بهم إلى تيمور</w:t>
      </w:r>
      <w:r>
        <w:rPr>
          <w:rFonts w:hint="cs"/>
          <w:rtl/>
        </w:rPr>
        <w:t xml:space="preserve"> </w:t>
      </w:r>
      <w:r>
        <w:rPr>
          <w:rtl/>
        </w:rPr>
        <w:t>-</w:t>
      </w:r>
      <w:r>
        <w:rPr>
          <w:rFonts w:hint="cs"/>
          <w:rtl/>
        </w:rPr>
        <w:t xml:space="preserve"> </w:t>
      </w:r>
      <w:r>
        <w:rPr>
          <w:rtl/>
        </w:rPr>
        <w:t>ليشتي ضحايا من ميانمار وكمبوديا وإندونيسيا والصين والفلبين</w:t>
      </w:r>
      <w:r w:rsidRPr="00877851">
        <w:rPr>
          <w:vertAlign w:val="superscript"/>
          <w:rtl/>
        </w:rPr>
        <w:t>(</w:t>
      </w:r>
      <w:r w:rsidRPr="00877851">
        <w:rPr>
          <w:rStyle w:val="FootnoteReference"/>
          <w:szCs w:val="30"/>
          <w:rtl/>
        </w:rPr>
        <w:footnoteReference w:id="116"/>
      </w:r>
      <w:r w:rsidRPr="00877851">
        <w:rPr>
          <w:vertAlign w:val="superscript"/>
          <w:rtl/>
        </w:rPr>
        <w:t>)</w:t>
      </w:r>
      <w:r>
        <w:rPr>
          <w:rtl/>
        </w:rPr>
        <w:t>. وتوصلت العملية التشاورية التي تمخضت عن هذا التقرير، إلى تحديد 50 من الضحايا الدوليين للاتجار بالبشر خلال نفس الفترة الزمنية (بمن في ذلك الذين قدمت المنظمة الدولية للهجرة المساعدة إليهم)</w:t>
      </w:r>
      <w:r w:rsidRPr="00877851">
        <w:rPr>
          <w:vertAlign w:val="superscript"/>
          <w:rtl/>
        </w:rPr>
        <w:t>(</w:t>
      </w:r>
      <w:r w:rsidRPr="00877851">
        <w:rPr>
          <w:rStyle w:val="FootnoteReference"/>
          <w:szCs w:val="30"/>
          <w:rtl/>
        </w:rPr>
        <w:footnoteReference w:id="117"/>
      </w:r>
      <w:r w:rsidRPr="00877851">
        <w:rPr>
          <w:vertAlign w:val="superscript"/>
          <w:rtl/>
        </w:rPr>
        <w:t>)</w:t>
      </w:r>
      <w:r>
        <w:rPr>
          <w:rtl/>
        </w:rPr>
        <w:t xml:space="preserve">. </w:t>
      </w:r>
    </w:p>
    <w:p w:rsidR="009862F2" w:rsidRDefault="009862F2" w:rsidP="009862F2">
      <w:pPr>
        <w:pStyle w:val="SingleTxt"/>
        <w:rPr>
          <w:rtl/>
        </w:rPr>
      </w:pPr>
      <w:r>
        <w:rPr>
          <w:rtl/>
        </w:rPr>
        <w:t>١٥٥</w:t>
      </w:r>
      <w:r>
        <w:rPr>
          <w:rFonts w:hint="cs"/>
          <w:rtl/>
        </w:rPr>
        <w:t xml:space="preserve"> </w:t>
      </w:r>
      <w:r>
        <w:rPr>
          <w:rtl/>
        </w:rPr>
        <w:t>- وقدمت أيضا مساعدة إلى 3 من الضحايا التيموريين خلال الفترة المشمولة بالتقرير. ويعد الاتجار المحلي بالبشر مشكلة أيضا، ولكن بنسبة أقل ويبدو أنه قائم على انتهاز الفرص على نحو أكبر بكثير من الاتجار الدولي بالبشر الذي يتسم بقدر أكبر من التنظيم</w:t>
      </w:r>
      <w:r w:rsidRPr="00877851">
        <w:rPr>
          <w:vertAlign w:val="superscript"/>
          <w:rtl/>
        </w:rPr>
        <w:t>(</w:t>
      </w:r>
      <w:r w:rsidRPr="00877851">
        <w:rPr>
          <w:rStyle w:val="FootnoteReference"/>
          <w:szCs w:val="30"/>
          <w:rtl/>
        </w:rPr>
        <w:footnoteReference w:id="118"/>
      </w:r>
      <w:r w:rsidRPr="00877851">
        <w:rPr>
          <w:vertAlign w:val="superscript"/>
          <w:rtl/>
        </w:rPr>
        <w:t>)</w:t>
      </w:r>
      <w:r>
        <w:rPr>
          <w:rtl/>
        </w:rPr>
        <w:t xml:space="preserve">. </w:t>
      </w:r>
    </w:p>
    <w:p w:rsidR="009862F2" w:rsidRDefault="009862F2" w:rsidP="009862F2">
      <w:pPr>
        <w:pStyle w:val="SingleTxt"/>
        <w:rPr>
          <w:rtl/>
        </w:rPr>
      </w:pPr>
      <w:r>
        <w:rPr>
          <w:rtl/>
        </w:rPr>
        <w:t>١٥٦</w:t>
      </w:r>
      <w:r>
        <w:rPr>
          <w:rFonts w:hint="cs"/>
          <w:rtl/>
        </w:rPr>
        <w:t xml:space="preserve"> </w:t>
      </w:r>
      <w:r>
        <w:rPr>
          <w:rtl/>
        </w:rPr>
        <w:t>- وتقدم وزارة التضامن الاجتماعي بالتعاون مع المنظمة الدولية للهجرة الدعم إلى منظمة براديت لتقديم المساعدة والمرافقة لضحايا الاتجار بالبشر من خلال إنشاء مأوى لضحايا الاتجار من النساء والفتيات. وتشمل المساعدة أيضا الرعاية الصحية العقلية والبدنية، والعودة/الإعادة إلى الوطن، وخدمات الإدماج/إعادة الإدماج</w:t>
      </w:r>
      <w:r w:rsidRPr="00877851">
        <w:rPr>
          <w:vertAlign w:val="superscript"/>
          <w:rtl/>
        </w:rPr>
        <w:t>(</w:t>
      </w:r>
      <w:r w:rsidRPr="00877851">
        <w:rPr>
          <w:rStyle w:val="FootnoteReference"/>
          <w:szCs w:val="30"/>
          <w:rtl/>
        </w:rPr>
        <w:footnoteReference w:id="119"/>
      </w:r>
      <w:r w:rsidRPr="00877851">
        <w:rPr>
          <w:vertAlign w:val="superscript"/>
          <w:rtl/>
        </w:rPr>
        <w:t>)</w:t>
      </w:r>
      <w:r>
        <w:rPr>
          <w:rtl/>
        </w:rPr>
        <w:t xml:space="preserve">. </w:t>
      </w:r>
    </w:p>
    <w:p w:rsidR="009862F2" w:rsidRPr="00877851" w:rsidRDefault="009862F2" w:rsidP="009862F2">
      <w:pPr>
        <w:pStyle w:val="SingleTxt"/>
        <w:spacing w:after="0" w:line="120" w:lineRule="exact"/>
        <w:rPr>
          <w:sz w:val="10"/>
          <w:rtl/>
        </w:rPr>
      </w:pPr>
    </w:p>
    <w:p w:rsidR="009862F2" w:rsidRPr="00877851" w:rsidRDefault="009862F2" w:rsidP="009862F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77851">
        <w:rPr>
          <w:rtl/>
        </w:rPr>
        <w:t>زيادة الوعي بشأن الاتجار</w:t>
      </w:r>
    </w:p>
    <w:p w:rsidR="009862F2" w:rsidRDefault="009862F2" w:rsidP="009862F2">
      <w:pPr>
        <w:pStyle w:val="SingleTxt"/>
        <w:rPr>
          <w:rtl/>
        </w:rPr>
      </w:pPr>
      <w:r>
        <w:rPr>
          <w:rtl/>
        </w:rPr>
        <w:t>١٥٧</w:t>
      </w:r>
      <w:r>
        <w:rPr>
          <w:rFonts w:hint="cs"/>
          <w:rtl/>
        </w:rPr>
        <w:t xml:space="preserve"> </w:t>
      </w:r>
      <w:r>
        <w:rPr>
          <w:rtl/>
        </w:rPr>
        <w:t xml:space="preserve">- قامت المنظمة الدولية للهجرة بحملة تدريبية في عام 2010 بشأن مكافحة الاتجار بالبشر لموظفي الخط الأمامي المعنيين بإنفاذ القانون، كان عنوانها </w:t>
      </w:r>
      <w:r>
        <w:rPr>
          <w:rFonts w:hint="cs"/>
          <w:rtl/>
        </w:rPr>
        <w:t>’</w:t>
      </w:r>
      <w:r>
        <w:rPr>
          <w:rtl/>
        </w:rPr>
        <w:t>اوقفوا الاستغلال، تعلموا المقاضاة</w:t>
      </w:r>
      <w:r>
        <w:rPr>
          <w:rFonts w:hint="cs"/>
          <w:rtl/>
        </w:rPr>
        <w:t>‘</w:t>
      </w:r>
      <w:r>
        <w:rPr>
          <w:rtl/>
        </w:rPr>
        <w:t xml:space="preserve"> (</w:t>
      </w:r>
      <w:r>
        <w:t>HELP III</w:t>
      </w:r>
      <w:r>
        <w:rPr>
          <w:rtl/>
        </w:rPr>
        <w:t>)، وقد صممت بهدف زيادة الوعي بشأن الاتجار بالبشر، وزيادة القدرات المؤسسية والتنسيق بين الشرطة والمحامين والسلطة القضائية والمنظمات غير الحكومية وموظفي السفارات الموجودة في ديلي والموظفين القنصليين من تيمور</w:t>
      </w:r>
      <w:r>
        <w:rPr>
          <w:rFonts w:hint="cs"/>
          <w:rtl/>
        </w:rPr>
        <w:t xml:space="preserve"> </w:t>
      </w:r>
      <w:r>
        <w:rPr>
          <w:rtl/>
        </w:rPr>
        <w:t>-</w:t>
      </w:r>
      <w:r>
        <w:rPr>
          <w:rFonts w:hint="cs"/>
          <w:rtl/>
        </w:rPr>
        <w:t xml:space="preserve"> </w:t>
      </w:r>
      <w:r>
        <w:rPr>
          <w:rtl/>
        </w:rPr>
        <w:t>ليشتي. وفي عام</w:t>
      </w:r>
      <w:r>
        <w:rPr>
          <w:rFonts w:hint="cs"/>
          <w:rtl/>
        </w:rPr>
        <w:t> </w:t>
      </w:r>
      <w:r>
        <w:rPr>
          <w:rtl/>
        </w:rPr>
        <w:t>2010، عقدت 13 دورة تدريبية لما مجموعه 377 موظفا من كافة المقاطعات والمقاطعات الفرعية</w:t>
      </w:r>
      <w:r w:rsidRPr="00877851">
        <w:rPr>
          <w:vertAlign w:val="superscript"/>
          <w:rtl/>
        </w:rPr>
        <w:t>(</w:t>
      </w:r>
      <w:r w:rsidRPr="00877851">
        <w:rPr>
          <w:rStyle w:val="FootnoteReference"/>
          <w:szCs w:val="30"/>
          <w:rtl/>
        </w:rPr>
        <w:footnoteReference w:id="120"/>
      </w:r>
      <w:r w:rsidRPr="00877851">
        <w:rPr>
          <w:vertAlign w:val="superscript"/>
          <w:rtl/>
        </w:rPr>
        <w:t>)</w:t>
      </w:r>
      <w:r>
        <w:rPr>
          <w:rtl/>
        </w:rPr>
        <w:t xml:space="preserve">. </w:t>
      </w:r>
    </w:p>
    <w:p w:rsidR="009862F2" w:rsidRPr="00877851" w:rsidRDefault="009862F2" w:rsidP="009862F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862F2" w:rsidRDefault="009862F2" w:rsidP="00A4450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7: الحياة السياسية والعامة</w:t>
      </w:r>
    </w:p>
    <w:p w:rsidR="009862F2" w:rsidRDefault="009862F2" w:rsidP="009862F2">
      <w:pPr>
        <w:pStyle w:val="SingleTxt"/>
        <w:rPr>
          <w:rtl/>
        </w:rPr>
      </w:pPr>
      <w:r>
        <w:rPr>
          <w:rtl/>
        </w:rPr>
        <w:t>١٥٨</w:t>
      </w:r>
      <w:r>
        <w:rPr>
          <w:rFonts w:hint="cs"/>
          <w:rtl/>
        </w:rPr>
        <w:t xml:space="preserve"> </w:t>
      </w:r>
      <w:r>
        <w:rPr>
          <w:rtl/>
        </w:rPr>
        <w:t>- تعمل وزارة الدولة لتعزيز المساواة، بنشاط على تعزيز دور المرأة في تنمية البلد وفي</w:t>
      </w:r>
      <w:r>
        <w:rPr>
          <w:rFonts w:hint="cs"/>
          <w:rtl/>
        </w:rPr>
        <w:t> </w:t>
      </w:r>
      <w:r>
        <w:rPr>
          <w:rtl/>
        </w:rPr>
        <w:t>صنع القرار</w:t>
      </w:r>
      <w:r w:rsidRPr="00877851">
        <w:rPr>
          <w:vertAlign w:val="superscript"/>
          <w:rtl/>
        </w:rPr>
        <w:t>(</w:t>
      </w:r>
      <w:r w:rsidRPr="00877851">
        <w:rPr>
          <w:rStyle w:val="FootnoteReference"/>
          <w:szCs w:val="30"/>
          <w:rtl/>
        </w:rPr>
        <w:footnoteReference w:id="121"/>
      </w:r>
      <w:r w:rsidRPr="00877851">
        <w:rPr>
          <w:vertAlign w:val="superscript"/>
          <w:rtl/>
        </w:rPr>
        <w:t>)</w:t>
      </w:r>
      <w:r>
        <w:rPr>
          <w:rtl/>
        </w:rPr>
        <w:t>. وقد اضطلعت الحكومة، بالتعاون مع المجتمع المدني والبرلمان والأمم</w:t>
      </w:r>
      <w:r>
        <w:rPr>
          <w:rFonts w:hint="cs"/>
          <w:rtl/>
        </w:rPr>
        <w:t> </w:t>
      </w:r>
      <w:r>
        <w:rPr>
          <w:rtl/>
        </w:rPr>
        <w:t>المتحدة، بطائفة واسعة من المبادرات من قبيل إعداد منهاج سياسي للمرأة، وتنظيم منتديات عامة، وبناء القدرات، وحملات التوعية بالمسائل الجنسانية، وإقامة الشبكات الاستراتيجية، وتعزيز التنسيق فيما بين المؤسسات، وتعزيز الإجراءات الإيجابية والإجراءات الأخرى من أجل تقوية مشاركة المرأة في صنع القرار وفي الحياة السياسية</w:t>
      </w:r>
      <w:r w:rsidRPr="00877851">
        <w:rPr>
          <w:vertAlign w:val="superscript"/>
          <w:rtl/>
        </w:rPr>
        <w:t>(</w:t>
      </w:r>
      <w:r w:rsidRPr="00877851">
        <w:rPr>
          <w:rStyle w:val="FootnoteReference"/>
          <w:szCs w:val="30"/>
          <w:rtl/>
        </w:rPr>
        <w:footnoteReference w:id="122"/>
      </w:r>
      <w:r w:rsidRPr="00877851">
        <w:rPr>
          <w:vertAlign w:val="superscript"/>
          <w:rtl/>
        </w:rPr>
        <w:t>)</w:t>
      </w:r>
      <w:r>
        <w:rPr>
          <w:rtl/>
        </w:rPr>
        <w:t xml:space="preserve">. </w:t>
      </w:r>
    </w:p>
    <w:p w:rsidR="009862F2" w:rsidRPr="00877851" w:rsidRDefault="009862F2" w:rsidP="009862F2">
      <w:pPr>
        <w:pStyle w:val="SingleTxt"/>
        <w:spacing w:after="0" w:line="120" w:lineRule="exact"/>
        <w:rPr>
          <w:sz w:val="10"/>
          <w:rtl/>
        </w:rPr>
      </w:pPr>
    </w:p>
    <w:p w:rsidR="009862F2" w:rsidRDefault="009862F2" w:rsidP="009862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المرأة والمشاركة السياسية على الصعيد المحلي</w:t>
      </w:r>
    </w:p>
    <w:p w:rsidR="009862F2" w:rsidRDefault="009862F2" w:rsidP="009862F2">
      <w:pPr>
        <w:pStyle w:val="SingleTxt"/>
        <w:rPr>
          <w:rtl/>
        </w:rPr>
      </w:pPr>
      <w:r>
        <w:rPr>
          <w:rtl/>
        </w:rPr>
        <w:t>١٥٩</w:t>
      </w:r>
      <w:r>
        <w:rPr>
          <w:rFonts w:hint="cs"/>
          <w:rtl/>
        </w:rPr>
        <w:t xml:space="preserve"> </w:t>
      </w:r>
      <w:r>
        <w:rPr>
          <w:rtl/>
        </w:rPr>
        <w:t>- ينص التعديل الثاني لقانون الانتخابات البرلمانية رقم 6/2006 الذي اعتمد في</w:t>
      </w:r>
      <w:r>
        <w:rPr>
          <w:rFonts w:hint="cs"/>
          <w:rtl/>
        </w:rPr>
        <w:t> </w:t>
      </w:r>
      <w:r>
        <w:rPr>
          <w:rtl/>
        </w:rPr>
        <w:t>حزيران/يونيه 2011 على أنه يجب أن تشمل القوائم الانتخابية للمرشحين الدائمين والمناوبين امرأة واحدة على الأقل من كل مجموعة من 3 مرشحين وإلا تكون باطلة ولاغية</w:t>
      </w:r>
      <w:r w:rsidRPr="00CD4AC3">
        <w:rPr>
          <w:vertAlign w:val="superscript"/>
          <w:rtl/>
        </w:rPr>
        <w:t>(</w:t>
      </w:r>
      <w:r w:rsidRPr="00CD4AC3">
        <w:rPr>
          <w:rStyle w:val="FootnoteReference"/>
          <w:szCs w:val="30"/>
          <w:rtl/>
        </w:rPr>
        <w:footnoteReference w:id="123"/>
      </w:r>
      <w:r w:rsidRPr="00CD4AC3">
        <w:rPr>
          <w:vertAlign w:val="superscript"/>
          <w:rtl/>
        </w:rPr>
        <w:t>)</w:t>
      </w:r>
      <w:r>
        <w:rPr>
          <w:rtl/>
        </w:rPr>
        <w:t>، وهو تحسين عن الصيغة السابقة التي كانت تنص على وجود امرأة واحدة في</w:t>
      </w:r>
      <w:r>
        <w:rPr>
          <w:rFonts w:hint="cs"/>
          <w:rtl/>
        </w:rPr>
        <w:t> </w:t>
      </w:r>
      <w:r>
        <w:rPr>
          <w:rtl/>
        </w:rPr>
        <w:t>كل مجموعة من</w:t>
      </w:r>
      <w:r>
        <w:rPr>
          <w:rFonts w:hint="cs"/>
          <w:rtl/>
        </w:rPr>
        <w:t> </w:t>
      </w:r>
      <w:r>
        <w:rPr>
          <w:rtl/>
        </w:rPr>
        <w:t>4 مرشحين.</w:t>
      </w:r>
    </w:p>
    <w:p w:rsidR="009862F2" w:rsidRDefault="009862F2" w:rsidP="009862F2">
      <w:pPr>
        <w:pStyle w:val="SingleTxt"/>
        <w:rPr>
          <w:rtl/>
        </w:rPr>
      </w:pPr>
      <w:r>
        <w:rPr>
          <w:rtl/>
        </w:rPr>
        <w:t>١٦٠</w:t>
      </w:r>
      <w:r>
        <w:rPr>
          <w:rFonts w:hint="cs"/>
          <w:rtl/>
        </w:rPr>
        <w:t xml:space="preserve"> </w:t>
      </w:r>
      <w:r>
        <w:rPr>
          <w:rtl/>
        </w:rPr>
        <w:t>- وشهدت الانتخابات البرلمانية في تموز/يوليه 2012، انتخاب 25 امرأة من أصل 65 مقعدا، بما يزيد من نسبة البرلمانيات إلى 38 في المائة، وهو أعلى المعدلات في المنطقة الآسيوية، وأدى ذلك لتحقيق مؤشر الأهداف الإنمائية للألفية الذي ينص على أن تبلغ نسبة النساء في البرلمان 35 في المائة. ويشير كون عدد النساء اللاتي انتخبن في البرلمان أكبر حتى مما</w:t>
      </w:r>
      <w:r>
        <w:rPr>
          <w:rFonts w:hint="cs"/>
          <w:rtl/>
        </w:rPr>
        <w:t> </w:t>
      </w:r>
      <w:r>
        <w:rPr>
          <w:rtl/>
        </w:rPr>
        <w:t>كان متوقعا إلى أن القانون لا ينطوي على تمييز ضد المرأة ولا يقصر إمكانية انتخاب النساء في البرلمان على الحصة المخصصة لهن.</w:t>
      </w:r>
    </w:p>
    <w:p w:rsidR="009862F2" w:rsidRDefault="009862F2" w:rsidP="009862F2">
      <w:pPr>
        <w:pStyle w:val="SingleTxt"/>
        <w:rPr>
          <w:rtl/>
        </w:rPr>
      </w:pPr>
      <w:r>
        <w:rPr>
          <w:rtl/>
        </w:rPr>
        <w:t>١٦١</w:t>
      </w:r>
      <w:r>
        <w:rPr>
          <w:rFonts w:hint="cs"/>
          <w:rtl/>
        </w:rPr>
        <w:t xml:space="preserve"> </w:t>
      </w:r>
      <w:r>
        <w:rPr>
          <w:rtl/>
        </w:rPr>
        <w:t>- وتشكل جميع النساء العضوات في البرلمان تجمعا مستقلا بصرف النظر عن انتماءاتهن السياسية، ويطلق عليه مجموعة البرلمانيات في تيمور</w:t>
      </w:r>
      <w:r>
        <w:rPr>
          <w:rFonts w:hint="cs"/>
          <w:rtl/>
        </w:rPr>
        <w:t xml:space="preserve"> </w:t>
      </w:r>
      <w:r>
        <w:rPr>
          <w:rtl/>
        </w:rPr>
        <w:t>-</w:t>
      </w:r>
      <w:r>
        <w:rPr>
          <w:rFonts w:hint="cs"/>
          <w:rtl/>
        </w:rPr>
        <w:t xml:space="preserve"> </w:t>
      </w:r>
      <w:r>
        <w:rPr>
          <w:rtl/>
        </w:rPr>
        <w:t>ليشتي. والهدف الرئيسي من هذا</w:t>
      </w:r>
      <w:r>
        <w:rPr>
          <w:rFonts w:hint="cs"/>
          <w:rtl/>
        </w:rPr>
        <w:t> </w:t>
      </w:r>
      <w:r>
        <w:rPr>
          <w:rtl/>
        </w:rPr>
        <w:t>التجمع هو تعزيز تمثيل ومشاركة المرأة في الحياة السياسية الوطنية وتعزيز المساواة بين</w:t>
      </w:r>
      <w:r>
        <w:rPr>
          <w:rFonts w:hint="cs"/>
          <w:rtl/>
        </w:rPr>
        <w:t> </w:t>
      </w:r>
      <w:r>
        <w:rPr>
          <w:rtl/>
        </w:rPr>
        <w:t>الجنسين مع مكافحة التمييز وعدم المساواة</w:t>
      </w:r>
      <w:r w:rsidRPr="00CD4AC3">
        <w:rPr>
          <w:vertAlign w:val="superscript"/>
          <w:rtl/>
        </w:rPr>
        <w:t>(</w:t>
      </w:r>
      <w:r w:rsidRPr="00CD4AC3">
        <w:rPr>
          <w:rStyle w:val="FootnoteReference"/>
          <w:szCs w:val="30"/>
          <w:rtl/>
        </w:rPr>
        <w:footnoteReference w:id="124"/>
      </w:r>
      <w:r w:rsidRPr="00CD4AC3">
        <w:rPr>
          <w:vertAlign w:val="superscript"/>
          <w:rtl/>
        </w:rPr>
        <w:t>)</w:t>
      </w:r>
      <w:r>
        <w:rPr>
          <w:rtl/>
        </w:rPr>
        <w:t>. وأدى التعاون بين مجموعة البرلمانيات في</w:t>
      </w:r>
      <w:r>
        <w:rPr>
          <w:rFonts w:hint="cs"/>
          <w:rtl/>
        </w:rPr>
        <w:t> </w:t>
      </w:r>
      <w:r>
        <w:rPr>
          <w:rtl/>
        </w:rPr>
        <w:t>تيمور</w:t>
      </w:r>
      <w:r>
        <w:rPr>
          <w:rFonts w:hint="cs"/>
          <w:rtl/>
        </w:rPr>
        <w:t xml:space="preserve"> </w:t>
      </w:r>
      <w:r>
        <w:rPr>
          <w:rtl/>
        </w:rPr>
        <w:t>-</w:t>
      </w:r>
      <w:r>
        <w:rPr>
          <w:rFonts w:hint="cs"/>
          <w:rtl/>
        </w:rPr>
        <w:t xml:space="preserve"> </w:t>
      </w:r>
      <w:r>
        <w:rPr>
          <w:rtl/>
        </w:rPr>
        <w:t>ليشتي ووزارة الدولة لتعزيز المساواة إلى اعتماد مجموعة من التدابير التشريعية الرئيسية، بما</w:t>
      </w:r>
      <w:r>
        <w:rPr>
          <w:rFonts w:hint="cs"/>
          <w:rtl/>
        </w:rPr>
        <w:t> </w:t>
      </w:r>
      <w:r>
        <w:rPr>
          <w:rtl/>
        </w:rPr>
        <w:t>في ذلك اعتماد قانون مكافحة العنف العائلي وتعديل قانون الانتخابات البرلمانية، وإصدار قرار برلماني بشأن الميزنة المراعية للمنظور الجنساني، والقانون الجنائي والقانون المدني الجديدين اللذين يتضمن كلاهما أحكاما تراعي احتياجات المرأة وحمايتها، فضلا عن توجيه المؤتمرات الإقليمية والوطنية في مجال تنظيم الأسرة والتثقيف الجنسي والصحة الإنجابية.</w:t>
      </w:r>
    </w:p>
    <w:p w:rsidR="009862F2" w:rsidRDefault="009862F2" w:rsidP="009862F2">
      <w:pPr>
        <w:pStyle w:val="SingleTxt"/>
        <w:rPr>
          <w:rtl/>
        </w:rPr>
      </w:pPr>
      <w:r>
        <w:rPr>
          <w:rtl/>
        </w:rPr>
        <w:t>١٦٢</w:t>
      </w:r>
      <w:r>
        <w:rPr>
          <w:rFonts w:hint="cs"/>
          <w:rtl/>
        </w:rPr>
        <w:t xml:space="preserve"> </w:t>
      </w:r>
      <w:r>
        <w:rPr>
          <w:rtl/>
        </w:rPr>
        <w:t>-</w:t>
      </w:r>
      <w:r>
        <w:rPr>
          <w:rFonts w:hint="cs"/>
          <w:rtl/>
        </w:rPr>
        <w:t xml:space="preserve"> </w:t>
      </w:r>
      <w:r>
        <w:rPr>
          <w:rtl/>
        </w:rPr>
        <w:t xml:space="preserve">وأقرت هيئة الأمم المتحدة للمرأة بأن </w:t>
      </w:r>
      <w:r>
        <w:rPr>
          <w:rFonts w:hint="cs"/>
          <w:rtl/>
        </w:rPr>
        <w:t>”</w:t>
      </w:r>
      <w:r>
        <w:rPr>
          <w:rtl/>
        </w:rPr>
        <w:t>الانتخابات البرلمانية لعام 2012 قد</w:t>
      </w:r>
      <w:r>
        <w:rPr>
          <w:rFonts w:hint="cs"/>
          <w:rtl/>
        </w:rPr>
        <w:t> </w:t>
      </w:r>
      <w:r>
        <w:rPr>
          <w:rtl/>
        </w:rPr>
        <w:t>اختتمت باعتبارها ممارسة ناجحة للديمقراطية في تيمور</w:t>
      </w:r>
      <w:r>
        <w:rPr>
          <w:rFonts w:hint="cs"/>
          <w:rtl/>
        </w:rPr>
        <w:t xml:space="preserve"> </w:t>
      </w:r>
      <w:r>
        <w:rPr>
          <w:rtl/>
        </w:rPr>
        <w:t>-</w:t>
      </w:r>
      <w:r>
        <w:rPr>
          <w:rFonts w:hint="cs"/>
          <w:rtl/>
        </w:rPr>
        <w:t xml:space="preserve"> </w:t>
      </w:r>
      <w:r>
        <w:rPr>
          <w:rtl/>
        </w:rPr>
        <w:t>ليشتي. وقد اتسمت الانتخابات عموما بالهدوء والنظام والسلمية في أعقاب الانتخابات الوطنية لعام 2007 التي لم تكن سهلة في أعقاب الأزمة الأمنية والسياسية التي جرت في نيسان/أبريل وأيار/</w:t>
      </w:r>
      <w:r>
        <w:rPr>
          <w:rFonts w:hint="cs"/>
          <w:rtl/>
        </w:rPr>
        <w:t xml:space="preserve"> </w:t>
      </w:r>
      <w:r>
        <w:rPr>
          <w:rtl/>
        </w:rPr>
        <w:t>مايو</w:t>
      </w:r>
      <w:r>
        <w:rPr>
          <w:rFonts w:hint="cs"/>
          <w:rtl/>
        </w:rPr>
        <w:t> </w:t>
      </w:r>
      <w:r>
        <w:rPr>
          <w:rtl/>
        </w:rPr>
        <w:t>2006. وفي</w:t>
      </w:r>
      <w:r>
        <w:rPr>
          <w:rFonts w:hint="cs"/>
          <w:rtl/>
        </w:rPr>
        <w:t> </w:t>
      </w:r>
      <w:r>
        <w:rPr>
          <w:rtl/>
        </w:rPr>
        <w:t>جميع مراحل الانتخابات، بما في ذلك المرحلة السابقة لانتخابات البرلمان الوطني لتيمور</w:t>
      </w:r>
      <w:r>
        <w:rPr>
          <w:rFonts w:hint="cs"/>
          <w:rtl/>
        </w:rPr>
        <w:t xml:space="preserve"> </w:t>
      </w:r>
      <w:r>
        <w:rPr>
          <w:rtl/>
        </w:rPr>
        <w:t>-</w:t>
      </w:r>
      <w:r>
        <w:rPr>
          <w:rFonts w:hint="cs"/>
          <w:rtl/>
        </w:rPr>
        <w:t xml:space="preserve"> </w:t>
      </w:r>
      <w:r>
        <w:rPr>
          <w:rtl/>
        </w:rPr>
        <w:t>ليشتي وأثناء الانتخابات وبعدها، تبين أن المشاركة في معظم الأنشطة تمت على قدم المساواة بين المرأة والرجل، ولا سيما في أوساط السكان الناخبين في البلد</w:t>
      </w:r>
      <w:r>
        <w:rPr>
          <w:rFonts w:hint="cs"/>
          <w:rtl/>
        </w:rPr>
        <w:t>“</w:t>
      </w:r>
      <w:r w:rsidRPr="00CD4AC3">
        <w:rPr>
          <w:vertAlign w:val="superscript"/>
          <w:rtl/>
        </w:rPr>
        <w:t>(</w:t>
      </w:r>
      <w:r w:rsidRPr="00CD4AC3">
        <w:rPr>
          <w:rStyle w:val="FootnoteReference"/>
          <w:szCs w:val="30"/>
          <w:rtl/>
        </w:rPr>
        <w:footnoteReference w:id="125"/>
      </w:r>
      <w:r w:rsidRPr="00CD4AC3">
        <w:rPr>
          <w:vertAlign w:val="superscript"/>
          <w:rtl/>
        </w:rPr>
        <w:t>)</w:t>
      </w:r>
      <w:r>
        <w:rPr>
          <w:rtl/>
        </w:rPr>
        <w:t xml:space="preserve">. </w:t>
      </w:r>
    </w:p>
    <w:p w:rsidR="009862F2" w:rsidRDefault="009862F2" w:rsidP="009862F2">
      <w:pPr>
        <w:pStyle w:val="SingleTxt"/>
        <w:rPr>
          <w:rtl/>
        </w:rPr>
      </w:pPr>
      <w:r>
        <w:rPr>
          <w:rtl/>
        </w:rPr>
        <w:t>١٦٣</w:t>
      </w:r>
      <w:r>
        <w:rPr>
          <w:rFonts w:hint="cs"/>
          <w:rtl/>
        </w:rPr>
        <w:t xml:space="preserve"> </w:t>
      </w:r>
      <w:r>
        <w:rPr>
          <w:rtl/>
        </w:rPr>
        <w:t>-</w:t>
      </w:r>
      <w:r>
        <w:rPr>
          <w:rFonts w:hint="cs"/>
          <w:rtl/>
        </w:rPr>
        <w:t xml:space="preserve"> </w:t>
      </w:r>
      <w:r>
        <w:rPr>
          <w:rtl/>
        </w:rPr>
        <w:t>ووقعت الأحزاب السياسية البالغ عددها 23 حزبا وشاركت في انتخابات عام</w:t>
      </w:r>
      <w:r>
        <w:rPr>
          <w:rFonts w:hint="cs"/>
          <w:rtl/>
        </w:rPr>
        <w:t> </w:t>
      </w:r>
      <w:r>
        <w:rPr>
          <w:rtl/>
        </w:rPr>
        <w:t>2012 المنهاج السياسي للمرأة في السياسة للفترة 2012-2017، ملتزمة بمعالجة 7</w:t>
      </w:r>
      <w:r>
        <w:rPr>
          <w:rFonts w:hint="cs"/>
          <w:rtl/>
        </w:rPr>
        <w:t> </w:t>
      </w:r>
      <w:r>
        <w:rPr>
          <w:rtl/>
        </w:rPr>
        <w:t>نقاط ذات أولوية 7: التعليم؛ والاقتصاد؛ والصحة؛ والسياسة؛ والعدالة والسلام؛ والأمن؛ والثقافة؛ ووسائط الإعلام</w:t>
      </w:r>
      <w:r w:rsidRPr="00CD4AC3">
        <w:rPr>
          <w:vertAlign w:val="superscript"/>
          <w:rtl/>
        </w:rPr>
        <w:t>(</w:t>
      </w:r>
      <w:r w:rsidRPr="00CD4AC3">
        <w:rPr>
          <w:rStyle w:val="FootnoteReference"/>
          <w:szCs w:val="30"/>
          <w:rtl/>
        </w:rPr>
        <w:footnoteReference w:id="126"/>
      </w:r>
      <w:r w:rsidRPr="00CD4AC3">
        <w:rPr>
          <w:vertAlign w:val="superscript"/>
          <w:rtl/>
        </w:rPr>
        <w:t>)</w:t>
      </w:r>
      <w:r>
        <w:rPr>
          <w:rtl/>
        </w:rPr>
        <w:t>. وجاء هذا المنهاج تتويجا لسلسلة من الحوارات الوطنية بقيادة وزارة الدولة لتعزيز المساواة.</w:t>
      </w:r>
    </w:p>
    <w:p w:rsidR="009862F2" w:rsidRDefault="009862F2" w:rsidP="009862F2">
      <w:pPr>
        <w:pStyle w:val="SingleTxt"/>
        <w:rPr>
          <w:rtl/>
        </w:rPr>
      </w:pPr>
      <w:r>
        <w:rPr>
          <w:rtl/>
        </w:rPr>
        <w:t>١٦٤</w:t>
      </w:r>
      <w:r>
        <w:rPr>
          <w:rFonts w:hint="cs"/>
          <w:rtl/>
        </w:rPr>
        <w:t xml:space="preserve"> </w:t>
      </w:r>
      <w:r>
        <w:rPr>
          <w:rtl/>
        </w:rPr>
        <w:t>- وأجريت سلسلة من 4 مناقشات تليفزيونية قبل الانتخابات البرلمانية، وجهت الدعوة فيها إلى القيادات النسائية من جميع الأحزاب السياسية من أجل مناقشة قضايا المرأة وردود الأحزاب على هذه المسائل، وطرح أفكار واستراتيجيات جديدة تهدف إلى تنفيذ المنهاج السياسي، وتعزيز الدور القيادي للمرأة وتمكينها ومشاركتها خلال الانتخابات الوطنية لعام 2012.</w:t>
      </w:r>
    </w:p>
    <w:p w:rsidR="009862F2" w:rsidRDefault="009862F2" w:rsidP="009862F2">
      <w:pPr>
        <w:pStyle w:val="SingleTxt"/>
        <w:rPr>
          <w:rtl/>
        </w:rPr>
      </w:pPr>
      <w:r>
        <w:rPr>
          <w:rtl/>
        </w:rPr>
        <w:t>١٦٥</w:t>
      </w:r>
      <w:r>
        <w:rPr>
          <w:rFonts w:hint="cs"/>
          <w:rtl/>
        </w:rPr>
        <w:t xml:space="preserve"> </w:t>
      </w:r>
      <w:r>
        <w:rPr>
          <w:rtl/>
        </w:rPr>
        <w:t>- وكان المنهاج السياسي مدعوما بخريطة طريق وإطار استراتيجي من أجل تعزيز قيادة المرأة ومشاركتها في انتخابات عام 2012 وما بعدها، جرى وضعهما من خلال حلقات عمل تشاورية ومؤتمر وطني في أواخر عام 2011. وساهمت في تعبئة المرأة والعمل الجماعي فيما بين أصحاب المصلحة من أجل مساندة مشاركة المرأة في العملية الانتخابية والسياسية، بما في ذلك إرساء الديمقراطية في علاقات القوة داخل الأحزاب السياسية</w:t>
      </w:r>
      <w:r w:rsidRPr="00CD4AC3">
        <w:rPr>
          <w:vertAlign w:val="superscript"/>
          <w:rtl/>
        </w:rPr>
        <w:t>(</w:t>
      </w:r>
      <w:r w:rsidRPr="00CD4AC3">
        <w:rPr>
          <w:rStyle w:val="FootnoteReference"/>
          <w:szCs w:val="30"/>
          <w:rtl/>
        </w:rPr>
        <w:footnoteReference w:id="127"/>
      </w:r>
      <w:r w:rsidRPr="00CD4AC3">
        <w:rPr>
          <w:vertAlign w:val="superscript"/>
          <w:rtl/>
        </w:rPr>
        <w:t>)</w:t>
      </w:r>
      <w:r>
        <w:rPr>
          <w:rtl/>
        </w:rPr>
        <w:t xml:space="preserve">. </w:t>
      </w:r>
    </w:p>
    <w:p w:rsidR="009862F2" w:rsidRDefault="009862F2" w:rsidP="009862F2">
      <w:pPr>
        <w:pStyle w:val="SingleTxt"/>
        <w:rPr>
          <w:rtl/>
        </w:rPr>
      </w:pPr>
      <w:r>
        <w:rPr>
          <w:rtl/>
        </w:rPr>
        <w:t>١٦٦</w:t>
      </w:r>
      <w:r>
        <w:rPr>
          <w:rFonts w:hint="cs"/>
          <w:rtl/>
        </w:rPr>
        <w:t xml:space="preserve"> </w:t>
      </w:r>
      <w:r>
        <w:rPr>
          <w:rtl/>
        </w:rPr>
        <w:t>- وفيما يتعلق بالجانب التنفيذي، هناك عدة مناصب رئيسية تشغلها المرأة في الحكومة الوطنية الجديدة، بما في ذلك وزيرة المالية ونائبة وزيرة المالية، ووزيرة التضامن الاجتماعي، واثنتين من نواب الوزير في وزارة الصحة، ونائبة وزير التعليم، والعديد من وزارات الدولة من قبيل وزارة الدولة لتعزيز المساواة. وإجمالا، تشغل المرأة 10 مناصب في الهيكل الحكومي الجديد، وهو ما يمثل 18 في المائة من جميع المناصب (مقابل 13 في المائة في إطار الحكومة السابقة). وهناك مؤسسات مستقلة أخرى من مؤسسات الدولة ترأسها نساء، من قبيل محكمة مراجعة الحسابات والمدعي العام.</w:t>
      </w:r>
    </w:p>
    <w:p w:rsidR="009862F2" w:rsidRPr="00CD4AC3" w:rsidRDefault="009862F2" w:rsidP="009862F2">
      <w:pPr>
        <w:pStyle w:val="SingleTxt"/>
        <w:spacing w:after="0" w:line="120" w:lineRule="exact"/>
        <w:rPr>
          <w:sz w:val="10"/>
          <w:rtl/>
        </w:rPr>
      </w:pPr>
    </w:p>
    <w:p w:rsidR="009862F2" w:rsidRDefault="009862F2" w:rsidP="009862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مشاركة المرأة على الصعيد المحلي</w:t>
      </w:r>
    </w:p>
    <w:p w:rsidR="009862F2" w:rsidRDefault="009862F2" w:rsidP="009862F2">
      <w:pPr>
        <w:pStyle w:val="SingleTxt"/>
        <w:rPr>
          <w:rtl/>
        </w:rPr>
      </w:pPr>
      <w:r>
        <w:rPr>
          <w:rtl/>
        </w:rPr>
        <w:t>١٦٧</w:t>
      </w:r>
      <w:r>
        <w:rPr>
          <w:rFonts w:hint="cs"/>
          <w:rtl/>
        </w:rPr>
        <w:t xml:space="preserve"> </w:t>
      </w:r>
      <w:r>
        <w:rPr>
          <w:rtl/>
        </w:rPr>
        <w:t>- لا تزال مشاركة المرأة في الحياة السياسية والعامة على الصعيد المحلي منخفضة جدا على الرغم من التحسن الطفيف الذي طرأ منذ عام 2004. ونسبة النساء من زعماء القرى منخفضة جدا، لا تزيد على 2 في المائة (10 قرى من أصل 422 قرية ترأسها امرأة)</w:t>
      </w:r>
      <w:r w:rsidRPr="00CD4AC3">
        <w:rPr>
          <w:vertAlign w:val="superscript"/>
          <w:rtl/>
        </w:rPr>
        <w:t>(</w:t>
      </w:r>
      <w:r w:rsidRPr="00CD4AC3">
        <w:rPr>
          <w:rStyle w:val="FootnoteReference"/>
          <w:szCs w:val="30"/>
          <w:rtl/>
        </w:rPr>
        <w:footnoteReference w:id="128"/>
      </w:r>
      <w:r w:rsidRPr="00CD4AC3">
        <w:rPr>
          <w:vertAlign w:val="superscript"/>
          <w:rtl/>
        </w:rPr>
        <w:t>)</w:t>
      </w:r>
      <w:r>
        <w:rPr>
          <w:rtl/>
        </w:rPr>
        <w:t>. وفي</w:t>
      </w:r>
      <w:r>
        <w:rPr>
          <w:rFonts w:hint="cs"/>
          <w:rtl/>
        </w:rPr>
        <w:t> </w:t>
      </w:r>
      <w:r>
        <w:rPr>
          <w:rtl/>
        </w:rPr>
        <w:t>المجلس ذاته، يعد تمثيل المرأة مضمونا بموجب القانون المتعلق بالانتخابات القروية</w:t>
      </w:r>
      <w:r w:rsidRPr="00CD4AC3">
        <w:rPr>
          <w:vertAlign w:val="superscript"/>
          <w:rtl/>
        </w:rPr>
        <w:t>(</w:t>
      </w:r>
      <w:r w:rsidRPr="00CD4AC3">
        <w:rPr>
          <w:rStyle w:val="FootnoteReference"/>
          <w:szCs w:val="30"/>
          <w:rtl/>
        </w:rPr>
        <w:footnoteReference w:id="129"/>
      </w:r>
      <w:r w:rsidRPr="00CD4AC3">
        <w:rPr>
          <w:vertAlign w:val="superscript"/>
          <w:rtl/>
        </w:rPr>
        <w:t>)</w:t>
      </w:r>
      <w:r>
        <w:rPr>
          <w:rtl/>
        </w:rPr>
        <w:t>، مع تحديد حصة تقتضي وجود اثنتين من النساء، وامرأة شابة واحدة في كل مجلس (المادة</w:t>
      </w:r>
      <w:r>
        <w:rPr>
          <w:rFonts w:hint="cs"/>
          <w:rtl/>
        </w:rPr>
        <w:t> </w:t>
      </w:r>
      <w:r>
        <w:rPr>
          <w:rtl/>
        </w:rPr>
        <w:t>5). ويتراوح مجموع أعضاء المجلس ما بين 9 و 10 أعضاء، حسب عدد القرى الصغيرة التي تسمى ألدياس. وأدى هذا إلى تحقيق تمثيل النساء بنسبة 28 في المائة في المجالس القروية</w:t>
      </w:r>
      <w:r w:rsidRPr="00CD4AC3">
        <w:rPr>
          <w:vertAlign w:val="superscript"/>
          <w:rtl/>
        </w:rPr>
        <w:t>(</w:t>
      </w:r>
      <w:r w:rsidRPr="00CD4AC3">
        <w:rPr>
          <w:rStyle w:val="FootnoteReference"/>
          <w:szCs w:val="30"/>
          <w:rtl/>
        </w:rPr>
        <w:footnoteReference w:id="130"/>
      </w:r>
      <w:r w:rsidRPr="00CD4AC3">
        <w:rPr>
          <w:vertAlign w:val="superscript"/>
          <w:rtl/>
        </w:rPr>
        <w:t>)</w:t>
      </w:r>
      <w:r>
        <w:rPr>
          <w:rtl/>
        </w:rPr>
        <w:t>. وكان هناك اتجاه إيجابي في آخر مرتين للانتخابات القروية. وكان العدد الكلي للإناث المنتخبات في مناصب السلطات المجتمعية على مستوى زعيم القرية أو رئيس القرية</w:t>
      </w:r>
      <w:r>
        <w:rPr>
          <w:rFonts w:hint="cs"/>
          <w:rtl/>
        </w:rPr>
        <w:t> </w:t>
      </w:r>
      <w:r>
        <w:rPr>
          <w:rtl/>
        </w:rPr>
        <w:t>الصغيرة، أو كبير المنطقة، قد ارتفع من 31 في انتخابات 2004/2005 إلى 53</w:t>
      </w:r>
      <w:r>
        <w:rPr>
          <w:rFonts w:hint="cs"/>
          <w:rtl/>
        </w:rPr>
        <w:t> </w:t>
      </w:r>
      <w:r>
        <w:rPr>
          <w:rtl/>
        </w:rPr>
        <w:t>في</w:t>
      </w:r>
      <w:r>
        <w:rPr>
          <w:rFonts w:hint="cs"/>
          <w:rtl/>
        </w:rPr>
        <w:t> </w:t>
      </w:r>
      <w:r>
        <w:rPr>
          <w:rtl/>
        </w:rPr>
        <w:t>انتخابات عام</w:t>
      </w:r>
      <w:r>
        <w:rPr>
          <w:rFonts w:hint="cs"/>
          <w:rtl/>
        </w:rPr>
        <w:t> </w:t>
      </w:r>
      <w:r>
        <w:rPr>
          <w:rtl/>
        </w:rPr>
        <w:t>2009.</w:t>
      </w:r>
    </w:p>
    <w:p w:rsidR="009862F2" w:rsidRDefault="009862F2" w:rsidP="009862F2">
      <w:pPr>
        <w:pStyle w:val="SingleTxt"/>
        <w:rPr>
          <w:rtl/>
        </w:rPr>
      </w:pPr>
      <w:r>
        <w:rPr>
          <w:rtl/>
        </w:rPr>
        <w:t>١٦٨</w:t>
      </w:r>
      <w:r>
        <w:rPr>
          <w:rFonts w:hint="cs"/>
          <w:rtl/>
        </w:rPr>
        <w:t xml:space="preserve"> </w:t>
      </w:r>
      <w:r>
        <w:rPr>
          <w:rtl/>
        </w:rPr>
        <w:t>- ومن خلال العملية التشاورية التي تمخضت عن هذا التقرير، جرى الوقوف على أن</w:t>
      </w:r>
      <w:r>
        <w:rPr>
          <w:rFonts w:hint="cs"/>
          <w:rtl/>
        </w:rPr>
        <w:t> </w:t>
      </w:r>
      <w:r>
        <w:rPr>
          <w:rtl/>
        </w:rPr>
        <w:t>المرأة تواجه افتقارا إلى الدعم والإعداد من جانب السلطات، لا سيما للانتخابات على</w:t>
      </w:r>
      <w:r>
        <w:rPr>
          <w:rFonts w:hint="cs"/>
          <w:rtl/>
        </w:rPr>
        <w:t> </w:t>
      </w:r>
      <w:r>
        <w:rPr>
          <w:rtl/>
        </w:rPr>
        <w:t xml:space="preserve">المستوى المحلي، لا سيما إذا لم تكن ضمن حزب سياسي. وأساسا لا يمكنها المنافسة بصورة مستقلة. </w:t>
      </w:r>
    </w:p>
    <w:p w:rsidR="009862F2" w:rsidRDefault="009862F2" w:rsidP="009862F2">
      <w:pPr>
        <w:pStyle w:val="SingleTxt"/>
        <w:rPr>
          <w:rtl/>
        </w:rPr>
      </w:pPr>
      <w:r>
        <w:rPr>
          <w:rtl/>
        </w:rPr>
        <w:t>١٦٩</w:t>
      </w:r>
      <w:r>
        <w:rPr>
          <w:rFonts w:hint="cs"/>
          <w:rtl/>
        </w:rPr>
        <w:t xml:space="preserve"> </w:t>
      </w:r>
      <w:r>
        <w:rPr>
          <w:rtl/>
        </w:rPr>
        <w:t xml:space="preserve">- وتعمل وزارة الدولة لتعزيز المساواة بالتعاون الوثيق مع المجتمع المدني، وبخاصة مع المنظمة غير الحكومية الدولية </w:t>
      </w:r>
      <w:r w:rsidRPr="005B318A">
        <w:rPr>
          <w:rFonts w:hint="cs"/>
          <w:i/>
          <w:iCs/>
          <w:rtl/>
        </w:rPr>
        <w:t>’</w:t>
      </w:r>
      <w:r w:rsidRPr="005B318A">
        <w:rPr>
          <w:i/>
          <w:iCs/>
          <w:rtl/>
        </w:rPr>
        <w:t>السلام والتنمية</w:t>
      </w:r>
      <w:r>
        <w:rPr>
          <w:rFonts w:hint="cs"/>
          <w:rtl/>
        </w:rPr>
        <w:t>‘</w:t>
      </w:r>
      <w:r>
        <w:rPr>
          <w:rtl/>
        </w:rPr>
        <w:t xml:space="preserve"> والشبكة النسائية الوطنية </w:t>
      </w:r>
      <w:r>
        <w:rPr>
          <w:rFonts w:hint="cs"/>
          <w:rtl/>
        </w:rPr>
        <w:t>’</w:t>
      </w:r>
      <w:r w:rsidRPr="005B318A">
        <w:rPr>
          <w:i/>
          <w:iCs/>
          <w:rtl/>
        </w:rPr>
        <w:t>شبكة ريدي فيتو</w:t>
      </w:r>
      <w:r>
        <w:rPr>
          <w:rFonts w:hint="cs"/>
          <w:rtl/>
        </w:rPr>
        <w:t>‘</w:t>
      </w:r>
      <w:r>
        <w:rPr>
          <w:rtl/>
        </w:rPr>
        <w:t xml:space="preserve">، من أجل دعم مشاركة المرأة في الحياة السياسية والعامة وتعزيز حقوق المرأة الاجتماعية والاقتصادية على صعيد </w:t>
      </w:r>
      <w:r w:rsidRPr="005B318A">
        <w:rPr>
          <w:i/>
          <w:iCs/>
          <w:rtl/>
        </w:rPr>
        <w:t>القرى</w:t>
      </w:r>
      <w:r w:rsidRPr="00474CDC">
        <w:rPr>
          <w:vertAlign w:val="superscript"/>
          <w:rtl/>
        </w:rPr>
        <w:t>(</w:t>
      </w:r>
      <w:r w:rsidRPr="00474CDC">
        <w:rPr>
          <w:rStyle w:val="FootnoteReference"/>
          <w:szCs w:val="30"/>
          <w:rtl/>
        </w:rPr>
        <w:footnoteReference w:id="131"/>
      </w:r>
      <w:r w:rsidRPr="00474CDC">
        <w:rPr>
          <w:vertAlign w:val="superscript"/>
          <w:rtl/>
        </w:rPr>
        <w:t>)</w:t>
      </w:r>
      <w:r>
        <w:rPr>
          <w:rtl/>
        </w:rPr>
        <w:t>. وأجريت برامج للتدريب وبناء القدرات في مجال القيادة منذ أيار/مايو 2011 على مستوى المجتمع المحلي في أربع مقاطعات شرقية وشملت البرامج 149 من الرجال (من أعضاء المجالس القروية) و 41 من النساء. وتشمل المواضيع الرئيسية وحدات تتعلق بالإنصاف والمساواة؛ والقيادة المراعية للاعتبارات الجنسانية؛ والقانون رقم</w:t>
      </w:r>
      <w:r>
        <w:rPr>
          <w:rFonts w:hint="cs"/>
          <w:rtl/>
        </w:rPr>
        <w:t> </w:t>
      </w:r>
      <w:r>
        <w:rPr>
          <w:rtl/>
        </w:rPr>
        <w:t>3/2009 بشأن قادة المجتمع المحلي وانتخابهم، ووحدتان للتدريب العملي</w:t>
      </w:r>
      <w:r w:rsidRPr="00474CDC">
        <w:rPr>
          <w:vertAlign w:val="superscript"/>
          <w:rtl/>
        </w:rPr>
        <w:t>(</w:t>
      </w:r>
      <w:r w:rsidRPr="00474CDC">
        <w:rPr>
          <w:rStyle w:val="FootnoteReference"/>
          <w:szCs w:val="30"/>
          <w:rtl/>
        </w:rPr>
        <w:footnoteReference w:id="132"/>
      </w:r>
      <w:r w:rsidRPr="00474CDC">
        <w:rPr>
          <w:vertAlign w:val="superscript"/>
          <w:rtl/>
        </w:rPr>
        <w:t>)</w:t>
      </w:r>
      <w:r>
        <w:rPr>
          <w:rtl/>
        </w:rPr>
        <w:t xml:space="preserve">. </w:t>
      </w:r>
    </w:p>
    <w:p w:rsidR="009862F2" w:rsidRPr="00474CDC" w:rsidRDefault="009862F2" w:rsidP="009862F2">
      <w:pPr>
        <w:pStyle w:val="SingleTxt"/>
        <w:spacing w:after="0" w:line="120" w:lineRule="exact"/>
        <w:rPr>
          <w:sz w:val="10"/>
          <w:rtl/>
        </w:rPr>
      </w:pPr>
    </w:p>
    <w:p w:rsidR="009862F2" w:rsidRPr="00474CDC" w:rsidRDefault="009862F2" w:rsidP="009862F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474CDC">
        <w:rPr>
          <w:rtl/>
        </w:rPr>
        <w:t>مشاركة المرأة في تحقيق اللامركزية</w:t>
      </w:r>
    </w:p>
    <w:p w:rsidR="009862F2" w:rsidRDefault="009862F2" w:rsidP="009862F2">
      <w:pPr>
        <w:pStyle w:val="SingleTxt"/>
        <w:rPr>
          <w:rtl/>
        </w:rPr>
      </w:pPr>
      <w:r>
        <w:rPr>
          <w:rtl/>
        </w:rPr>
        <w:t>١٧٠</w:t>
      </w:r>
      <w:r>
        <w:rPr>
          <w:rFonts w:hint="cs"/>
          <w:rtl/>
        </w:rPr>
        <w:t xml:space="preserve"> </w:t>
      </w:r>
      <w:r>
        <w:rPr>
          <w:rtl/>
        </w:rPr>
        <w:t>- وضمن استراتيجية تيمور</w:t>
      </w:r>
      <w:r>
        <w:rPr>
          <w:rFonts w:hint="cs"/>
          <w:rtl/>
        </w:rPr>
        <w:t xml:space="preserve"> </w:t>
      </w:r>
      <w:r>
        <w:rPr>
          <w:rtl/>
        </w:rPr>
        <w:t>-</w:t>
      </w:r>
      <w:r>
        <w:rPr>
          <w:rFonts w:hint="cs"/>
          <w:rtl/>
        </w:rPr>
        <w:t xml:space="preserve"> </w:t>
      </w:r>
      <w:r>
        <w:rPr>
          <w:rtl/>
        </w:rPr>
        <w:t xml:space="preserve">ليشتي لتحقيق اللامركزية التي تهدف للتعجيل بخطى النمو الاقتصادي المستدام والتنمية المنصفة بدءا من الصعيد الوطني إلى مستوى </w:t>
      </w:r>
      <w:r w:rsidRPr="005B318A">
        <w:rPr>
          <w:i/>
          <w:iCs/>
          <w:rtl/>
        </w:rPr>
        <w:t>القرى</w:t>
      </w:r>
      <w:r>
        <w:rPr>
          <w:rtl/>
        </w:rPr>
        <w:t xml:space="preserve">، قامت الحكومة من خلال وزارة إدارة شؤون الدولة بإعداد المرسوم بقانون المتعلق </w:t>
      </w:r>
      <w:r w:rsidRPr="005B318A">
        <w:rPr>
          <w:rtl/>
        </w:rPr>
        <w:t>بـ</w:t>
      </w:r>
      <w:r>
        <w:rPr>
          <w:rtl/>
        </w:rPr>
        <w:t xml:space="preserve"> </w:t>
      </w:r>
      <w:r>
        <w:rPr>
          <w:rFonts w:hint="cs"/>
          <w:rtl/>
        </w:rPr>
        <w:t>’</w:t>
      </w:r>
      <w:r>
        <w:rPr>
          <w:rtl/>
        </w:rPr>
        <w:t>التخطيط الإنمائي المتكامل للمقاطعات</w:t>
      </w:r>
      <w:r>
        <w:rPr>
          <w:rFonts w:hint="cs"/>
          <w:rtl/>
        </w:rPr>
        <w:t>‘</w:t>
      </w:r>
      <w:r>
        <w:rPr>
          <w:rtl/>
        </w:rPr>
        <w:t xml:space="preserve"> الذي يحدد السلطة، وسبل التخطيط، والتمويل اللازمة لتنفيذ اللامركزية ومشاريع الدولة على مستوى المقاطعات والمقاطعات الفرعية. وجرت صياغة أحكام المرسوم بقانون على أنه من بين 3 ممثلين من مجالس </w:t>
      </w:r>
      <w:r w:rsidRPr="005B318A">
        <w:rPr>
          <w:i/>
          <w:iCs/>
          <w:rtl/>
        </w:rPr>
        <w:t>القرى</w:t>
      </w:r>
      <w:r>
        <w:rPr>
          <w:rtl/>
        </w:rPr>
        <w:t xml:space="preserve"> لدى لجان تنمية المناطق الفرعية، يجب أن تكون هناك ممثلة واحدة على الأقل</w:t>
      </w:r>
      <w:r w:rsidRPr="00474CDC">
        <w:rPr>
          <w:vertAlign w:val="superscript"/>
          <w:rtl/>
        </w:rPr>
        <w:t>(</w:t>
      </w:r>
      <w:r w:rsidRPr="00474CDC">
        <w:rPr>
          <w:rStyle w:val="FootnoteReference"/>
          <w:szCs w:val="30"/>
          <w:rtl/>
        </w:rPr>
        <w:footnoteReference w:id="133"/>
      </w:r>
      <w:r w:rsidRPr="00474CDC">
        <w:rPr>
          <w:vertAlign w:val="superscript"/>
          <w:rtl/>
        </w:rPr>
        <w:t>)</w:t>
      </w:r>
      <w:r>
        <w:rPr>
          <w:rtl/>
        </w:rPr>
        <w:t xml:space="preserve">. </w:t>
      </w:r>
    </w:p>
    <w:p w:rsidR="009862F2" w:rsidRDefault="009862F2" w:rsidP="009862F2">
      <w:pPr>
        <w:pStyle w:val="SingleTxt"/>
        <w:rPr>
          <w:rtl/>
        </w:rPr>
      </w:pPr>
      <w:r>
        <w:rPr>
          <w:rtl/>
        </w:rPr>
        <w:t>١٧١</w:t>
      </w:r>
      <w:r>
        <w:rPr>
          <w:rFonts w:hint="cs"/>
          <w:rtl/>
        </w:rPr>
        <w:t xml:space="preserve"> </w:t>
      </w:r>
      <w:r>
        <w:rPr>
          <w:rtl/>
        </w:rPr>
        <w:t xml:space="preserve">- ويشارك المجتمع المدني أيضا في برنامج اللامركزية هذا من أجل تعزيز المشاركة النشطة للمرأة. ومنذ عام 2010، يوجد لدى مؤسسة ألولا برنامج لدعم المقاطعات، وذلك بدعم من هيئة الأمم المتحدة للمرأة، ويركز على التمكين المجتمعي للمرأة ويستهدف المرشحات المحتملات على صعيد </w:t>
      </w:r>
      <w:r w:rsidRPr="005B318A">
        <w:rPr>
          <w:i/>
          <w:iCs/>
          <w:rtl/>
        </w:rPr>
        <w:t>القرى</w:t>
      </w:r>
      <w:r>
        <w:rPr>
          <w:rtl/>
        </w:rPr>
        <w:t>. وتشارك هذه الجهات في مشروع يهدف لتحقيق تحول في مناقشة المسائل الجنسانية، وتعمل عن كثب مع القادة المحليين، والمنظمات النسائية غير الحكومية، وأعضاء البرلمان، والمؤسسات الحكومية الأخرى.</w:t>
      </w:r>
    </w:p>
    <w:p w:rsidR="009862F2" w:rsidRPr="00474CDC" w:rsidRDefault="009862F2" w:rsidP="009862F2">
      <w:pPr>
        <w:pStyle w:val="SingleTxt"/>
        <w:spacing w:after="0" w:line="120" w:lineRule="exact"/>
        <w:rPr>
          <w:sz w:val="10"/>
          <w:rtl/>
        </w:rPr>
      </w:pPr>
    </w:p>
    <w:p w:rsidR="009862F2" w:rsidRDefault="009862F2" w:rsidP="009862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العقبات التي تحول دون مشاركة المرأة في النشاط السياسي </w:t>
      </w:r>
    </w:p>
    <w:p w:rsidR="009862F2" w:rsidRDefault="009862F2" w:rsidP="009862F2">
      <w:pPr>
        <w:pStyle w:val="SingleTxt"/>
        <w:rPr>
          <w:rtl/>
        </w:rPr>
      </w:pPr>
      <w:r>
        <w:rPr>
          <w:rtl/>
        </w:rPr>
        <w:t>١٧٢</w:t>
      </w:r>
      <w:r>
        <w:rPr>
          <w:rFonts w:hint="cs"/>
          <w:rtl/>
        </w:rPr>
        <w:t xml:space="preserve"> </w:t>
      </w:r>
      <w:r>
        <w:rPr>
          <w:rtl/>
        </w:rPr>
        <w:t>- من الحواجز الشائعة والمستمرة التي تحول دون دخول المرأة في أدوار القيادة في</w:t>
      </w:r>
      <w:r>
        <w:rPr>
          <w:rFonts w:hint="cs"/>
          <w:rtl/>
        </w:rPr>
        <w:t> </w:t>
      </w:r>
      <w:r>
        <w:rPr>
          <w:rtl/>
        </w:rPr>
        <w:t>تيمور</w:t>
      </w:r>
      <w:r>
        <w:rPr>
          <w:rFonts w:hint="cs"/>
          <w:rtl/>
        </w:rPr>
        <w:t xml:space="preserve"> </w:t>
      </w:r>
      <w:r>
        <w:rPr>
          <w:rtl/>
        </w:rPr>
        <w:t>-</w:t>
      </w:r>
      <w:r>
        <w:rPr>
          <w:rFonts w:hint="cs"/>
          <w:rtl/>
        </w:rPr>
        <w:t xml:space="preserve"> </w:t>
      </w:r>
      <w:r>
        <w:rPr>
          <w:rtl/>
        </w:rPr>
        <w:t>ليشتي، انخفاض مستوى التعليم والإلمام بالقراءة والكتابة بالمقارنة مع الرجل؛ والتمييز في التوظيف (يرجى الرجوع إلى الفرع المتعلق بالعمالة)؛ والقوالب النمطية والمواقف السلبية إزاء مشاركة المرأة في الحياة العامة؛ والمواقف إزاء الدور التقليدي للمرأة في المنزل؛ وقلة الدعم المقدم من الأسر والأحزاب السياسية، وبالأخص قلة الدعم المقدم للنساء كي</w:t>
      </w:r>
      <w:r>
        <w:rPr>
          <w:rFonts w:hint="cs"/>
          <w:rtl/>
        </w:rPr>
        <w:t> </w:t>
      </w:r>
      <w:r>
        <w:rPr>
          <w:rtl/>
        </w:rPr>
        <w:t>يشاركن في الحياة السياسية بصفتهن مرشحات مستقلات دون دعم من أحزاب سياسية؛ وقلة التضامن بين النساء؛ وانخفاض الوعي المدني، وانخفاض ثقتهن بطرح أنفسهن كمرشحات</w:t>
      </w:r>
      <w:r w:rsidRPr="00474CDC">
        <w:rPr>
          <w:vertAlign w:val="superscript"/>
          <w:rtl/>
        </w:rPr>
        <w:t>(</w:t>
      </w:r>
      <w:r w:rsidRPr="00474CDC">
        <w:rPr>
          <w:rStyle w:val="FootnoteReference"/>
          <w:szCs w:val="30"/>
          <w:rtl/>
        </w:rPr>
        <w:footnoteReference w:id="134"/>
      </w:r>
      <w:r w:rsidRPr="00474CDC">
        <w:rPr>
          <w:vertAlign w:val="superscript"/>
          <w:rtl/>
        </w:rPr>
        <w:t>)</w:t>
      </w:r>
      <w:r>
        <w:rPr>
          <w:rtl/>
        </w:rPr>
        <w:t xml:space="preserve">. </w:t>
      </w:r>
    </w:p>
    <w:p w:rsidR="009862F2" w:rsidRPr="00474CDC" w:rsidRDefault="009862F2" w:rsidP="009862F2">
      <w:pPr>
        <w:pStyle w:val="SingleTxt"/>
        <w:spacing w:after="0" w:line="120" w:lineRule="exact"/>
        <w:rPr>
          <w:sz w:val="10"/>
          <w:rtl/>
        </w:rPr>
      </w:pPr>
      <w:r>
        <w:rPr>
          <w:rtl/>
        </w:rPr>
        <w:tab/>
      </w:r>
    </w:p>
    <w:p w:rsidR="009862F2" w:rsidRDefault="009862F2" w:rsidP="00A4450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8</w:t>
      </w:r>
      <w:r>
        <w:rPr>
          <w:rFonts w:hint="cs"/>
          <w:rtl/>
        </w:rPr>
        <w:t xml:space="preserve"> </w:t>
      </w:r>
      <w:r>
        <w:rPr>
          <w:rtl/>
        </w:rPr>
        <w:t xml:space="preserve">- التمثيل والمشاركة على الصعيد الدولي </w:t>
      </w:r>
    </w:p>
    <w:p w:rsidR="009862F2" w:rsidRDefault="009862F2" w:rsidP="009862F2">
      <w:pPr>
        <w:pStyle w:val="SingleTxt"/>
        <w:rPr>
          <w:rtl/>
        </w:rPr>
      </w:pPr>
      <w:r>
        <w:rPr>
          <w:rtl/>
        </w:rPr>
        <w:t>١٧٣</w:t>
      </w:r>
      <w:r>
        <w:rPr>
          <w:rFonts w:hint="cs"/>
          <w:rtl/>
        </w:rPr>
        <w:t xml:space="preserve"> </w:t>
      </w:r>
      <w:r>
        <w:rPr>
          <w:rtl/>
        </w:rPr>
        <w:t>- انتخبت السيدة ميلينا بيريس واحدة من 23 خبيرا للعمل في اللجنة المعنية بالقضاء على التمييز ضد المرأة في عام 2010. وكان من دواعي سرور الحكومة بأسرها، بما في ذلك رئيس جمهورية تيمور</w:t>
      </w:r>
      <w:r>
        <w:rPr>
          <w:rFonts w:hint="cs"/>
          <w:rtl/>
        </w:rPr>
        <w:t xml:space="preserve"> </w:t>
      </w:r>
      <w:r>
        <w:rPr>
          <w:rtl/>
        </w:rPr>
        <w:t>-</w:t>
      </w:r>
      <w:r>
        <w:rPr>
          <w:rFonts w:hint="cs"/>
          <w:rtl/>
        </w:rPr>
        <w:t xml:space="preserve"> </w:t>
      </w:r>
      <w:r>
        <w:rPr>
          <w:rtl/>
        </w:rPr>
        <w:t>ليشتي في ذلك الوقت، الدكتور خوسيه راموس</w:t>
      </w:r>
      <w:r>
        <w:rPr>
          <w:rFonts w:hint="cs"/>
          <w:rtl/>
        </w:rPr>
        <w:t xml:space="preserve"> </w:t>
      </w:r>
      <w:r>
        <w:rPr>
          <w:rtl/>
        </w:rPr>
        <w:t>-</w:t>
      </w:r>
      <w:r>
        <w:rPr>
          <w:rFonts w:hint="cs"/>
          <w:rtl/>
        </w:rPr>
        <w:t xml:space="preserve"> </w:t>
      </w:r>
      <w:r>
        <w:rPr>
          <w:rtl/>
        </w:rPr>
        <w:t>هورتا، انتخاب أول من يمثل تيمور</w:t>
      </w:r>
      <w:r>
        <w:rPr>
          <w:rFonts w:hint="cs"/>
          <w:rtl/>
        </w:rPr>
        <w:t xml:space="preserve"> </w:t>
      </w:r>
      <w:r>
        <w:rPr>
          <w:rtl/>
        </w:rPr>
        <w:t>-</w:t>
      </w:r>
      <w:r>
        <w:rPr>
          <w:rFonts w:hint="cs"/>
          <w:rtl/>
        </w:rPr>
        <w:t xml:space="preserve"> </w:t>
      </w:r>
      <w:r>
        <w:rPr>
          <w:rtl/>
        </w:rPr>
        <w:t>ليشتي لدى إحدى الهيئات التعاهدية الدولية</w:t>
      </w:r>
      <w:r w:rsidRPr="00474CDC">
        <w:rPr>
          <w:vertAlign w:val="superscript"/>
          <w:rtl/>
        </w:rPr>
        <w:t>(</w:t>
      </w:r>
      <w:r w:rsidRPr="00474CDC">
        <w:rPr>
          <w:rStyle w:val="FootnoteReference"/>
          <w:szCs w:val="30"/>
          <w:rtl/>
        </w:rPr>
        <w:footnoteReference w:id="135"/>
      </w:r>
      <w:r w:rsidRPr="00474CDC">
        <w:rPr>
          <w:vertAlign w:val="superscript"/>
          <w:rtl/>
        </w:rPr>
        <w:t>)</w:t>
      </w:r>
      <w:r>
        <w:rPr>
          <w:rtl/>
        </w:rPr>
        <w:t>. وكان التعاون الموحد فيما بين الوزارات التنفيذية الرئيسية بالاشتراك مع المجتمع المدني في هذه الانتخابات على الصعيدين الوطني والدولي دليلا قويا أيضا على الالتزام بالنهوض بالمرأة.</w:t>
      </w:r>
    </w:p>
    <w:p w:rsidR="009862F2" w:rsidRDefault="009862F2" w:rsidP="009862F2">
      <w:pPr>
        <w:pStyle w:val="SingleTxt"/>
        <w:rPr>
          <w:rtl/>
        </w:rPr>
      </w:pPr>
      <w:r>
        <w:rPr>
          <w:rtl/>
        </w:rPr>
        <w:t>١٧٤</w:t>
      </w:r>
      <w:r>
        <w:rPr>
          <w:rFonts w:hint="cs"/>
          <w:rtl/>
        </w:rPr>
        <w:t xml:space="preserve"> </w:t>
      </w:r>
      <w:r>
        <w:rPr>
          <w:rtl/>
        </w:rPr>
        <w:t>- وانتخبت السيدة إميليا بيريس في عام 2010 لتكون رئيسة مجموعة البلدان السبعة (</w:t>
      </w:r>
      <w:r>
        <w:t>G7</w:t>
      </w:r>
      <w:r>
        <w:rPr>
          <w:rtl/>
        </w:rPr>
        <w:t>+)، لتساند صوت الدول المتضررة من النزاع والدول الخارجة من النزاع. وعينها بان</w:t>
      </w:r>
      <w:r>
        <w:rPr>
          <w:rFonts w:hint="cs"/>
          <w:rtl/>
        </w:rPr>
        <w:t> </w:t>
      </w:r>
      <w:r>
        <w:rPr>
          <w:rtl/>
        </w:rPr>
        <w:t>كي</w:t>
      </w:r>
      <w:r>
        <w:rPr>
          <w:rFonts w:hint="cs"/>
          <w:rtl/>
        </w:rPr>
        <w:t xml:space="preserve"> </w:t>
      </w:r>
      <w:r>
        <w:rPr>
          <w:rtl/>
        </w:rPr>
        <w:t>-</w:t>
      </w:r>
      <w:r>
        <w:rPr>
          <w:rFonts w:hint="cs"/>
          <w:rtl/>
        </w:rPr>
        <w:t xml:space="preserve"> </w:t>
      </w:r>
      <w:r>
        <w:rPr>
          <w:rtl/>
        </w:rPr>
        <w:t>مون، الأمين العام للأمم المتحدة في تموز/يوليه 2012 أيضا في الفريق الرفيع المستوى من الشخصيات البارزة الذي يتألف من 26 عضوا لتقديم المشورة إلى الأمم المتحدة بشأن خطة التنمية العالمية لما بعد عام 2015</w:t>
      </w:r>
      <w:r w:rsidRPr="00474CDC">
        <w:rPr>
          <w:vertAlign w:val="superscript"/>
          <w:rtl/>
        </w:rPr>
        <w:t>(</w:t>
      </w:r>
      <w:r w:rsidRPr="00474CDC">
        <w:rPr>
          <w:rStyle w:val="FootnoteReference"/>
          <w:szCs w:val="30"/>
          <w:rtl/>
        </w:rPr>
        <w:footnoteReference w:id="136"/>
      </w:r>
      <w:r w:rsidRPr="00474CDC">
        <w:rPr>
          <w:vertAlign w:val="superscript"/>
          <w:rtl/>
        </w:rPr>
        <w:t>)</w:t>
      </w:r>
      <w:r>
        <w:rPr>
          <w:rtl/>
        </w:rPr>
        <w:t xml:space="preserve">. </w:t>
      </w:r>
    </w:p>
    <w:p w:rsidR="009862F2" w:rsidRDefault="009862F2" w:rsidP="009862F2">
      <w:pPr>
        <w:pStyle w:val="SingleTxt"/>
        <w:rPr>
          <w:rtl/>
        </w:rPr>
      </w:pPr>
      <w:r>
        <w:rPr>
          <w:rtl/>
        </w:rPr>
        <w:t>١٧٥</w:t>
      </w:r>
      <w:r>
        <w:rPr>
          <w:rFonts w:hint="cs"/>
          <w:rtl/>
        </w:rPr>
        <w:t xml:space="preserve"> </w:t>
      </w:r>
      <w:r>
        <w:rPr>
          <w:rtl/>
        </w:rPr>
        <w:t>- وقد رشحت السيدة مادالينا هانجام دا كوستا سواريس، نائبة وزير الصحة في الحكومة الدستورية الرابعة، لتكون عضوا في المجلس التنفيذي لمنظمة الصحة العالمية خلال الفترة 2010-2012</w:t>
      </w:r>
      <w:r w:rsidRPr="00474CDC">
        <w:rPr>
          <w:vertAlign w:val="superscript"/>
          <w:rtl/>
        </w:rPr>
        <w:t>(</w:t>
      </w:r>
      <w:r w:rsidRPr="00474CDC">
        <w:rPr>
          <w:rStyle w:val="FootnoteReference"/>
          <w:szCs w:val="30"/>
          <w:rtl/>
        </w:rPr>
        <w:footnoteReference w:id="137"/>
      </w:r>
      <w:r w:rsidRPr="00474CDC">
        <w:rPr>
          <w:vertAlign w:val="superscript"/>
          <w:rtl/>
        </w:rPr>
        <w:t>)</w:t>
      </w:r>
      <w:r>
        <w:rPr>
          <w:rtl/>
        </w:rPr>
        <w:t xml:space="preserve">. </w:t>
      </w:r>
    </w:p>
    <w:p w:rsidR="009862F2" w:rsidRPr="00474CDC" w:rsidRDefault="009862F2" w:rsidP="009862F2">
      <w:pPr>
        <w:pStyle w:val="SingleTxt"/>
        <w:spacing w:after="0" w:line="120" w:lineRule="exact"/>
        <w:rPr>
          <w:sz w:val="10"/>
          <w:rtl/>
        </w:rPr>
      </w:pPr>
    </w:p>
    <w:p w:rsidR="009862F2" w:rsidRPr="00474CDC" w:rsidRDefault="009862F2" w:rsidP="009862F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474CDC">
        <w:rPr>
          <w:rtl/>
        </w:rPr>
        <w:t>تمثيل تيمور</w:t>
      </w:r>
      <w:r w:rsidRPr="00474CDC">
        <w:rPr>
          <w:rFonts w:hint="cs"/>
          <w:rtl/>
        </w:rPr>
        <w:t xml:space="preserve"> </w:t>
      </w:r>
      <w:r w:rsidRPr="00474CDC">
        <w:rPr>
          <w:rtl/>
        </w:rPr>
        <w:t>-</w:t>
      </w:r>
      <w:r w:rsidRPr="00474CDC">
        <w:rPr>
          <w:rFonts w:hint="cs"/>
          <w:rtl/>
        </w:rPr>
        <w:t xml:space="preserve"> </w:t>
      </w:r>
      <w:r w:rsidRPr="00474CDC">
        <w:rPr>
          <w:rtl/>
        </w:rPr>
        <w:t xml:space="preserve">ليشتي عن طريق النساء العاملات في البعثات بالخارج </w:t>
      </w:r>
    </w:p>
    <w:p w:rsidR="009862F2" w:rsidRDefault="009862F2" w:rsidP="009862F2">
      <w:pPr>
        <w:pStyle w:val="SingleTxt"/>
        <w:rPr>
          <w:rtl/>
        </w:rPr>
      </w:pPr>
      <w:r>
        <w:rPr>
          <w:rtl/>
        </w:rPr>
        <w:t>١٧٦</w:t>
      </w:r>
      <w:r>
        <w:rPr>
          <w:rFonts w:hint="cs"/>
          <w:rtl/>
        </w:rPr>
        <w:t xml:space="preserve"> </w:t>
      </w:r>
      <w:r>
        <w:rPr>
          <w:rtl/>
        </w:rPr>
        <w:t>- عينت سعادة السيدة صوفيا ميسكيتا بورغيس، سفيرة فوق العادة ومفوضة، وهي الممثل الدائم لتيمور</w:t>
      </w:r>
      <w:r>
        <w:rPr>
          <w:rFonts w:hint="cs"/>
          <w:rtl/>
        </w:rPr>
        <w:t xml:space="preserve"> </w:t>
      </w:r>
      <w:r>
        <w:rPr>
          <w:rtl/>
        </w:rPr>
        <w:t>-</w:t>
      </w:r>
      <w:r>
        <w:rPr>
          <w:rFonts w:hint="cs"/>
          <w:rtl/>
        </w:rPr>
        <w:t xml:space="preserve"> </w:t>
      </w:r>
      <w:r>
        <w:rPr>
          <w:rtl/>
        </w:rPr>
        <w:t>ليشتي لدى الأمم المتحدة في 4 آذار/مارس 2010، كم عينت عضوا في المجلس التنفيذي لهيئة الأمم المتحدة للمرأة.</w:t>
      </w:r>
    </w:p>
    <w:p w:rsidR="009862F2" w:rsidRDefault="009862F2" w:rsidP="009862F2">
      <w:pPr>
        <w:pStyle w:val="SingleTxt"/>
        <w:rPr>
          <w:rtl/>
        </w:rPr>
      </w:pPr>
      <w:r>
        <w:rPr>
          <w:rtl/>
        </w:rPr>
        <w:t>١٧٧</w:t>
      </w:r>
      <w:r>
        <w:rPr>
          <w:rFonts w:hint="cs"/>
          <w:rtl/>
        </w:rPr>
        <w:t xml:space="preserve"> </w:t>
      </w:r>
      <w:r>
        <w:rPr>
          <w:rtl/>
        </w:rPr>
        <w:t>- وعلاوة على ذلك، فإن بعض من أكثر البعثات أهمية من الناحية الاقتصادية والسياسية بالنسبة لتيمور</w:t>
      </w:r>
      <w:r>
        <w:rPr>
          <w:rFonts w:hint="cs"/>
          <w:rtl/>
        </w:rPr>
        <w:t xml:space="preserve"> </w:t>
      </w:r>
      <w:r>
        <w:rPr>
          <w:rtl/>
        </w:rPr>
        <w:t>-</w:t>
      </w:r>
      <w:r>
        <w:rPr>
          <w:rFonts w:hint="cs"/>
          <w:rtl/>
        </w:rPr>
        <w:t xml:space="preserve"> </w:t>
      </w:r>
      <w:r>
        <w:rPr>
          <w:rtl/>
        </w:rPr>
        <w:t>ليشتي ترأسها مرأة، لا سيما سفارات تيمور - ليشتي في البرتغال والصين وموزامبيق (التي تغطي أنغولا وجنوب أفريقيا)، فضلا عن قنصليتها في بالي (إندونيسيا)، وسيدني (أستراليا). وبالتالي، فإن نسبة النساء ممن يرأسن بعثات في الخارج (على مستوى السفير والقنصل) تبلغ 35 في المائة، في حين أن النساء اللاتي يشغلن منصبا في السلك الدبلوماسي في الخارج عموما يمثلن نسبة 36.5 في المائة</w:t>
      </w:r>
      <w:r w:rsidRPr="00474CDC">
        <w:rPr>
          <w:vertAlign w:val="superscript"/>
          <w:rtl/>
        </w:rPr>
        <w:t>(</w:t>
      </w:r>
      <w:r w:rsidRPr="00474CDC">
        <w:rPr>
          <w:rStyle w:val="FootnoteReference"/>
          <w:szCs w:val="30"/>
          <w:rtl/>
        </w:rPr>
        <w:footnoteReference w:id="138"/>
      </w:r>
      <w:r w:rsidRPr="00474CDC">
        <w:rPr>
          <w:vertAlign w:val="superscript"/>
          <w:rtl/>
        </w:rPr>
        <w:t>)</w:t>
      </w:r>
      <w:r>
        <w:rPr>
          <w:rtl/>
        </w:rPr>
        <w:t xml:space="preserve">. </w:t>
      </w:r>
    </w:p>
    <w:p w:rsidR="009862F2" w:rsidRPr="00474CDC" w:rsidRDefault="009862F2" w:rsidP="009862F2">
      <w:pPr>
        <w:pStyle w:val="SingleTxt"/>
        <w:spacing w:after="0" w:line="120" w:lineRule="exact"/>
        <w:rPr>
          <w:sz w:val="10"/>
          <w:rtl/>
        </w:rPr>
      </w:pPr>
      <w:r>
        <w:rPr>
          <w:rtl/>
        </w:rPr>
        <w:tab/>
      </w:r>
    </w:p>
    <w:p w:rsidR="009862F2" w:rsidRDefault="009862F2" w:rsidP="00A4450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9: الجنسية</w:t>
      </w:r>
    </w:p>
    <w:p w:rsidR="009862F2" w:rsidRDefault="009862F2" w:rsidP="009862F2">
      <w:pPr>
        <w:pStyle w:val="SingleTxt"/>
        <w:rPr>
          <w:rtl/>
        </w:rPr>
      </w:pPr>
      <w:r>
        <w:rPr>
          <w:rtl/>
        </w:rPr>
        <w:t>١٧٨</w:t>
      </w:r>
      <w:r>
        <w:rPr>
          <w:rFonts w:hint="cs"/>
          <w:rtl/>
        </w:rPr>
        <w:t xml:space="preserve"> </w:t>
      </w:r>
      <w:r>
        <w:rPr>
          <w:rtl/>
        </w:rPr>
        <w:t>- لم تدخل أي تعديلات على هذا الفرع. ونشير إلى الوثيقة الأساسية الموحدة من</w:t>
      </w:r>
      <w:r>
        <w:rPr>
          <w:rFonts w:hint="cs"/>
          <w:rtl/>
        </w:rPr>
        <w:t> </w:t>
      </w:r>
      <w:r>
        <w:rPr>
          <w:rtl/>
        </w:rPr>
        <w:t>التقرير الأولي لتيمور</w:t>
      </w:r>
      <w:r>
        <w:rPr>
          <w:rFonts w:hint="cs"/>
          <w:rtl/>
        </w:rPr>
        <w:t xml:space="preserve"> </w:t>
      </w:r>
      <w:r>
        <w:rPr>
          <w:rtl/>
        </w:rPr>
        <w:t>-</w:t>
      </w:r>
      <w:r>
        <w:rPr>
          <w:rFonts w:hint="cs"/>
          <w:rtl/>
        </w:rPr>
        <w:t xml:space="preserve"> </w:t>
      </w:r>
      <w:r>
        <w:rPr>
          <w:rtl/>
        </w:rPr>
        <w:t xml:space="preserve">ليشتي، الفرع ياء (ألف). </w:t>
      </w:r>
      <w:r>
        <w:rPr>
          <w:rFonts w:hint="cs"/>
          <w:rtl/>
        </w:rPr>
        <w:t>’</w:t>
      </w:r>
      <w:r>
        <w:rPr>
          <w:rtl/>
        </w:rPr>
        <w:t>الحق في الجنسية - المساواة في حقوق</w:t>
      </w:r>
      <w:r>
        <w:rPr>
          <w:rFonts w:hint="cs"/>
          <w:rtl/>
        </w:rPr>
        <w:t> </w:t>
      </w:r>
      <w:r>
        <w:rPr>
          <w:rtl/>
        </w:rPr>
        <w:t>المواطنة</w:t>
      </w:r>
      <w:r>
        <w:rPr>
          <w:rFonts w:hint="cs"/>
          <w:rtl/>
        </w:rPr>
        <w:t>‘</w:t>
      </w:r>
      <w:r>
        <w:rPr>
          <w:rtl/>
        </w:rPr>
        <w:t xml:space="preserve">. </w:t>
      </w:r>
    </w:p>
    <w:p w:rsidR="009862F2" w:rsidRPr="00474CDC" w:rsidRDefault="009862F2" w:rsidP="009862F2">
      <w:pPr>
        <w:pStyle w:val="SingleTxt"/>
        <w:spacing w:after="0" w:line="120" w:lineRule="exact"/>
        <w:rPr>
          <w:sz w:val="10"/>
          <w:rtl/>
        </w:rPr>
      </w:pPr>
    </w:p>
    <w:p w:rsidR="009862F2" w:rsidRDefault="009862F2" w:rsidP="00A4450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10: التعليم</w:t>
      </w:r>
    </w:p>
    <w:p w:rsidR="009862F2" w:rsidRDefault="009862F2" w:rsidP="009862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السياسة والإطار القانوني</w:t>
      </w:r>
    </w:p>
    <w:p w:rsidR="009862F2" w:rsidRDefault="009862F2" w:rsidP="009862F2">
      <w:pPr>
        <w:pStyle w:val="SingleTxt"/>
        <w:rPr>
          <w:rtl/>
        </w:rPr>
      </w:pPr>
      <w:r>
        <w:rPr>
          <w:rtl/>
        </w:rPr>
        <w:t>١٧٩</w:t>
      </w:r>
      <w:r>
        <w:rPr>
          <w:rFonts w:hint="cs"/>
          <w:rtl/>
        </w:rPr>
        <w:t xml:space="preserve"> </w:t>
      </w:r>
      <w:r>
        <w:rPr>
          <w:rtl/>
        </w:rPr>
        <w:t>- خلال فترة الحكومة الدستورية الأخيرة، جرت صياغة منهج وطني لكل سنة من</w:t>
      </w:r>
      <w:r>
        <w:rPr>
          <w:rFonts w:hint="cs"/>
          <w:rtl/>
        </w:rPr>
        <w:t> </w:t>
      </w:r>
      <w:r>
        <w:rPr>
          <w:rtl/>
        </w:rPr>
        <w:t>سنوات التعليم الأساسي والتعليم الثانوي العام البالغ عددها 12 سنة وتنفيذها</w:t>
      </w:r>
      <w:r w:rsidRPr="00474CDC">
        <w:rPr>
          <w:vertAlign w:val="superscript"/>
          <w:rtl/>
        </w:rPr>
        <w:t>(</w:t>
      </w:r>
      <w:r w:rsidRPr="00474CDC">
        <w:rPr>
          <w:rStyle w:val="FootnoteReference"/>
          <w:szCs w:val="30"/>
          <w:rtl/>
        </w:rPr>
        <w:footnoteReference w:id="139"/>
      </w:r>
      <w:r w:rsidRPr="00474CDC">
        <w:rPr>
          <w:vertAlign w:val="superscript"/>
          <w:rtl/>
        </w:rPr>
        <w:t>)</w:t>
      </w:r>
      <w:r>
        <w:rPr>
          <w:rtl/>
        </w:rPr>
        <w:t>. ووفقا للخطة الإنمائية الاستراتيجية الوطنية للفترة 2011-2030، حددت الحكومة التعليم</w:t>
      </w:r>
      <w:r>
        <w:rPr>
          <w:rFonts w:hint="cs"/>
          <w:rtl/>
        </w:rPr>
        <w:t> </w:t>
      </w:r>
      <w:r>
        <w:rPr>
          <w:rtl/>
        </w:rPr>
        <w:t>باعتباره أحد أهم قطاعات التنمية الوطنية التي أعطيت الأولوية لها. وفي هذا الصدد،</w:t>
      </w:r>
      <w:r>
        <w:rPr>
          <w:rFonts w:hint="cs"/>
          <w:rtl/>
        </w:rPr>
        <w:t> </w:t>
      </w:r>
      <w:r>
        <w:rPr>
          <w:rtl/>
        </w:rPr>
        <w:t>صممت الحكومة الدستورية الرابعة الخطة الاستراتيجية الوطنية للتعليم للفترة 2011-2030، وأقرتها أيضا بما يتيح فرص التعليم للجميع</w:t>
      </w:r>
      <w:r w:rsidRPr="00474CDC">
        <w:rPr>
          <w:vertAlign w:val="superscript"/>
          <w:rtl/>
        </w:rPr>
        <w:t>(</w:t>
      </w:r>
      <w:r w:rsidRPr="00474CDC">
        <w:rPr>
          <w:rStyle w:val="FootnoteReference"/>
          <w:szCs w:val="30"/>
          <w:rtl/>
        </w:rPr>
        <w:footnoteReference w:id="140"/>
      </w:r>
      <w:r w:rsidRPr="00474CDC">
        <w:rPr>
          <w:vertAlign w:val="superscript"/>
          <w:rtl/>
        </w:rPr>
        <w:t>)</w:t>
      </w:r>
      <w:r>
        <w:rPr>
          <w:rtl/>
        </w:rPr>
        <w:t xml:space="preserve">. </w:t>
      </w:r>
    </w:p>
    <w:p w:rsidR="009862F2" w:rsidRDefault="009862F2" w:rsidP="009862F2">
      <w:pPr>
        <w:pStyle w:val="SingleTxt"/>
        <w:rPr>
          <w:rFonts w:hint="cs"/>
          <w:rtl/>
        </w:rPr>
      </w:pPr>
      <w:r>
        <w:rPr>
          <w:rtl/>
        </w:rPr>
        <w:t>١٨٠</w:t>
      </w:r>
      <w:r>
        <w:rPr>
          <w:rFonts w:hint="cs"/>
          <w:rtl/>
        </w:rPr>
        <w:t xml:space="preserve"> </w:t>
      </w:r>
      <w:r>
        <w:rPr>
          <w:rtl/>
        </w:rPr>
        <w:t xml:space="preserve">- ومن بين 13 قطاعا من قطاعات التعليم ذات الأولوية في الخطة الاستراتيجية التعليمية الوطنية للفترة 2011-2030، هناك فرع محدد بشأن </w:t>
      </w:r>
      <w:r>
        <w:rPr>
          <w:rFonts w:hint="cs"/>
          <w:rtl/>
        </w:rPr>
        <w:t>”</w:t>
      </w:r>
      <w:r>
        <w:rPr>
          <w:rtl/>
        </w:rPr>
        <w:t>الإدماج الاجتماعي</w:t>
      </w:r>
      <w:r>
        <w:rPr>
          <w:rFonts w:hint="cs"/>
          <w:rtl/>
        </w:rPr>
        <w:t>“</w:t>
      </w:r>
      <w:r>
        <w:rPr>
          <w:rtl/>
        </w:rPr>
        <w:t xml:space="preserve"> يكفل المساواة في الفرص في التعليم والتدريب المهني للجميع من الإناث والذكور</w:t>
      </w:r>
      <w:r w:rsidRPr="00656420">
        <w:rPr>
          <w:vertAlign w:val="superscript"/>
          <w:rtl/>
        </w:rPr>
        <w:t>(</w:t>
      </w:r>
      <w:r w:rsidRPr="00656420">
        <w:rPr>
          <w:rStyle w:val="FootnoteReference"/>
          <w:szCs w:val="30"/>
          <w:rtl/>
        </w:rPr>
        <w:footnoteReference w:id="141"/>
      </w:r>
      <w:r w:rsidRPr="00656420">
        <w:rPr>
          <w:vertAlign w:val="superscript"/>
          <w:rtl/>
        </w:rPr>
        <w:t>)</w:t>
      </w:r>
      <w:r>
        <w:rPr>
          <w:rtl/>
        </w:rPr>
        <w:t>.</w:t>
      </w:r>
    </w:p>
    <w:p w:rsidR="009862F2" w:rsidRPr="00987D55" w:rsidRDefault="009862F2" w:rsidP="00987D55">
      <w:pPr>
        <w:pStyle w:val="SingleTxt"/>
        <w:spacing w:after="0" w:line="120" w:lineRule="exact"/>
        <w:rPr>
          <w:rFonts w:hint="cs"/>
          <w:sz w:val="10"/>
          <w:rtl/>
        </w:rPr>
      </w:pPr>
    </w:p>
    <w:p w:rsidR="00987D55" w:rsidRDefault="00987D55" w:rsidP="00987D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مشاركة المرأة في التعليم</w:t>
      </w:r>
    </w:p>
    <w:p w:rsidR="00987D55" w:rsidRPr="006B4695"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6B4695">
        <w:rPr>
          <w:rtl/>
        </w:rPr>
        <w:t>التعليم الرسمي</w:t>
      </w:r>
    </w:p>
    <w:p w:rsidR="00987D55" w:rsidRDefault="00987D55" w:rsidP="00987D55">
      <w:pPr>
        <w:pStyle w:val="SingleTxt"/>
        <w:rPr>
          <w:rtl/>
        </w:rPr>
      </w:pPr>
      <w:r>
        <w:rPr>
          <w:rtl/>
        </w:rPr>
        <w:t>181 -</w:t>
      </w:r>
      <w:r>
        <w:rPr>
          <w:rFonts w:hint="cs"/>
          <w:rtl/>
        </w:rPr>
        <w:t xml:space="preserve"> </w:t>
      </w:r>
      <w:r>
        <w:rPr>
          <w:rtl/>
        </w:rPr>
        <w:t xml:space="preserve">تستهدف تيمور </w:t>
      </w:r>
      <w:r>
        <w:rPr>
          <w:rFonts w:hint="cs"/>
          <w:rtl/>
        </w:rPr>
        <w:t xml:space="preserve">- </w:t>
      </w:r>
      <w:r>
        <w:rPr>
          <w:rtl/>
        </w:rPr>
        <w:t>ليشتي تحقيق نسبة 88 في المائة، لالتحاق الأطفال في السن المناسب بالمدارس، للتسجيل في الصفوف من 1 إلى 6 بحلول عام 2015. وقد تجاوزت هذا الرقم في عام 2011، حيث سُجِل 90 في المائة من الأطفال في السن المناسب للالتحاق بالمدارس في التعليم الأساسي</w:t>
      </w:r>
      <w:r w:rsidRPr="006B4695">
        <w:rPr>
          <w:vertAlign w:val="superscript"/>
          <w:rtl/>
        </w:rPr>
        <w:t>(</w:t>
      </w:r>
      <w:r w:rsidRPr="006B4695">
        <w:rPr>
          <w:rStyle w:val="FootnoteReference"/>
          <w:szCs w:val="30"/>
          <w:rtl/>
        </w:rPr>
        <w:footnoteReference w:id="142"/>
      </w:r>
      <w:r w:rsidRPr="006B4695">
        <w:rPr>
          <w:vertAlign w:val="superscript"/>
          <w:rtl/>
        </w:rPr>
        <w:t>)</w:t>
      </w:r>
      <w:r>
        <w:rPr>
          <w:rtl/>
        </w:rPr>
        <w:t xml:space="preserve"> مقارنة بنسبة 83</w:t>
      </w:r>
      <w:r>
        <w:rPr>
          <w:rFonts w:hint="cs"/>
          <w:rtl/>
        </w:rPr>
        <w:t xml:space="preserve"> في المائة</w:t>
      </w:r>
      <w:r>
        <w:rPr>
          <w:rtl/>
        </w:rPr>
        <w:t xml:space="preserve"> في عام 2008. ومع ذلك فعدد البنين المسجلين بصفة عامة، أكثر من عدد البنات ، بما يعادل 9 بنات مقابل كل 10 من البنين المسجلين في المدارس الابتدائية والثانوية (52 في المائة للبنين/48 في المائة للبنات)</w:t>
      </w:r>
      <w:r w:rsidRPr="006B4695">
        <w:rPr>
          <w:vertAlign w:val="superscript"/>
          <w:rtl/>
        </w:rPr>
        <w:t>(</w:t>
      </w:r>
      <w:r w:rsidRPr="006B4695">
        <w:rPr>
          <w:rStyle w:val="FootnoteReference"/>
          <w:szCs w:val="30"/>
          <w:rtl/>
        </w:rPr>
        <w:footnoteReference w:id="143"/>
      </w:r>
      <w:r w:rsidRPr="006B4695">
        <w:rPr>
          <w:vertAlign w:val="superscript"/>
          <w:rtl/>
        </w:rPr>
        <w:t>)</w:t>
      </w:r>
      <w:r>
        <w:rPr>
          <w:rtl/>
        </w:rPr>
        <w:t>.</w:t>
      </w:r>
    </w:p>
    <w:p w:rsidR="00987D55" w:rsidRDefault="00987D55" w:rsidP="00987D55">
      <w:pPr>
        <w:pStyle w:val="SingleTxt"/>
        <w:rPr>
          <w:rtl/>
        </w:rPr>
      </w:pPr>
      <w:r>
        <w:rPr>
          <w:rtl/>
        </w:rPr>
        <w:t>182 -</w:t>
      </w:r>
      <w:r>
        <w:rPr>
          <w:rFonts w:hint="cs"/>
          <w:rtl/>
        </w:rPr>
        <w:t xml:space="preserve"> </w:t>
      </w:r>
      <w:r>
        <w:rPr>
          <w:rtl/>
        </w:rPr>
        <w:t xml:space="preserve">وفي ما يتعلق بالمدارس الثانوية العليا (الثانوية العامة) والتعليم الفني، هناك حوالي </w:t>
      </w:r>
      <w:r>
        <w:rPr>
          <w:rFonts w:hint="cs"/>
          <w:rtl/>
        </w:rPr>
        <w:t>603 20</w:t>
      </w:r>
      <w:r>
        <w:rPr>
          <w:rtl/>
        </w:rPr>
        <w:t xml:space="preserve"> (49</w:t>
      </w:r>
      <w:r>
        <w:rPr>
          <w:rFonts w:hint="cs"/>
          <w:rtl/>
        </w:rPr>
        <w:t>.</w:t>
      </w:r>
      <w:r>
        <w:rPr>
          <w:rtl/>
        </w:rPr>
        <w:t>4</w:t>
      </w:r>
      <w:r>
        <w:rPr>
          <w:rFonts w:hint="cs"/>
          <w:rtl/>
        </w:rPr>
        <w:t xml:space="preserve"> </w:t>
      </w:r>
      <w:r>
        <w:rPr>
          <w:rtl/>
        </w:rPr>
        <w:t>في المائة) من الذكور و</w:t>
      </w:r>
      <w:r>
        <w:rPr>
          <w:rFonts w:hint="cs"/>
          <w:rtl/>
        </w:rPr>
        <w:t xml:space="preserve"> 107 21</w:t>
      </w:r>
      <w:r>
        <w:rPr>
          <w:rtl/>
        </w:rPr>
        <w:t xml:space="preserve"> (50</w:t>
      </w:r>
      <w:r>
        <w:rPr>
          <w:rFonts w:hint="cs"/>
          <w:rtl/>
        </w:rPr>
        <w:t>.</w:t>
      </w:r>
      <w:r>
        <w:rPr>
          <w:rtl/>
        </w:rPr>
        <w:t>6 في المائة) من الإناث، وهو ما</w:t>
      </w:r>
      <w:r>
        <w:rPr>
          <w:rFonts w:hint="cs"/>
          <w:rtl/>
        </w:rPr>
        <w:t> </w:t>
      </w:r>
      <w:r>
        <w:rPr>
          <w:rtl/>
        </w:rPr>
        <w:t>يعني أن هناك إناثا أكثر بقليل من الذكور في المدرسة الثانوية وفقا لبيانات وزارة التعليم</w:t>
      </w:r>
      <w:r w:rsidRPr="003209E2">
        <w:rPr>
          <w:vertAlign w:val="superscript"/>
          <w:rtl/>
        </w:rPr>
        <w:t>(</w:t>
      </w:r>
      <w:r w:rsidRPr="003209E2">
        <w:rPr>
          <w:rStyle w:val="FootnoteReference"/>
          <w:szCs w:val="30"/>
          <w:rtl/>
        </w:rPr>
        <w:footnoteReference w:id="144"/>
      </w:r>
      <w:r w:rsidRPr="003209E2">
        <w:rPr>
          <w:vertAlign w:val="superscript"/>
          <w:rtl/>
        </w:rPr>
        <w:t>)</w:t>
      </w:r>
      <w:r>
        <w:rPr>
          <w:rtl/>
        </w:rPr>
        <w:t>. وتختلف معدلات الحضور الفعلية المتوفرة من تعداد سكان عام 2010، اختلافا قليلا، حيث تبلغ نسبة طالبات المدارس الثانوية 48 في المائة، وتبلغ نسبة طلاب المدارس الثانوية 52 في المائة</w:t>
      </w:r>
      <w:r w:rsidRPr="00823C04">
        <w:rPr>
          <w:vertAlign w:val="superscript"/>
          <w:rtl/>
        </w:rPr>
        <w:t>(</w:t>
      </w:r>
      <w:r w:rsidRPr="00823C04">
        <w:rPr>
          <w:rStyle w:val="FootnoteReference"/>
          <w:szCs w:val="30"/>
          <w:rtl/>
        </w:rPr>
        <w:footnoteReference w:id="145"/>
      </w:r>
      <w:r w:rsidRPr="00823C04">
        <w:rPr>
          <w:vertAlign w:val="superscript"/>
          <w:rtl/>
        </w:rPr>
        <w:t>)</w:t>
      </w:r>
      <w:r>
        <w:rPr>
          <w:rtl/>
        </w:rPr>
        <w:t>. (يرجى الرجوع إلى الجدولين 2 و 3 في المرفقات)</w:t>
      </w:r>
      <w:r>
        <w:rPr>
          <w:rFonts w:hint="cs"/>
          <w:rtl/>
        </w:rPr>
        <w:t>.</w:t>
      </w:r>
    </w:p>
    <w:p w:rsidR="00987D55" w:rsidRDefault="00987D55" w:rsidP="00987D55">
      <w:pPr>
        <w:pStyle w:val="SingleTxt"/>
        <w:rPr>
          <w:rtl/>
        </w:rPr>
      </w:pPr>
      <w:r>
        <w:rPr>
          <w:rtl/>
        </w:rPr>
        <w:t>183 -</w:t>
      </w:r>
      <w:r>
        <w:rPr>
          <w:rFonts w:hint="cs"/>
          <w:rtl/>
        </w:rPr>
        <w:t xml:space="preserve"> </w:t>
      </w:r>
      <w:r>
        <w:rPr>
          <w:rtl/>
        </w:rPr>
        <w:t>وكشف تعداد سكان عام 2010 أن معدلات الحضور تكاد تتكافأ بين البنين والبنات أثناء سنوات التعليم الأساسي الإلزامي. وذلك يعني أنه هناك 98.9 من البنات مقابل كل 100 من البنين في المدارس الابتدائية. والحالة مماثلة في التعليم قبل الثانوي حيث هناك 102 من البنات الملتحقات لكل 100 من البنين. ولا نرى أنماط الالتحاق تتأرجح لصالح البنين إلا في مرحلة الدراسة الثانوية حيث تنتظم بالدراسة 92 من البنات مقابل كل 100 من البنين</w:t>
      </w:r>
      <w:r w:rsidRPr="0032753D">
        <w:rPr>
          <w:vertAlign w:val="superscript"/>
          <w:rtl/>
        </w:rPr>
        <w:t>(</w:t>
      </w:r>
      <w:r w:rsidRPr="0032753D">
        <w:rPr>
          <w:rStyle w:val="FootnoteReference"/>
          <w:szCs w:val="30"/>
          <w:rtl/>
        </w:rPr>
        <w:footnoteReference w:id="146"/>
      </w:r>
      <w:r w:rsidRPr="0032753D">
        <w:rPr>
          <w:vertAlign w:val="superscript"/>
          <w:rtl/>
        </w:rPr>
        <w:t>)</w:t>
      </w:r>
      <w:r>
        <w:rPr>
          <w:rtl/>
        </w:rPr>
        <w:t xml:space="preserve">. </w:t>
      </w:r>
    </w:p>
    <w:p w:rsidR="00987D55" w:rsidRDefault="00987D55" w:rsidP="00987D55">
      <w:pPr>
        <w:pStyle w:val="SingleTxt"/>
        <w:rPr>
          <w:rtl/>
        </w:rPr>
      </w:pPr>
      <w:r>
        <w:rPr>
          <w:rtl/>
        </w:rPr>
        <w:t>184 -</w:t>
      </w:r>
      <w:r>
        <w:rPr>
          <w:rFonts w:hint="cs"/>
          <w:rtl/>
        </w:rPr>
        <w:t xml:space="preserve"> </w:t>
      </w:r>
      <w:r>
        <w:rPr>
          <w:rtl/>
        </w:rPr>
        <w:t>وبشكل عام، ما زال هناك العديد من الأطفال الذين يتسربون من المدارس. إذ</w:t>
      </w:r>
      <w:r>
        <w:rPr>
          <w:rFonts w:hint="cs"/>
          <w:rtl/>
        </w:rPr>
        <w:t> </w:t>
      </w:r>
      <w:r>
        <w:rPr>
          <w:rtl/>
        </w:rPr>
        <w:t>يتسرب أكثر من 70</w:t>
      </w:r>
      <w:r>
        <w:rPr>
          <w:rFonts w:hint="cs"/>
          <w:rtl/>
        </w:rPr>
        <w:t xml:space="preserve"> في المائة</w:t>
      </w:r>
      <w:r>
        <w:rPr>
          <w:rtl/>
        </w:rPr>
        <w:t xml:space="preserve"> من الأطفال من المدرسة قبل بلوغ 9 سنوات، وتقع  أعلى نسبة تسرب في السنتين الأوليين من المدرسة الابتدائية. ويستغرق الأطفال بصفة عامة أيضا وقتا طويلا للغاية من أجل استكمال تعليمهم الأساسي، حيث يستغرقون 11.2 سنة في المتوسط لاستكمال الدراسة حتى الصف السادس</w:t>
      </w:r>
      <w:r w:rsidRPr="00B937DF">
        <w:rPr>
          <w:vertAlign w:val="superscript"/>
          <w:rtl/>
        </w:rPr>
        <w:t>(</w:t>
      </w:r>
      <w:r w:rsidRPr="00B937DF">
        <w:rPr>
          <w:rStyle w:val="FootnoteReference"/>
          <w:szCs w:val="30"/>
          <w:rtl/>
        </w:rPr>
        <w:footnoteReference w:id="147"/>
      </w:r>
      <w:r w:rsidRPr="00B937DF">
        <w:rPr>
          <w:vertAlign w:val="superscript"/>
          <w:rtl/>
        </w:rPr>
        <w:t>)</w:t>
      </w:r>
      <w:r>
        <w:rPr>
          <w:rtl/>
        </w:rPr>
        <w:t xml:space="preserve">. </w:t>
      </w:r>
    </w:p>
    <w:p w:rsidR="00987D55" w:rsidRDefault="00987D55" w:rsidP="00987D55">
      <w:pPr>
        <w:pStyle w:val="SingleTxt"/>
        <w:rPr>
          <w:rtl/>
        </w:rPr>
      </w:pPr>
      <w:r>
        <w:rPr>
          <w:rtl/>
        </w:rPr>
        <w:t>185 -</w:t>
      </w:r>
      <w:r>
        <w:rPr>
          <w:rFonts w:hint="cs"/>
          <w:rtl/>
        </w:rPr>
        <w:t xml:space="preserve"> </w:t>
      </w:r>
      <w:r>
        <w:rPr>
          <w:rtl/>
        </w:rPr>
        <w:t>وثمة جهود تبذلها الحكومة في إطار التعليم المبكر مع وضع خطة لإنشاء 150 مرفقا للتعليم قبل المدرسي، ولا سيما لاستهداف الأطفال في المناطق الريفية من أجل تيسير حصول الأطفال في سن الثالثة وما فوقها على التعليم المبكر، مما يعود بالفائدة إلى حد كبير على الفتيات الصغيرات من أجل التغلب على عقبة المسافة البعيدة عن المدرسة والمسائل الأمنية المتعلقة بالسفر</w:t>
      </w:r>
      <w:r w:rsidRPr="00B937DF">
        <w:rPr>
          <w:vertAlign w:val="superscript"/>
          <w:rtl/>
        </w:rPr>
        <w:t>(</w:t>
      </w:r>
      <w:r w:rsidRPr="00B937DF">
        <w:rPr>
          <w:rStyle w:val="FootnoteReference"/>
          <w:szCs w:val="30"/>
          <w:rtl/>
        </w:rPr>
        <w:footnoteReference w:id="148"/>
      </w:r>
      <w:r w:rsidRPr="00B937DF">
        <w:rPr>
          <w:vertAlign w:val="superscript"/>
          <w:rtl/>
        </w:rPr>
        <w:t>)</w:t>
      </w:r>
      <w:r>
        <w:rPr>
          <w:rtl/>
        </w:rPr>
        <w:t xml:space="preserve">. </w:t>
      </w:r>
    </w:p>
    <w:p w:rsidR="00987D55" w:rsidRPr="00F654EF"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87D55" w:rsidRPr="00F654EF"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F654EF">
        <w:rPr>
          <w:rtl/>
        </w:rPr>
        <w:t>التعليم غير الرسمي والقضاء على الأمية</w:t>
      </w:r>
    </w:p>
    <w:p w:rsidR="00987D55" w:rsidRDefault="00987D55" w:rsidP="00987D55">
      <w:pPr>
        <w:pStyle w:val="SingleTxt"/>
        <w:rPr>
          <w:rtl/>
        </w:rPr>
      </w:pPr>
      <w:r>
        <w:rPr>
          <w:rtl/>
        </w:rPr>
        <w:t>186 -</w:t>
      </w:r>
      <w:r>
        <w:rPr>
          <w:rFonts w:hint="cs"/>
          <w:rtl/>
        </w:rPr>
        <w:t xml:space="preserve"> </w:t>
      </w:r>
      <w:r>
        <w:rPr>
          <w:rtl/>
        </w:rPr>
        <w:t>تعتبر الحكومة القضاء على الأمية خطوة هامة في سبيل القضاء على الفقر في تيمور</w:t>
      </w:r>
      <w:r>
        <w:rPr>
          <w:rFonts w:hint="eastAsia"/>
          <w:rtl/>
        </w:rPr>
        <w:t> </w:t>
      </w:r>
      <w:r>
        <w:rPr>
          <w:rtl/>
        </w:rPr>
        <w:t>-</w:t>
      </w:r>
      <w:r>
        <w:rPr>
          <w:rFonts w:hint="cs"/>
          <w:rtl/>
        </w:rPr>
        <w:t xml:space="preserve"> </w:t>
      </w:r>
      <w:r>
        <w:rPr>
          <w:rtl/>
        </w:rPr>
        <w:t>ليشتي. وبالتالي، جرت أنشطة التعليم المستمر التي تضم برنامج الحملة الوطنية لمحو الأمية ودورات ما بعد محو الأمية وبرامج التعليم الأساسي والمعادلة الدراسية منذ عام 2008 في جميع مقاطعات تيمور</w:t>
      </w:r>
      <w:r>
        <w:rPr>
          <w:rFonts w:hint="cs"/>
          <w:rtl/>
        </w:rPr>
        <w:t xml:space="preserve"> </w:t>
      </w:r>
      <w:r>
        <w:rPr>
          <w:rtl/>
        </w:rPr>
        <w:t>-</w:t>
      </w:r>
      <w:r>
        <w:rPr>
          <w:rFonts w:hint="cs"/>
          <w:rtl/>
        </w:rPr>
        <w:t xml:space="preserve"> </w:t>
      </w:r>
      <w:r>
        <w:rPr>
          <w:rtl/>
        </w:rPr>
        <w:t>ليشتي البالغة 13 مقاطعة. وقد أنشأت وزارة التعليم، بدعم من منظمة اليونسكو ومنظمة اليونيسيف والبنك الدولي، مراكز التعلم المجتمعي في 3 مقاطعات (وهي، بازارتيت (ليقويشا) وليلابا (لوسبالوس) وكراراس (فيكيك)</w:t>
      </w:r>
      <w:r w:rsidRPr="00F654EF">
        <w:rPr>
          <w:vertAlign w:val="superscript"/>
          <w:rtl/>
        </w:rPr>
        <w:t>(</w:t>
      </w:r>
      <w:r w:rsidRPr="00F654EF">
        <w:rPr>
          <w:rStyle w:val="FootnoteReference"/>
          <w:szCs w:val="30"/>
          <w:rtl/>
        </w:rPr>
        <w:footnoteReference w:id="149"/>
      </w:r>
      <w:r w:rsidRPr="00F654EF">
        <w:rPr>
          <w:vertAlign w:val="superscript"/>
          <w:rtl/>
        </w:rPr>
        <w:t>)</w:t>
      </w:r>
      <w:r>
        <w:rPr>
          <w:rtl/>
        </w:rPr>
        <w:t>. (يرجى الرجوع إلى المرفقات</w:t>
      </w:r>
      <w:r>
        <w:rPr>
          <w:rFonts w:hint="cs"/>
          <w:rtl/>
        </w:rPr>
        <w:t xml:space="preserve"> </w:t>
      </w:r>
      <w:r>
        <w:rPr>
          <w:rtl/>
        </w:rPr>
        <w:t>-</w:t>
      </w:r>
      <w:r>
        <w:rPr>
          <w:rFonts w:hint="cs"/>
          <w:rtl/>
        </w:rPr>
        <w:t xml:space="preserve"> </w:t>
      </w:r>
      <w:r>
        <w:rPr>
          <w:rtl/>
        </w:rPr>
        <w:t>الجدول 4)</w:t>
      </w:r>
      <w:r>
        <w:rPr>
          <w:rFonts w:hint="cs"/>
          <w:rtl/>
        </w:rPr>
        <w:t>.</w:t>
      </w:r>
    </w:p>
    <w:p w:rsidR="00987D55" w:rsidRDefault="00987D55" w:rsidP="00987D55">
      <w:pPr>
        <w:pStyle w:val="SingleTxt"/>
        <w:rPr>
          <w:rtl/>
        </w:rPr>
      </w:pPr>
      <w:r>
        <w:rPr>
          <w:rtl/>
        </w:rPr>
        <w:t>187 -</w:t>
      </w:r>
      <w:r>
        <w:rPr>
          <w:rFonts w:hint="cs"/>
          <w:rtl/>
        </w:rPr>
        <w:t xml:space="preserve"> </w:t>
      </w:r>
      <w:r>
        <w:rPr>
          <w:rtl/>
        </w:rPr>
        <w:t xml:space="preserve">ويهدف برنامج الحملة الوطنية لمحو الأمية الذي يوفر محو الأمية الأساسية في مجال تعليم الكبار، الذي بدأ في عام 2007، إلى القضاء على الأمية في البلد بحلول عام 2015 بتطبيق النموذج التعليمي الكوبي (نعم أستطيع) </w:t>
      </w:r>
      <w:r>
        <w:rPr>
          <w:rFonts w:hint="cs"/>
          <w:rtl/>
        </w:rPr>
        <w:t>”</w:t>
      </w:r>
      <w:r>
        <w:t>Sim Eu Posso</w:t>
      </w:r>
      <w:r>
        <w:rPr>
          <w:rtl/>
        </w:rPr>
        <w:t xml:space="preserve"> ‘‘، لمدة 3 أشهر، الذي يوفر القراءة والكتابة</w:t>
      </w:r>
      <w:r w:rsidRPr="00F654EF">
        <w:rPr>
          <w:vertAlign w:val="superscript"/>
          <w:rtl/>
        </w:rPr>
        <w:t>(</w:t>
      </w:r>
      <w:r w:rsidRPr="00F654EF">
        <w:rPr>
          <w:rStyle w:val="FootnoteReference"/>
          <w:szCs w:val="30"/>
          <w:rtl/>
        </w:rPr>
        <w:footnoteReference w:id="150"/>
      </w:r>
      <w:r w:rsidRPr="00F654EF">
        <w:rPr>
          <w:vertAlign w:val="superscript"/>
          <w:rtl/>
        </w:rPr>
        <w:t>)</w:t>
      </w:r>
      <w:r>
        <w:rPr>
          <w:rtl/>
        </w:rPr>
        <w:t xml:space="preserve">. </w:t>
      </w:r>
    </w:p>
    <w:p w:rsidR="00987D55" w:rsidRDefault="00987D55" w:rsidP="00987D55">
      <w:pPr>
        <w:pStyle w:val="SingleTxt"/>
        <w:rPr>
          <w:rtl/>
        </w:rPr>
      </w:pPr>
      <w:r>
        <w:rPr>
          <w:rtl/>
        </w:rPr>
        <w:t>188 -</w:t>
      </w:r>
      <w:r>
        <w:rPr>
          <w:rFonts w:hint="cs"/>
          <w:rtl/>
        </w:rPr>
        <w:t xml:space="preserve"> </w:t>
      </w:r>
      <w:r>
        <w:rPr>
          <w:rtl/>
        </w:rPr>
        <w:t>وأفادت وزارة التعليم بأن 000 300 من الذكور والإناث شاركوا في برنامج محو الأمية في الفترة 2011-2012. وأُعلن عن محو أمية 463 204 فردا في عام 2013. وعلى الرغم من أن مديرية التعليم المستمر لم تنشر بعد إحصاءات رسمية، تشير التقديرات إلى أن المرأة تمثل أكثر من نسبة 65 في المائة من مجموع المشاركين</w:t>
      </w:r>
      <w:r w:rsidRPr="004F08CA">
        <w:rPr>
          <w:vertAlign w:val="superscript"/>
          <w:rtl/>
        </w:rPr>
        <w:t>(</w:t>
      </w:r>
      <w:r w:rsidRPr="004F08CA">
        <w:rPr>
          <w:rStyle w:val="FootnoteReference"/>
          <w:szCs w:val="30"/>
          <w:rtl/>
        </w:rPr>
        <w:footnoteReference w:id="151"/>
      </w:r>
      <w:r w:rsidRPr="004F08CA">
        <w:rPr>
          <w:vertAlign w:val="superscript"/>
          <w:rtl/>
        </w:rPr>
        <w:t>)</w:t>
      </w:r>
      <w:r>
        <w:rPr>
          <w:rtl/>
        </w:rPr>
        <w:t xml:space="preserve">. </w:t>
      </w:r>
    </w:p>
    <w:p w:rsidR="00987D55" w:rsidRDefault="00987D55" w:rsidP="00987D55">
      <w:pPr>
        <w:pStyle w:val="SingleTxt"/>
        <w:rPr>
          <w:rtl/>
        </w:rPr>
      </w:pPr>
      <w:r>
        <w:rPr>
          <w:rtl/>
        </w:rPr>
        <w:t>189 -</w:t>
      </w:r>
      <w:r>
        <w:rPr>
          <w:rFonts w:hint="cs"/>
          <w:rtl/>
        </w:rPr>
        <w:t xml:space="preserve"> و</w:t>
      </w:r>
      <w:r>
        <w:rPr>
          <w:rtl/>
        </w:rPr>
        <w:t>من المقرر في هذه المرحلة الثانية من برنامج محو الأمية إنشاء 62 مركزا جديدا للتعلم المجتمعي، تغطي جميع مقاطعات تيمور</w:t>
      </w:r>
      <w:r>
        <w:rPr>
          <w:rFonts w:hint="cs"/>
          <w:rtl/>
        </w:rPr>
        <w:t xml:space="preserve"> </w:t>
      </w:r>
      <w:r>
        <w:rPr>
          <w:rtl/>
        </w:rPr>
        <w:t>-</w:t>
      </w:r>
      <w:r>
        <w:rPr>
          <w:rFonts w:hint="cs"/>
          <w:rtl/>
        </w:rPr>
        <w:t xml:space="preserve"> </w:t>
      </w:r>
      <w:r>
        <w:rPr>
          <w:rtl/>
        </w:rPr>
        <w:t>ليشتي الفرعية البالغة 65 مقاطعة</w:t>
      </w:r>
      <w:r w:rsidRPr="004F08CA">
        <w:rPr>
          <w:vertAlign w:val="superscript"/>
          <w:rtl/>
        </w:rPr>
        <w:t>(</w:t>
      </w:r>
      <w:r w:rsidRPr="004F08CA">
        <w:rPr>
          <w:rStyle w:val="FootnoteReference"/>
          <w:szCs w:val="30"/>
          <w:rtl/>
        </w:rPr>
        <w:footnoteReference w:id="152"/>
      </w:r>
      <w:r w:rsidRPr="004F08CA">
        <w:rPr>
          <w:vertAlign w:val="superscript"/>
          <w:rtl/>
        </w:rPr>
        <w:t>)</w:t>
      </w:r>
      <w:r>
        <w:rPr>
          <w:rtl/>
        </w:rPr>
        <w:t xml:space="preserve">. وبدأت هذه المرحلة الثانية في أوائل عام 2013، بهدف تعزيز مهارات القراءة والكتابة لدى من تجاوزوا سن الالتحاق بالمدرسة (من 14 سنة إلى سن البلوغ) من خلال برنامج (التقدم إلى الأمام) </w:t>
      </w:r>
      <w:r>
        <w:rPr>
          <w:rFonts w:hint="cs"/>
          <w:rtl/>
        </w:rPr>
        <w:t>”</w:t>
      </w:r>
      <w:r>
        <w:t>Passo em Frente</w:t>
      </w:r>
      <w:r>
        <w:rPr>
          <w:rtl/>
        </w:rPr>
        <w:t xml:space="preserve"> ‘‘ وهو ما يؤذن بالانتقال من محو الأمية الأساسية وأخيرا برنامج (على الطريق) </w:t>
      </w:r>
      <w:r>
        <w:rPr>
          <w:rFonts w:hint="cs"/>
          <w:rtl/>
        </w:rPr>
        <w:t>”</w:t>
      </w:r>
      <w:r>
        <w:t>a Caminho</w:t>
      </w:r>
      <w:r>
        <w:rPr>
          <w:rtl/>
        </w:rPr>
        <w:t xml:space="preserve">‘‘ مع إمكانية الوصول إلى البرنامج الوطني (المعادلة الدراسية) </w:t>
      </w:r>
      <w:r>
        <w:rPr>
          <w:rFonts w:hint="cs"/>
          <w:rtl/>
        </w:rPr>
        <w:t>”</w:t>
      </w:r>
      <w:r>
        <w:t>Equivalencia</w:t>
      </w:r>
      <w:r>
        <w:rPr>
          <w:rtl/>
        </w:rPr>
        <w:t>‘‘ في التعليم الأساسي</w:t>
      </w:r>
      <w:r w:rsidRPr="004F08CA">
        <w:rPr>
          <w:vertAlign w:val="superscript"/>
          <w:rtl/>
        </w:rPr>
        <w:t>(</w:t>
      </w:r>
      <w:r w:rsidRPr="004F08CA">
        <w:rPr>
          <w:rStyle w:val="FootnoteReference"/>
          <w:szCs w:val="30"/>
          <w:rtl/>
        </w:rPr>
        <w:footnoteReference w:id="153"/>
      </w:r>
      <w:r w:rsidRPr="004F08CA">
        <w:rPr>
          <w:vertAlign w:val="superscript"/>
          <w:rtl/>
        </w:rPr>
        <w:t>)</w:t>
      </w:r>
      <w:r>
        <w:rPr>
          <w:rtl/>
        </w:rPr>
        <w:t>.</w:t>
      </w:r>
    </w:p>
    <w:p w:rsidR="00987D55" w:rsidRPr="004F08CA"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87D55" w:rsidRPr="004F08CA"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4F08CA">
        <w:rPr>
          <w:rtl/>
        </w:rPr>
        <w:t>تسرب الفتيات من المدارس وأسبابه</w:t>
      </w:r>
    </w:p>
    <w:p w:rsidR="00987D55" w:rsidRDefault="00987D55" w:rsidP="00987D55">
      <w:pPr>
        <w:pStyle w:val="SingleTxt"/>
        <w:rPr>
          <w:rtl/>
        </w:rPr>
      </w:pPr>
      <w:r>
        <w:rPr>
          <w:rtl/>
        </w:rPr>
        <w:t>190 -</w:t>
      </w:r>
      <w:r>
        <w:rPr>
          <w:rFonts w:hint="cs"/>
          <w:rtl/>
        </w:rPr>
        <w:t xml:space="preserve"> </w:t>
      </w:r>
      <w:r>
        <w:rPr>
          <w:rtl/>
        </w:rPr>
        <w:t>يمكن أن يعزى العدد الكبير للمتسربات من المدارس والصعوبات التي تعترض تحسين معدل حضور الطالبات إلى عدة عوامل من قبيل عدم كفاية المرافق المدرسية، بما في ذلك إمكانية الحصول على المياه النظيفة وخدمات الصرف الصحي؛ ونقص المعلمين المؤهلين؛ والزواج المبكر والحمل غير المرغوب فيه؛ والحواجز اللغوية، حيث تُكتب معظم الكتب الدراسية باللغة البرتغالية؛ والعنف، بما في ذلك العنف الجنسي في المدارس</w:t>
      </w:r>
      <w:r w:rsidRPr="004F08CA">
        <w:rPr>
          <w:vertAlign w:val="superscript"/>
          <w:rtl/>
        </w:rPr>
        <w:t>(</w:t>
      </w:r>
      <w:r w:rsidRPr="004F08CA">
        <w:rPr>
          <w:rStyle w:val="FootnoteReference"/>
          <w:szCs w:val="30"/>
          <w:rtl/>
        </w:rPr>
        <w:footnoteReference w:id="154"/>
      </w:r>
      <w:r w:rsidRPr="004F08CA">
        <w:rPr>
          <w:vertAlign w:val="superscript"/>
          <w:rtl/>
        </w:rPr>
        <w:t>)</w:t>
      </w:r>
      <w:r>
        <w:rPr>
          <w:rtl/>
        </w:rPr>
        <w:t xml:space="preserve">. </w:t>
      </w:r>
    </w:p>
    <w:p w:rsidR="00987D55" w:rsidRDefault="00987D55" w:rsidP="00987D55">
      <w:pPr>
        <w:pStyle w:val="SingleTxt"/>
        <w:rPr>
          <w:rtl/>
        </w:rPr>
      </w:pPr>
      <w:r>
        <w:rPr>
          <w:rtl/>
        </w:rPr>
        <w:t>191 -</w:t>
      </w:r>
      <w:r>
        <w:rPr>
          <w:rFonts w:hint="cs"/>
          <w:rtl/>
        </w:rPr>
        <w:t xml:space="preserve"> </w:t>
      </w:r>
      <w:r>
        <w:rPr>
          <w:rtl/>
        </w:rPr>
        <w:t xml:space="preserve">وتنفذ وزارة التعليم، بدعم من الوكالة الأمريكية للتنمية الدولية ومنظمة </w:t>
      </w:r>
      <w:r>
        <w:rPr>
          <w:rFonts w:hint="cs"/>
          <w:rtl/>
        </w:rPr>
        <w:t>”</w:t>
      </w:r>
      <w:r>
        <w:rPr>
          <w:rtl/>
        </w:rPr>
        <w:t>كير</w:t>
      </w:r>
      <w:r>
        <w:rPr>
          <w:rFonts w:hint="cs"/>
          <w:rtl/>
        </w:rPr>
        <w:t>“</w:t>
      </w:r>
      <w:r>
        <w:rPr>
          <w:rtl/>
        </w:rPr>
        <w:t xml:space="preserve"> الدولية، برنامجا تجريبيا لمنع التسرب من المدارس، وهو برنامج متعدد البلدان مدته 3 سنوات، بهدف التخفيف من عدد المتسربين من المدارس الابتدائية والثانوية. وبدأ البرنامج التدريبي في أوائل عام 2012، ويطبق الآن في حوالي 200 مدرسة في 5 مقاطعات</w:t>
      </w:r>
      <w:r w:rsidRPr="00875C2E">
        <w:rPr>
          <w:vertAlign w:val="superscript"/>
          <w:rtl/>
        </w:rPr>
        <w:t>(</w:t>
      </w:r>
      <w:r w:rsidRPr="00875C2E">
        <w:rPr>
          <w:rStyle w:val="FootnoteReference"/>
          <w:szCs w:val="30"/>
          <w:rtl/>
        </w:rPr>
        <w:footnoteReference w:id="155"/>
      </w:r>
      <w:r w:rsidRPr="00875C2E">
        <w:rPr>
          <w:vertAlign w:val="superscript"/>
          <w:rtl/>
        </w:rPr>
        <w:t>)</w:t>
      </w:r>
      <w:r>
        <w:rPr>
          <w:rtl/>
        </w:rPr>
        <w:t>.</w:t>
      </w:r>
    </w:p>
    <w:p w:rsidR="00987D55" w:rsidRPr="004F08CA"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87D55" w:rsidRPr="004F08CA"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4F08CA">
        <w:rPr>
          <w:rtl/>
        </w:rPr>
        <w:t>آليات إعادة الالتحاق بالمدارس</w:t>
      </w:r>
    </w:p>
    <w:p w:rsidR="00987D55" w:rsidRDefault="00987D55" w:rsidP="00987D55">
      <w:pPr>
        <w:pStyle w:val="SingleTxt"/>
        <w:rPr>
          <w:rtl/>
        </w:rPr>
      </w:pPr>
      <w:r>
        <w:rPr>
          <w:rtl/>
        </w:rPr>
        <w:t>192 -</w:t>
      </w:r>
      <w:r>
        <w:rPr>
          <w:rFonts w:hint="cs"/>
          <w:rtl/>
        </w:rPr>
        <w:t xml:space="preserve"> </w:t>
      </w:r>
      <w:r>
        <w:rPr>
          <w:rtl/>
        </w:rPr>
        <w:t>أفادت المديرية الوطنية للتعليم الثانوي العام بوزارة التعليم بأن حالات تسرب البنات من المدارس غالبا ما تتعلق بالحمل غير المرغوب فيه، والمعتقدات التقليدية بشأن تعليم البنات، والإخفاق في الامتحانات النهائية، والمرض، والعنف الجنسي في بعض الحالات النادرة</w:t>
      </w:r>
      <w:r w:rsidRPr="007F2AE2">
        <w:rPr>
          <w:vertAlign w:val="superscript"/>
          <w:rtl/>
        </w:rPr>
        <w:t>(</w:t>
      </w:r>
      <w:r w:rsidRPr="007F2AE2">
        <w:rPr>
          <w:rStyle w:val="FootnoteReference"/>
          <w:szCs w:val="30"/>
          <w:rtl/>
        </w:rPr>
        <w:footnoteReference w:id="156"/>
      </w:r>
      <w:r w:rsidRPr="007F2AE2">
        <w:rPr>
          <w:vertAlign w:val="superscript"/>
          <w:rtl/>
        </w:rPr>
        <w:t>)</w:t>
      </w:r>
      <w:r>
        <w:rPr>
          <w:rtl/>
        </w:rPr>
        <w:t>.</w:t>
      </w:r>
    </w:p>
    <w:p w:rsidR="00987D55" w:rsidRDefault="00987D55" w:rsidP="00987D55">
      <w:pPr>
        <w:pStyle w:val="SingleTxt"/>
        <w:rPr>
          <w:rtl/>
        </w:rPr>
      </w:pPr>
      <w:r>
        <w:rPr>
          <w:rtl/>
        </w:rPr>
        <w:t>193 -</w:t>
      </w:r>
      <w:r>
        <w:rPr>
          <w:rFonts w:hint="cs"/>
          <w:rtl/>
        </w:rPr>
        <w:t xml:space="preserve"> </w:t>
      </w:r>
      <w:r>
        <w:rPr>
          <w:rtl/>
        </w:rPr>
        <w:t>ولا تعتمد الحكومة حتى الآن سياسة رسمية لإعادة الالتحاق بالمدارس (فيما يتصل بحمل المراهقات). ومع ذلك، تم تنفيذ آليات مؤقتة من أجل تيسير عودة الطالبات إلى التعليم، من قبيل نقل الفتيات إلى مدارس أخرى بعد ولادتهن (بناء على طلبهن بسبب مسائل اجتماعية وثقافية)، وتوفير الوقت والمكان الخاصين للطالبات الحوامل لأداء امتحاناتهن النهائية (تفاديا للضغوط من الطلاب الآخرين، والشعور بانعدام الأمن)</w:t>
      </w:r>
      <w:r w:rsidRPr="007F2AE2">
        <w:rPr>
          <w:vertAlign w:val="superscript"/>
          <w:rtl/>
        </w:rPr>
        <w:t>(</w:t>
      </w:r>
      <w:r w:rsidRPr="007F2AE2">
        <w:rPr>
          <w:rStyle w:val="FootnoteReference"/>
          <w:szCs w:val="30"/>
          <w:rtl/>
        </w:rPr>
        <w:footnoteReference w:id="157"/>
      </w:r>
      <w:r w:rsidRPr="007F2AE2">
        <w:rPr>
          <w:vertAlign w:val="superscript"/>
          <w:rtl/>
        </w:rPr>
        <w:t>)</w:t>
      </w:r>
      <w:r>
        <w:rPr>
          <w:rFonts w:hint="cs"/>
          <w:rtl/>
        </w:rPr>
        <w:t>.</w:t>
      </w:r>
    </w:p>
    <w:p w:rsidR="00987D55" w:rsidRDefault="00987D55" w:rsidP="00987D55">
      <w:pPr>
        <w:pStyle w:val="SingleTxt"/>
        <w:rPr>
          <w:rtl/>
        </w:rPr>
      </w:pPr>
      <w:r>
        <w:rPr>
          <w:rtl/>
        </w:rPr>
        <w:t>194 -</w:t>
      </w:r>
      <w:r>
        <w:rPr>
          <w:rFonts w:hint="cs"/>
          <w:rtl/>
        </w:rPr>
        <w:t xml:space="preserve"> </w:t>
      </w:r>
      <w:r>
        <w:rPr>
          <w:rtl/>
        </w:rPr>
        <w:t xml:space="preserve">ويشمل مشروع قانون الطفل، وهو حاليا قيد موافقة مجلس الوزراء، نصا متعلقا بإعادة إدماج الطالبات الحوامل في المدارس، ويحظر </w:t>
      </w:r>
      <w:r>
        <w:rPr>
          <w:rFonts w:hint="cs"/>
          <w:rtl/>
        </w:rPr>
        <w:t>”</w:t>
      </w:r>
      <w:r>
        <w:rPr>
          <w:rtl/>
        </w:rPr>
        <w:t>أي إجراء تأديبي على أساس الحمل</w:t>
      </w:r>
      <w:r>
        <w:rPr>
          <w:rFonts w:hint="cs"/>
          <w:rtl/>
        </w:rPr>
        <w:t>“</w:t>
      </w:r>
      <w:r>
        <w:rPr>
          <w:rtl/>
        </w:rPr>
        <w:t xml:space="preserve">، ويهيب بالدولة </w:t>
      </w:r>
      <w:r>
        <w:rPr>
          <w:rFonts w:hint="cs"/>
          <w:rtl/>
        </w:rPr>
        <w:t>”</w:t>
      </w:r>
      <w:r>
        <w:rPr>
          <w:rtl/>
        </w:rPr>
        <w:t>أن تكفل نظاما لحضور الطالبات الحوامل والأمهات الدراسات المدرسية ومواصلتها واستكمالها</w:t>
      </w:r>
      <w:r>
        <w:rPr>
          <w:rFonts w:hint="cs"/>
          <w:rtl/>
        </w:rPr>
        <w:t>“</w:t>
      </w:r>
      <w:r>
        <w:rPr>
          <w:rtl/>
        </w:rPr>
        <w:t xml:space="preserve"> (المادة 31)</w:t>
      </w:r>
      <w:r w:rsidRPr="007F2AE2">
        <w:rPr>
          <w:vertAlign w:val="superscript"/>
          <w:rtl/>
        </w:rPr>
        <w:t>(</w:t>
      </w:r>
      <w:r w:rsidRPr="007F2AE2">
        <w:rPr>
          <w:rStyle w:val="FootnoteReference"/>
          <w:szCs w:val="30"/>
          <w:rtl/>
        </w:rPr>
        <w:footnoteReference w:id="158"/>
      </w:r>
      <w:r w:rsidRPr="007F2AE2">
        <w:rPr>
          <w:vertAlign w:val="superscript"/>
          <w:rtl/>
        </w:rPr>
        <w:t>)</w:t>
      </w:r>
      <w:r>
        <w:rPr>
          <w:rtl/>
        </w:rPr>
        <w:t xml:space="preserve">. </w:t>
      </w:r>
    </w:p>
    <w:p w:rsidR="00987D55" w:rsidRPr="008F09BF"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87D55" w:rsidRPr="008F09BF"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F09BF">
        <w:rPr>
          <w:rtl/>
        </w:rPr>
        <w:t>تحسين جودة أساليب التعليم في المدارس</w:t>
      </w:r>
    </w:p>
    <w:p w:rsidR="00987D55" w:rsidRDefault="00987D55" w:rsidP="00987D55">
      <w:pPr>
        <w:pStyle w:val="SingleTxt"/>
        <w:rPr>
          <w:rtl/>
        </w:rPr>
      </w:pPr>
      <w:r>
        <w:rPr>
          <w:rtl/>
        </w:rPr>
        <w:t>195 -</w:t>
      </w:r>
      <w:r>
        <w:rPr>
          <w:rFonts w:hint="cs"/>
          <w:rtl/>
        </w:rPr>
        <w:t xml:space="preserve"> </w:t>
      </w:r>
      <w:r>
        <w:rPr>
          <w:rtl/>
        </w:rPr>
        <w:t xml:space="preserve">لم يكن 75 في المائة من أصل </w:t>
      </w:r>
      <w:r>
        <w:rPr>
          <w:rFonts w:hint="cs"/>
          <w:rtl/>
        </w:rPr>
        <w:t>000 12</w:t>
      </w:r>
      <w:r>
        <w:rPr>
          <w:rtl/>
        </w:rPr>
        <w:t xml:space="preserve"> معلم في تيمور </w:t>
      </w:r>
      <w:r>
        <w:rPr>
          <w:rFonts w:hint="cs"/>
          <w:rtl/>
        </w:rPr>
        <w:t xml:space="preserve">- </w:t>
      </w:r>
      <w:r>
        <w:rPr>
          <w:rtl/>
        </w:rPr>
        <w:t>ليشتي مؤهلين للتدريس في عام 2007 وفقا للمعايير المحددة في قانون التعليم الوطني في البلد على نحو ما ورد في تقرير البرنامج الوطني للتنمية البشرية عام 2011. ويعد نقص المدرسين المؤهلين من العوامل المساهمة في أعداد المتسربين من المدارس. واستجابة لذلك، قدمت الحكومة، في عام 2008، التدريب المكثف لـ 000 3 معلم. وفي عام 2009، اتسع نطاق هذا البرنامج ليشمل ما</w:t>
      </w:r>
      <w:r>
        <w:rPr>
          <w:rFonts w:hint="cs"/>
          <w:rtl/>
        </w:rPr>
        <w:t> </w:t>
      </w:r>
      <w:r>
        <w:rPr>
          <w:rtl/>
        </w:rPr>
        <w:t>تبقى من 000 9 معلم. وفي الفترة 2011-2012، أكمل 617 معلما دراسات جامعية، وينتظم في الوقت الراهن 36 معلما في دراسات عليا. ويلزم جميع المدرسين الآن حضور هذه البرامج التدريبية المكثفة، وهي تتم في شكل مبادرة مستمرة</w:t>
      </w:r>
      <w:r w:rsidRPr="008F09BF">
        <w:rPr>
          <w:vertAlign w:val="superscript"/>
          <w:rtl/>
        </w:rPr>
        <w:t>(</w:t>
      </w:r>
      <w:r w:rsidRPr="008F09BF">
        <w:rPr>
          <w:rStyle w:val="FootnoteReference"/>
          <w:szCs w:val="30"/>
          <w:rtl/>
        </w:rPr>
        <w:footnoteReference w:id="159"/>
      </w:r>
      <w:r w:rsidRPr="008F09BF">
        <w:rPr>
          <w:vertAlign w:val="superscript"/>
          <w:rtl/>
        </w:rPr>
        <w:t>)</w:t>
      </w:r>
      <w:r>
        <w:rPr>
          <w:rtl/>
        </w:rPr>
        <w:t>.</w:t>
      </w:r>
    </w:p>
    <w:p w:rsidR="00987D55" w:rsidRDefault="00987D55" w:rsidP="00987D55">
      <w:pPr>
        <w:pStyle w:val="SingleTxt"/>
        <w:rPr>
          <w:rtl/>
        </w:rPr>
      </w:pPr>
      <w:r>
        <w:rPr>
          <w:rtl/>
        </w:rPr>
        <w:t>196 -</w:t>
      </w:r>
      <w:r>
        <w:rPr>
          <w:rFonts w:hint="cs"/>
          <w:rtl/>
        </w:rPr>
        <w:t xml:space="preserve"> </w:t>
      </w:r>
      <w:r>
        <w:rPr>
          <w:rtl/>
        </w:rPr>
        <w:t xml:space="preserve">وأنشأت وزارة التعليم، بالتعاون مع البعثة البرتغالية أيضا المعهد الوطني لتدريب المعلمين والمهنيين في مجال التعليم في عام 2011 من أجل تسهيل تدريب المعلمين في جميع مستويات التعليم. وفي عام 2011، تخرج ما مجموعه 375 معلما بدرجة البكالوريوس، ونحو </w:t>
      </w:r>
      <w:r>
        <w:rPr>
          <w:rFonts w:hint="cs"/>
          <w:rtl/>
        </w:rPr>
        <w:t>206 1</w:t>
      </w:r>
      <w:r>
        <w:rPr>
          <w:rtl/>
        </w:rPr>
        <w:t xml:space="preserve"> أكاديميين من التعليم العالي في عام 2012</w:t>
      </w:r>
      <w:r w:rsidRPr="002E2FC7">
        <w:rPr>
          <w:vertAlign w:val="superscript"/>
          <w:rtl/>
        </w:rPr>
        <w:t>(</w:t>
      </w:r>
      <w:r w:rsidRPr="002E2FC7">
        <w:rPr>
          <w:rStyle w:val="FootnoteReference"/>
          <w:szCs w:val="30"/>
          <w:rtl/>
        </w:rPr>
        <w:footnoteReference w:id="160"/>
      </w:r>
      <w:r w:rsidRPr="002E2FC7">
        <w:rPr>
          <w:vertAlign w:val="superscript"/>
          <w:rtl/>
        </w:rPr>
        <w:t>)</w:t>
      </w:r>
      <w:r>
        <w:rPr>
          <w:rtl/>
        </w:rPr>
        <w:t>.</w:t>
      </w:r>
    </w:p>
    <w:p w:rsidR="00987D55" w:rsidRPr="002D640C"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87D55" w:rsidRPr="002D640C"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2D640C">
        <w:rPr>
          <w:rtl/>
        </w:rPr>
        <w:t xml:space="preserve">تعاون الطلاب والآباء </w:t>
      </w:r>
    </w:p>
    <w:p w:rsidR="00987D55" w:rsidRDefault="00987D55" w:rsidP="00987D55">
      <w:pPr>
        <w:pStyle w:val="SingleTxt"/>
        <w:rPr>
          <w:rtl/>
        </w:rPr>
      </w:pPr>
      <w:r>
        <w:rPr>
          <w:rtl/>
        </w:rPr>
        <w:t xml:space="preserve">197 </w:t>
      </w:r>
      <w:r>
        <w:rPr>
          <w:rFonts w:hint="cs"/>
          <w:rtl/>
        </w:rPr>
        <w:t xml:space="preserve">- </w:t>
      </w:r>
      <w:r>
        <w:rPr>
          <w:rtl/>
        </w:rPr>
        <w:t>تلتزم وزارة التعليم في خطتها السنوية لعام 2013 بتعزيز الهياكل ووضع اللوائح من أجل إنشاء رابطات مجالس الطلاب والآباء، وذلك للعديد من الأسباب بما في ذلك تحسين الإدارة العامة للمدارس، وتخفيض معدلات تسرب الطلاب وتحسين البيئة التعليمية.</w:t>
      </w:r>
    </w:p>
    <w:p w:rsidR="009943B2" w:rsidRPr="009943B2" w:rsidRDefault="009943B2" w:rsidP="009943B2">
      <w:pPr>
        <w:pStyle w:val="SingleTxt"/>
        <w:spacing w:after="0" w:line="120" w:lineRule="exact"/>
        <w:rPr>
          <w:rFonts w:hint="cs"/>
          <w:sz w:val="10"/>
          <w:rtl/>
        </w:rPr>
      </w:pPr>
    </w:p>
    <w:p w:rsidR="00987D55" w:rsidRPr="002D640C"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D640C">
        <w:rPr>
          <w:rFonts w:hint="cs"/>
          <w:rtl/>
        </w:rPr>
        <w:tab/>
      </w:r>
      <w:r w:rsidRPr="002D640C">
        <w:rPr>
          <w:rFonts w:hint="cs"/>
          <w:rtl/>
        </w:rPr>
        <w:tab/>
      </w:r>
      <w:r w:rsidRPr="002D640C">
        <w:rPr>
          <w:rtl/>
        </w:rPr>
        <w:t>برامج المنح الدراسية للفتيات</w:t>
      </w:r>
    </w:p>
    <w:p w:rsidR="00987D55" w:rsidRDefault="00987D55" w:rsidP="00987D55">
      <w:pPr>
        <w:pStyle w:val="SingleTxt"/>
        <w:rPr>
          <w:rtl/>
        </w:rPr>
      </w:pPr>
      <w:r>
        <w:rPr>
          <w:rtl/>
        </w:rPr>
        <w:t xml:space="preserve">198 </w:t>
      </w:r>
      <w:r>
        <w:rPr>
          <w:rFonts w:hint="cs"/>
          <w:rtl/>
        </w:rPr>
        <w:t xml:space="preserve">- </w:t>
      </w:r>
      <w:r>
        <w:rPr>
          <w:rtl/>
        </w:rPr>
        <w:t>تقدم وزارة التعليم المنح الدراسية للرجل والمرأة في تيمور</w:t>
      </w:r>
      <w:r>
        <w:rPr>
          <w:rFonts w:hint="cs"/>
          <w:rtl/>
        </w:rPr>
        <w:t xml:space="preserve"> - </w:t>
      </w:r>
      <w:r>
        <w:rPr>
          <w:rtl/>
        </w:rPr>
        <w:t>ليشتي من عام 2009 إلى عام 2013، من أجل مواصلة التعليم العالي في الخارج، بما في ذلك الدراسات الجامعية ودرجتي الماجستير والدكتورا</w:t>
      </w:r>
      <w:r>
        <w:rPr>
          <w:rFonts w:hint="cs"/>
          <w:rtl/>
        </w:rPr>
        <w:t>ه</w:t>
      </w:r>
      <w:r>
        <w:rPr>
          <w:rtl/>
        </w:rPr>
        <w:t>. وقد منح معظم هذه الأماكن للرجال (63 في المائة) كما</w:t>
      </w:r>
      <w:r>
        <w:rPr>
          <w:rFonts w:hint="cs"/>
          <w:rtl/>
        </w:rPr>
        <w:t> </w:t>
      </w:r>
      <w:r>
        <w:rPr>
          <w:rtl/>
        </w:rPr>
        <w:t>يبين الجدول المدرج في المرفق. (يرجى الرجوع إلى المرفقات</w:t>
      </w:r>
      <w:r>
        <w:rPr>
          <w:rFonts w:hint="cs"/>
          <w:rtl/>
        </w:rPr>
        <w:t xml:space="preserve"> </w:t>
      </w:r>
      <w:r>
        <w:rPr>
          <w:rtl/>
        </w:rPr>
        <w:t>-</w:t>
      </w:r>
      <w:r>
        <w:rPr>
          <w:rFonts w:hint="cs"/>
          <w:rtl/>
        </w:rPr>
        <w:t xml:space="preserve"> </w:t>
      </w:r>
      <w:r>
        <w:rPr>
          <w:rtl/>
        </w:rPr>
        <w:t>الجدول 5)</w:t>
      </w:r>
      <w:r>
        <w:rPr>
          <w:rFonts w:hint="cs"/>
          <w:rtl/>
        </w:rPr>
        <w:t>.</w:t>
      </w:r>
    </w:p>
    <w:p w:rsidR="00987D55" w:rsidRPr="002D640C"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87D55" w:rsidRPr="002D640C" w:rsidRDefault="00987D55" w:rsidP="00987D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2D640C">
        <w:rPr>
          <w:rtl/>
        </w:rPr>
        <w:t xml:space="preserve">الأمن والعنف في المدارس </w:t>
      </w:r>
    </w:p>
    <w:p w:rsidR="00987D55" w:rsidRDefault="00987D55" w:rsidP="00987D55">
      <w:pPr>
        <w:pStyle w:val="SingleTxt"/>
        <w:rPr>
          <w:rtl/>
        </w:rPr>
      </w:pPr>
      <w:r>
        <w:rPr>
          <w:rtl/>
        </w:rPr>
        <w:t>199 -</w:t>
      </w:r>
      <w:r>
        <w:rPr>
          <w:rFonts w:hint="cs"/>
          <w:rtl/>
        </w:rPr>
        <w:t xml:space="preserve"> </w:t>
      </w:r>
      <w:r>
        <w:rPr>
          <w:rtl/>
        </w:rPr>
        <w:t xml:space="preserve">أطلقت وزارة التعليم في عام 2011 سياسة </w:t>
      </w:r>
      <w:r>
        <w:rPr>
          <w:rFonts w:hint="cs"/>
          <w:rtl/>
        </w:rPr>
        <w:t>”</w:t>
      </w:r>
      <w:r>
        <w:rPr>
          <w:rtl/>
        </w:rPr>
        <w:t>عدم التسامح مطلقا</w:t>
      </w:r>
      <w:r>
        <w:rPr>
          <w:rFonts w:hint="cs"/>
          <w:rtl/>
        </w:rPr>
        <w:t>“</w:t>
      </w:r>
      <w:r>
        <w:rPr>
          <w:rtl/>
        </w:rPr>
        <w:t xml:space="preserve"> إزاء سوء الممارسة الإدارية في قطاع التعليم مما يشمل العنف الجنسي والعقاب البدني والأشكال الأخرى من العنف في المدارس. وتقدم الوزارات المعنية الأخرى الدعم لحملة الدعوة لسياسة </w:t>
      </w:r>
      <w:r>
        <w:rPr>
          <w:rFonts w:hint="cs"/>
          <w:rtl/>
        </w:rPr>
        <w:t>”</w:t>
      </w:r>
      <w:r>
        <w:rPr>
          <w:rtl/>
        </w:rPr>
        <w:t>عدم التسامح مطلقا</w:t>
      </w:r>
      <w:r>
        <w:rPr>
          <w:rFonts w:hint="cs"/>
          <w:rtl/>
        </w:rPr>
        <w:t>“</w:t>
      </w:r>
      <w:r>
        <w:rPr>
          <w:rtl/>
        </w:rPr>
        <w:t xml:space="preserve"> من خلال أنشطة مختلفة من قبيل المنشورات الإعلامية والبرامج الحوارية والدورات التدريبية وحلقات العمل على الصعيد الوطني وصعيد المقاطعات</w:t>
      </w:r>
      <w:r w:rsidRPr="002D640C">
        <w:rPr>
          <w:vertAlign w:val="superscript"/>
          <w:rtl/>
        </w:rPr>
        <w:t>(</w:t>
      </w:r>
      <w:r w:rsidRPr="002D640C">
        <w:rPr>
          <w:rStyle w:val="FootnoteReference"/>
          <w:szCs w:val="30"/>
          <w:rtl/>
        </w:rPr>
        <w:footnoteReference w:id="161"/>
      </w:r>
      <w:r w:rsidRPr="002D640C">
        <w:rPr>
          <w:vertAlign w:val="superscript"/>
          <w:rtl/>
        </w:rPr>
        <w:t>)</w:t>
      </w:r>
      <w:r>
        <w:rPr>
          <w:rtl/>
        </w:rPr>
        <w:t>. وتحظر هذه السياسة صراحةً العقاب البدني في جميع الظروف، وتهدف إلى تهيئة بيئات تعليمية آمنة خالية من التمييز والعنف.</w:t>
      </w:r>
    </w:p>
    <w:p w:rsidR="00987D55" w:rsidRDefault="00987D55" w:rsidP="00987D55">
      <w:pPr>
        <w:pStyle w:val="SingleTxt"/>
        <w:rPr>
          <w:rtl/>
        </w:rPr>
      </w:pPr>
      <w:r>
        <w:rPr>
          <w:rtl/>
        </w:rPr>
        <w:t xml:space="preserve">200 </w:t>
      </w:r>
      <w:r>
        <w:rPr>
          <w:rFonts w:hint="cs"/>
          <w:rtl/>
        </w:rPr>
        <w:t xml:space="preserve">- </w:t>
      </w:r>
      <w:r>
        <w:rPr>
          <w:rtl/>
        </w:rPr>
        <w:t>ويقود مكتب المفتش العام للتعليم هذه السياسة. وسجل تقرير المفتش العام للتعليم عن الفترة 2011-2012 وقوع ما مجموعه 9 حالات للعنف الجنسي في المدارس لما</w:t>
      </w:r>
      <w:r>
        <w:rPr>
          <w:rFonts w:hint="cs"/>
          <w:rtl/>
        </w:rPr>
        <w:t> </w:t>
      </w:r>
      <w:r>
        <w:rPr>
          <w:rtl/>
        </w:rPr>
        <w:t xml:space="preserve">مجموعه 11 من الضحايا (9 فتيات بالتعليم الأساسي، وفتاتان بالتعليم الثانوي، ومعلمة في التعليم الأساسي). ووقعت معظم الحالات في مقاطعات مدرسية خارج ديلي. وتفيد التقارير بتحديد 28 معلما (حوالي 0.25في المائة) من أصل </w:t>
      </w:r>
      <w:r>
        <w:rPr>
          <w:rFonts w:hint="cs"/>
          <w:rtl/>
        </w:rPr>
        <w:t>136 11</w:t>
      </w:r>
      <w:r>
        <w:rPr>
          <w:rtl/>
        </w:rPr>
        <w:t xml:space="preserve"> معلما في المدارس العامة والخاصة في تيمور </w:t>
      </w:r>
      <w:r>
        <w:rPr>
          <w:rFonts w:hint="cs"/>
          <w:rtl/>
        </w:rPr>
        <w:t xml:space="preserve">- </w:t>
      </w:r>
      <w:r>
        <w:rPr>
          <w:rtl/>
        </w:rPr>
        <w:t>ليشتي باعتبارهم من مرتكبي العنف الجنسي في المدارس</w:t>
      </w:r>
      <w:r w:rsidRPr="002D640C">
        <w:rPr>
          <w:vertAlign w:val="superscript"/>
          <w:rtl/>
        </w:rPr>
        <w:t>(</w:t>
      </w:r>
      <w:r w:rsidRPr="002D640C">
        <w:rPr>
          <w:rStyle w:val="FootnoteReference"/>
          <w:szCs w:val="30"/>
          <w:rtl/>
        </w:rPr>
        <w:footnoteReference w:id="162"/>
      </w:r>
      <w:r w:rsidRPr="002D640C">
        <w:rPr>
          <w:vertAlign w:val="superscript"/>
          <w:rtl/>
        </w:rPr>
        <w:t>)</w:t>
      </w:r>
      <w:r>
        <w:rPr>
          <w:rtl/>
        </w:rPr>
        <w:t>. وفي</w:t>
      </w:r>
      <w:r>
        <w:rPr>
          <w:rFonts w:hint="cs"/>
          <w:rtl/>
        </w:rPr>
        <w:t> </w:t>
      </w:r>
      <w:r>
        <w:rPr>
          <w:rtl/>
        </w:rPr>
        <w:t>ما</w:t>
      </w:r>
      <w:r>
        <w:rPr>
          <w:rFonts w:hint="cs"/>
          <w:rtl/>
        </w:rPr>
        <w:t> </w:t>
      </w:r>
      <w:r>
        <w:rPr>
          <w:rtl/>
        </w:rPr>
        <w:t>يتعلق بالمحاكمة، تبذل وزارة التعليم جهودا لضمان محاكمة ومعاقبة المسؤولين عن التحرش بالفتيات أو إيذائهن، وفقا للقانون الجنائي الجديد. ومنذ أن سُنَّ القانون الجنائي وقانون مكافحة العنف العائلي، يُشجع الطلاب والآباء والمجتمعات المحلية على الإبلاغ عن الحالات الجنائية للمفتش العام للتعليم أو الشرطة</w:t>
      </w:r>
      <w:r w:rsidRPr="000948FF">
        <w:rPr>
          <w:vertAlign w:val="superscript"/>
          <w:rtl/>
        </w:rPr>
        <w:t>(</w:t>
      </w:r>
      <w:r w:rsidRPr="000948FF">
        <w:rPr>
          <w:rStyle w:val="FootnoteReference"/>
          <w:szCs w:val="30"/>
          <w:rtl/>
        </w:rPr>
        <w:footnoteReference w:id="163"/>
      </w:r>
      <w:r w:rsidRPr="000948FF">
        <w:rPr>
          <w:vertAlign w:val="superscript"/>
          <w:rtl/>
        </w:rPr>
        <w:t>)</w:t>
      </w:r>
      <w:r>
        <w:rPr>
          <w:rtl/>
        </w:rPr>
        <w:t>.</w:t>
      </w:r>
    </w:p>
    <w:p w:rsidR="00987D55" w:rsidRDefault="00987D55" w:rsidP="00987D55">
      <w:pPr>
        <w:pStyle w:val="SingleTxt"/>
        <w:rPr>
          <w:rtl/>
        </w:rPr>
      </w:pPr>
      <w:r>
        <w:rPr>
          <w:rtl/>
        </w:rPr>
        <w:t>201 -</w:t>
      </w:r>
      <w:r>
        <w:rPr>
          <w:rFonts w:hint="cs"/>
          <w:rtl/>
        </w:rPr>
        <w:t xml:space="preserve"> </w:t>
      </w:r>
      <w:r>
        <w:rPr>
          <w:rtl/>
        </w:rPr>
        <w:t>وقد طرأ انخفاض كبير في عدد الحالات من 46 حالة في عام 2011 إلى 9 حالات في عام 2012</w:t>
      </w:r>
      <w:r w:rsidRPr="00292574">
        <w:rPr>
          <w:vertAlign w:val="superscript"/>
          <w:rtl/>
        </w:rPr>
        <w:t>(</w:t>
      </w:r>
      <w:r w:rsidRPr="00292574">
        <w:rPr>
          <w:rStyle w:val="FootnoteReference"/>
          <w:szCs w:val="30"/>
          <w:rtl/>
        </w:rPr>
        <w:footnoteReference w:id="164"/>
      </w:r>
      <w:r w:rsidRPr="00292574">
        <w:rPr>
          <w:vertAlign w:val="superscript"/>
          <w:rtl/>
        </w:rPr>
        <w:t>)</w:t>
      </w:r>
      <w:r>
        <w:rPr>
          <w:rtl/>
        </w:rPr>
        <w:t>. وخلافا للسنوات السابقة التي سويت فيها غالبية حالات العنف الجنسي عن طريق الوساطة والآليات التقليدية بين أسرة الضحية والجاني، جرت محاكمة 4</w:t>
      </w:r>
      <w:r>
        <w:rPr>
          <w:rFonts w:hint="cs"/>
          <w:rtl/>
        </w:rPr>
        <w:t> </w:t>
      </w:r>
      <w:r>
        <w:rPr>
          <w:rtl/>
        </w:rPr>
        <w:t>حالات عنف جنسي من أصل 9 حالات وقعت في عام 2012، وتم البت في 5 حالات عن طريق الآليات التقليدية</w:t>
      </w:r>
      <w:r w:rsidRPr="000948FF">
        <w:rPr>
          <w:vertAlign w:val="superscript"/>
          <w:rtl/>
        </w:rPr>
        <w:t>(</w:t>
      </w:r>
      <w:r w:rsidRPr="000948FF">
        <w:rPr>
          <w:rStyle w:val="FootnoteReference"/>
          <w:szCs w:val="30"/>
          <w:rtl/>
        </w:rPr>
        <w:footnoteReference w:id="165"/>
      </w:r>
      <w:r w:rsidRPr="000948FF">
        <w:rPr>
          <w:vertAlign w:val="superscript"/>
          <w:rtl/>
        </w:rPr>
        <w:t>)</w:t>
      </w:r>
      <w:r>
        <w:rPr>
          <w:rtl/>
        </w:rPr>
        <w:t>.</w:t>
      </w:r>
    </w:p>
    <w:p w:rsidR="00987D55" w:rsidRDefault="00987D55" w:rsidP="00987D55">
      <w:pPr>
        <w:pStyle w:val="SingleTxt"/>
        <w:rPr>
          <w:rtl/>
        </w:rPr>
      </w:pPr>
      <w:r>
        <w:rPr>
          <w:rtl/>
        </w:rPr>
        <w:t>202 -</w:t>
      </w:r>
      <w:r>
        <w:rPr>
          <w:rFonts w:hint="cs"/>
          <w:rtl/>
        </w:rPr>
        <w:t xml:space="preserve"> </w:t>
      </w:r>
      <w:r>
        <w:rPr>
          <w:rtl/>
        </w:rPr>
        <w:t xml:space="preserve">ولم يتم الإبلاغ عن حالات إكراه على الزواج بين الضحية والمغتصب، أو تحديد المفتش العام للتعليم لذلك كإحدى آليات تسوية حالات العنف </w:t>
      </w:r>
      <w:r>
        <w:rPr>
          <w:rFonts w:hint="cs"/>
          <w:rtl/>
        </w:rPr>
        <w:t>الجنسي</w:t>
      </w:r>
      <w:r w:rsidRPr="000948FF">
        <w:rPr>
          <w:vertAlign w:val="superscript"/>
          <w:rtl/>
        </w:rPr>
        <w:t>(</w:t>
      </w:r>
      <w:r w:rsidRPr="000948FF">
        <w:rPr>
          <w:rStyle w:val="FootnoteReference"/>
          <w:szCs w:val="30"/>
          <w:rtl/>
        </w:rPr>
        <w:footnoteReference w:id="166"/>
      </w:r>
      <w:r w:rsidRPr="000948FF">
        <w:rPr>
          <w:vertAlign w:val="superscript"/>
          <w:rtl/>
        </w:rPr>
        <w:t>)</w:t>
      </w:r>
      <w:r>
        <w:rPr>
          <w:rtl/>
        </w:rPr>
        <w:t xml:space="preserve">. </w:t>
      </w:r>
    </w:p>
    <w:p w:rsidR="00987D55" w:rsidRPr="00FB3469"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987D55" w:rsidRPr="00FB3469"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B3469">
        <w:rPr>
          <w:rFonts w:hint="cs"/>
          <w:rtl/>
        </w:rPr>
        <w:tab/>
      </w:r>
      <w:r w:rsidRPr="00FB3469">
        <w:rPr>
          <w:rtl/>
        </w:rPr>
        <w:t>•</w:t>
      </w:r>
      <w:r w:rsidRPr="00FB3469">
        <w:rPr>
          <w:rFonts w:hint="cs"/>
          <w:rtl/>
        </w:rPr>
        <w:tab/>
      </w:r>
      <w:r w:rsidRPr="00FB3469">
        <w:rPr>
          <w:rtl/>
        </w:rPr>
        <w:t>العقاب البدني</w:t>
      </w:r>
    </w:p>
    <w:p w:rsidR="00987D55" w:rsidRDefault="00987D55" w:rsidP="00987D55">
      <w:pPr>
        <w:pStyle w:val="SingleTxt"/>
        <w:rPr>
          <w:rtl/>
        </w:rPr>
      </w:pPr>
      <w:r>
        <w:rPr>
          <w:rtl/>
        </w:rPr>
        <w:t>203 -</w:t>
      </w:r>
      <w:r>
        <w:rPr>
          <w:rFonts w:hint="cs"/>
          <w:rtl/>
        </w:rPr>
        <w:t xml:space="preserve"> </w:t>
      </w:r>
      <w:r>
        <w:rPr>
          <w:rtl/>
        </w:rPr>
        <w:t>يورد تقرير تحقيق المفتش العام للتعليم ما مجموعه 18 من حالات العنف البدني، بما</w:t>
      </w:r>
      <w:r>
        <w:rPr>
          <w:rFonts w:hint="cs"/>
          <w:rtl/>
        </w:rPr>
        <w:t> </w:t>
      </w:r>
      <w:r>
        <w:rPr>
          <w:rtl/>
        </w:rPr>
        <w:t>في ذلك العقوبة البدنية التي ينزلها المعلمون في الفترة 2011-2012. وأبلغ عن 4</w:t>
      </w:r>
      <w:r>
        <w:rPr>
          <w:rFonts w:hint="cs"/>
          <w:rtl/>
        </w:rPr>
        <w:t> </w:t>
      </w:r>
      <w:r>
        <w:rPr>
          <w:rtl/>
        </w:rPr>
        <w:t>حالات للشرطة، في حين سويت 14 حالة دون تدخل خارجي. ومن بين 56 من حالات العنف البدني في المدارس، شملت 17 حالة طالباتٍ و</w:t>
      </w:r>
      <w:r>
        <w:rPr>
          <w:rFonts w:hint="cs"/>
          <w:rtl/>
        </w:rPr>
        <w:t xml:space="preserve"> </w:t>
      </w:r>
      <w:r>
        <w:rPr>
          <w:rtl/>
        </w:rPr>
        <w:t>27 حالة طلا</w:t>
      </w:r>
      <w:r>
        <w:rPr>
          <w:rFonts w:hint="cs"/>
          <w:rtl/>
        </w:rPr>
        <w:t>با</w:t>
      </w:r>
      <w:r w:rsidRPr="00FB3469">
        <w:rPr>
          <w:vertAlign w:val="superscript"/>
          <w:rtl/>
        </w:rPr>
        <w:t>(</w:t>
      </w:r>
      <w:r w:rsidRPr="00FB3469">
        <w:rPr>
          <w:rStyle w:val="FootnoteReference"/>
          <w:szCs w:val="30"/>
          <w:rtl/>
        </w:rPr>
        <w:footnoteReference w:id="167"/>
      </w:r>
      <w:r w:rsidRPr="00FB3469">
        <w:rPr>
          <w:vertAlign w:val="superscript"/>
          <w:rtl/>
        </w:rPr>
        <w:t>)</w:t>
      </w:r>
      <w:r>
        <w:rPr>
          <w:rFonts w:hint="cs"/>
          <w:rtl/>
        </w:rPr>
        <w:t>.</w:t>
      </w:r>
      <w:r>
        <w:rPr>
          <w:rtl/>
        </w:rPr>
        <w:t>كما وقع عدد من حالات الاعتداء البدني من الطلاب أو أفراد أسرهم على المعلمين في المدارس. وانطوت هذه الحالات على طلاب عادة ما تعرضوا للعقاب البدني من معلميهم. وأبلغ عن وقوع 7 معلمين ضحايا للاعتداء البدني على أيدي طلاب ومجتمعات محلية في هذه الفترة</w:t>
      </w:r>
      <w:r w:rsidRPr="00FB3469">
        <w:rPr>
          <w:vertAlign w:val="superscript"/>
          <w:rtl/>
        </w:rPr>
        <w:t>(</w:t>
      </w:r>
      <w:r w:rsidRPr="00FB3469">
        <w:rPr>
          <w:rStyle w:val="FootnoteReference"/>
          <w:szCs w:val="30"/>
          <w:rtl/>
        </w:rPr>
        <w:footnoteReference w:id="168"/>
      </w:r>
      <w:r w:rsidRPr="00FB3469">
        <w:rPr>
          <w:vertAlign w:val="superscript"/>
          <w:rtl/>
        </w:rPr>
        <w:t>)</w:t>
      </w:r>
      <w:r>
        <w:rPr>
          <w:rtl/>
        </w:rPr>
        <w:t xml:space="preserve">. </w:t>
      </w:r>
    </w:p>
    <w:p w:rsidR="00987D55" w:rsidRDefault="00987D55" w:rsidP="00987D55">
      <w:pPr>
        <w:pStyle w:val="SingleTxt"/>
        <w:rPr>
          <w:rtl/>
        </w:rPr>
      </w:pPr>
      <w:r>
        <w:rPr>
          <w:rtl/>
        </w:rPr>
        <w:t xml:space="preserve">204 </w:t>
      </w:r>
      <w:r>
        <w:rPr>
          <w:rFonts w:hint="cs"/>
          <w:rtl/>
        </w:rPr>
        <w:t xml:space="preserve">- </w:t>
      </w:r>
      <w:r>
        <w:rPr>
          <w:rtl/>
        </w:rPr>
        <w:t>وشملت معظم حالات العقاب البدني في المدارس معلمين جددا لم يلتحقوا أبدا بالتدريب على مهارات التعليم الفني أو لا يتوفر لهم القدر الكافي من المعلومات الأساسية في مجال التعليم. ولا يتوفر لمعظم المعلمين الجدد أيضا المهارات اللازمة للتعامل مع مختلف أنماط سلوك الطلاب</w:t>
      </w:r>
      <w:r w:rsidRPr="00FB3469">
        <w:rPr>
          <w:vertAlign w:val="superscript"/>
          <w:rtl/>
        </w:rPr>
        <w:t>(</w:t>
      </w:r>
      <w:r w:rsidRPr="00FB3469">
        <w:rPr>
          <w:rStyle w:val="FootnoteReference"/>
          <w:szCs w:val="30"/>
          <w:rtl/>
        </w:rPr>
        <w:footnoteReference w:id="169"/>
      </w:r>
      <w:r w:rsidRPr="00FB3469">
        <w:rPr>
          <w:vertAlign w:val="superscript"/>
          <w:rtl/>
        </w:rPr>
        <w:t>)</w:t>
      </w:r>
      <w:r>
        <w:rPr>
          <w:rtl/>
        </w:rPr>
        <w:t xml:space="preserve">. </w:t>
      </w:r>
    </w:p>
    <w:p w:rsidR="00987D55" w:rsidRPr="009943B2" w:rsidRDefault="00987D55" w:rsidP="009943B2">
      <w:pPr>
        <w:pStyle w:val="SingleTxt"/>
        <w:spacing w:after="0" w:line="120" w:lineRule="exact"/>
        <w:rPr>
          <w:sz w:val="10"/>
          <w:rtl/>
        </w:rPr>
      </w:pPr>
    </w:p>
    <w:p w:rsidR="00987D55" w:rsidRDefault="00987D55" w:rsidP="009943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11: العمالة</w:t>
      </w:r>
    </w:p>
    <w:p w:rsidR="00987D55" w:rsidRDefault="00987D55" w:rsidP="00987D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الإطار القانوني</w:t>
      </w:r>
    </w:p>
    <w:p w:rsidR="00987D55" w:rsidRPr="00FB3469"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87D55" w:rsidRPr="00FB3469"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FB3469">
        <w:rPr>
          <w:rtl/>
        </w:rPr>
        <w:t>مبادئ عامة</w:t>
      </w:r>
    </w:p>
    <w:p w:rsidR="00987D55" w:rsidRDefault="00987D55" w:rsidP="00987D55">
      <w:pPr>
        <w:pStyle w:val="SingleTxt"/>
        <w:rPr>
          <w:rtl/>
        </w:rPr>
      </w:pPr>
      <w:r>
        <w:rPr>
          <w:rtl/>
        </w:rPr>
        <w:t xml:space="preserve">205 </w:t>
      </w:r>
      <w:r>
        <w:rPr>
          <w:rFonts w:hint="cs"/>
          <w:rtl/>
        </w:rPr>
        <w:t xml:space="preserve">- </w:t>
      </w:r>
      <w:r>
        <w:rPr>
          <w:rtl/>
        </w:rPr>
        <w:t xml:space="preserve">يكرس قانون العمل الذي صدر مؤخرا في شباط/فبراير 2012 </w:t>
      </w:r>
      <w:r>
        <w:rPr>
          <w:rFonts w:hint="cs"/>
          <w:rtl/>
        </w:rPr>
        <w:t>”</w:t>
      </w:r>
      <w:r>
        <w:rPr>
          <w:rtl/>
        </w:rPr>
        <w:t>مبدأ المساواة</w:t>
      </w:r>
      <w:r>
        <w:rPr>
          <w:rFonts w:hint="cs"/>
          <w:rtl/>
        </w:rPr>
        <w:t>“</w:t>
      </w:r>
      <w:r>
        <w:rPr>
          <w:rtl/>
        </w:rPr>
        <w:t xml:space="preserve"> في المادة 6 (انظر المرفق)</w:t>
      </w:r>
      <w:r w:rsidRPr="00EA2567">
        <w:rPr>
          <w:vertAlign w:val="superscript"/>
          <w:rtl/>
        </w:rPr>
        <w:t>(</w:t>
      </w:r>
      <w:r w:rsidRPr="00EA2567">
        <w:rPr>
          <w:rStyle w:val="FootnoteReference"/>
          <w:szCs w:val="30"/>
          <w:rtl/>
        </w:rPr>
        <w:footnoteReference w:id="170"/>
      </w:r>
      <w:r w:rsidRPr="00EA2567">
        <w:rPr>
          <w:vertAlign w:val="superscript"/>
          <w:rtl/>
        </w:rPr>
        <w:t>)</w:t>
      </w:r>
      <w:r>
        <w:rPr>
          <w:rtl/>
        </w:rPr>
        <w:t>. ويشمل أيضا التمييز في مقر العمل والفرق في المعاملة على أساس نوع الجنس أو عوامل أخرى (الفقرة 2). وجدير بالملاحظة أنه تمشيا مع اتفاقية منظمة العمل الدولية رقم 111، فإن عبء الإثبات يقع على صاحب العمل ليبرهن على عدم وجود تمييز (بما في ذلك التمييز على أساس نوع الجنس). وتشجع الاتفاقية اعتماد تدابير خاصة مؤقتة من أجل تمتع الجميع (ذكورا وإناثا) التام بالحقوق المنصوص عليها في القانون (المادة 6)</w:t>
      </w:r>
      <w:r w:rsidRPr="00EA2567">
        <w:rPr>
          <w:vertAlign w:val="superscript"/>
          <w:rtl/>
        </w:rPr>
        <w:t>(</w:t>
      </w:r>
      <w:r w:rsidRPr="00EA2567">
        <w:rPr>
          <w:rStyle w:val="FootnoteReference"/>
          <w:szCs w:val="30"/>
          <w:rtl/>
        </w:rPr>
        <w:footnoteReference w:id="171"/>
      </w:r>
      <w:r w:rsidRPr="00EA2567">
        <w:rPr>
          <w:vertAlign w:val="superscript"/>
          <w:rtl/>
        </w:rPr>
        <w:t>)</w:t>
      </w:r>
      <w:r>
        <w:rPr>
          <w:rtl/>
        </w:rPr>
        <w:t>.</w:t>
      </w:r>
    </w:p>
    <w:p w:rsidR="00987D55" w:rsidRDefault="00987D55" w:rsidP="00987D55">
      <w:pPr>
        <w:pStyle w:val="SingleTxt"/>
        <w:rPr>
          <w:rtl/>
        </w:rPr>
      </w:pPr>
      <w:r>
        <w:rPr>
          <w:rtl/>
        </w:rPr>
        <w:t xml:space="preserve">206 </w:t>
      </w:r>
      <w:r>
        <w:rPr>
          <w:rFonts w:hint="cs"/>
          <w:rtl/>
        </w:rPr>
        <w:t xml:space="preserve">- </w:t>
      </w:r>
      <w:r>
        <w:rPr>
          <w:rtl/>
        </w:rPr>
        <w:t>ويشمل القانون (المادة 7) التحرش في العمل بكافة أنواعه بما في ذلك السلوك اللفظي أو غير اللفظي أو البدني فضلا عن جميع أشكال التحرش الجنسي</w:t>
      </w:r>
      <w:r w:rsidRPr="00EA2567">
        <w:rPr>
          <w:vertAlign w:val="superscript"/>
          <w:rtl/>
        </w:rPr>
        <w:t>(</w:t>
      </w:r>
      <w:r w:rsidRPr="00EA2567">
        <w:rPr>
          <w:rStyle w:val="FootnoteReference"/>
          <w:szCs w:val="30"/>
          <w:rtl/>
        </w:rPr>
        <w:footnoteReference w:id="172"/>
      </w:r>
      <w:r w:rsidRPr="00EA2567">
        <w:rPr>
          <w:vertAlign w:val="superscript"/>
          <w:rtl/>
        </w:rPr>
        <w:t>)</w:t>
      </w:r>
      <w:r>
        <w:rPr>
          <w:rtl/>
        </w:rPr>
        <w:t xml:space="preserve">. </w:t>
      </w:r>
    </w:p>
    <w:p w:rsidR="00987D55" w:rsidRPr="00EA2567" w:rsidRDefault="00987D55" w:rsidP="00987D55">
      <w:pPr>
        <w:pStyle w:val="SingleTxt"/>
        <w:rPr>
          <w:rtl/>
        </w:rPr>
      </w:pPr>
      <w:r>
        <w:rPr>
          <w:rtl/>
        </w:rPr>
        <w:t xml:space="preserve">207 </w:t>
      </w:r>
      <w:r>
        <w:rPr>
          <w:rFonts w:hint="cs"/>
          <w:rtl/>
        </w:rPr>
        <w:t xml:space="preserve">- </w:t>
      </w:r>
      <w:r>
        <w:rPr>
          <w:rtl/>
        </w:rPr>
        <w:t>وتتطلع الحكومة أيضا، تمشيا مع التزامها بتعزيز المساواة الجنسانية في العمالة، إلى التصديق على الاتفاقيتين الدوليتين رقم 111 ورقم 100، بوصفهما مفتاحين للمساواة بين الجنسين في مقر العمل. ومن المتوقع أن ينظر فيهما مجلس الوزراء ثم يحيلهما إلى البرلمان الوطني من أجل التصديق الرسمي عليهما بحلول حزيران/يونيه 2013</w:t>
      </w:r>
      <w:r w:rsidRPr="00EA2567">
        <w:rPr>
          <w:vertAlign w:val="superscript"/>
          <w:rtl/>
        </w:rPr>
        <w:t xml:space="preserve"> (</w:t>
      </w:r>
      <w:r w:rsidRPr="00EA2567">
        <w:rPr>
          <w:rStyle w:val="FootnoteReference"/>
          <w:szCs w:val="30"/>
          <w:rtl/>
        </w:rPr>
        <w:footnoteReference w:id="173"/>
      </w:r>
      <w:r w:rsidRPr="00EA2567">
        <w:rPr>
          <w:vertAlign w:val="superscript"/>
          <w:rtl/>
        </w:rPr>
        <w:t>)</w:t>
      </w:r>
      <w:r>
        <w:rPr>
          <w:rtl/>
        </w:rPr>
        <w:t>.</w:t>
      </w:r>
    </w:p>
    <w:p w:rsidR="00987D55" w:rsidRPr="00EA2567"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87D55" w:rsidRPr="00EA2567"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EA2567">
        <w:rPr>
          <w:rtl/>
        </w:rPr>
        <w:t>الأحكام الاجتماعية</w:t>
      </w:r>
    </w:p>
    <w:p w:rsidR="00987D55" w:rsidRDefault="00987D55" w:rsidP="00987D55">
      <w:pPr>
        <w:pStyle w:val="SingleTxt"/>
        <w:rPr>
          <w:rtl/>
        </w:rPr>
      </w:pPr>
      <w:r>
        <w:rPr>
          <w:rtl/>
        </w:rPr>
        <w:t xml:space="preserve">208 </w:t>
      </w:r>
      <w:r>
        <w:rPr>
          <w:rFonts w:hint="cs"/>
          <w:rtl/>
        </w:rPr>
        <w:t xml:space="preserve">- </w:t>
      </w:r>
      <w:r>
        <w:rPr>
          <w:rtl/>
        </w:rPr>
        <w:t xml:space="preserve">في حين لا ينص قانون العمل على حد أدنى واضح للأجور، فإنه يدعو إلى التعويض العادل عن العمل (الأجر المتساوي لقاء العمل المتساوي القيمة، المادة 38 (1)) ويحمي القانون هذا التعويض في الفقرات اللاحقة. </w:t>
      </w:r>
    </w:p>
    <w:p w:rsidR="00987D55" w:rsidRDefault="00987D55" w:rsidP="00987D55">
      <w:pPr>
        <w:pStyle w:val="SingleTxt"/>
        <w:rPr>
          <w:rtl/>
        </w:rPr>
      </w:pPr>
      <w:r>
        <w:rPr>
          <w:rtl/>
        </w:rPr>
        <w:t xml:space="preserve">209 </w:t>
      </w:r>
      <w:r>
        <w:rPr>
          <w:rFonts w:hint="cs"/>
          <w:rtl/>
        </w:rPr>
        <w:t xml:space="preserve">- </w:t>
      </w:r>
      <w:r>
        <w:rPr>
          <w:rtl/>
        </w:rPr>
        <w:t>وقد رُشحت لجنة فرعية تابعة لمجلس العمل الوطني، وهي اللجنة الوطنية للأجور الدنيا التي تتألف من وزارة الدولة لشؤون التدريب المهني والتوظيف، والوزارة السابقة للهياكل الأساسية، ووزارة الاقتصاد والتنمية (حُلت الآن)، والمجتمع المدني، ورجال الأعمال، ولجنة العمالة. واعتمد حد أدنى للأجور بموجب مرسوم بقانون بعد التشاور مع أرباب العمل والعمال والوكالات والسلطات المحلية والمجتمع المدني</w:t>
      </w:r>
      <w:r w:rsidRPr="00EA2567">
        <w:rPr>
          <w:vertAlign w:val="superscript"/>
          <w:rtl/>
        </w:rPr>
        <w:t>(</w:t>
      </w:r>
      <w:r w:rsidRPr="00EA2567">
        <w:rPr>
          <w:rStyle w:val="FootnoteReference"/>
          <w:szCs w:val="30"/>
          <w:rtl/>
        </w:rPr>
        <w:footnoteReference w:id="174"/>
      </w:r>
      <w:r w:rsidRPr="00EA2567">
        <w:rPr>
          <w:vertAlign w:val="superscript"/>
          <w:rtl/>
        </w:rPr>
        <w:t>)</w:t>
      </w:r>
      <w:r>
        <w:rPr>
          <w:rtl/>
        </w:rPr>
        <w:t>،</w:t>
      </w:r>
      <w:r>
        <w:rPr>
          <w:rFonts w:hint="cs"/>
          <w:rtl/>
        </w:rPr>
        <w:t xml:space="preserve"> </w:t>
      </w:r>
      <w:r>
        <w:rPr>
          <w:rtl/>
        </w:rPr>
        <w:t>بما يعادل 115</w:t>
      </w:r>
      <w:r>
        <w:rPr>
          <w:rFonts w:hint="cs"/>
          <w:rtl/>
        </w:rPr>
        <w:t> </w:t>
      </w:r>
      <w:r>
        <w:rPr>
          <w:rtl/>
        </w:rPr>
        <w:t>دولارا في الشهر لأسبوع عمل مدته 40 ساعة.</w:t>
      </w:r>
    </w:p>
    <w:p w:rsidR="00987D55" w:rsidRDefault="00987D55" w:rsidP="00987D55">
      <w:pPr>
        <w:pStyle w:val="SingleTxt"/>
        <w:rPr>
          <w:rtl/>
        </w:rPr>
      </w:pPr>
      <w:r>
        <w:rPr>
          <w:rtl/>
        </w:rPr>
        <w:t xml:space="preserve">210 </w:t>
      </w:r>
      <w:r>
        <w:rPr>
          <w:rFonts w:hint="cs"/>
          <w:rtl/>
        </w:rPr>
        <w:t xml:space="preserve">- </w:t>
      </w:r>
      <w:r>
        <w:rPr>
          <w:rtl/>
        </w:rPr>
        <w:t>كما ينص القانون على الأحكام المتعلقة بحماية الوظيفة الإنجابية من قبيل إجازة الأمومة والأبوة، والإجازة من العمل ووقت العمل المرن لتقديم الرعاية قبل الولادة وللأمهات المرضعات، وإجازة ما قبل الولادة في حالة الإجازة الطبية الخطرة، والإجازة في حالة الإجهاض، وإجازة رعاية الطفل في حالات الطوارئ (المواد 59 و 60 و 62 و</w:t>
      </w:r>
      <w:r>
        <w:rPr>
          <w:rFonts w:hint="cs"/>
          <w:rtl/>
        </w:rPr>
        <w:t> </w:t>
      </w:r>
      <w:r>
        <w:rPr>
          <w:rtl/>
        </w:rPr>
        <w:t xml:space="preserve">64) وحماية صحة وسلامة الأمهات الحوامل والمرضعات، والحماية من الفصل التعسفي بسبب الأمومة (المادتان 63 و 65). </w:t>
      </w:r>
    </w:p>
    <w:p w:rsidR="00987D55" w:rsidRDefault="00987D55" w:rsidP="00987D55">
      <w:pPr>
        <w:pStyle w:val="SingleTxt"/>
        <w:rPr>
          <w:rtl/>
        </w:rPr>
      </w:pPr>
      <w:r>
        <w:rPr>
          <w:rtl/>
        </w:rPr>
        <w:t>211 -</w:t>
      </w:r>
      <w:r>
        <w:rPr>
          <w:rFonts w:hint="cs"/>
          <w:rtl/>
        </w:rPr>
        <w:t xml:space="preserve"> </w:t>
      </w:r>
      <w:r>
        <w:rPr>
          <w:rtl/>
        </w:rPr>
        <w:t>ومع ذلك، فعلى الرغم من تمتع موظفي الخدمة المدنية بهذه المزايا في الوقت الحاضر من خلال النظام الأساسي للخدمة المدنية، لا يتمتع بها العاملون في القطاع الخاص على أساس منتظم نظرا لأن غالبيتهم يعملون في القطاع غير الرسمي، وبالتالي من غير المرجح أن يوفر جميع هذه المزايا للعمال.</w:t>
      </w:r>
    </w:p>
    <w:p w:rsidR="009943B2" w:rsidRPr="009943B2"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987D55" w:rsidRPr="00EA2567"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EA2567">
        <w:rPr>
          <w:rtl/>
        </w:rPr>
        <w:t xml:space="preserve">النظام الأساسي للخدمة المدنية </w:t>
      </w:r>
    </w:p>
    <w:p w:rsidR="00987D55" w:rsidRDefault="00987D55" w:rsidP="00987D55">
      <w:pPr>
        <w:pStyle w:val="SingleTxt"/>
        <w:rPr>
          <w:rtl/>
        </w:rPr>
      </w:pPr>
      <w:r>
        <w:rPr>
          <w:rtl/>
        </w:rPr>
        <w:t xml:space="preserve">212 </w:t>
      </w:r>
      <w:r>
        <w:rPr>
          <w:rFonts w:hint="cs"/>
          <w:rtl/>
        </w:rPr>
        <w:t xml:space="preserve">- </w:t>
      </w:r>
      <w:r>
        <w:rPr>
          <w:rtl/>
        </w:rPr>
        <w:t>طرح تعديل النظام الأساسي للخدمة المدنية لعام 2009 وسائل جديدة للتوظيف عن طريق امتحانات الخدمة المدنية التي تحترم مبدأ عدم التمييز. وتجري المحافظة على مبدأ المساواة في الأجر عن العمل المتساوي</w:t>
      </w:r>
      <w:r w:rsidRPr="00D874DD">
        <w:rPr>
          <w:vertAlign w:val="superscript"/>
          <w:rtl/>
        </w:rPr>
        <w:t>(</w:t>
      </w:r>
      <w:r w:rsidRPr="00D874DD">
        <w:rPr>
          <w:rStyle w:val="FootnoteReference"/>
          <w:szCs w:val="30"/>
          <w:rtl/>
        </w:rPr>
        <w:footnoteReference w:id="175"/>
      </w:r>
      <w:r w:rsidRPr="00D874DD">
        <w:rPr>
          <w:vertAlign w:val="superscript"/>
          <w:rtl/>
        </w:rPr>
        <w:t>)</w:t>
      </w:r>
      <w:r>
        <w:rPr>
          <w:rtl/>
        </w:rPr>
        <w:t>.</w:t>
      </w:r>
    </w:p>
    <w:p w:rsidR="00987D55" w:rsidRDefault="00987D55" w:rsidP="00987D55">
      <w:pPr>
        <w:pStyle w:val="SingleTxt"/>
        <w:rPr>
          <w:rtl/>
        </w:rPr>
      </w:pPr>
      <w:r>
        <w:rPr>
          <w:rtl/>
        </w:rPr>
        <w:t>213 -</w:t>
      </w:r>
      <w:r>
        <w:rPr>
          <w:rFonts w:hint="cs"/>
          <w:rtl/>
        </w:rPr>
        <w:t xml:space="preserve"> </w:t>
      </w:r>
      <w:r>
        <w:rPr>
          <w:rtl/>
        </w:rPr>
        <w:t xml:space="preserve">وعقدت لجنة الخدمة العامة مؤتمرا وطنيا في تموز/يوليه 2012 بعنوان </w:t>
      </w:r>
      <w:r>
        <w:rPr>
          <w:rFonts w:hint="cs"/>
          <w:rtl/>
        </w:rPr>
        <w:t>”</w:t>
      </w:r>
      <w:r>
        <w:rPr>
          <w:rtl/>
        </w:rPr>
        <w:t>المرأة والخدمة العامة: الدور والتحديات</w:t>
      </w:r>
      <w:r>
        <w:rPr>
          <w:rFonts w:hint="cs"/>
          <w:rtl/>
        </w:rPr>
        <w:t>“</w:t>
      </w:r>
      <w:r>
        <w:rPr>
          <w:rtl/>
        </w:rPr>
        <w:t xml:space="preserve"> للاحتفال بالذكرى السنوية الثالثة. وقد جمع موظفي الخدمة المدنية معا لتبادل الخبرات والسبل الكفيلة لضمان المساواة في المعاملة والفرص بين الرجل والمرأة في الإدارة العامة. وفي هذه المناسبة، وجهت الدعوة إلى 7 موظفات عموميات من مختلف المؤسسات ومن ذوات الأقدمية المتباينة ليكن عضوات مشاركات في المناقشة وأتيحت لهن فرصة تقديم مقترحات من أجل تحسين الخدمة المدنية لتقديم خدمات أفضل</w:t>
      </w:r>
      <w:r>
        <w:rPr>
          <w:rFonts w:hint="cs"/>
          <w:rtl/>
        </w:rPr>
        <w:t> </w:t>
      </w:r>
      <w:r>
        <w:rPr>
          <w:rtl/>
        </w:rPr>
        <w:t>للنساء.</w:t>
      </w:r>
    </w:p>
    <w:p w:rsidR="00987D55" w:rsidRPr="00502A29"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502A29">
        <w:rPr>
          <w:rtl/>
        </w:rPr>
        <w:t xml:space="preserve">آلية رصد الامتثال </w:t>
      </w:r>
    </w:p>
    <w:p w:rsidR="00987D55" w:rsidRDefault="00987D55" w:rsidP="00987D55">
      <w:pPr>
        <w:pStyle w:val="SingleTxt"/>
        <w:rPr>
          <w:rtl/>
        </w:rPr>
      </w:pPr>
      <w:r>
        <w:rPr>
          <w:rtl/>
        </w:rPr>
        <w:t xml:space="preserve">214 </w:t>
      </w:r>
      <w:r>
        <w:rPr>
          <w:rFonts w:hint="cs"/>
          <w:rtl/>
        </w:rPr>
        <w:t xml:space="preserve">- </w:t>
      </w:r>
      <w:r>
        <w:rPr>
          <w:rtl/>
        </w:rPr>
        <w:t>أنشأت الحكومة المفتشية العامة للعمالة في عام 2010 في إطار وزارة الدولة لشؤون التدريب المهني والتوظيف للاضطلاع بالمسؤولية عن تنظيم سوق العمل وتعزيز حقوق العاملين، وكذلك تحسين ظروف العمل وإنفاذ القانون. وتولي المفتشية اهتماما خاصا للفئات الضعيفة من العمال مثل النساء</w:t>
      </w:r>
      <w:r w:rsidRPr="00502A29">
        <w:rPr>
          <w:vertAlign w:val="superscript"/>
          <w:rtl/>
        </w:rPr>
        <w:t>(</w:t>
      </w:r>
      <w:r w:rsidRPr="00502A29">
        <w:rPr>
          <w:rStyle w:val="FootnoteReference"/>
          <w:szCs w:val="30"/>
          <w:rtl/>
        </w:rPr>
        <w:footnoteReference w:id="176"/>
      </w:r>
      <w:r w:rsidRPr="00502A29">
        <w:rPr>
          <w:vertAlign w:val="superscript"/>
          <w:rtl/>
        </w:rPr>
        <w:t>)</w:t>
      </w:r>
      <w:r>
        <w:rPr>
          <w:rtl/>
        </w:rPr>
        <w:t>. وأجرت في أقل من سنتين 099 3 عملية تفتيش في مقار العمل، شملت 681 44 عاملا في مقاطعات البلد البالغة 13 مقاطعة</w:t>
      </w:r>
      <w:r w:rsidRPr="00502A29">
        <w:rPr>
          <w:vertAlign w:val="superscript"/>
          <w:rtl/>
        </w:rPr>
        <w:t>(</w:t>
      </w:r>
      <w:r w:rsidRPr="00502A29">
        <w:rPr>
          <w:rStyle w:val="FootnoteReference"/>
          <w:szCs w:val="30"/>
          <w:rtl/>
        </w:rPr>
        <w:footnoteReference w:id="177"/>
      </w:r>
      <w:r w:rsidRPr="00502A29">
        <w:rPr>
          <w:vertAlign w:val="superscript"/>
          <w:rtl/>
        </w:rPr>
        <w:t>)</w:t>
      </w:r>
      <w:r>
        <w:rPr>
          <w:rtl/>
        </w:rPr>
        <w:t xml:space="preserve">. </w:t>
      </w:r>
    </w:p>
    <w:p w:rsidR="00987D55" w:rsidRDefault="00987D55" w:rsidP="00987D55">
      <w:pPr>
        <w:pStyle w:val="SingleTxt"/>
        <w:rPr>
          <w:rFonts w:hint="cs"/>
          <w:rtl/>
        </w:rPr>
      </w:pPr>
      <w:r>
        <w:rPr>
          <w:rtl/>
        </w:rPr>
        <w:t>215 -</w:t>
      </w:r>
      <w:r>
        <w:rPr>
          <w:rtl/>
        </w:rPr>
        <w:tab/>
        <w:t>كما أنشئ بمرسوم قانون، في إطار مجلس العمالة الوطنية، مجلس العلاقات مع العمال (أو مجلس التحكيم المعني بالعمالة) المسؤول عن تلقي الشكاوى من العمال، والذي يسعى إلى تصحيح أي مخالفة لأحكام قانون العمالة الجديد.</w:t>
      </w:r>
    </w:p>
    <w:p w:rsidR="00987D55" w:rsidRPr="00987D55" w:rsidRDefault="00987D55" w:rsidP="00987D55">
      <w:pPr>
        <w:pStyle w:val="SingleTxt"/>
        <w:spacing w:after="0" w:line="120" w:lineRule="exact"/>
        <w:rPr>
          <w:rFonts w:hint="cs"/>
          <w:sz w:val="10"/>
          <w:rtl/>
        </w:rPr>
      </w:pPr>
    </w:p>
    <w:p w:rsidR="00987D55" w:rsidRPr="00C93131"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C93131">
        <w:rPr>
          <w:rtl/>
        </w:rPr>
        <w:t xml:space="preserve">رصد الخدمات العامة </w:t>
      </w:r>
    </w:p>
    <w:p w:rsidR="00987D55" w:rsidRDefault="00987D55" w:rsidP="00987D55">
      <w:pPr>
        <w:pStyle w:val="SingleTxt"/>
        <w:rPr>
          <w:rtl/>
        </w:rPr>
      </w:pPr>
      <w:r>
        <w:rPr>
          <w:rtl/>
        </w:rPr>
        <w:t>216 -</w:t>
      </w:r>
      <w:r>
        <w:rPr>
          <w:rFonts w:hint="cs"/>
          <w:rtl/>
        </w:rPr>
        <w:t xml:space="preserve"> </w:t>
      </w:r>
      <w:r>
        <w:rPr>
          <w:rtl/>
        </w:rPr>
        <w:t>تضطلع لجنة الخدمة العامة بالمسؤولية عن استقبال أي حالة من حالات التمييز والتحقيق فيها وفقا للنظام الأساسي للخدمة المدنية. ويُعاقب على التمييز باعتباره جريمة تستوجب التأديب. ومنذ إنشاء لجنة الخدمة العامة في عام 2009، طُبقت أربع حالات إيقاف تأديبي على حالات تمييز أو تحرش جنسي ضد المرأة</w:t>
      </w:r>
      <w:r w:rsidRPr="003D702D">
        <w:rPr>
          <w:vertAlign w:val="superscript"/>
          <w:rtl/>
        </w:rPr>
        <w:t>(</w:t>
      </w:r>
      <w:r w:rsidRPr="003D702D">
        <w:rPr>
          <w:rStyle w:val="FootnoteReference"/>
          <w:szCs w:val="30"/>
          <w:rtl/>
        </w:rPr>
        <w:footnoteReference w:id="178"/>
      </w:r>
      <w:r w:rsidRPr="003D702D">
        <w:rPr>
          <w:vertAlign w:val="superscript"/>
          <w:rtl/>
        </w:rPr>
        <w:t>)</w:t>
      </w:r>
      <w:r>
        <w:rPr>
          <w:rtl/>
        </w:rPr>
        <w:t xml:space="preserve">. </w:t>
      </w:r>
    </w:p>
    <w:p w:rsidR="00987D55" w:rsidRPr="00C93131" w:rsidRDefault="00987D55" w:rsidP="00987D55">
      <w:pPr>
        <w:pStyle w:val="SingleTxt"/>
        <w:spacing w:after="0" w:line="120" w:lineRule="exact"/>
        <w:rPr>
          <w:sz w:val="10"/>
          <w:rtl/>
        </w:rPr>
      </w:pPr>
    </w:p>
    <w:p w:rsidR="00987D55" w:rsidRDefault="00987D55" w:rsidP="00987D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المرأة والمشاركة في القوة العاملة</w:t>
      </w:r>
    </w:p>
    <w:p w:rsidR="00987D55" w:rsidRDefault="00987D55" w:rsidP="00987D55">
      <w:pPr>
        <w:pStyle w:val="SingleTxt"/>
        <w:rPr>
          <w:rtl/>
        </w:rPr>
      </w:pPr>
      <w:r>
        <w:rPr>
          <w:rtl/>
        </w:rPr>
        <w:t>217 -</w:t>
      </w:r>
      <w:r>
        <w:rPr>
          <w:rFonts w:hint="cs"/>
          <w:rtl/>
        </w:rPr>
        <w:t xml:space="preserve"> </w:t>
      </w:r>
      <w:r>
        <w:rPr>
          <w:rtl/>
        </w:rPr>
        <w:t xml:space="preserve">تؤدي المرأة دورا اقتصاديا هاما بصورة تقليدية، ويتجاوز ما تسهم به في عملية الإنتاج ما تشير إليه الإحصاءات، التي كثيرا ما لا تعكس سوى وظيفتها الرئيسية أو وظيفتها المدرة للدخل/للإنتاج. </w:t>
      </w:r>
    </w:p>
    <w:p w:rsidR="00987D55" w:rsidRDefault="00987D55" w:rsidP="00987D55">
      <w:pPr>
        <w:pStyle w:val="SingleTxt"/>
        <w:rPr>
          <w:rtl/>
        </w:rPr>
      </w:pPr>
      <w:r>
        <w:rPr>
          <w:rtl/>
        </w:rPr>
        <w:t>218 -</w:t>
      </w:r>
      <w:r>
        <w:rPr>
          <w:rFonts w:hint="cs"/>
          <w:rtl/>
        </w:rPr>
        <w:t xml:space="preserve"> </w:t>
      </w:r>
      <w:r>
        <w:rPr>
          <w:rtl/>
        </w:rPr>
        <w:t>وتشير الدراسة الاستقصائية لقوة العمل لعام 2010 إلى زيادة معدلات البطالة بين النساء زيادة طفيفة فقط مقارنة بالرجال. ومعدلا البطالة منخفضان، بنسبة 4.6 في المائة للنساء و 3.1 في المائة للرجال. ومع ذلك، لا ينبغي، في ضوء تعريف العمل وطبيعته في تيمور</w:t>
      </w:r>
      <w:r>
        <w:rPr>
          <w:rFonts w:hint="cs"/>
          <w:rtl/>
        </w:rPr>
        <w:t xml:space="preserve"> - </w:t>
      </w:r>
      <w:r>
        <w:rPr>
          <w:rtl/>
        </w:rPr>
        <w:t>ليشتي، النظر إلى البطالة بوصفها مؤشرا رئيسيا. وبدلا من ذلك، ترتبط العمالة الناقصة والعمالة الهشة بصورة أكبر برصد المشاركة العادلة في سوق العمل. وتعد المشاركة في قوة العمل منخفضة، بالرغم من أن تعريف العمالة يتطلب فقط أن يعمل الشخص لساعة واحدة على الأقل كل أسبوع ليكون في عداد العاملين. ويشارك أقل من النصف (43</w:t>
      </w:r>
      <w:r>
        <w:rPr>
          <w:rFonts w:hint="cs"/>
          <w:rtl/>
        </w:rPr>
        <w:t> </w:t>
      </w:r>
      <w:r>
        <w:rPr>
          <w:rtl/>
        </w:rPr>
        <w:t>في</w:t>
      </w:r>
      <w:r>
        <w:rPr>
          <w:rFonts w:hint="cs"/>
          <w:rtl/>
        </w:rPr>
        <w:t> </w:t>
      </w:r>
      <w:r>
        <w:rPr>
          <w:rtl/>
        </w:rPr>
        <w:t>المائة) من السكان في سن العمل (من 15 إلى 59 عاما) في قوة العمل</w:t>
      </w:r>
      <w:r>
        <w:rPr>
          <w:rFonts w:hint="cs"/>
          <w:rtl/>
        </w:rPr>
        <w:t xml:space="preserve"> </w:t>
      </w:r>
      <w:r>
        <w:rPr>
          <w:rtl/>
        </w:rPr>
        <w:t>(أي أنهم إما</w:t>
      </w:r>
      <w:r>
        <w:rPr>
          <w:rFonts w:hint="cs"/>
          <w:rtl/>
        </w:rPr>
        <w:t> </w:t>
      </w:r>
      <w:r>
        <w:rPr>
          <w:rtl/>
        </w:rPr>
        <w:t>يعملون أو عاطلون عن العمل) مع وجود اختلافات كبيرة بين الجنسين (27 في المائة من</w:t>
      </w:r>
      <w:r>
        <w:rPr>
          <w:rFonts w:hint="cs"/>
          <w:rtl/>
        </w:rPr>
        <w:t> </w:t>
      </w:r>
      <w:r>
        <w:rPr>
          <w:rtl/>
        </w:rPr>
        <w:t>النساء و 56 في المائة من الرجال)</w:t>
      </w:r>
      <w:r w:rsidRPr="003D702D">
        <w:rPr>
          <w:vertAlign w:val="superscript"/>
          <w:rtl/>
        </w:rPr>
        <w:t>(</w:t>
      </w:r>
      <w:r w:rsidRPr="003D702D">
        <w:rPr>
          <w:rStyle w:val="FootnoteReference"/>
          <w:szCs w:val="30"/>
          <w:rtl/>
        </w:rPr>
        <w:footnoteReference w:id="179"/>
      </w:r>
      <w:r w:rsidRPr="003D702D">
        <w:rPr>
          <w:vertAlign w:val="superscript"/>
          <w:rtl/>
        </w:rPr>
        <w:t>)</w:t>
      </w:r>
      <w:r>
        <w:rPr>
          <w:rtl/>
        </w:rPr>
        <w:t>. (يرجى الرجوع إلى الجدول 6 الوارد في</w:t>
      </w:r>
      <w:r>
        <w:rPr>
          <w:rFonts w:hint="cs"/>
          <w:rtl/>
        </w:rPr>
        <w:t> </w:t>
      </w:r>
      <w:r>
        <w:rPr>
          <w:rtl/>
        </w:rPr>
        <w:t>المرفق)</w:t>
      </w:r>
      <w:r>
        <w:rPr>
          <w:rFonts w:hint="cs"/>
          <w:rtl/>
        </w:rPr>
        <w:t>.</w:t>
      </w:r>
    </w:p>
    <w:p w:rsidR="00987D55" w:rsidRDefault="00987D55" w:rsidP="00987D55">
      <w:pPr>
        <w:pStyle w:val="SingleTxt"/>
        <w:rPr>
          <w:rtl/>
        </w:rPr>
      </w:pPr>
      <w:r>
        <w:rPr>
          <w:rtl/>
        </w:rPr>
        <w:t>219 -</w:t>
      </w:r>
      <w:r>
        <w:rPr>
          <w:rFonts w:hint="cs"/>
          <w:rtl/>
        </w:rPr>
        <w:t xml:space="preserve"> </w:t>
      </w:r>
      <w:r>
        <w:rPr>
          <w:rtl/>
        </w:rPr>
        <w:t>وكشفت الدراسة الاستقصائية لقوة العمل لعام 2010 عن أن العمالة الناقصة، وترمز إلى من يريدون زيادة ساعات العمل لقاء المزيد من الأجر، منخفضة جدا بالنسبة للرجال والنساء على حد سواء. وتظهر الأضرار الواقعة على المرأة في قوة العمل بصورة أكثر وضوحا في معدل العمالة الهشة، مما يكشف عن نسبة 78 في المائة من النساء العاملات في</w:t>
      </w:r>
      <w:r>
        <w:rPr>
          <w:rFonts w:hint="cs"/>
          <w:rtl/>
        </w:rPr>
        <w:t> </w:t>
      </w:r>
      <w:r>
        <w:rPr>
          <w:rtl/>
        </w:rPr>
        <w:t xml:space="preserve">وظائف هشة مقارنة بـ 66 في المائة من الرجال. </w:t>
      </w:r>
    </w:p>
    <w:p w:rsidR="00987D55" w:rsidRDefault="00987D55" w:rsidP="00987D55">
      <w:pPr>
        <w:pStyle w:val="SingleTxt"/>
        <w:rPr>
          <w:rtl/>
        </w:rPr>
      </w:pPr>
      <w:r>
        <w:rPr>
          <w:rtl/>
        </w:rPr>
        <w:t>220 -</w:t>
      </w:r>
      <w:r>
        <w:rPr>
          <w:rFonts w:hint="cs"/>
          <w:rtl/>
        </w:rPr>
        <w:t xml:space="preserve"> </w:t>
      </w:r>
      <w:r>
        <w:rPr>
          <w:rtl/>
        </w:rPr>
        <w:t>وكان حوالي 57 في المائة (000 307</w:t>
      </w:r>
      <w:r>
        <w:rPr>
          <w:rFonts w:hint="cs"/>
          <w:rtl/>
        </w:rPr>
        <w:t xml:space="preserve"> </w:t>
      </w:r>
      <w:r>
        <w:rPr>
          <w:rtl/>
        </w:rPr>
        <w:t>نسمة) من السكان في سن العمل غير نشطين اقتصاديا في عام 2010، مع تفاوت جنساني كبير (72 في المائة من النساء في سن العمل غير نشطين اقتصاديا مقابل 42 في المائة للرجال)</w:t>
      </w:r>
      <w:r w:rsidRPr="003D702D">
        <w:rPr>
          <w:vertAlign w:val="superscript"/>
          <w:rtl/>
        </w:rPr>
        <w:t>(</w:t>
      </w:r>
      <w:r w:rsidRPr="003D702D">
        <w:rPr>
          <w:rStyle w:val="FootnoteReference"/>
          <w:szCs w:val="30"/>
          <w:rtl/>
        </w:rPr>
        <w:footnoteReference w:id="180"/>
      </w:r>
      <w:r w:rsidRPr="003D702D">
        <w:rPr>
          <w:vertAlign w:val="superscript"/>
          <w:rtl/>
        </w:rPr>
        <w:t>)</w:t>
      </w:r>
      <w:r>
        <w:rPr>
          <w:rtl/>
        </w:rPr>
        <w:t>. وتبلغ نسبة عمالة الذكور إلى عدد السكان أكثر من ضعف نسبة الإناث: أي 54 في المائة للذكور مقابل 26 في المائة للإناث</w:t>
      </w:r>
      <w:r w:rsidRPr="003D702D">
        <w:rPr>
          <w:vertAlign w:val="superscript"/>
          <w:rtl/>
        </w:rPr>
        <w:t>(</w:t>
      </w:r>
      <w:r w:rsidRPr="003D702D">
        <w:rPr>
          <w:rStyle w:val="FootnoteReference"/>
          <w:szCs w:val="30"/>
          <w:rtl/>
        </w:rPr>
        <w:footnoteReference w:id="181"/>
      </w:r>
      <w:r w:rsidRPr="003D702D">
        <w:rPr>
          <w:vertAlign w:val="superscript"/>
          <w:rtl/>
        </w:rPr>
        <w:t>)</w:t>
      </w:r>
      <w:r>
        <w:rPr>
          <w:rtl/>
        </w:rPr>
        <w:t xml:space="preserve">. </w:t>
      </w:r>
    </w:p>
    <w:p w:rsidR="00987D55" w:rsidRPr="003D702D" w:rsidRDefault="00987D55" w:rsidP="00987D55">
      <w:pPr>
        <w:pStyle w:val="SingleTxt"/>
        <w:spacing w:after="0" w:line="120" w:lineRule="exact"/>
        <w:rPr>
          <w:sz w:val="10"/>
          <w:rtl/>
        </w:rPr>
      </w:pPr>
    </w:p>
    <w:p w:rsidR="00987D55" w:rsidRPr="003D702D"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D702D">
        <w:rPr>
          <w:rtl/>
        </w:rPr>
        <w:t>العوائق التي تحول دون مشاركة المرأة في قوة العمل</w:t>
      </w:r>
    </w:p>
    <w:p w:rsidR="00987D55" w:rsidRDefault="00987D55" w:rsidP="00987D55">
      <w:pPr>
        <w:pStyle w:val="SingleTxt"/>
        <w:rPr>
          <w:rtl/>
        </w:rPr>
      </w:pPr>
      <w:r>
        <w:rPr>
          <w:rtl/>
        </w:rPr>
        <w:t>221 -</w:t>
      </w:r>
      <w:r>
        <w:rPr>
          <w:rFonts w:hint="cs"/>
          <w:rtl/>
        </w:rPr>
        <w:t xml:space="preserve"> </w:t>
      </w:r>
      <w:r>
        <w:rPr>
          <w:rtl/>
        </w:rPr>
        <w:t>تكشف الدراسة الاستقصائية أن الواجبات الأسرية تشكل أحد الأسباب الرئيسية لانعدام النشاط بين النساء. وأبدى أكثر من ثلث النساء (36 في المائة) أن هذا هو السبب في انعدام نشاطهن وذلك مقارنة بنسبة 7 في المائة فقط من الرجال</w:t>
      </w:r>
      <w:r w:rsidRPr="003D702D">
        <w:rPr>
          <w:vertAlign w:val="superscript"/>
          <w:rtl/>
        </w:rPr>
        <w:t>(</w:t>
      </w:r>
      <w:r w:rsidRPr="003D702D">
        <w:rPr>
          <w:rStyle w:val="FootnoteReference"/>
          <w:szCs w:val="30"/>
          <w:rtl/>
        </w:rPr>
        <w:footnoteReference w:id="182"/>
      </w:r>
      <w:r w:rsidRPr="003D702D">
        <w:rPr>
          <w:vertAlign w:val="superscript"/>
          <w:rtl/>
        </w:rPr>
        <w:t>)</w:t>
      </w:r>
      <w:r>
        <w:rPr>
          <w:rtl/>
        </w:rPr>
        <w:t>. وكشف تعداد السكان لعام 2010 أيضا أن النساء بدون أطفال يرجح أن يشاركن بصورة أكبر في قوة العمل مقارنة بالنساء اللواتي لهن أطفال؛ وكلما ازداد عدد أطفال المرأة، قلت احتمالات نشاطها الاقتصادي. ومع ذلك، ما زال معدل مشاركة النساء بدون أطفال أقل بكثير من الرجال</w:t>
      </w:r>
      <w:r w:rsidRPr="003D702D">
        <w:rPr>
          <w:vertAlign w:val="superscript"/>
          <w:rtl/>
        </w:rPr>
        <w:t>(</w:t>
      </w:r>
      <w:r w:rsidRPr="003D702D">
        <w:rPr>
          <w:rStyle w:val="FootnoteReference"/>
          <w:szCs w:val="30"/>
          <w:rtl/>
        </w:rPr>
        <w:footnoteReference w:id="183"/>
      </w:r>
      <w:r w:rsidRPr="003D702D">
        <w:rPr>
          <w:vertAlign w:val="superscript"/>
          <w:rtl/>
        </w:rPr>
        <w:t>)</w:t>
      </w:r>
      <w:r>
        <w:rPr>
          <w:rtl/>
        </w:rPr>
        <w:t xml:space="preserve">. </w:t>
      </w:r>
    </w:p>
    <w:p w:rsidR="00987D55" w:rsidRPr="003D702D" w:rsidRDefault="00987D55" w:rsidP="00987D55">
      <w:pPr>
        <w:pStyle w:val="SingleTxt"/>
        <w:spacing w:after="0" w:line="120" w:lineRule="exact"/>
        <w:rPr>
          <w:sz w:val="10"/>
          <w:rtl/>
        </w:rPr>
      </w:pPr>
    </w:p>
    <w:p w:rsidR="00987D55" w:rsidRPr="003D702D"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D702D">
        <w:rPr>
          <w:rtl/>
        </w:rPr>
        <w:t xml:space="preserve">المستوى التعليمي للسكان العاملين </w:t>
      </w:r>
    </w:p>
    <w:p w:rsidR="00987D55" w:rsidRDefault="00987D55" w:rsidP="00987D55">
      <w:pPr>
        <w:pStyle w:val="SingleTxt"/>
        <w:rPr>
          <w:rtl/>
        </w:rPr>
      </w:pPr>
      <w:r>
        <w:rPr>
          <w:rtl/>
        </w:rPr>
        <w:t>222 -</w:t>
      </w:r>
      <w:r>
        <w:rPr>
          <w:rFonts w:hint="cs"/>
          <w:rtl/>
        </w:rPr>
        <w:t xml:space="preserve"> </w:t>
      </w:r>
      <w:r>
        <w:rPr>
          <w:rtl/>
        </w:rPr>
        <w:t>يبدو أن مستوى التعليم لا يؤثر كثيرا على ما إذا كانت النساء أو الرجال ناشطين اقتصاديا. ووفقا لما جاء في الدراسة الاستقصائية لقوة العمل لعام 2010، تبلغ المشاركة في قوة العمل أعلى معدلاتها بين الرجال غير المتعلمين، نحو 40 في المائة من الرجال العاملين، ويلي ذلك من لم يتجاوزوا مرحلة ما قبل التعليم الابتدائي (21 في المائة). ويلاحظ اتجاه مماثل بالنسبة للمرأة التي تحقق أعلى معدل مشاركة في قوة العمل بين النساء غير المتعلمات بنسبة 57.5 في المائة بين جميع النساء العاملات</w:t>
      </w:r>
      <w:r w:rsidRPr="003D702D">
        <w:rPr>
          <w:vertAlign w:val="superscript"/>
          <w:rtl/>
        </w:rPr>
        <w:t>(</w:t>
      </w:r>
      <w:r w:rsidRPr="003D702D">
        <w:rPr>
          <w:rStyle w:val="FootnoteReference"/>
          <w:szCs w:val="30"/>
          <w:rtl/>
        </w:rPr>
        <w:footnoteReference w:id="184"/>
      </w:r>
      <w:r w:rsidRPr="003D702D">
        <w:rPr>
          <w:vertAlign w:val="superscript"/>
          <w:rtl/>
        </w:rPr>
        <w:t>)</w:t>
      </w:r>
      <w:r>
        <w:rPr>
          <w:rtl/>
        </w:rPr>
        <w:t xml:space="preserve">. ومع ذلك، يمكن للمرء أن يرى أن معظم الرجال والنساء يعملون في مهن لا تتطلب مهارة، أي لحسابهم الخاص أو كعاملين مساهمين من الأسرة، التي من غير المرجح أن تشترط الحصول على مؤهلات تعليمية. </w:t>
      </w:r>
    </w:p>
    <w:p w:rsidR="00987D55" w:rsidRDefault="00987D55" w:rsidP="00987D55">
      <w:pPr>
        <w:pStyle w:val="SingleTxt"/>
        <w:rPr>
          <w:rtl/>
        </w:rPr>
      </w:pPr>
      <w:r>
        <w:rPr>
          <w:rtl/>
        </w:rPr>
        <w:t>223 -</w:t>
      </w:r>
      <w:r>
        <w:rPr>
          <w:rFonts w:hint="cs"/>
          <w:rtl/>
        </w:rPr>
        <w:t xml:space="preserve"> </w:t>
      </w:r>
      <w:r>
        <w:rPr>
          <w:rtl/>
        </w:rPr>
        <w:t>ومن ناحية أخرى، تتمتع النساء في مواقع صنع القرار بمستوى أعلى نسبيا من التعليم مقارنة بنظرائهن من الرجال، حيث استكمل ما يقرب من 80 في المائة من النساء مقابل 63 في المائة من الرجال التعليم الثانوي أو المدرسي أو الأعلى، وهذا يعني أن المرأة تحتاج مؤهلات أعلى لتشغل موقع صنع القرار نفسه. وعلى الرغم من ذلك، أظهرت نتائج التعداد أن حصة المرأة في بعض المناصب الرفيعة المستوى قد ازدادت زيادة ملحوظة في الفترة بين عامي 2004 و 2010، حيث زادت نسبة النساء في المناصب الرسمية الرفيعة من 13</w:t>
      </w:r>
      <w:r>
        <w:rPr>
          <w:rFonts w:hint="cs"/>
          <w:rtl/>
        </w:rPr>
        <w:t> </w:t>
      </w:r>
      <w:r>
        <w:rPr>
          <w:rtl/>
        </w:rPr>
        <w:t>في المائة إلى 35 في المائة</w:t>
      </w:r>
      <w:r w:rsidRPr="00582ACC">
        <w:rPr>
          <w:vertAlign w:val="superscript"/>
          <w:rtl/>
        </w:rPr>
        <w:t>(</w:t>
      </w:r>
      <w:r w:rsidRPr="00582ACC">
        <w:rPr>
          <w:rStyle w:val="FootnoteReference"/>
          <w:szCs w:val="30"/>
          <w:rtl/>
        </w:rPr>
        <w:footnoteReference w:id="185"/>
      </w:r>
      <w:r w:rsidRPr="00582ACC">
        <w:rPr>
          <w:vertAlign w:val="superscript"/>
          <w:rtl/>
        </w:rPr>
        <w:t>)</w:t>
      </w:r>
      <w:r>
        <w:rPr>
          <w:rtl/>
        </w:rPr>
        <w:t xml:space="preserve">. </w:t>
      </w:r>
    </w:p>
    <w:p w:rsidR="00987D55" w:rsidRPr="00582ACC" w:rsidRDefault="00987D55" w:rsidP="00987D55">
      <w:pPr>
        <w:pStyle w:val="SingleTxt"/>
        <w:spacing w:after="0" w:line="120" w:lineRule="exact"/>
        <w:rPr>
          <w:sz w:val="10"/>
          <w:rtl/>
        </w:rPr>
      </w:pPr>
    </w:p>
    <w:p w:rsidR="00987D55" w:rsidRPr="00582ACC"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582ACC">
        <w:rPr>
          <w:rtl/>
        </w:rPr>
        <w:t>الوضع في العمل</w:t>
      </w:r>
    </w:p>
    <w:p w:rsidR="00987D55" w:rsidRDefault="00987D55" w:rsidP="00987D55">
      <w:pPr>
        <w:pStyle w:val="SingleTxt"/>
        <w:rPr>
          <w:rtl/>
        </w:rPr>
      </w:pPr>
      <w:r>
        <w:rPr>
          <w:rtl/>
        </w:rPr>
        <w:t>224 -</w:t>
      </w:r>
      <w:r>
        <w:rPr>
          <w:rFonts w:hint="cs"/>
          <w:rtl/>
        </w:rPr>
        <w:t xml:space="preserve"> </w:t>
      </w:r>
      <w:r>
        <w:rPr>
          <w:rtl/>
        </w:rPr>
        <w:t>يُصنف 000 72 فرد (نحو 78 في المائة من الذكور، و 22 في المائة من الإناث) كعمال بأجر مدفوع. وهذا النموذج الأكثر أمانا من العمل هو المعيار لنسبة 28 في المائة فقط من إجمالي قوة العمل و 19 في المائة من النساء العاملات. وتتواجد أكبر مجموعة من</w:t>
      </w:r>
      <w:r>
        <w:rPr>
          <w:rFonts w:hint="cs"/>
          <w:rtl/>
        </w:rPr>
        <w:t> </w:t>
      </w:r>
      <w:r>
        <w:rPr>
          <w:rtl/>
        </w:rPr>
        <w:t>الموظفات في قطاع التعليم (أكثر من 30 في المائة من النساء العاملات و 18 في المائة من</w:t>
      </w:r>
      <w:r>
        <w:rPr>
          <w:rFonts w:hint="cs"/>
          <w:rtl/>
        </w:rPr>
        <w:t> </w:t>
      </w:r>
      <w:r>
        <w:rPr>
          <w:rtl/>
        </w:rPr>
        <w:t>الرجال العاملين). ولا يوجد سوى 000 4 من أرباب العمل في تيمور</w:t>
      </w:r>
      <w:r>
        <w:rPr>
          <w:rFonts w:hint="cs"/>
          <w:rtl/>
        </w:rPr>
        <w:t xml:space="preserve"> </w:t>
      </w:r>
      <w:r>
        <w:rPr>
          <w:rtl/>
        </w:rPr>
        <w:t>-</w:t>
      </w:r>
      <w:r>
        <w:rPr>
          <w:rFonts w:hint="cs"/>
          <w:rtl/>
        </w:rPr>
        <w:t xml:space="preserve"> </w:t>
      </w:r>
      <w:r>
        <w:rPr>
          <w:rtl/>
        </w:rPr>
        <w:t>ليشتي، بمشاركة المرأة بما يعادل الربع، ويتواجدون جميعا تقريبا في القطاع الزراعي</w:t>
      </w:r>
      <w:r w:rsidRPr="00582ACC">
        <w:rPr>
          <w:vertAlign w:val="superscript"/>
          <w:rtl/>
        </w:rPr>
        <w:t>(</w:t>
      </w:r>
      <w:r w:rsidRPr="00582ACC">
        <w:rPr>
          <w:rStyle w:val="FootnoteReference"/>
          <w:szCs w:val="30"/>
          <w:rtl/>
        </w:rPr>
        <w:footnoteReference w:id="186"/>
      </w:r>
      <w:r w:rsidRPr="00582ACC">
        <w:rPr>
          <w:vertAlign w:val="superscript"/>
          <w:rtl/>
        </w:rPr>
        <w:t>)</w:t>
      </w:r>
      <w:r>
        <w:rPr>
          <w:rtl/>
        </w:rPr>
        <w:t xml:space="preserve">. </w:t>
      </w:r>
    </w:p>
    <w:p w:rsidR="00987D55" w:rsidRDefault="00987D55" w:rsidP="00987D55">
      <w:pPr>
        <w:pStyle w:val="SingleTxt"/>
        <w:rPr>
          <w:rtl/>
        </w:rPr>
      </w:pPr>
      <w:r>
        <w:rPr>
          <w:rtl/>
        </w:rPr>
        <w:t>225 -</w:t>
      </w:r>
      <w:r>
        <w:rPr>
          <w:rFonts w:hint="cs"/>
          <w:rtl/>
        </w:rPr>
        <w:t xml:space="preserve"> </w:t>
      </w:r>
      <w:r>
        <w:rPr>
          <w:rtl/>
        </w:rPr>
        <w:t>وتشكل النساء العاملات لحسابهن الخاص نصيبا يبلغ نسبة 46 في المائة من النساء في قوة العمل. وتعمل معظمهن في الزراعة (44 في المائة) أو تجارة الجملة/التجزئة (44</w:t>
      </w:r>
      <w:r>
        <w:rPr>
          <w:rFonts w:hint="cs"/>
          <w:rtl/>
        </w:rPr>
        <w:t> </w:t>
      </w:r>
      <w:r>
        <w:rPr>
          <w:rtl/>
        </w:rPr>
        <w:t>في</w:t>
      </w:r>
      <w:r>
        <w:rPr>
          <w:rFonts w:hint="cs"/>
          <w:rtl/>
        </w:rPr>
        <w:t> </w:t>
      </w:r>
      <w:r>
        <w:rPr>
          <w:rtl/>
        </w:rPr>
        <w:t>المائة) وتعمل بعضهن أيضا في قطاع الصناعة التحويلية (11 في المائة). ويعمل أفراد الأسرة المساهمون (29 في المائة من اليد العاملة) في القطاع الزراعي بشكل حصري تقريبا بالنسبة لكل من الرجل والمرأة، وتعمل البقية في المقام الأول في تجارة الجملة/التجزئة. ويعمل ثلث النساء في قوة العمل (32 في المائة) بوصفهن أفرادا مساهمين في الأسرة</w:t>
      </w:r>
      <w:r w:rsidRPr="00582ACC">
        <w:rPr>
          <w:vertAlign w:val="superscript"/>
          <w:rtl/>
        </w:rPr>
        <w:t>(</w:t>
      </w:r>
      <w:r w:rsidRPr="00582ACC">
        <w:rPr>
          <w:rStyle w:val="FootnoteReference"/>
          <w:szCs w:val="30"/>
          <w:rtl/>
        </w:rPr>
        <w:footnoteReference w:id="187"/>
      </w:r>
      <w:r w:rsidRPr="00582ACC">
        <w:rPr>
          <w:vertAlign w:val="superscript"/>
          <w:rtl/>
        </w:rPr>
        <w:t>)</w:t>
      </w:r>
      <w:r>
        <w:rPr>
          <w:rtl/>
        </w:rPr>
        <w:t xml:space="preserve">. </w:t>
      </w:r>
    </w:p>
    <w:p w:rsidR="00987D55" w:rsidRPr="00582ACC" w:rsidRDefault="00987D55" w:rsidP="00987D55">
      <w:pPr>
        <w:pStyle w:val="SingleTxt"/>
        <w:spacing w:after="0" w:line="120" w:lineRule="exact"/>
        <w:rPr>
          <w:sz w:val="10"/>
          <w:rtl/>
        </w:rPr>
      </w:pPr>
    </w:p>
    <w:p w:rsidR="00987D55" w:rsidRPr="00582ACC"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582ACC">
        <w:rPr>
          <w:rtl/>
        </w:rPr>
        <w:t>العمالة الهشة</w:t>
      </w:r>
    </w:p>
    <w:p w:rsidR="00987D55" w:rsidRDefault="00987D55" w:rsidP="00987D55">
      <w:pPr>
        <w:pStyle w:val="SingleTxt"/>
        <w:rPr>
          <w:rtl/>
        </w:rPr>
      </w:pPr>
      <w:r>
        <w:rPr>
          <w:rtl/>
        </w:rPr>
        <w:t>226 -</w:t>
      </w:r>
      <w:r>
        <w:rPr>
          <w:rFonts w:hint="cs"/>
          <w:rtl/>
        </w:rPr>
        <w:t xml:space="preserve"> </w:t>
      </w:r>
      <w:r>
        <w:rPr>
          <w:rtl/>
        </w:rPr>
        <w:t>تُعرف العمالة الهشة بأنها ظروف العمل غير الآمن نسبيا التي من غير المحتمل أن</w:t>
      </w:r>
      <w:r>
        <w:rPr>
          <w:rFonts w:hint="cs"/>
          <w:rtl/>
        </w:rPr>
        <w:t> </w:t>
      </w:r>
      <w:r>
        <w:rPr>
          <w:rtl/>
        </w:rPr>
        <w:t>تحظى بترتيبات عمل رسمية أو إمكانية الحصول على الاستحقاقات أو برامج الحماية الاجتماعية، وتتعرض على الأرجح لخطر آثار الدورات الاقتصادية (العاملون لحسابهم الخاص وأفراد الأسرة المساهمون عادة). ويبلغ معدل العمالة الهشة في تيمور</w:t>
      </w:r>
      <w:r>
        <w:rPr>
          <w:rFonts w:hint="cs"/>
          <w:rtl/>
        </w:rPr>
        <w:t xml:space="preserve"> </w:t>
      </w:r>
      <w:r>
        <w:rPr>
          <w:rtl/>
        </w:rPr>
        <w:t>-</w:t>
      </w:r>
      <w:r>
        <w:rPr>
          <w:rFonts w:hint="cs"/>
          <w:rtl/>
        </w:rPr>
        <w:t xml:space="preserve"> </w:t>
      </w:r>
      <w:r>
        <w:rPr>
          <w:rtl/>
        </w:rPr>
        <w:t>ليشتي 70 في المائة في</w:t>
      </w:r>
      <w:r>
        <w:rPr>
          <w:rFonts w:hint="cs"/>
          <w:rtl/>
        </w:rPr>
        <w:t> </w:t>
      </w:r>
      <w:r>
        <w:rPr>
          <w:rtl/>
        </w:rPr>
        <w:t>جميع القطاعات. ويعمل ثلثا العاملين الذكور (66 في المائة) وثلاثة أرباع العاملات الإناث (78 في المائة) في وظائف هشة، وترتفع المعدلات بشكل خاص في قطاعات الزراعة وتجارة الجملة/التجزئة. ويعمل 50 في المائة من مجموع السكان العاملين في الزراعة أو</w:t>
      </w:r>
      <w:r>
        <w:rPr>
          <w:rFonts w:hint="cs"/>
          <w:rtl/>
        </w:rPr>
        <w:t> </w:t>
      </w:r>
      <w:r>
        <w:rPr>
          <w:rtl/>
        </w:rPr>
        <w:t>الغابات أو صيد الأسماك، ويمكن اعتبارهم في صفوف العمالة الهشة (98 في المائة من</w:t>
      </w:r>
      <w:r>
        <w:rPr>
          <w:rFonts w:hint="cs"/>
          <w:rtl/>
        </w:rPr>
        <w:t> </w:t>
      </w:r>
      <w:r>
        <w:rPr>
          <w:rtl/>
        </w:rPr>
        <w:t>مجموع العمالة في هذا القطاع). ومن نفس المنطلق، يمكن اعتبار 15 في المائة من مجموع السكان القادرين على العمل المشتغلين بتجارة الجملة أو التجزئة في صفوف العمالة الهشة (86 في المائة من مجموع العمالة في هذا القطاع - تقريبا نفس النسبة للرجال والنساء)</w:t>
      </w:r>
      <w:r w:rsidRPr="00582ACC">
        <w:rPr>
          <w:vertAlign w:val="superscript"/>
          <w:rtl/>
        </w:rPr>
        <w:t>(</w:t>
      </w:r>
      <w:r w:rsidRPr="00582ACC">
        <w:rPr>
          <w:rStyle w:val="FootnoteReference"/>
          <w:szCs w:val="30"/>
          <w:rtl/>
        </w:rPr>
        <w:footnoteReference w:id="188"/>
      </w:r>
      <w:r w:rsidRPr="00582ACC">
        <w:rPr>
          <w:vertAlign w:val="superscript"/>
          <w:rtl/>
        </w:rPr>
        <w:t>)</w:t>
      </w:r>
      <w:r>
        <w:rPr>
          <w:rtl/>
        </w:rPr>
        <w:t>.</w:t>
      </w:r>
    </w:p>
    <w:p w:rsidR="00987D55" w:rsidRDefault="00987D55" w:rsidP="00987D55">
      <w:pPr>
        <w:pStyle w:val="SingleTxt"/>
        <w:rPr>
          <w:rtl/>
        </w:rPr>
      </w:pPr>
      <w:r>
        <w:rPr>
          <w:rtl/>
        </w:rPr>
        <w:t>227 -</w:t>
      </w:r>
      <w:r>
        <w:rPr>
          <w:rFonts w:hint="cs"/>
          <w:rtl/>
        </w:rPr>
        <w:t xml:space="preserve"> </w:t>
      </w:r>
      <w:r>
        <w:rPr>
          <w:rtl/>
        </w:rPr>
        <w:t>ويبلغ معدل العمالة الهشة الضعف في المناطق الريفية (81 في المائة) مقارنة بالمناطق الحضرية (42 في المائة)، وهو أعلى بكثير في كلا المجالين بالنسبة للمرأة عما هو بالنسبة للرجل.</w:t>
      </w:r>
    </w:p>
    <w:p w:rsidR="00987D55" w:rsidRPr="00582ACC" w:rsidRDefault="00987D55" w:rsidP="00987D55">
      <w:pPr>
        <w:pStyle w:val="SingleTxt"/>
        <w:spacing w:after="0" w:line="120" w:lineRule="exact"/>
        <w:rPr>
          <w:sz w:val="10"/>
          <w:rtl/>
        </w:rPr>
      </w:pPr>
    </w:p>
    <w:p w:rsidR="00987D55" w:rsidRPr="00A43FB7"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43FB7">
        <w:rPr>
          <w:rFonts w:hint="cs"/>
          <w:rtl/>
        </w:rPr>
        <w:tab/>
      </w:r>
      <w:r w:rsidRPr="00A43FB7">
        <w:rPr>
          <w:rFonts w:hint="cs"/>
          <w:rtl/>
        </w:rPr>
        <w:tab/>
      </w:r>
      <w:r w:rsidRPr="00A43FB7">
        <w:rPr>
          <w:rtl/>
        </w:rPr>
        <w:t>القطاع غير الرسمي</w:t>
      </w:r>
    </w:p>
    <w:p w:rsidR="00987D55" w:rsidRDefault="00987D55" w:rsidP="00987D55">
      <w:pPr>
        <w:pStyle w:val="SingleTxt"/>
        <w:rPr>
          <w:rtl/>
        </w:rPr>
      </w:pPr>
      <w:r>
        <w:rPr>
          <w:rtl/>
        </w:rPr>
        <w:t>228 -</w:t>
      </w:r>
      <w:r>
        <w:rPr>
          <w:rFonts w:hint="cs"/>
          <w:rtl/>
        </w:rPr>
        <w:t xml:space="preserve"> </w:t>
      </w:r>
      <w:r>
        <w:rPr>
          <w:rtl/>
        </w:rPr>
        <w:t>تشكل أنشطة القطاع غير الرسمي نسبة كبيرة من مجموع العمالة وتوليد الدخل في</w:t>
      </w:r>
      <w:r>
        <w:rPr>
          <w:rFonts w:hint="cs"/>
          <w:rtl/>
        </w:rPr>
        <w:t> </w:t>
      </w:r>
      <w:r>
        <w:rPr>
          <w:rtl/>
        </w:rPr>
        <w:t>تيمور</w:t>
      </w:r>
      <w:r>
        <w:rPr>
          <w:rFonts w:hint="cs"/>
          <w:rtl/>
        </w:rPr>
        <w:t xml:space="preserve"> </w:t>
      </w:r>
      <w:r>
        <w:rPr>
          <w:rtl/>
        </w:rPr>
        <w:t>-</w:t>
      </w:r>
      <w:r>
        <w:rPr>
          <w:rFonts w:hint="cs"/>
          <w:rtl/>
        </w:rPr>
        <w:t xml:space="preserve"> </w:t>
      </w:r>
      <w:r>
        <w:rPr>
          <w:rtl/>
        </w:rPr>
        <w:t>ليشتي، بوصفها مجموعة فرعية من المؤسسات غير الاعتبارية التي تملكها الأسر المعيشية والتي لا تشكل كيانات قانونية مستقلة عن الأسر المعيشية أو أفراد الأسر المعيشية الذين يملكونها، والتي لا يتوفر بشأنها أي مجموعات كاملة من الحسابات (حسب تعريف منظمة العمل الدولية). وإذا نظرنا إلى القطاع الزراعي، سنجد أن معظم النساء والرجال يعملون في القطاع غير الرسمي، ولكن النساء يتركزن في مجالات توليد الدخل الأدنى لقوة العمل غير الرسمية. واستنادا إلى بيانات عام 2010، يبلغ معدل العمالة غير الرسمية الوطنية ما نسبته 17.8 في المائة (فيما يتعلق بالأنشطة غير الزراعية على النحو المحدد في الدراسة الاستقصائية لقوة العمل لعام 2010). ويزيد المعدل كثيرا بالنسبة للمرأة (26.5 في المائة) مقارنة بالرجل (13.5 في المائة)</w:t>
      </w:r>
      <w:r w:rsidRPr="00582ACC">
        <w:rPr>
          <w:vertAlign w:val="superscript"/>
          <w:rtl/>
        </w:rPr>
        <w:t>(</w:t>
      </w:r>
      <w:r w:rsidRPr="00582ACC">
        <w:rPr>
          <w:rStyle w:val="FootnoteReference"/>
          <w:szCs w:val="30"/>
          <w:rtl/>
        </w:rPr>
        <w:footnoteReference w:id="189"/>
      </w:r>
      <w:r w:rsidRPr="00582ACC">
        <w:rPr>
          <w:vertAlign w:val="superscript"/>
          <w:rtl/>
        </w:rPr>
        <w:t>)</w:t>
      </w:r>
      <w:r>
        <w:rPr>
          <w:rtl/>
        </w:rPr>
        <w:t xml:space="preserve">. </w:t>
      </w:r>
    </w:p>
    <w:p w:rsidR="00987D55" w:rsidRDefault="00987D55" w:rsidP="00987D55">
      <w:pPr>
        <w:pStyle w:val="SingleTxt"/>
        <w:rPr>
          <w:rtl/>
        </w:rPr>
      </w:pPr>
      <w:r>
        <w:rPr>
          <w:rtl/>
        </w:rPr>
        <w:t>229 -</w:t>
      </w:r>
      <w:r>
        <w:rPr>
          <w:rFonts w:hint="cs"/>
          <w:rtl/>
        </w:rPr>
        <w:t xml:space="preserve"> </w:t>
      </w:r>
      <w:r>
        <w:rPr>
          <w:rtl/>
        </w:rPr>
        <w:t>وتعمل غالبية العمالة غير الرسمية في تجارة الجملة والتجزئة (75 في المائة) والصناعات التحويلية (11 في المائة) ويعمل ما تبقي في قطاعات التشييد والتعدين والنقل</w:t>
      </w:r>
      <w:r>
        <w:rPr>
          <w:rFonts w:hint="cs"/>
          <w:rtl/>
        </w:rPr>
        <w:t> </w:t>
      </w:r>
      <w:r>
        <w:rPr>
          <w:rtl/>
        </w:rPr>
        <w:t>التي يهيمن عليها الذكور. ومعدل العمالة غير الرسمية أعلى في المناطق الحضرية (20</w:t>
      </w:r>
      <w:r>
        <w:rPr>
          <w:rFonts w:hint="cs"/>
          <w:rtl/>
        </w:rPr>
        <w:t> </w:t>
      </w:r>
      <w:r>
        <w:rPr>
          <w:rtl/>
        </w:rPr>
        <w:t>في المائة) عنها في المناطق الريفية (17 في المائة) وأعلى من ذلك بكثير بالنسبة للنساء (27،5 في المائة من مجموع السكان العاملات مقارنة بنسبة 13 في المائة من مجموع السكان العاملين)</w:t>
      </w:r>
      <w:r w:rsidRPr="00582ACC">
        <w:rPr>
          <w:vertAlign w:val="superscript"/>
          <w:rtl/>
        </w:rPr>
        <w:t>(</w:t>
      </w:r>
      <w:r w:rsidRPr="00582ACC">
        <w:rPr>
          <w:rStyle w:val="FootnoteReference"/>
          <w:szCs w:val="30"/>
          <w:rtl/>
        </w:rPr>
        <w:footnoteReference w:id="190"/>
      </w:r>
      <w:r w:rsidRPr="00582ACC">
        <w:rPr>
          <w:vertAlign w:val="superscript"/>
          <w:rtl/>
        </w:rPr>
        <w:t>)</w:t>
      </w:r>
      <w:r>
        <w:rPr>
          <w:rtl/>
        </w:rPr>
        <w:t xml:space="preserve">. </w:t>
      </w:r>
    </w:p>
    <w:p w:rsidR="00987D55" w:rsidRPr="00582ACC" w:rsidRDefault="00987D55" w:rsidP="00987D55">
      <w:pPr>
        <w:pStyle w:val="SingleTxt"/>
        <w:spacing w:after="0" w:line="120" w:lineRule="exact"/>
        <w:rPr>
          <w:sz w:val="10"/>
          <w:rtl/>
        </w:rPr>
      </w:pPr>
    </w:p>
    <w:p w:rsidR="00987D55" w:rsidRPr="00582ACC"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582ACC">
        <w:rPr>
          <w:rtl/>
        </w:rPr>
        <w:t>الأنشطة الثانوية</w:t>
      </w:r>
    </w:p>
    <w:p w:rsidR="00987D55" w:rsidRDefault="00987D55" w:rsidP="00987D55">
      <w:pPr>
        <w:pStyle w:val="SingleTxt"/>
        <w:rPr>
          <w:rtl/>
        </w:rPr>
      </w:pPr>
      <w:r>
        <w:rPr>
          <w:rtl/>
        </w:rPr>
        <w:t>230 -</w:t>
      </w:r>
      <w:r>
        <w:rPr>
          <w:rFonts w:hint="cs"/>
          <w:rtl/>
        </w:rPr>
        <w:t xml:space="preserve"> </w:t>
      </w:r>
      <w:r>
        <w:rPr>
          <w:rtl/>
        </w:rPr>
        <w:t>يساهم أكثر من ثلث جميع النساء غير الناشطات اقتصاديا في المقام الأول مساهمة اقتصادية من نوع ما (42 في المائة). وتعمل غالبيتهن في أنشطة زراعة المحاصيل وتربية الماشية غير المدفوعة الأجر (29.5 في المائة) أو صناعة المنسوجات المحلية أو أغطية الموائد أو العقود (7.1 في المائة)</w:t>
      </w:r>
      <w:r w:rsidRPr="000338B7">
        <w:rPr>
          <w:vertAlign w:val="superscript"/>
          <w:rtl/>
        </w:rPr>
        <w:t>(</w:t>
      </w:r>
      <w:r w:rsidRPr="000338B7">
        <w:rPr>
          <w:rStyle w:val="FootnoteReference"/>
          <w:szCs w:val="30"/>
          <w:rtl/>
        </w:rPr>
        <w:footnoteReference w:id="191"/>
      </w:r>
      <w:r w:rsidRPr="000338B7">
        <w:rPr>
          <w:vertAlign w:val="superscript"/>
          <w:rtl/>
        </w:rPr>
        <w:t>)</w:t>
      </w:r>
      <w:r>
        <w:rPr>
          <w:rtl/>
        </w:rPr>
        <w:t>. (يرجى الرجوع إلى المرفقات</w:t>
      </w:r>
      <w:r>
        <w:rPr>
          <w:rFonts w:hint="cs"/>
          <w:rtl/>
        </w:rPr>
        <w:t xml:space="preserve"> </w:t>
      </w:r>
      <w:r>
        <w:rPr>
          <w:rtl/>
        </w:rPr>
        <w:t>-</w:t>
      </w:r>
      <w:r>
        <w:rPr>
          <w:rFonts w:hint="cs"/>
          <w:rtl/>
        </w:rPr>
        <w:t xml:space="preserve"> </w:t>
      </w:r>
      <w:r>
        <w:rPr>
          <w:rtl/>
        </w:rPr>
        <w:t>الجدول 7)</w:t>
      </w:r>
      <w:r>
        <w:rPr>
          <w:rFonts w:hint="cs"/>
          <w:rtl/>
        </w:rPr>
        <w:t>.</w:t>
      </w:r>
    </w:p>
    <w:p w:rsidR="00987D55" w:rsidRDefault="00987D55" w:rsidP="00987D55">
      <w:pPr>
        <w:pStyle w:val="SingleTxt"/>
        <w:rPr>
          <w:rtl/>
        </w:rPr>
      </w:pPr>
      <w:r>
        <w:rPr>
          <w:rtl/>
        </w:rPr>
        <w:t>231 -</w:t>
      </w:r>
      <w:r>
        <w:rPr>
          <w:rFonts w:hint="cs"/>
          <w:rtl/>
        </w:rPr>
        <w:t xml:space="preserve"> </w:t>
      </w:r>
      <w:r>
        <w:rPr>
          <w:rtl/>
        </w:rPr>
        <w:t>ومن ناحية أخرى، لا يرجح كثيرا أن ينفق الرجال غير الناشطين اقتصاديا أي</w:t>
      </w:r>
      <w:r>
        <w:rPr>
          <w:rFonts w:hint="cs"/>
          <w:rtl/>
        </w:rPr>
        <w:t> </w:t>
      </w:r>
      <w:r>
        <w:rPr>
          <w:rtl/>
        </w:rPr>
        <w:t>وقت في الاضطلاع بأي شكل من أشكال النشاط الاقتصادي. ولم يساهم إلا 23 في</w:t>
      </w:r>
      <w:r>
        <w:rPr>
          <w:rFonts w:hint="cs"/>
          <w:rtl/>
        </w:rPr>
        <w:t> </w:t>
      </w:r>
      <w:r>
        <w:rPr>
          <w:rtl/>
        </w:rPr>
        <w:t>المائة من الرجال غير الناشطين في المقام الأول مساهمة اقتصادية. ومعظمهم يقومون بالزراعة غير المدفوعة الأجر (زراعة المحاصيل أو تربية الماشية) (17.8 في المائة)</w:t>
      </w:r>
      <w:r w:rsidRPr="00582ACC">
        <w:rPr>
          <w:vertAlign w:val="superscript"/>
          <w:rtl/>
        </w:rPr>
        <w:t>(</w:t>
      </w:r>
      <w:r w:rsidRPr="00582ACC">
        <w:rPr>
          <w:rStyle w:val="FootnoteReference"/>
          <w:szCs w:val="30"/>
          <w:rtl/>
        </w:rPr>
        <w:footnoteReference w:id="192"/>
      </w:r>
      <w:r w:rsidRPr="00582ACC">
        <w:rPr>
          <w:vertAlign w:val="superscript"/>
          <w:rtl/>
        </w:rPr>
        <w:t>)</w:t>
      </w:r>
      <w:r>
        <w:rPr>
          <w:rtl/>
        </w:rPr>
        <w:t xml:space="preserve">. </w:t>
      </w:r>
    </w:p>
    <w:p w:rsidR="00987D55" w:rsidRPr="000338B7" w:rsidRDefault="00987D55" w:rsidP="00987D55">
      <w:pPr>
        <w:pStyle w:val="SingleTxt"/>
        <w:spacing w:after="0" w:line="120" w:lineRule="exact"/>
        <w:rPr>
          <w:sz w:val="10"/>
          <w:rtl/>
        </w:rPr>
      </w:pPr>
    </w:p>
    <w:p w:rsidR="00987D55" w:rsidRDefault="00987D55" w:rsidP="00987D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النساء في المناصب القيادية في إطار الإدارة العامة</w:t>
      </w:r>
    </w:p>
    <w:p w:rsidR="00987D55" w:rsidRDefault="00987D55" w:rsidP="00987D55">
      <w:pPr>
        <w:pStyle w:val="SingleTxt"/>
        <w:rPr>
          <w:rtl/>
        </w:rPr>
      </w:pPr>
      <w:r>
        <w:rPr>
          <w:rtl/>
        </w:rPr>
        <w:t>232 -</w:t>
      </w:r>
      <w:r>
        <w:rPr>
          <w:rFonts w:hint="cs"/>
          <w:rtl/>
        </w:rPr>
        <w:t xml:space="preserve"> </w:t>
      </w:r>
      <w:r>
        <w:rPr>
          <w:rtl/>
        </w:rPr>
        <w:t>بلغت مشاركة المرأة في الخدمة المدنية في عام 2011 ما نسبته 29 في المائة. ومع</w:t>
      </w:r>
      <w:r>
        <w:rPr>
          <w:rFonts w:hint="cs"/>
          <w:rtl/>
        </w:rPr>
        <w:t> </w:t>
      </w:r>
      <w:r>
        <w:rPr>
          <w:rtl/>
        </w:rPr>
        <w:t>ذلك، لا تزال النسبة المئوية للنساء في الأدوار الإدارية منخفضة جدا. وكانت نسبة النساء 15 في المائة على مستوى المدير و 17 في المائة على مستوى الرئيس</w:t>
      </w:r>
      <w:r w:rsidRPr="000338B7">
        <w:rPr>
          <w:vertAlign w:val="superscript"/>
          <w:rtl/>
        </w:rPr>
        <w:t>(</w:t>
      </w:r>
      <w:r w:rsidRPr="000338B7">
        <w:rPr>
          <w:rStyle w:val="FootnoteReference"/>
          <w:szCs w:val="30"/>
          <w:rtl/>
        </w:rPr>
        <w:footnoteReference w:id="193"/>
      </w:r>
      <w:r w:rsidRPr="000338B7">
        <w:rPr>
          <w:vertAlign w:val="superscript"/>
          <w:rtl/>
        </w:rPr>
        <w:t>)</w:t>
      </w:r>
      <w:r>
        <w:rPr>
          <w:rtl/>
        </w:rPr>
        <w:t xml:space="preserve">. </w:t>
      </w:r>
    </w:p>
    <w:p w:rsidR="00987D55" w:rsidRDefault="00987D55" w:rsidP="00987D55">
      <w:pPr>
        <w:pStyle w:val="SingleTxt"/>
        <w:rPr>
          <w:rtl/>
        </w:rPr>
      </w:pPr>
      <w:r>
        <w:rPr>
          <w:rtl/>
        </w:rPr>
        <w:t>233 -</w:t>
      </w:r>
      <w:r>
        <w:rPr>
          <w:rFonts w:hint="cs"/>
          <w:rtl/>
        </w:rPr>
        <w:t xml:space="preserve"> </w:t>
      </w:r>
      <w:r>
        <w:rPr>
          <w:rtl/>
        </w:rPr>
        <w:t>وتبذل الحكومة جهودا خاصة من أجل التحاق النساء بقوات الشرطة والدفاع الوطني في القطاع الأمني على وجه التحديد، وذلك تمشيا مع قرار مجلس الأمن 1325. وزاد عدد النساء من أقل من 100 امرأة في عام 2000 إلى 577 امرأة (20 في المائة) في</w:t>
      </w:r>
      <w:r>
        <w:rPr>
          <w:rFonts w:hint="cs"/>
          <w:rtl/>
        </w:rPr>
        <w:t> </w:t>
      </w:r>
      <w:r>
        <w:rPr>
          <w:rtl/>
        </w:rPr>
        <w:t>الشرطة، و 8 في المائة من قوات الدفاع الوطنية في عام 2010. وتشغل حتى الآن ما</w:t>
      </w:r>
      <w:r>
        <w:rPr>
          <w:rFonts w:hint="cs"/>
          <w:rtl/>
        </w:rPr>
        <w:t> </w:t>
      </w:r>
      <w:r>
        <w:rPr>
          <w:rtl/>
        </w:rPr>
        <w:t>نسبته 19 في المائة من الشرطيات منصب رئيس على كل من الصعيدين الوطني أو المحلي. وتشغل امرأة واحدة من بينهن منصب قائد شرطة في المقاطعات (وهو أعلى منصب في</w:t>
      </w:r>
      <w:r>
        <w:rPr>
          <w:rFonts w:hint="cs"/>
          <w:rtl/>
        </w:rPr>
        <w:t> </w:t>
      </w:r>
      <w:r>
        <w:rPr>
          <w:rtl/>
        </w:rPr>
        <w:t>التسلسل الهرمي الشرطي على صعيد المقاطعات)، حيث عُينت في أيلول/سبتمبر 2010 لقيادة قوة قوامها 100 فرد. وفي مقر الشرطة، تشغل 4 نساء منصب رئيس إدارة، وتشغل امرأة منصب المدير العام لدى وزير الدولة لشؤون الأمن. وتشغل المرأة أيضا مناصب رئيسية داخل وزارة العدل، مثل مدير خدمات السجون ومدير مركز التدريب القانوني</w:t>
      </w:r>
      <w:r w:rsidRPr="000338B7">
        <w:rPr>
          <w:vertAlign w:val="superscript"/>
          <w:rtl/>
        </w:rPr>
        <w:t>(</w:t>
      </w:r>
      <w:r w:rsidRPr="000338B7">
        <w:rPr>
          <w:rStyle w:val="FootnoteReference"/>
          <w:szCs w:val="30"/>
          <w:rtl/>
        </w:rPr>
        <w:footnoteReference w:id="194"/>
      </w:r>
      <w:r w:rsidRPr="000338B7">
        <w:rPr>
          <w:vertAlign w:val="superscript"/>
          <w:rtl/>
        </w:rPr>
        <w:t>)</w:t>
      </w:r>
      <w:r>
        <w:rPr>
          <w:rtl/>
        </w:rPr>
        <w:t xml:space="preserve">. </w:t>
      </w:r>
    </w:p>
    <w:p w:rsidR="00987D55" w:rsidRPr="000338B7" w:rsidRDefault="00987D55" w:rsidP="00987D55">
      <w:pPr>
        <w:pStyle w:val="SingleTxt"/>
        <w:spacing w:after="0" w:line="120" w:lineRule="exact"/>
        <w:rPr>
          <w:sz w:val="10"/>
          <w:rtl/>
        </w:rPr>
      </w:pPr>
    </w:p>
    <w:p w:rsidR="00987D55" w:rsidRDefault="00987D55" w:rsidP="00987D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المرأة في مناصب صنع القرار في القطاع الخاص</w:t>
      </w:r>
    </w:p>
    <w:p w:rsidR="00987D55" w:rsidRDefault="00987D55" w:rsidP="00987D55">
      <w:pPr>
        <w:pStyle w:val="SingleTxt"/>
        <w:rPr>
          <w:rtl/>
        </w:rPr>
      </w:pPr>
      <w:r>
        <w:rPr>
          <w:rtl/>
        </w:rPr>
        <w:t>234 -</w:t>
      </w:r>
      <w:r>
        <w:rPr>
          <w:rFonts w:hint="cs"/>
          <w:rtl/>
        </w:rPr>
        <w:t xml:space="preserve"> </w:t>
      </w:r>
      <w:r>
        <w:rPr>
          <w:rtl/>
        </w:rPr>
        <w:t xml:space="preserve">شغلت النساء، في عام 2010، ما يزيد قليلا على ثلث (35 في المائة) مناصب كبار المسؤولين. وفي حين لا تزال هذه النسبة بعيدة عن تحقيق توازن بنسبة </w:t>
      </w:r>
      <w:r w:rsidRPr="00A43FB7">
        <w:rPr>
          <w:rtl/>
        </w:rPr>
        <w:t>50/50</w:t>
      </w:r>
      <w:r>
        <w:rPr>
          <w:rtl/>
        </w:rPr>
        <w:t>، فهي</w:t>
      </w:r>
      <w:r>
        <w:rPr>
          <w:rFonts w:hint="cs"/>
          <w:rtl/>
        </w:rPr>
        <w:t> </w:t>
      </w:r>
      <w:r>
        <w:rPr>
          <w:rtl/>
        </w:rPr>
        <w:t>تعد تحسنا ملحوظا من عام 2004، عندما لم تشغل سوى 13 في المائة من النساء المناصب الرسمية الرفيعة</w:t>
      </w:r>
      <w:r w:rsidRPr="000338B7">
        <w:rPr>
          <w:vertAlign w:val="superscript"/>
          <w:rtl/>
        </w:rPr>
        <w:t>(</w:t>
      </w:r>
      <w:r w:rsidRPr="000338B7">
        <w:rPr>
          <w:rStyle w:val="FootnoteReference"/>
          <w:szCs w:val="30"/>
          <w:rtl/>
        </w:rPr>
        <w:footnoteReference w:id="195"/>
      </w:r>
      <w:r w:rsidRPr="000338B7">
        <w:rPr>
          <w:vertAlign w:val="superscript"/>
          <w:rtl/>
        </w:rPr>
        <w:t>)</w:t>
      </w:r>
      <w:r>
        <w:rPr>
          <w:rtl/>
        </w:rPr>
        <w:t xml:space="preserve">. </w:t>
      </w:r>
    </w:p>
    <w:p w:rsidR="00987D55" w:rsidRDefault="00987D55" w:rsidP="00987D55">
      <w:pPr>
        <w:pStyle w:val="SingleTxt"/>
        <w:rPr>
          <w:rtl/>
        </w:rPr>
      </w:pPr>
      <w:r>
        <w:rPr>
          <w:rtl/>
        </w:rPr>
        <w:t>235 -</w:t>
      </w:r>
      <w:r>
        <w:rPr>
          <w:rFonts w:hint="cs"/>
          <w:rtl/>
        </w:rPr>
        <w:t xml:space="preserve"> </w:t>
      </w:r>
      <w:r>
        <w:rPr>
          <w:rtl/>
        </w:rPr>
        <w:t>ولا تزال النساء المشتغلات بالأعمال الحرة مقيدات بالالتزامات الأسرية والتقليدية، وبالإضافة إلى ذلك يخضعن لقيود بافتقارهن إلى إمكانية الحصول على القروض والتكنولوجيا ومهارات الأعمال التجارية. وتسود أشكال التمييز الأخرى، من قبيل ممارسات الميراث والعنف العائلي. وكثيرا ما تكون جهود التنمية مجزأة، وبالتالي لا تتناول بما فيه الكفاية المعوقات المتعددة الأبعاد التي تحول دون المشاركة النشطة للمرأة في الاقتصاد</w:t>
      </w:r>
      <w:r w:rsidRPr="000338B7">
        <w:rPr>
          <w:vertAlign w:val="superscript"/>
          <w:rtl/>
        </w:rPr>
        <w:t>(</w:t>
      </w:r>
      <w:r w:rsidRPr="000338B7">
        <w:rPr>
          <w:rStyle w:val="FootnoteReference"/>
          <w:szCs w:val="30"/>
          <w:rtl/>
        </w:rPr>
        <w:footnoteReference w:id="196"/>
      </w:r>
      <w:r w:rsidRPr="000338B7">
        <w:rPr>
          <w:vertAlign w:val="superscript"/>
          <w:rtl/>
        </w:rPr>
        <w:t>)</w:t>
      </w:r>
      <w:r>
        <w:rPr>
          <w:rtl/>
        </w:rPr>
        <w:t xml:space="preserve">. </w:t>
      </w:r>
    </w:p>
    <w:p w:rsidR="00987D55" w:rsidRDefault="00987D55" w:rsidP="00987D55">
      <w:pPr>
        <w:pStyle w:val="SingleTxt"/>
        <w:rPr>
          <w:rtl/>
        </w:rPr>
      </w:pPr>
      <w:r>
        <w:rPr>
          <w:rFonts w:hint="cs"/>
          <w:rtl/>
        </w:rPr>
        <w:t xml:space="preserve">236 - </w:t>
      </w:r>
      <w:r>
        <w:rPr>
          <w:rtl/>
        </w:rPr>
        <w:t>ووفقا للدراسة الاستقصائية لقوة العمل لعام 2010 وكذلك التعداد السكاني لعام</w:t>
      </w:r>
      <w:r>
        <w:rPr>
          <w:rFonts w:hint="cs"/>
          <w:rtl/>
        </w:rPr>
        <w:t> </w:t>
      </w:r>
      <w:r>
        <w:rPr>
          <w:rtl/>
        </w:rPr>
        <w:t>2010، هناك تمييز مستمر في توظيف الأفراد وإدارتهم، ويلزم أن تكون المرأة أفضل تأهيلا من الرجل لتحصل على منصب رفيع المستوى. وحصل ما يقرب من 80 في المائة من</w:t>
      </w:r>
      <w:r>
        <w:rPr>
          <w:rFonts w:hint="cs"/>
          <w:rtl/>
        </w:rPr>
        <w:t> </w:t>
      </w:r>
      <w:r>
        <w:rPr>
          <w:rtl/>
        </w:rPr>
        <w:t>النساء في مناصب صنع القرار على تعليم ثانوي أو أعلى، أو تعليم تقني أو مهني، في</w:t>
      </w:r>
      <w:r>
        <w:rPr>
          <w:rFonts w:hint="cs"/>
          <w:rtl/>
        </w:rPr>
        <w:t> </w:t>
      </w:r>
      <w:r>
        <w:rPr>
          <w:rtl/>
        </w:rPr>
        <w:t>مقابل 63 في المائة من الرجال</w:t>
      </w:r>
      <w:r w:rsidRPr="000338B7">
        <w:rPr>
          <w:vertAlign w:val="superscript"/>
          <w:rtl/>
        </w:rPr>
        <w:t>(</w:t>
      </w:r>
      <w:r w:rsidRPr="000338B7">
        <w:rPr>
          <w:rStyle w:val="FootnoteReference"/>
          <w:szCs w:val="30"/>
          <w:rtl/>
        </w:rPr>
        <w:footnoteReference w:id="197"/>
      </w:r>
      <w:r w:rsidRPr="000338B7">
        <w:rPr>
          <w:vertAlign w:val="superscript"/>
          <w:rtl/>
        </w:rPr>
        <w:t>)</w:t>
      </w:r>
      <w:r>
        <w:rPr>
          <w:rtl/>
        </w:rPr>
        <w:t>.</w:t>
      </w:r>
      <w:r>
        <w:rPr>
          <w:rFonts w:hint="cs"/>
          <w:rtl/>
        </w:rPr>
        <w:t xml:space="preserve"> </w:t>
      </w:r>
    </w:p>
    <w:p w:rsidR="00987D55" w:rsidRPr="000338B7" w:rsidRDefault="00987D55" w:rsidP="00987D55">
      <w:pPr>
        <w:pStyle w:val="SingleTxt"/>
        <w:spacing w:after="0" w:line="120" w:lineRule="exact"/>
        <w:rPr>
          <w:sz w:val="10"/>
          <w:rtl/>
        </w:rPr>
      </w:pPr>
    </w:p>
    <w:p w:rsidR="00987D55" w:rsidRDefault="00987D55" w:rsidP="00987D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مبادرات الحكومة فيما يتعلق بالعمالة</w:t>
      </w:r>
    </w:p>
    <w:p w:rsidR="00987D55" w:rsidRPr="000338B7"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0338B7">
        <w:rPr>
          <w:rtl/>
        </w:rPr>
        <w:t xml:space="preserve">البرنامج القطري لتوفير العمل اللائق </w:t>
      </w:r>
    </w:p>
    <w:p w:rsidR="00987D55" w:rsidRDefault="00987D55" w:rsidP="00987D55">
      <w:pPr>
        <w:pStyle w:val="SingleTxt"/>
        <w:rPr>
          <w:rtl/>
        </w:rPr>
      </w:pPr>
      <w:r>
        <w:rPr>
          <w:rtl/>
        </w:rPr>
        <w:t>237 -</w:t>
      </w:r>
      <w:r>
        <w:rPr>
          <w:rFonts w:hint="cs"/>
          <w:rtl/>
        </w:rPr>
        <w:t xml:space="preserve"> </w:t>
      </w:r>
      <w:r>
        <w:rPr>
          <w:rtl/>
        </w:rPr>
        <w:t>يطرح البرنامج القطري لتوفير العمل اللائق الإطار الاستراتيجي الذي يحدد الأولويات البرنامجية الخمسية المشتركة لحكومة تيمور</w:t>
      </w:r>
      <w:r>
        <w:rPr>
          <w:rFonts w:hint="cs"/>
          <w:rtl/>
        </w:rPr>
        <w:t xml:space="preserve"> </w:t>
      </w:r>
      <w:r>
        <w:rPr>
          <w:rtl/>
        </w:rPr>
        <w:t>-</w:t>
      </w:r>
      <w:r>
        <w:rPr>
          <w:rFonts w:hint="cs"/>
          <w:rtl/>
        </w:rPr>
        <w:t xml:space="preserve"> </w:t>
      </w:r>
      <w:r>
        <w:rPr>
          <w:rtl/>
        </w:rPr>
        <w:t>ليشتي ومنظمة أرباب العمل ومنظمات العمال ومنظمة العمل الدولية وشركائها في التنمية. ويتناول على وجه التحديد الشواغل الأساسية لكل من القابلية للتوظيف وإيجاد فرص العمل. وعلى هذا النحو، مثلت أوجه التباين بين الجنسين إحدى الركائز الأربع الأساسية للبرنامج القطري لتوفير العمل اللائق في الفترة 2008-2013، وينفذ تعزيز المساواة بين الجنسين بوصفه موضوعا شاملا لعدة قطاعات</w:t>
      </w:r>
      <w:r w:rsidRPr="000338B7">
        <w:rPr>
          <w:vertAlign w:val="superscript"/>
          <w:rtl/>
        </w:rPr>
        <w:t>(</w:t>
      </w:r>
      <w:r w:rsidRPr="000338B7">
        <w:rPr>
          <w:rStyle w:val="FootnoteReference"/>
          <w:szCs w:val="30"/>
          <w:rtl/>
        </w:rPr>
        <w:footnoteReference w:id="198"/>
      </w:r>
      <w:r w:rsidRPr="000338B7">
        <w:rPr>
          <w:vertAlign w:val="superscript"/>
          <w:rtl/>
        </w:rPr>
        <w:t>)</w:t>
      </w:r>
      <w:r>
        <w:rPr>
          <w:rtl/>
        </w:rPr>
        <w:t>.</w:t>
      </w:r>
      <w:r>
        <w:rPr>
          <w:rFonts w:hint="cs"/>
          <w:rtl/>
        </w:rPr>
        <w:t xml:space="preserve"> </w:t>
      </w:r>
    </w:p>
    <w:p w:rsidR="00987D55" w:rsidRPr="000338B7" w:rsidRDefault="00987D55" w:rsidP="00987D55">
      <w:pPr>
        <w:pStyle w:val="SingleTxt"/>
        <w:spacing w:after="0" w:line="120" w:lineRule="exact"/>
        <w:rPr>
          <w:sz w:val="10"/>
          <w:rtl/>
        </w:rPr>
      </w:pPr>
    </w:p>
    <w:p w:rsidR="00987D55" w:rsidRPr="000338B7" w:rsidRDefault="00987D55" w:rsidP="00987D5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0338B7">
        <w:rPr>
          <w:rtl/>
        </w:rPr>
        <w:t xml:space="preserve">الدعم الحكومي للمرأة في القطاع الخاص </w:t>
      </w:r>
    </w:p>
    <w:p w:rsidR="00987D55" w:rsidRDefault="00987D55" w:rsidP="00987D55">
      <w:pPr>
        <w:pStyle w:val="SingleTxt"/>
        <w:rPr>
          <w:rtl/>
        </w:rPr>
      </w:pPr>
      <w:r>
        <w:rPr>
          <w:rtl/>
        </w:rPr>
        <w:t>238 -</w:t>
      </w:r>
      <w:r>
        <w:rPr>
          <w:rFonts w:hint="cs"/>
          <w:rtl/>
        </w:rPr>
        <w:t xml:space="preserve"> </w:t>
      </w:r>
      <w:r>
        <w:rPr>
          <w:rtl/>
        </w:rPr>
        <w:t>يضطلع معهد تنمية الأعمال التجارية، التابع لوزير الدولة الجديد لتعزيز القطاع الخاص، بالمسؤولية عن بناء قدرات السكان على إقامة النشاط التجاري وتعهده. وفي</w:t>
      </w:r>
      <w:r>
        <w:rPr>
          <w:rFonts w:hint="cs"/>
          <w:rtl/>
        </w:rPr>
        <w:t> </w:t>
      </w:r>
      <w:r>
        <w:rPr>
          <w:rtl/>
        </w:rPr>
        <w:t>عام</w:t>
      </w:r>
      <w:r>
        <w:rPr>
          <w:rFonts w:hint="cs"/>
          <w:rtl/>
        </w:rPr>
        <w:t> </w:t>
      </w:r>
      <w:r>
        <w:rPr>
          <w:rtl/>
        </w:rPr>
        <w:t>2012، كان حوالي 49 في المائة من بين 953 عميلا من النساء واستفادوا من خدمات متنوعة من قبيل التدريب على التخطيط المالي والمساءلة ومراقبة المخزون وإدارة الشراء، وكذلك الدورات الإعلامية بشأن الأعمال التجارية وتقديم المشورة والمسابقات العامة ومطابقة الأعمال</w:t>
      </w:r>
      <w:r w:rsidRPr="000338B7">
        <w:rPr>
          <w:vertAlign w:val="superscript"/>
          <w:rtl/>
        </w:rPr>
        <w:t>(</w:t>
      </w:r>
      <w:r w:rsidRPr="000338B7">
        <w:rPr>
          <w:rStyle w:val="FootnoteReference"/>
          <w:szCs w:val="30"/>
          <w:rtl/>
        </w:rPr>
        <w:footnoteReference w:id="199"/>
      </w:r>
      <w:r w:rsidRPr="000338B7">
        <w:rPr>
          <w:vertAlign w:val="superscript"/>
          <w:rtl/>
        </w:rPr>
        <w:t>)</w:t>
      </w:r>
      <w:r>
        <w:rPr>
          <w:rtl/>
        </w:rPr>
        <w:t xml:space="preserve">. </w:t>
      </w:r>
    </w:p>
    <w:p w:rsidR="00987D55" w:rsidRDefault="00987D55" w:rsidP="00987D55">
      <w:pPr>
        <w:pStyle w:val="SingleTxt"/>
        <w:rPr>
          <w:rtl/>
        </w:rPr>
      </w:pPr>
      <w:r>
        <w:rPr>
          <w:rtl/>
        </w:rPr>
        <w:t>239 -</w:t>
      </w:r>
      <w:r>
        <w:rPr>
          <w:rFonts w:hint="cs"/>
          <w:rtl/>
        </w:rPr>
        <w:t xml:space="preserve"> </w:t>
      </w:r>
      <w:r>
        <w:rPr>
          <w:rtl/>
        </w:rPr>
        <w:t xml:space="preserve">ويضع معهد تنمية الأعمال التجارية حاليا استراتيجية وطنية وخطة عمل للشؤون الجنسانية والقطاع الخاص بمساعدة من منظمة العمل الدولية، بهدف تنفيذها في الفترة 2014-2017. والهدف الرئيسي لهذه الاستراتيجية هو تعزيز التعاون فيما بين أصحاب المصلحة الرئيسيين من أجل تنمية قطاع خاص يأخذ في الحسبان الاختلافات والشواغل الجنسانية، ويستجيب لاحتياجات أصحاب المشاريع المتناهية الصغر والصغيرة والمتوسطة الحجم. </w:t>
      </w:r>
    </w:p>
    <w:p w:rsidR="00987D55" w:rsidRDefault="00987D55" w:rsidP="00987D55">
      <w:pPr>
        <w:pStyle w:val="SingleTxt"/>
        <w:rPr>
          <w:rtl/>
        </w:rPr>
      </w:pPr>
      <w:r>
        <w:rPr>
          <w:rtl/>
        </w:rPr>
        <w:t>240 -</w:t>
      </w:r>
      <w:r>
        <w:rPr>
          <w:rFonts w:hint="cs"/>
          <w:rtl/>
        </w:rPr>
        <w:t xml:space="preserve"> </w:t>
      </w:r>
      <w:r>
        <w:rPr>
          <w:rtl/>
        </w:rPr>
        <w:t>وتشمل الاستراتيجية وخطة العمل خمسة مجالات رئيسية تم تحديدها من خلال الاجتماعات والمشاورات التي أجريت مع أصحاب المصلحة الرئيسيين:</w:t>
      </w:r>
    </w:p>
    <w:p w:rsidR="00987D55" w:rsidRDefault="00987D55" w:rsidP="00987D55">
      <w:pPr>
        <w:pStyle w:val="SingleTxt"/>
        <w:tabs>
          <w:tab w:val="left" w:pos="2557"/>
        </w:tabs>
        <w:ind w:left="1930" w:hanging="666"/>
        <w:rPr>
          <w:rtl/>
        </w:rPr>
      </w:pPr>
      <w:r>
        <w:rPr>
          <w:rFonts w:hint="cs"/>
          <w:rtl/>
        </w:rPr>
        <w:tab/>
      </w:r>
      <w:r>
        <w:rPr>
          <w:rFonts w:hint="cs"/>
          <w:rtl/>
        </w:rPr>
        <w:tab/>
      </w:r>
      <w:r>
        <w:rPr>
          <w:rtl/>
        </w:rPr>
        <w:t>’1‘</w:t>
      </w:r>
      <w:r>
        <w:rPr>
          <w:rFonts w:hint="cs"/>
          <w:rtl/>
        </w:rPr>
        <w:tab/>
      </w:r>
      <w:r>
        <w:rPr>
          <w:rtl/>
        </w:rPr>
        <w:t>تحسين الإطار المؤسسي والبيئة المواتية للأعمال التجارية</w:t>
      </w:r>
      <w:r>
        <w:rPr>
          <w:rFonts w:hint="cs"/>
          <w:rtl/>
        </w:rPr>
        <w:t>؛</w:t>
      </w:r>
    </w:p>
    <w:p w:rsidR="00987D55" w:rsidRDefault="00987D55" w:rsidP="00987D55">
      <w:pPr>
        <w:pStyle w:val="SingleTxt"/>
        <w:ind w:left="1930" w:hanging="666"/>
        <w:rPr>
          <w:rtl/>
        </w:rPr>
      </w:pPr>
      <w:r>
        <w:rPr>
          <w:rFonts w:hint="cs"/>
          <w:rtl/>
        </w:rPr>
        <w:tab/>
      </w:r>
      <w:r>
        <w:rPr>
          <w:rFonts w:hint="cs"/>
          <w:rtl/>
        </w:rPr>
        <w:tab/>
      </w:r>
      <w:r>
        <w:rPr>
          <w:rtl/>
        </w:rPr>
        <w:t>’2‘</w:t>
      </w:r>
      <w:r>
        <w:rPr>
          <w:rtl/>
        </w:rPr>
        <w:tab/>
        <w:t>زيادة فرص الحصول على القروض والخدمات المالية</w:t>
      </w:r>
      <w:r>
        <w:rPr>
          <w:rFonts w:hint="cs"/>
          <w:rtl/>
        </w:rPr>
        <w:t>؛</w:t>
      </w:r>
    </w:p>
    <w:p w:rsidR="00987D55" w:rsidRDefault="00987D55" w:rsidP="00987D55">
      <w:pPr>
        <w:pStyle w:val="SingleTxt"/>
        <w:ind w:left="1930" w:hanging="666"/>
        <w:rPr>
          <w:rtl/>
        </w:rPr>
      </w:pPr>
      <w:r>
        <w:rPr>
          <w:rFonts w:hint="cs"/>
          <w:rtl/>
        </w:rPr>
        <w:tab/>
      </w:r>
      <w:r>
        <w:rPr>
          <w:rFonts w:hint="cs"/>
          <w:rtl/>
        </w:rPr>
        <w:tab/>
      </w:r>
      <w:r>
        <w:rPr>
          <w:rtl/>
        </w:rPr>
        <w:t>’3‘</w:t>
      </w:r>
      <w:r>
        <w:rPr>
          <w:rtl/>
        </w:rPr>
        <w:tab/>
        <w:t>زيادة إمكانية الحصول على خدمات ومعلومات تطوير الأعمال التجارية</w:t>
      </w:r>
      <w:r>
        <w:rPr>
          <w:rFonts w:hint="cs"/>
          <w:rtl/>
        </w:rPr>
        <w:t>؛</w:t>
      </w:r>
    </w:p>
    <w:p w:rsidR="00987D55" w:rsidRDefault="00987D55" w:rsidP="00987D55">
      <w:pPr>
        <w:pStyle w:val="SingleTxt"/>
        <w:ind w:left="1930" w:hanging="666"/>
        <w:rPr>
          <w:rtl/>
        </w:rPr>
      </w:pPr>
      <w:r>
        <w:rPr>
          <w:rFonts w:hint="cs"/>
          <w:rtl/>
        </w:rPr>
        <w:tab/>
      </w:r>
      <w:r>
        <w:rPr>
          <w:rFonts w:hint="cs"/>
          <w:rtl/>
        </w:rPr>
        <w:tab/>
      </w:r>
      <w:r>
        <w:rPr>
          <w:rtl/>
        </w:rPr>
        <w:t>’4‘</w:t>
      </w:r>
      <w:r>
        <w:rPr>
          <w:rtl/>
        </w:rPr>
        <w:tab/>
        <w:t>تعزيز فرص الوصول إلى الأسواق</w:t>
      </w:r>
      <w:r>
        <w:rPr>
          <w:rFonts w:hint="cs"/>
          <w:rtl/>
        </w:rPr>
        <w:t>؛</w:t>
      </w:r>
    </w:p>
    <w:p w:rsidR="00987D55" w:rsidRDefault="00987D55" w:rsidP="00A51F30">
      <w:pPr>
        <w:pStyle w:val="SingleTxt"/>
        <w:ind w:left="2592" w:hanging="1328"/>
        <w:rPr>
          <w:rFonts w:hint="cs"/>
          <w:rtl/>
        </w:rPr>
      </w:pPr>
      <w:r>
        <w:rPr>
          <w:rFonts w:hint="cs"/>
          <w:rtl/>
        </w:rPr>
        <w:tab/>
      </w:r>
      <w:r>
        <w:rPr>
          <w:rFonts w:hint="cs"/>
          <w:rtl/>
        </w:rPr>
        <w:tab/>
      </w:r>
      <w:r>
        <w:rPr>
          <w:rtl/>
        </w:rPr>
        <w:t>’5‘</w:t>
      </w:r>
      <w:r>
        <w:rPr>
          <w:rFonts w:hint="cs"/>
          <w:rtl/>
        </w:rPr>
        <w:tab/>
      </w:r>
      <w:r>
        <w:rPr>
          <w:rtl/>
        </w:rPr>
        <w:t>زيادة إمكانية الوصول إلى الشبكات الرسمية للنساء المشتغلات بالأعمال الحرة</w:t>
      </w:r>
      <w:r>
        <w:rPr>
          <w:rFonts w:hint="cs"/>
          <w:rtl/>
        </w:rPr>
        <w:t>؛</w:t>
      </w:r>
    </w:p>
    <w:p w:rsidR="00987D55" w:rsidRPr="00083488" w:rsidRDefault="00987D55" w:rsidP="00083488">
      <w:pPr>
        <w:pStyle w:val="SingleTxt"/>
        <w:spacing w:after="0" w:line="120" w:lineRule="exact"/>
        <w:rPr>
          <w:rFonts w:hint="cs"/>
          <w:sz w:val="10"/>
          <w:rtl/>
        </w:rPr>
      </w:pPr>
    </w:p>
    <w:p w:rsidR="00083488" w:rsidRPr="00E23F62" w:rsidRDefault="00083488" w:rsidP="0008348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23F62">
        <w:rPr>
          <w:rFonts w:hint="cs"/>
          <w:rtl/>
        </w:rPr>
        <w:tab/>
      </w:r>
      <w:r w:rsidRPr="00E23F62">
        <w:rPr>
          <w:rFonts w:hint="cs"/>
          <w:rtl/>
        </w:rPr>
        <w:tab/>
      </w:r>
      <w:r w:rsidRPr="00E23F62">
        <w:rPr>
          <w:rtl/>
        </w:rPr>
        <w:t>صندوق التوظيف والتدريب المهني</w:t>
      </w:r>
      <w:r w:rsidRPr="00E23F62">
        <w:rPr>
          <w:rFonts w:hint="cs"/>
          <w:rtl/>
        </w:rPr>
        <w:t xml:space="preserve"> </w:t>
      </w:r>
      <w:r w:rsidRPr="00E23F62">
        <w:rPr>
          <w:rtl/>
        </w:rPr>
        <w:t>- التعليم والتدريب في المجالين التقني والمهني</w:t>
      </w:r>
    </w:p>
    <w:p w:rsidR="00083488" w:rsidRDefault="00083488" w:rsidP="00083488">
      <w:pPr>
        <w:pStyle w:val="SingleTxt"/>
        <w:rPr>
          <w:rtl/>
        </w:rPr>
      </w:pPr>
      <w:r>
        <w:rPr>
          <w:rtl/>
        </w:rPr>
        <w:t>241 -</w:t>
      </w:r>
      <w:r>
        <w:rPr>
          <w:rFonts w:hint="cs"/>
          <w:rtl/>
        </w:rPr>
        <w:t xml:space="preserve"> </w:t>
      </w:r>
      <w:r>
        <w:rPr>
          <w:rtl/>
        </w:rPr>
        <w:t>عملت الحكومة، من خلال أمانة الدولة لسياسات التدريب المهني والتوظيف وبالتعاون مع منظمة العمل الدولية، على تعزيز إنشاء صندوق التوظيف والتدريب المهني بموجب مرسوم بقانون. ويتمثل الغرض الرئيسي للصندوق في تنفيذ برامج تدريب موجهة إلى احتياجات السوق المحلية مثل برنامج القروض المتناهية الصغر وبرنامج حوافز التوظيف. وينص هذا المرسوم بقانون على التوازن بين الجنسين في تعيين أعضاء الهيئة المكلفة بإدارة الصندوق، وينص صراحة على عدم التمييز في برامجه</w:t>
      </w:r>
      <w:r w:rsidRPr="00860431">
        <w:rPr>
          <w:vertAlign w:val="superscript"/>
          <w:rtl/>
        </w:rPr>
        <w:t>(</w:t>
      </w:r>
      <w:r w:rsidRPr="00860431">
        <w:rPr>
          <w:rStyle w:val="FootnoteReference"/>
          <w:szCs w:val="30"/>
          <w:rtl/>
        </w:rPr>
        <w:footnoteReference w:id="200"/>
      </w:r>
      <w:r w:rsidRPr="00860431">
        <w:rPr>
          <w:vertAlign w:val="superscript"/>
          <w:rtl/>
        </w:rPr>
        <w:t>)</w:t>
      </w:r>
      <w:r>
        <w:rPr>
          <w:rtl/>
        </w:rPr>
        <w:t>.</w:t>
      </w:r>
    </w:p>
    <w:p w:rsidR="00083488" w:rsidRDefault="00083488" w:rsidP="00083488">
      <w:pPr>
        <w:pStyle w:val="SingleTxt"/>
        <w:rPr>
          <w:rtl/>
        </w:rPr>
      </w:pPr>
      <w:r>
        <w:rPr>
          <w:rtl/>
        </w:rPr>
        <w:t xml:space="preserve">242 </w:t>
      </w:r>
      <w:r>
        <w:rPr>
          <w:rFonts w:hint="cs"/>
          <w:rtl/>
        </w:rPr>
        <w:t xml:space="preserve">- </w:t>
      </w:r>
      <w:r>
        <w:rPr>
          <w:rtl/>
        </w:rPr>
        <w:t>وفي عام 2009، تلقى 37 من مقدمي خدمات التدريب أموالا من صندوق التوظيف والتدريب المهني لدعم تنظيم دورات التدريب المهني الذي يتراوح بين التدريب غير</w:t>
      </w:r>
      <w:r>
        <w:rPr>
          <w:rFonts w:hint="cs"/>
          <w:rtl/>
        </w:rPr>
        <w:t> </w:t>
      </w:r>
      <w:r>
        <w:rPr>
          <w:rtl/>
        </w:rPr>
        <w:t>النظامي على سبل كسب العيش والدورات التدريبية النظامية في المجالين التقني والمهني. وتلقى التدريب عدد من المتعلمين يقدر بـ</w:t>
      </w:r>
      <w:r>
        <w:rPr>
          <w:rFonts w:hint="cs"/>
          <w:rtl/>
        </w:rPr>
        <w:t> 653 1 </w:t>
      </w:r>
      <w:r>
        <w:rPr>
          <w:rtl/>
        </w:rPr>
        <w:t>متعلما كان من بينهم 671 من الإناث (41</w:t>
      </w:r>
      <w:r>
        <w:rPr>
          <w:rFonts w:hint="cs"/>
          <w:rtl/>
        </w:rPr>
        <w:t> </w:t>
      </w:r>
      <w:r>
        <w:rPr>
          <w:rtl/>
        </w:rPr>
        <w:t>في</w:t>
      </w:r>
      <w:r>
        <w:rPr>
          <w:rFonts w:hint="cs"/>
          <w:rtl/>
        </w:rPr>
        <w:t> </w:t>
      </w:r>
      <w:r>
        <w:rPr>
          <w:rtl/>
        </w:rPr>
        <w:t>المائة). وقدمت دورات تدريبية في ستة مجالات عامة هي: الإدارة والشؤون المالية وتكنولوجيا المعلومات؛ والضيافة والسياحة والبناء وميكانيكا السيارات؛ والزراعة والمنتجات المحلية؛ والثقافة والفنون؛ والحياكة. وكانت غالبية الدورات التدريبية التي اختارتها النساء في مجالات الإدارة، والشؤون المالية والحوسبة (40</w:t>
      </w:r>
      <w:r>
        <w:rPr>
          <w:rFonts w:hint="cs"/>
          <w:rtl/>
        </w:rPr>
        <w:t> </w:t>
      </w:r>
      <w:r>
        <w:rPr>
          <w:rtl/>
        </w:rPr>
        <w:t>في</w:t>
      </w:r>
      <w:r>
        <w:rPr>
          <w:rFonts w:hint="cs"/>
          <w:rtl/>
        </w:rPr>
        <w:t> </w:t>
      </w:r>
      <w:r>
        <w:rPr>
          <w:rtl/>
        </w:rPr>
        <w:t>المائة). واستحوذ الذكور على الدورات التدريبية في البناء والميكانيكا إذ التحق بها 351 رجلا و</w:t>
      </w:r>
      <w:r>
        <w:rPr>
          <w:rFonts w:hint="cs"/>
          <w:rtl/>
        </w:rPr>
        <w:t> </w:t>
      </w:r>
      <w:r>
        <w:rPr>
          <w:rtl/>
        </w:rPr>
        <w:t>31</w:t>
      </w:r>
      <w:r>
        <w:rPr>
          <w:rFonts w:hint="cs"/>
          <w:rtl/>
        </w:rPr>
        <w:t> </w:t>
      </w:r>
      <w:r>
        <w:rPr>
          <w:rtl/>
        </w:rPr>
        <w:t>امرأة. وتساوت أعداد الملتحقين بدورات الضيافة والسياحة من الجنسين تقريبا (12</w:t>
      </w:r>
      <w:r>
        <w:rPr>
          <w:rFonts w:hint="cs"/>
          <w:rtl/>
        </w:rPr>
        <w:t> </w:t>
      </w:r>
      <w:r>
        <w:rPr>
          <w:rtl/>
        </w:rPr>
        <w:t>في</w:t>
      </w:r>
      <w:r>
        <w:rPr>
          <w:rFonts w:hint="cs"/>
          <w:rtl/>
        </w:rPr>
        <w:t> </w:t>
      </w:r>
      <w:r>
        <w:rPr>
          <w:rtl/>
        </w:rPr>
        <w:t>المائة)</w:t>
      </w:r>
      <w:r w:rsidRPr="00837B18">
        <w:rPr>
          <w:vertAlign w:val="superscript"/>
          <w:rtl/>
        </w:rPr>
        <w:t>(</w:t>
      </w:r>
      <w:r w:rsidRPr="00837B18">
        <w:rPr>
          <w:rStyle w:val="FootnoteReference"/>
          <w:szCs w:val="30"/>
          <w:rtl/>
        </w:rPr>
        <w:footnoteReference w:id="201"/>
      </w:r>
      <w:r w:rsidRPr="00837B18">
        <w:rPr>
          <w:vertAlign w:val="superscript"/>
          <w:rtl/>
        </w:rPr>
        <w:t>)</w:t>
      </w:r>
      <w:r>
        <w:rPr>
          <w:rtl/>
        </w:rPr>
        <w:t>.</w:t>
      </w:r>
    </w:p>
    <w:p w:rsidR="00083488" w:rsidRDefault="00083488" w:rsidP="00083488">
      <w:pPr>
        <w:pStyle w:val="SingleTxt"/>
        <w:rPr>
          <w:rtl/>
        </w:rPr>
      </w:pPr>
      <w:r>
        <w:rPr>
          <w:rtl/>
        </w:rPr>
        <w:t>243 -</w:t>
      </w:r>
      <w:r>
        <w:rPr>
          <w:rFonts w:hint="cs"/>
          <w:rtl/>
        </w:rPr>
        <w:t xml:space="preserve"> </w:t>
      </w:r>
      <w:r>
        <w:rPr>
          <w:rtl/>
        </w:rPr>
        <w:t>ويتضح من أرقام عام 2010 أن 48 في المائة من الإناث قمن بالتسجيل في مراكز التوظيف والإرشاد المهني ولكن لم يتمكن سوى 16 في المائة منهن من العثور على عمل بعد الانتهاء من التدريب</w:t>
      </w:r>
      <w:r w:rsidRPr="00837B18">
        <w:rPr>
          <w:vertAlign w:val="superscript"/>
          <w:rtl/>
        </w:rPr>
        <w:t>(</w:t>
      </w:r>
      <w:r w:rsidRPr="00837B18">
        <w:rPr>
          <w:rStyle w:val="FootnoteReference"/>
          <w:szCs w:val="30"/>
          <w:rtl/>
        </w:rPr>
        <w:footnoteReference w:id="202"/>
      </w:r>
      <w:r w:rsidRPr="00837B18">
        <w:rPr>
          <w:vertAlign w:val="superscript"/>
          <w:rtl/>
        </w:rPr>
        <w:t>)</w:t>
      </w:r>
      <w:r>
        <w:rPr>
          <w:rtl/>
        </w:rPr>
        <w:t>.</w:t>
      </w:r>
    </w:p>
    <w:p w:rsidR="00083488" w:rsidRPr="00860431" w:rsidRDefault="00083488" w:rsidP="00083488">
      <w:pPr>
        <w:pStyle w:val="SingleTxt"/>
        <w:spacing w:after="0" w:line="120" w:lineRule="exact"/>
        <w:rPr>
          <w:sz w:val="10"/>
          <w:rtl/>
        </w:rPr>
      </w:pPr>
    </w:p>
    <w:p w:rsidR="00083488" w:rsidRDefault="00083488" w:rsidP="00083488">
      <w:pPr>
        <w:pStyle w:val="H1"/>
        <w:keepNext/>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12: الرعاية الصحية وتنظيم الأسرة</w:t>
      </w:r>
    </w:p>
    <w:p w:rsidR="00083488" w:rsidRDefault="00083488" w:rsidP="000834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البيانات المتعلقة بالصحة الإنجابية</w:t>
      </w:r>
    </w:p>
    <w:p w:rsidR="00083488" w:rsidRDefault="00083488" w:rsidP="00083488">
      <w:pPr>
        <w:pStyle w:val="SingleTxt"/>
        <w:rPr>
          <w:rtl/>
        </w:rPr>
      </w:pPr>
      <w:r>
        <w:rPr>
          <w:rtl/>
        </w:rPr>
        <w:t>244 -</w:t>
      </w:r>
      <w:r>
        <w:rPr>
          <w:rFonts w:hint="cs"/>
          <w:rtl/>
        </w:rPr>
        <w:t xml:space="preserve"> </w:t>
      </w:r>
      <w:r>
        <w:rPr>
          <w:rtl/>
        </w:rPr>
        <w:t>ما</w:t>
      </w:r>
      <w:r>
        <w:rPr>
          <w:rFonts w:hint="cs"/>
          <w:rtl/>
        </w:rPr>
        <w:t> </w:t>
      </w:r>
      <w:r>
        <w:rPr>
          <w:rtl/>
        </w:rPr>
        <w:t>زالت تيمور</w:t>
      </w:r>
      <w:r>
        <w:rPr>
          <w:rFonts w:hint="cs"/>
          <w:rtl/>
        </w:rPr>
        <w:t xml:space="preserve"> - </w:t>
      </w:r>
      <w:r>
        <w:rPr>
          <w:rtl/>
        </w:rPr>
        <w:t>ليشتي تتسم بأحد أعلى معدلات الخصوبة في المنطقة إذ</w:t>
      </w:r>
      <w:r>
        <w:rPr>
          <w:rFonts w:hint="cs"/>
          <w:rtl/>
        </w:rPr>
        <w:t> </w:t>
      </w:r>
      <w:r>
        <w:rPr>
          <w:rtl/>
        </w:rPr>
        <w:t>بلغ</w:t>
      </w:r>
      <w:r>
        <w:rPr>
          <w:rFonts w:hint="cs"/>
          <w:rtl/>
        </w:rPr>
        <w:t> 5.7 </w:t>
      </w:r>
      <w:r>
        <w:rPr>
          <w:rtl/>
        </w:rPr>
        <w:t>مواليد لكل امرأة بحسب التسجيل في الاستقصاء الديمغرافي والصحي لعام</w:t>
      </w:r>
      <w:r>
        <w:rPr>
          <w:rFonts w:hint="cs"/>
          <w:rtl/>
        </w:rPr>
        <w:t> </w:t>
      </w:r>
      <w:r>
        <w:rPr>
          <w:rtl/>
        </w:rPr>
        <w:t>2009-2010. ومن ناحية ثانية، يدل هذا الرقم على حدوث انخفاض كبير مقارنة بالمعدل السابق المسجل في الاستقصاء الديمغرافي والصحي لعام 2003 والبالغ 7.8</w:t>
      </w:r>
      <w:r>
        <w:rPr>
          <w:rFonts w:hint="cs"/>
          <w:rtl/>
        </w:rPr>
        <w:t> </w:t>
      </w:r>
      <w:r>
        <w:rPr>
          <w:rtl/>
        </w:rPr>
        <w:t>مواليد لكل</w:t>
      </w:r>
      <w:r>
        <w:rPr>
          <w:rFonts w:hint="cs"/>
          <w:rtl/>
        </w:rPr>
        <w:t> </w:t>
      </w:r>
      <w:r>
        <w:rPr>
          <w:rtl/>
        </w:rPr>
        <w:t>امرأة.</w:t>
      </w:r>
    </w:p>
    <w:p w:rsidR="00083488" w:rsidRPr="00E23F62" w:rsidRDefault="00083488" w:rsidP="0008348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23F62">
        <w:rPr>
          <w:rFonts w:hint="cs"/>
          <w:rtl/>
        </w:rPr>
        <w:tab/>
      </w:r>
      <w:r w:rsidRPr="00E23F62">
        <w:rPr>
          <w:rFonts w:hint="cs"/>
          <w:rtl/>
        </w:rPr>
        <w:tab/>
      </w:r>
      <w:r w:rsidRPr="00E23F62">
        <w:rPr>
          <w:rtl/>
        </w:rPr>
        <w:t>الوفيات النفاسية</w:t>
      </w:r>
    </w:p>
    <w:p w:rsidR="00083488" w:rsidRDefault="00083488" w:rsidP="00083488">
      <w:pPr>
        <w:pStyle w:val="SingleTxt"/>
        <w:rPr>
          <w:rtl/>
        </w:rPr>
      </w:pPr>
      <w:r>
        <w:rPr>
          <w:rtl/>
        </w:rPr>
        <w:t>245 -</w:t>
      </w:r>
      <w:r>
        <w:rPr>
          <w:rFonts w:hint="cs"/>
          <w:rtl/>
        </w:rPr>
        <w:t xml:space="preserve"> </w:t>
      </w:r>
      <w:r>
        <w:rPr>
          <w:rtl/>
        </w:rPr>
        <w:t>ما</w:t>
      </w:r>
      <w:r>
        <w:rPr>
          <w:rFonts w:hint="cs"/>
          <w:rtl/>
        </w:rPr>
        <w:t> </w:t>
      </w:r>
      <w:r>
        <w:rPr>
          <w:rtl/>
        </w:rPr>
        <w:t>زال معدل الوفيات النفاسية في تيمور</w:t>
      </w:r>
      <w:r>
        <w:rPr>
          <w:rFonts w:hint="cs"/>
          <w:rtl/>
        </w:rPr>
        <w:t xml:space="preserve"> </w:t>
      </w:r>
      <w:r>
        <w:rPr>
          <w:rtl/>
        </w:rPr>
        <w:t>-</w:t>
      </w:r>
      <w:r>
        <w:rPr>
          <w:rFonts w:hint="cs"/>
          <w:rtl/>
        </w:rPr>
        <w:t xml:space="preserve"> </w:t>
      </w:r>
      <w:r>
        <w:rPr>
          <w:rtl/>
        </w:rPr>
        <w:t>ليشتي مرتفعا حيث بلغ 557</w:t>
      </w:r>
      <w:r>
        <w:rPr>
          <w:rFonts w:hint="cs"/>
          <w:rtl/>
        </w:rPr>
        <w:t> </w:t>
      </w:r>
      <w:r>
        <w:rPr>
          <w:rtl/>
        </w:rPr>
        <w:t>حالة وفاة لكل 000 100 من المواليد الأحياء أو حوالي 6 حالات وفاة لكل 000</w:t>
      </w:r>
      <w:r>
        <w:rPr>
          <w:rFonts w:hint="cs"/>
          <w:rtl/>
        </w:rPr>
        <w:t> </w:t>
      </w:r>
      <w:r>
        <w:rPr>
          <w:rtl/>
        </w:rPr>
        <w:t>1</w:t>
      </w:r>
      <w:r>
        <w:rPr>
          <w:rFonts w:hint="cs"/>
          <w:rtl/>
        </w:rPr>
        <w:t> </w:t>
      </w:r>
      <w:r>
        <w:rPr>
          <w:rtl/>
        </w:rPr>
        <w:t>مولود حي. ويكشف الاستقصاء الديمغرافي والصحي للفترة 2009-2010 أن امرأتين من بين كل خمس نساء (42 في المائة) تتراوح أعمارهن بين 15 و</w:t>
      </w:r>
      <w:r>
        <w:rPr>
          <w:rFonts w:hint="cs"/>
          <w:rtl/>
        </w:rPr>
        <w:t> </w:t>
      </w:r>
      <w:r>
        <w:rPr>
          <w:rtl/>
        </w:rPr>
        <w:t>49 عاما ممن توفين خلال السنوات السبع السابقة لهذا الاستقصاء قد وافتهما المنية من جراء الحمل أو لأسباب تتصل بالحمل. ومع ذلك، فبالرغم من أن التقديرات السابقة ليست قابلة للمقارنة المباشرة نتيجة لتفاوت النماذج المستخدمة، فإن ثمة اتجاها إيجابيا نجده عند مقارنة هذه التقديرات بالمعدلات المسجلة في عام 2001 والتي بلغت</w:t>
      </w:r>
      <w:r>
        <w:rPr>
          <w:rFonts w:hint="cs"/>
          <w:rtl/>
        </w:rPr>
        <w:t xml:space="preserve"> 880 660 </w:t>
      </w:r>
      <w:r>
        <w:rPr>
          <w:rtl/>
        </w:rPr>
        <w:t xml:space="preserve">حالة وفاة لكل </w:t>
      </w:r>
      <w:r>
        <w:rPr>
          <w:rFonts w:hint="cs"/>
          <w:rtl/>
        </w:rPr>
        <w:t>000 100 </w:t>
      </w:r>
      <w:r>
        <w:rPr>
          <w:rtl/>
        </w:rPr>
        <w:t>مولود حي. وما</w:t>
      </w:r>
      <w:r>
        <w:rPr>
          <w:rFonts w:hint="cs"/>
          <w:rtl/>
        </w:rPr>
        <w:t> </w:t>
      </w:r>
      <w:r>
        <w:rPr>
          <w:rtl/>
        </w:rPr>
        <w:t>زال هناك طريق طويل ينبغي المضي فيه لتحقيق الأهداف الإنمائية للألفية المتمثلة في</w:t>
      </w:r>
      <w:r>
        <w:rPr>
          <w:rFonts w:hint="cs"/>
          <w:rtl/>
        </w:rPr>
        <w:t> </w:t>
      </w:r>
      <w:r>
        <w:rPr>
          <w:rtl/>
        </w:rPr>
        <w:t>252 حالة وفاة لكل 000</w:t>
      </w:r>
      <w:r>
        <w:rPr>
          <w:rFonts w:hint="cs"/>
          <w:rtl/>
        </w:rPr>
        <w:t> </w:t>
      </w:r>
      <w:r>
        <w:rPr>
          <w:rtl/>
        </w:rPr>
        <w:t>100 من المواليد الأحياء بحلول عام</w:t>
      </w:r>
      <w:r>
        <w:rPr>
          <w:rFonts w:hint="cs"/>
          <w:rtl/>
        </w:rPr>
        <w:t> </w:t>
      </w:r>
      <w:r>
        <w:rPr>
          <w:rtl/>
        </w:rPr>
        <w:t>2015</w:t>
      </w:r>
      <w:r w:rsidRPr="00837B18">
        <w:rPr>
          <w:vertAlign w:val="superscript"/>
          <w:rtl/>
        </w:rPr>
        <w:t>(</w:t>
      </w:r>
      <w:r w:rsidRPr="00837B18">
        <w:rPr>
          <w:rStyle w:val="FootnoteReference"/>
          <w:szCs w:val="30"/>
          <w:rtl/>
        </w:rPr>
        <w:footnoteReference w:id="203"/>
      </w:r>
      <w:r w:rsidRPr="00837B18">
        <w:rPr>
          <w:vertAlign w:val="superscript"/>
          <w:rtl/>
        </w:rPr>
        <w:t>)</w:t>
      </w:r>
      <w:r>
        <w:rPr>
          <w:rFonts w:hint="cs"/>
          <w:rtl/>
        </w:rPr>
        <w:t>.</w:t>
      </w:r>
    </w:p>
    <w:p w:rsidR="00083488" w:rsidRDefault="00083488" w:rsidP="00083488">
      <w:pPr>
        <w:pStyle w:val="SingleTxt"/>
        <w:rPr>
          <w:rtl/>
        </w:rPr>
      </w:pPr>
      <w:r>
        <w:rPr>
          <w:rtl/>
        </w:rPr>
        <w:t xml:space="preserve">246 </w:t>
      </w:r>
      <w:r>
        <w:rPr>
          <w:rFonts w:hint="cs"/>
          <w:rtl/>
        </w:rPr>
        <w:t xml:space="preserve">- </w:t>
      </w:r>
      <w:r>
        <w:rPr>
          <w:rtl/>
        </w:rPr>
        <w:t>وحددت وزارة الصحة في خطتها الاستراتيجية للفترة 2011-2030 النتائج المتوقعة التالية: حصول 70</w:t>
      </w:r>
      <w:r>
        <w:rPr>
          <w:rFonts w:hint="cs"/>
          <w:rtl/>
        </w:rPr>
        <w:t> </w:t>
      </w:r>
      <w:r>
        <w:rPr>
          <w:rtl/>
        </w:rPr>
        <w:t>في</w:t>
      </w:r>
      <w:r>
        <w:rPr>
          <w:rFonts w:hint="cs"/>
          <w:rtl/>
        </w:rPr>
        <w:t> </w:t>
      </w:r>
      <w:r>
        <w:rPr>
          <w:rtl/>
        </w:rPr>
        <w:t>المائة من النساء الحوامل على الرعاية السابقة للولادة والرعاية في فترة ما</w:t>
      </w:r>
      <w:r>
        <w:rPr>
          <w:rFonts w:hint="cs"/>
          <w:rtl/>
        </w:rPr>
        <w:t> </w:t>
      </w:r>
      <w:r>
        <w:rPr>
          <w:rtl/>
        </w:rPr>
        <w:t>بعد الولادة أربع مرات على الأقل بحلول عام 2015؛ وتوفير المساعدة لـ</w:t>
      </w:r>
      <w:r>
        <w:rPr>
          <w:rFonts w:hint="cs"/>
          <w:rtl/>
        </w:rPr>
        <w:t> </w:t>
      </w:r>
      <w:r>
        <w:rPr>
          <w:rtl/>
        </w:rPr>
        <w:t>40</w:t>
      </w:r>
      <w:r>
        <w:rPr>
          <w:rFonts w:hint="cs"/>
          <w:rtl/>
        </w:rPr>
        <w:t> </w:t>
      </w:r>
      <w:r>
        <w:rPr>
          <w:rtl/>
        </w:rPr>
        <w:t>في</w:t>
      </w:r>
      <w:r>
        <w:rPr>
          <w:rFonts w:hint="cs"/>
          <w:rtl/>
        </w:rPr>
        <w:t> </w:t>
      </w:r>
      <w:r>
        <w:rPr>
          <w:rtl/>
        </w:rPr>
        <w:t>المائة من الولادات التي تتم في المرافق الصحية بحلول عام 2015؛ وقيام جميع مراكز الصحة المجتمعية بتوفير خدمات رعاية التوليد الأساسية في الحالات الطارئة وقيام جميع المستشفيات بتوفير خدمات رعاية التوليد الشاملة في الحالات الطارئة مع إتاحة ما</w:t>
      </w:r>
      <w:r>
        <w:rPr>
          <w:rFonts w:hint="cs"/>
          <w:rtl/>
        </w:rPr>
        <w:t> </w:t>
      </w:r>
      <w:r>
        <w:rPr>
          <w:rtl/>
        </w:rPr>
        <w:t>هو مناسب من الأفراد والمعدات؛ إجراء عمليات التحقيق في الوفيات النفاسية والوفيات في فترة ما</w:t>
      </w:r>
      <w:r>
        <w:rPr>
          <w:rFonts w:hint="cs"/>
          <w:rtl/>
        </w:rPr>
        <w:t> </w:t>
      </w:r>
      <w:r>
        <w:rPr>
          <w:rtl/>
        </w:rPr>
        <w:t>حول الولادة في جميع حالات وفيات الأمهات في كافة المرافق؛ وتخفيض حالات الحمل بين المراهقات بنسبة 30</w:t>
      </w:r>
      <w:r>
        <w:rPr>
          <w:rFonts w:hint="cs"/>
          <w:rtl/>
        </w:rPr>
        <w:t> </w:t>
      </w:r>
      <w:r>
        <w:rPr>
          <w:rtl/>
        </w:rPr>
        <w:t>في</w:t>
      </w:r>
      <w:r>
        <w:rPr>
          <w:rFonts w:hint="cs"/>
          <w:rtl/>
        </w:rPr>
        <w:t> </w:t>
      </w:r>
      <w:r>
        <w:rPr>
          <w:rtl/>
        </w:rPr>
        <w:t>المائة بحلول عام</w:t>
      </w:r>
      <w:r>
        <w:rPr>
          <w:rFonts w:hint="cs"/>
          <w:rtl/>
        </w:rPr>
        <w:t> </w:t>
      </w:r>
      <w:r>
        <w:rPr>
          <w:rtl/>
        </w:rPr>
        <w:t>2015؛ ووقف معدلات الوفيات النفاسية بحلول عام</w:t>
      </w:r>
      <w:r>
        <w:rPr>
          <w:rFonts w:hint="cs"/>
          <w:rtl/>
        </w:rPr>
        <w:t> </w:t>
      </w:r>
      <w:r>
        <w:rPr>
          <w:rtl/>
        </w:rPr>
        <w:t>2015</w:t>
      </w:r>
      <w:r w:rsidRPr="00837B18">
        <w:rPr>
          <w:vertAlign w:val="superscript"/>
          <w:rtl/>
        </w:rPr>
        <w:t>(</w:t>
      </w:r>
      <w:r w:rsidRPr="00837B18">
        <w:rPr>
          <w:rStyle w:val="FootnoteReference"/>
          <w:szCs w:val="30"/>
          <w:rtl/>
        </w:rPr>
        <w:footnoteReference w:id="204"/>
      </w:r>
      <w:r w:rsidRPr="00837B18">
        <w:rPr>
          <w:vertAlign w:val="superscript"/>
          <w:rtl/>
        </w:rPr>
        <w:t>)</w:t>
      </w:r>
      <w:r>
        <w:rPr>
          <w:rtl/>
        </w:rPr>
        <w:t>.</w:t>
      </w:r>
    </w:p>
    <w:p w:rsidR="00083488" w:rsidRPr="00350B01" w:rsidRDefault="00083488" w:rsidP="00083488">
      <w:pPr>
        <w:pStyle w:val="SingleTxt"/>
        <w:spacing w:after="0" w:line="120" w:lineRule="exact"/>
        <w:rPr>
          <w:sz w:val="10"/>
          <w:rtl/>
        </w:rPr>
      </w:pPr>
    </w:p>
    <w:p w:rsidR="00083488" w:rsidRPr="009943B2" w:rsidRDefault="00083488"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943B2">
        <w:rPr>
          <w:rFonts w:hint="cs"/>
          <w:rtl/>
        </w:rPr>
        <w:tab/>
      </w:r>
      <w:r w:rsidRPr="009943B2">
        <w:rPr>
          <w:rFonts w:hint="cs"/>
          <w:rtl/>
        </w:rPr>
        <w:tab/>
      </w:r>
      <w:r w:rsidRPr="009943B2">
        <w:rPr>
          <w:rtl/>
        </w:rPr>
        <w:t>الإجهاض</w:t>
      </w:r>
    </w:p>
    <w:p w:rsidR="00083488" w:rsidRDefault="00083488" w:rsidP="00083488">
      <w:pPr>
        <w:pStyle w:val="SingleTxt"/>
        <w:rPr>
          <w:rtl/>
        </w:rPr>
      </w:pPr>
      <w:r>
        <w:rPr>
          <w:rtl/>
        </w:rPr>
        <w:t xml:space="preserve">247 </w:t>
      </w:r>
      <w:r>
        <w:rPr>
          <w:rFonts w:hint="cs"/>
          <w:rtl/>
        </w:rPr>
        <w:t>-</w:t>
      </w:r>
      <w:r>
        <w:rPr>
          <w:rtl/>
        </w:rPr>
        <w:t xml:space="preserve"> في ما بين عامي 2011 و 2012، ظل عدد عمليات الإجهاض المبلغ عنها والتي أجريت في المراكز الصحية أو المستشفيات ثابتا نسبيا حيث بلغ عدد الحالات المبلغ عنها </w:t>
      </w:r>
      <w:r>
        <w:rPr>
          <w:rFonts w:hint="cs"/>
          <w:rtl/>
        </w:rPr>
        <w:t>035 1 </w:t>
      </w:r>
      <w:r>
        <w:rPr>
          <w:rtl/>
        </w:rPr>
        <w:t>حالة في عام 2011 (2.2 في المائة) و</w:t>
      </w:r>
      <w:r>
        <w:rPr>
          <w:rFonts w:hint="cs"/>
          <w:rtl/>
        </w:rPr>
        <w:t> </w:t>
      </w:r>
      <w:r>
        <w:rPr>
          <w:rtl/>
        </w:rPr>
        <w:t>972 حالة في عام</w:t>
      </w:r>
      <w:r>
        <w:rPr>
          <w:rFonts w:hint="cs"/>
          <w:rtl/>
        </w:rPr>
        <w:t> </w:t>
      </w:r>
      <w:r>
        <w:rPr>
          <w:rtl/>
        </w:rPr>
        <w:t>2012 (2.3</w:t>
      </w:r>
      <w:r>
        <w:rPr>
          <w:rFonts w:hint="cs"/>
          <w:rtl/>
        </w:rPr>
        <w:t> </w:t>
      </w:r>
      <w:r>
        <w:rPr>
          <w:rtl/>
        </w:rPr>
        <w:t>في</w:t>
      </w:r>
      <w:r>
        <w:rPr>
          <w:rFonts w:hint="cs"/>
          <w:rtl/>
        </w:rPr>
        <w:t> </w:t>
      </w:r>
      <w:r>
        <w:rPr>
          <w:rtl/>
        </w:rPr>
        <w:t>المائة)</w:t>
      </w:r>
      <w:r w:rsidRPr="00837B18">
        <w:rPr>
          <w:vertAlign w:val="superscript"/>
          <w:rtl/>
        </w:rPr>
        <w:t>(</w:t>
      </w:r>
      <w:r w:rsidRPr="00837B18">
        <w:rPr>
          <w:rStyle w:val="FootnoteReference"/>
          <w:szCs w:val="30"/>
          <w:rtl/>
        </w:rPr>
        <w:footnoteReference w:id="205"/>
      </w:r>
      <w:r w:rsidRPr="00837B18">
        <w:rPr>
          <w:vertAlign w:val="superscript"/>
          <w:rtl/>
        </w:rPr>
        <w:t>)</w:t>
      </w:r>
      <w:r>
        <w:rPr>
          <w:rtl/>
        </w:rPr>
        <w:t xml:space="preserve"> (يرجى الرجوع إلى التقرير الخاص المتعلق بالتعليم والصحة لعام 2011 من أجل الاطلاع على التفاصيل القانونية بشأن الإجهاض)</w:t>
      </w:r>
      <w:r>
        <w:rPr>
          <w:rFonts w:hint="cs"/>
          <w:rtl/>
        </w:rPr>
        <w:t>.</w:t>
      </w:r>
    </w:p>
    <w:p w:rsidR="00083488" w:rsidRPr="00E23F62" w:rsidRDefault="00083488" w:rsidP="0008348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23F62">
        <w:rPr>
          <w:rFonts w:hint="cs"/>
          <w:rtl/>
        </w:rPr>
        <w:tab/>
      </w:r>
      <w:r w:rsidRPr="00E23F62">
        <w:rPr>
          <w:rFonts w:hint="cs"/>
          <w:rtl/>
        </w:rPr>
        <w:tab/>
      </w:r>
      <w:r w:rsidRPr="00E23F62">
        <w:rPr>
          <w:rtl/>
        </w:rPr>
        <w:t>الرعاية السابقة للولادة</w:t>
      </w:r>
    </w:p>
    <w:p w:rsidR="00083488" w:rsidRDefault="00083488" w:rsidP="00083488">
      <w:pPr>
        <w:pStyle w:val="SingleTxt"/>
        <w:rPr>
          <w:rtl/>
        </w:rPr>
      </w:pPr>
      <w:r>
        <w:rPr>
          <w:rtl/>
        </w:rPr>
        <w:t>248</w:t>
      </w:r>
      <w:r>
        <w:rPr>
          <w:rFonts w:hint="cs"/>
          <w:rtl/>
        </w:rPr>
        <w:t xml:space="preserve"> - </w:t>
      </w:r>
      <w:r>
        <w:rPr>
          <w:rtl/>
        </w:rPr>
        <w:t>حدث تحسن كبير في نسبة النساء اللائي يحصلن على رعاية سابقة للولادة من أحد أخصائي الرعاية الصحية المدربين (سواء كان طبيبا أو ممرضا أو قابلة). وعقب التحسن في إمكانية الوصول إلى المرافق الطبية ارتفعت نسبة الحوامل اللاتي يتلقين رعاية سابقة للولادة من 61</w:t>
      </w:r>
      <w:r>
        <w:rPr>
          <w:rFonts w:hint="cs"/>
          <w:rtl/>
        </w:rPr>
        <w:t> </w:t>
      </w:r>
      <w:r>
        <w:rPr>
          <w:rtl/>
        </w:rPr>
        <w:t>في</w:t>
      </w:r>
      <w:r>
        <w:rPr>
          <w:rFonts w:hint="cs"/>
          <w:rtl/>
        </w:rPr>
        <w:t> </w:t>
      </w:r>
      <w:r>
        <w:rPr>
          <w:rtl/>
        </w:rPr>
        <w:t>المائة في الاستقصاء الديمغرافي والصحي لعام 2003 إلى 86</w:t>
      </w:r>
      <w:r>
        <w:rPr>
          <w:rFonts w:hint="cs"/>
          <w:rtl/>
        </w:rPr>
        <w:t> </w:t>
      </w:r>
      <w:r>
        <w:rPr>
          <w:rtl/>
        </w:rPr>
        <w:t>في</w:t>
      </w:r>
      <w:r>
        <w:rPr>
          <w:rFonts w:hint="cs"/>
          <w:rtl/>
        </w:rPr>
        <w:t> </w:t>
      </w:r>
      <w:r>
        <w:rPr>
          <w:rtl/>
        </w:rPr>
        <w:t>المائة في الاستقصاء الديمغرافي والصحي لعام 2009-2010. وبالرغم من تزايد عدد النساء اللائي يتلقين الرعاية السابقة للولادة، يختلف المعدل بين المقاطعات إذ يبلغ أدنى معدل 71</w:t>
      </w:r>
      <w:r>
        <w:rPr>
          <w:rFonts w:hint="cs"/>
          <w:rtl/>
        </w:rPr>
        <w:t> </w:t>
      </w:r>
      <w:r>
        <w:rPr>
          <w:rtl/>
        </w:rPr>
        <w:t>في</w:t>
      </w:r>
      <w:r>
        <w:rPr>
          <w:rFonts w:hint="cs"/>
          <w:rtl/>
        </w:rPr>
        <w:t> </w:t>
      </w:r>
      <w:r>
        <w:rPr>
          <w:rtl/>
        </w:rPr>
        <w:t>المائة من النساء في إرميرا ويبلغ أعلى معدل 96 في المائة في ديلي</w:t>
      </w:r>
      <w:r w:rsidRPr="00837B18">
        <w:rPr>
          <w:vertAlign w:val="superscript"/>
          <w:rtl/>
        </w:rPr>
        <w:t>(</w:t>
      </w:r>
      <w:r w:rsidRPr="00837B18">
        <w:rPr>
          <w:rStyle w:val="FootnoteReference"/>
          <w:szCs w:val="30"/>
          <w:rtl/>
        </w:rPr>
        <w:footnoteReference w:id="206"/>
      </w:r>
      <w:r w:rsidRPr="00837B18">
        <w:rPr>
          <w:vertAlign w:val="superscript"/>
          <w:rtl/>
        </w:rPr>
        <w:t>)</w:t>
      </w:r>
      <w:r>
        <w:rPr>
          <w:rtl/>
        </w:rPr>
        <w:t>.</w:t>
      </w:r>
    </w:p>
    <w:p w:rsidR="00083488" w:rsidRPr="00350B01" w:rsidRDefault="00083488" w:rsidP="00083488">
      <w:pPr>
        <w:pStyle w:val="SingleTxt"/>
        <w:spacing w:after="0" w:line="120" w:lineRule="exact"/>
        <w:rPr>
          <w:sz w:val="10"/>
          <w:rtl/>
        </w:rPr>
      </w:pPr>
    </w:p>
    <w:p w:rsidR="00083488" w:rsidRPr="00E23F62" w:rsidRDefault="00083488" w:rsidP="0008348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23F62">
        <w:rPr>
          <w:rFonts w:hint="cs"/>
          <w:rtl/>
        </w:rPr>
        <w:tab/>
      </w:r>
      <w:r w:rsidRPr="00E23F62">
        <w:rPr>
          <w:rFonts w:hint="cs"/>
          <w:rtl/>
        </w:rPr>
        <w:tab/>
      </w:r>
      <w:r w:rsidRPr="00E23F62">
        <w:rPr>
          <w:rtl/>
        </w:rPr>
        <w:t>تقديم المساعدة في حالات الولادة</w:t>
      </w:r>
    </w:p>
    <w:p w:rsidR="00083488" w:rsidRDefault="00083488" w:rsidP="00083488">
      <w:pPr>
        <w:pStyle w:val="SingleTxt"/>
        <w:rPr>
          <w:rtl/>
        </w:rPr>
      </w:pPr>
      <w:r>
        <w:rPr>
          <w:rtl/>
        </w:rPr>
        <w:t xml:space="preserve">249 </w:t>
      </w:r>
      <w:r>
        <w:rPr>
          <w:rFonts w:hint="cs"/>
          <w:rtl/>
        </w:rPr>
        <w:t xml:space="preserve">- </w:t>
      </w:r>
      <w:r>
        <w:rPr>
          <w:rtl/>
        </w:rPr>
        <w:t>بالرغم من الزيادة الكبيرة في الرعاية السابقة للولادة، فما</w:t>
      </w:r>
      <w:r>
        <w:rPr>
          <w:rFonts w:hint="cs"/>
          <w:rtl/>
        </w:rPr>
        <w:t xml:space="preserve"> </w:t>
      </w:r>
      <w:r>
        <w:rPr>
          <w:rtl/>
        </w:rPr>
        <w:t>زال انخفاض استخدام المساعدة الماهرة أثناء الولادة وخدمات الرعاية في فترة ما بعد الولادة. باعثا للقلق. ويفيد الاستقصاء الديمغرافي والصحي لعام 2009-</w:t>
      </w:r>
      <w:r>
        <w:rPr>
          <w:rFonts w:hint="cs"/>
          <w:rtl/>
        </w:rPr>
        <w:t>2010</w:t>
      </w:r>
      <w:r>
        <w:rPr>
          <w:rtl/>
        </w:rPr>
        <w:t xml:space="preserve"> بأن نسبة 30</w:t>
      </w:r>
      <w:r>
        <w:rPr>
          <w:rFonts w:hint="cs"/>
          <w:rtl/>
        </w:rPr>
        <w:t> </w:t>
      </w:r>
      <w:r>
        <w:rPr>
          <w:rtl/>
        </w:rPr>
        <w:t>في</w:t>
      </w:r>
      <w:r>
        <w:rPr>
          <w:rFonts w:hint="cs"/>
          <w:rtl/>
        </w:rPr>
        <w:t> </w:t>
      </w:r>
      <w:r>
        <w:rPr>
          <w:rtl/>
        </w:rPr>
        <w:t>المائة فقط من الولادات تتم بمساعدة أحد أخصائي الرعاية الصحية المهرة. وتكاد تحصل امرأة واحدة من بين كل امرأتين على المساعدة من أحد الأقارب أو أي شخص آخر (49</w:t>
      </w:r>
      <w:r>
        <w:rPr>
          <w:rFonts w:hint="cs"/>
          <w:rtl/>
        </w:rPr>
        <w:t> </w:t>
      </w:r>
      <w:r>
        <w:rPr>
          <w:rtl/>
        </w:rPr>
        <w:t>في</w:t>
      </w:r>
      <w:r>
        <w:rPr>
          <w:rFonts w:hint="cs"/>
          <w:rtl/>
        </w:rPr>
        <w:t> </w:t>
      </w:r>
      <w:r>
        <w:rPr>
          <w:rtl/>
        </w:rPr>
        <w:t>المائة)، ويتم 18</w:t>
      </w:r>
      <w:r>
        <w:rPr>
          <w:rFonts w:hint="cs"/>
          <w:rtl/>
        </w:rPr>
        <w:t> </w:t>
      </w:r>
      <w:r>
        <w:rPr>
          <w:rtl/>
        </w:rPr>
        <w:t>في</w:t>
      </w:r>
      <w:r>
        <w:rPr>
          <w:rFonts w:hint="cs"/>
          <w:rtl/>
        </w:rPr>
        <w:t> </w:t>
      </w:r>
      <w:r>
        <w:rPr>
          <w:rtl/>
        </w:rPr>
        <w:t>المائة من الولادات على يد قابلات تقليديات، في حين أن 3 في المائة من الولادات تتم دون أي نوع من أنواع المساعدة</w:t>
      </w:r>
      <w:r w:rsidRPr="00837B18">
        <w:rPr>
          <w:vertAlign w:val="superscript"/>
          <w:rtl/>
        </w:rPr>
        <w:t>(</w:t>
      </w:r>
      <w:r w:rsidRPr="00837B18">
        <w:rPr>
          <w:rStyle w:val="FootnoteReference"/>
          <w:szCs w:val="30"/>
          <w:rtl/>
        </w:rPr>
        <w:footnoteReference w:id="207"/>
      </w:r>
      <w:r w:rsidRPr="00837B18">
        <w:rPr>
          <w:vertAlign w:val="superscript"/>
          <w:rtl/>
        </w:rPr>
        <w:t>)</w:t>
      </w:r>
      <w:r>
        <w:rPr>
          <w:rtl/>
        </w:rPr>
        <w:t>.</w:t>
      </w:r>
    </w:p>
    <w:p w:rsidR="00083488" w:rsidRDefault="00083488" w:rsidP="00083488">
      <w:pPr>
        <w:pStyle w:val="SingleTxt"/>
        <w:rPr>
          <w:rtl/>
        </w:rPr>
      </w:pPr>
      <w:r>
        <w:rPr>
          <w:rtl/>
        </w:rPr>
        <w:t xml:space="preserve">250 </w:t>
      </w:r>
      <w:r>
        <w:rPr>
          <w:rFonts w:hint="cs"/>
          <w:rtl/>
        </w:rPr>
        <w:t xml:space="preserve">- </w:t>
      </w:r>
      <w:r>
        <w:rPr>
          <w:rtl/>
        </w:rPr>
        <w:t>ووفقا للتقارير الإحصائية السنوية الصادرة مؤخرا عن وزارة الصحة، تحسن معدل النساء اللائي يحصلن على مساعدة في حالات الولادة ممن تتوفر لهن المهارة بنسبة 8</w:t>
      </w:r>
      <w:r>
        <w:rPr>
          <w:rFonts w:hint="cs"/>
          <w:rtl/>
        </w:rPr>
        <w:t> </w:t>
      </w:r>
      <w:r>
        <w:rPr>
          <w:rtl/>
        </w:rPr>
        <w:t>في</w:t>
      </w:r>
      <w:r>
        <w:rPr>
          <w:rFonts w:hint="cs"/>
          <w:rtl/>
        </w:rPr>
        <w:t> </w:t>
      </w:r>
      <w:r>
        <w:rPr>
          <w:rtl/>
        </w:rPr>
        <w:t>المائة في العامين الماضيين فبلغ المعدل الوطني 51 في المائة في عام 2011 ووصل إلى 59</w:t>
      </w:r>
      <w:r>
        <w:rPr>
          <w:rFonts w:hint="cs"/>
          <w:rtl/>
        </w:rPr>
        <w:t> </w:t>
      </w:r>
      <w:r>
        <w:rPr>
          <w:rtl/>
        </w:rPr>
        <w:t>في</w:t>
      </w:r>
      <w:r>
        <w:rPr>
          <w:rFonts w:hint="cs"/>
          <w:rtl/>
        </w:rPr>
        <w:t> </w:t>
      </w:r>
      <w:r>
        <w:rPr>
          <w:rtl/>
        </w:rPr>
        <w:t>المائة في تقرير عام</w:t>
      </w:r>
      <w:r>
        <w:rPr>
          <w:rFonts w:hint="cs"/>
          <w:rtl/>
        </w:rPr>
        <w:t> </w:t>
      </w:r>
      <w:r>
        <w:rPr>
          <w:rtl/>
        </w:rPr>
        <w:t>2012</w:t>
      </w:r>
      <w:r w:rsidRPr="00837B18">
        <w:rPr>
          <w:vertAlign w:val="superscript"/>
          <w:rtl/>
        </w:rPr>
        <w:t>(</w:t>
      </w:r>
      <w:r w:rsidRPr="00837B18">
        <w:rPr>
          <w:rStyle w:val="FootnoteReference"/>
          <w:szCs w:val="30"/>
          <w:rtl/>
        </w:rPr>
        <w:footnoteReference w:id="208"/>
      </w:r>
      <w:r w:rsidRPr="00837B18">
        <w:rPr>
          <w:vertAlign w:val="superscript"/>
          <w:rtl/>
        </w:rPr>
        <w:t>)</w:t>
      </w:r>
      <w:r>
        <w:rPr>
          <w:rtl/>
        </w:rPr>
        <w:t>.</w:t>
      </w:r>
    </w:p>
    <w:p w:rsidR="00083488" w:rsidRPr="00AC4EFB" w:rsidRDefault="00083488" w:rsidP="00083488">
      <w:pPr>
        <w:pStyle w:val="SingleTxt"/>
        <w:spacing w:after="0" w:line="120" w:lineRule="exact"/>
        <w:rPr>
          <w:sz w:val="10"/>
          <w:rtl/>
        </w:rPr>
      </w:pPr>
    </w:p>
    <w:p w:rsidR="00083488" w:rsidRPr="00E23F62" w:rsidRDefault="00083488" w:rsidP="0008348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23F62">
        <w:rPr>
          <w:rFonts w:hint="cs"/>
          <w:rtl/>
        </w:rPr>
        <w:tab/>
      </w:r>
      <w:r w:rsidRPr="00E23F62">
        <w:rPr>
          <w:rFonts w:hint="cs"/>
          <w:rtl/>
        </w:rPr>
        <w:tab/>
      </w:r>
      <w:r w:rsidRPr="00E23F62">
        <w:rPr>
          <w:rtl/>
        </w:rPr>
        <w:t>الرعاية بعد الولادة</w:t>
      </w:r>
    </w:p>
    <w:p w:rsidR="00083488" w:rsidRDefault="00083488" w:rsidP="00083488">
      <w:pPr>
        <w:pStyle w:val="SingleTxt"/>
        <w:rPr>
          <w:rtl/>
        </w:rPr>
      </w:pPr>
      <w:r>
        <w:rPr>
          <w:rtl/>
        </w:rPr>
        <w:t xml:space="preserve">251 </w:t>
      </w:r>
      <w:r>
        <w:rPr>
          <w:rFonts w:hint="cs"/>
          <w:rtl/>
        </w:rPr>
        <w:t xml:space="preserve">- </w:t>
      </w:r>
      <w:r>
        <w:rPr>
          <w:rtl/>
        </w:rPr>
        <w:t>وفي مجال الرعاية بعد الولادة، ثمة اتجاه إيجابي في نسبة النساء اللائي يتلقين زيارات الرعاية في فترة ما بعد الولادة على يد أخصائي رعاية صحية مدربين، وفقا لإدارة الإحصاءات التابعة لوزارة الصحة. وفي الواقع ازدادت المعدلات الوطنية باطراد بنسبة 12.2</w:t>
      </w:r>
      <w:r>
        <w:rPr>
          <w:rFonts w:hint="cs"/>
          <w:rtl/>
        </w:rPr>
        <w:t> </w:t>
      </w:r>
      <w:r>
        <w:rPr>
          <w:rtl/>
        </w:rPr>
        <w:t>في</w:t>
      </w:r>
      <w:r>
        <w:rPr>
          <w:rFonts w:hint="cs"/>
          <w:rtl/>
        </w:rPr>
        <w:t> </w:t>
      </w:r>
      <w:r>
        <w:rPr>
          <w:rtl/>
        </w:rPr>
        <w:t>المائة خلال أربع سنوات (34.5 في المائة في عام</w:t>
      </w:r>
      <w:r>
        <w:rPr>
          <w:rFonts w:hint="cs"/>
          <w:rtl/>
        </w:rPr>
        <w:t> </w:t>
      </w:r>
      <w:r>
        <w:rPr>
          <w:rtl/>
        </w:rPr>
        <w:t>2009 و</w:t>
      </w:r>
      <w:r>
        <w:rPr>
          <w:rFonts w:hint="cs"/>
          <w:rtl/>
        </w:rPr>
        <w:t> </w:t>
      </w:r>
      <w:r>
        <w:rPr>
          <w:rtl/>
        </w:rPr>
        <w:t>38.6</w:t>
      </w:r>
      <w:r>
        <w:rPr>
          <w:rFonts w:hint="cs"/>
          <w:rtl/>
        </w:rPr>
        <w:t> </w:t>
      </w:r>
      <w:r>
        <w:rPr>
          <w:rtl/>
        </w:rPr>
        <w:t>في</w:t>
      </w:r>
      <w:r>
        <w:rPr>
          <w:rFonts w:hint="cs"/>
          <w:rtl/>
        </w:rPr>
        <w:t> </w:t>
      </w:r>
      <w:r>
        <w:rPr>
          <w:rtl/>
        </w:rPr>
        <w:t>المائة في</w:t>
      </w:r>
      <w:r>
        <w:rPr>
          <w:rFonts w:hint="cs"/>
          <w:rtl/>
        </w:rPr>
        <w:t> </w:t>
      </w:r>
      <w:r>
        <w:rPr>
          <w:rtl/>
        </w:rPr>
        <w:t>عام</w:t>
      </w:r>
      <w:r>
        <w:rPr>
          <w:rFonts w:hint="cs"/>
          <w:rtl/>
        </w:rPr>
        <w:t> </w:t>
      </w:r>
      <w:r>
        <w:rPr>
          <w:rtl/>
        </w:rPr>
        <w:t>2010 و</w:t>
      </w:r>
      <w:r>
        <w:rPr>
          <w:rFonts w:hint="cs"/>
          <w:rtl/>
        </w:rPr>
        <w:t> </w:t>
      </w:r>
      <w:r>
        <w:rPr>
          <w:rtl/>
        </w:rPr>
        <w:t>41.7</w:t>
      </w:r>
      <w:r>
        <w:rPr>
          <w:rFonts w:hint="cs"/>
          <w:rtl/>
        </w:rPr>
        <w:t> </w:t>
      </w:r>
      <w:r>
        <w:rPr>
          <w:rtl/>
        </w:rPr>
        <w:t>في</w:t>
      </w:r>
      <w:r>
        <w:rPr>
          <w:rFonts w:hint="cs"/>
          <w:rtl/>
        </w:rPr>
        <w:t> </w:t>
      </w:r>
      <w:r>
        <w:rPr>
          <w:rtl/>
        </w:rPr>
        <w:t>المائة في عام</w:t>
      </w:r>
      <w:r>
        <w:rPr>
          <w:rFonts w:hint="cs"/>
          <w:rtl/>
        </w:rPr>
        <w:t> </w:t>
      </w:r>
      <w:r>
        <w:rPr>
          <w:rtl/>
        </w:rPr>
        <w:t>2011 وأخيرا 46.7</w:t>
      </w:r>
      <w:r>
        <w:rPr>
          <w:rFonts w:hint="cs"/>
          <w:rtl/>
        </w:rPr>
        <w:t> </w:t>
      </w:r>
      <w:r>
        <w:rPr>
          <w:rtl/>
        </w:rPr>
        <w:t>في</w:t>
      </w:r>
      <w:r>
        <w:rPr>
          <w:rFonts w:hint="cs"/>
          <w:rtl/>
        </w:rPr>
        <w:t> </w:t>
      </w:r>
      <w:r>
        <w:rPr>
          <w:rtl/>
        </w:rPr>
        <w:t>المائة في عام</w:t>
      </w:r>
      <w:r>
        <w:rPr>
          <w:rFonts w:hint="eastAsia"/>
          <w:rtl/>
        </w:rPr>
        <w:t> </w:t>
      </w:r>
      <w:r>
        <w:rPr>
          <w:rtl/>
        </w:rPr>
        <w:t>2012</w:t>
      </w:r>
      <w:r>
        <w:rPr>
          <w:rFonts w:hint="cs"/>
          <w:rtl/>
        </w:rPr>
        <w:t>)</w:t>
      </w:r>
      <w:r w:rsidRPr="00D82F9C">
        <w:rPr>
          <w:vertAlign w:val="superscript"/>
          <w:rtl/>
        </w:rPr>
        <w:t>(</w:t>
      </w:r>
      <w:r w:rsidRPr="00D82F9C">
        <w:rPr>
          <w:rStyle w:val="FootnoteReference"/>
          <w:szCs w:val="30"/>
          <w:rtl/>
        </w:rPr>
        <w:footnoteReference w:id="209"/>
      </w:r>
      <w:r w:rsidRPr="00D82F9C">
        <w:rPr>
          <w:vertAlign w:val="superscript"/>
          <w:rtl/>
        </w:rPr>
        <w:t>)</w:t>
      </w:r>
      <w:r>
        <w:rPr>
          <w:rtl/>
        </w:rPr>
        <w:t>.</w:t>
      </w:r>
      <w:r>
        <w:rPr>
          <w:rFonts w:hint="cs"/>
          <w:rtl/>
        </w:rPr>
        <w:t xml:space="preserve"> </w:t>
      </w:r>
      <w:r>
        <w:rPr>
          <w:rtl/>
        </w:rPr>
        <w:t>ومع</w:t>
      </w:r>
      <w:r>
        <w:rPr>
          <w:rFonts w:hint="cs"/>
          <w:rtl/>
        </w:rPr>
        <w:t> </w:t>
      </w:r>
      <w:r>
        <w:rPr>
          <w:rtl/>
        </w:rPr>
        <w:t>ذلك، لا</w:t>
      </w:r>
      <w:r>
        <w:rPr>
          <w:rFonts w:hint="cs"/>
          <w:rtl/>
        </w:rPr>
        <w:t> </w:t>
      </w:r>
      <w:r>
        <w:rPr>
          <w:rtl/>
        </w:rPr>
        <w:t>تزال هناك أوجه تفاوت كبيرة بين مختلف المقاطعات داخل البلد، حيث يتلقى حوالي 20 في المائة من النساء في فترة النفاس زيارات في فترة ما</w:t>
      </w:r>
      <w:r>
        <w:rPr>
          <w:rFonts w:hint="cs"/>
          <w:rtl/>
        </w:rPr>
        <w:t> </w:t>
      </w:r>
      <w:r>
        <w:rPr>
          <w:rtl/>
        </w:rPr>
        <w:t>بعد الوضع في بعض المقاطعات مثل أويكوسي وإينارو، إلى ما يزيد على 60</w:t>
      </w:r>
      <w:r>
        <w:rPr>
          <w:rFonts w:hint="cs"/>
          <w:rtl/>
        </w:rPr>
        <w:t> </w:t>
      </w:r>
      <w:r>
        <w:rPr>
          <w:rtl/>
        </w:rPr>
        <w:t>في</w:t>
      </w:r>
      <w:r>
        <w:rPr>
          <w:rFonts w:hint="cs"/>
          <w:rtl/>
        </w:rPr>
        <w:t> </w:t>
      </w:r>
      <w:r>
        <w:rPr>
          <w:rtl/>
        </w:rPr>
        <w:t>المائة في بعض المناطق الأخرى مثل المناطق الريفية من باوكاو وفيكيكي</w:t>
      </w:r>
      <w:r w:rsidRPr="00D82F9C">
        <w:rPr>
          <w:vertAlign w:val="superscript"/>
          <w:rtl/>
        </w:rPr>
        <w:t>(</w:t>
      </w:r>
      <w:r w:rsidRPr="00D82F9C">
        <w:rPr>
          <w:rStyle w:val="FootnoteReference"/>
          <w:szCs w:val="30"/>
          <w:rtl/>
        </w:rPr>
        <w:footnoteReference w:id="210"/>
      </w:r>
      <w:r w:rsidRPr="00D82F9C">
        <w:rPr>
          <w:vertAlign w:val="superscript"/>
          <w:rtl/>
        </w:rPr>
        <w:t>)</w:t>
      </w:r>
      <w:r>
        <w:rPr>
          <w:rtl/>
        </w:rPr>
        <w:t>.</w:t>
      </w:r>
    </w:p>
    <w:p w:rsidR="00083488" w:rsidRPr="00AC4EFB" w:rsidRDefault="00083488" w:rsidP="00083488">
      <w:pPr>
        <w:pStyle w:val="SingleTxt"/>
        <w:spacing w:after="0" w:line="120" w:lineRule="exact"/>
        <w:rPr>
          <w:sz w:val="10"/>
          <w:rtl/>
        </w:rPr>
      </w:pPr>
    </w:p>
    <w:p w:rsidR="00083488" w:rsidRPr="00E23F62" w:rsidRDefault="00083488" w:rsidP="0008348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23F62">
        <w:rPr>
          <w:rFonts w:hint="cs"/>
          <w:rtl/>
        </w:rPr>
        <w:tab/>
      </w:r>
      <w:r w:rsidRPr="00E23F62">
        <w:rPr>
          <w:rFonts w:hint="cs"/>
          <w:rtl/>
        </w:rPr>
        <w:tab/>
      </w:r>
      <w:r w:rsidRPr="00E23F62">
        <w:rPr>
          <w:rtl/>
        </w:rPr>
        <w:t>برنامج تسجيل الحالة الصحية للأسر</w:t>
      </w:r>
    </w:p>
    <w:p w:rsidR="00083488" w:rsidRDefault="00083488" w:rsidP="00083488">
      <w:pPr>
        <w:pStyle w:val="SingleTxt"/>
        <w:rPr>
          <w:rtl/>
        </w:rPr>
      </w:pPr>
      <w:r>
        <w:rPr>
          <w:rtl/>
        </w:rPr>
        <w:t>252 -</w:t>
      </w:r>
      <w:r>
        <w:rPr>
          <w:rFonts w:hint="cs"/>
          <w:rtl/>
        </w:rPr>
        <w:t xml:space="preserve"> </w:t>
      </w:r>
      <w:r>
        <w:rPr>
          <w:rtl/>
        </w:rPr>
        <w:t>أنشئ برنامج تسجيل الحالة الصحية للأسر للمرة الأولى في عام</w:t>
      </w:r>
      <w:r>
        <w:rPr>
          <w:rFonts w:hint="eastAsia"/>
          <w:rtl/>
        </w:rPr>
        <w:t> </w:t>
      </w:r>
      <w:r>
        <w:rPr>
          <w:rtl/>
        </w:rPr>
        <w:t>2008 لإضفاء طابع مؤسسي على عملية جمع البيانات الإحصائية الصحية. وتولى هذا البرنامج جمع بيانات عن الحالة الصحية الأساسية لأفراد الأسر، بما في ذلك تحصين أفراد الأسرة واستخدام وسائل تنظيم الأسرة والحصول على مياه نظيفة على مستوى القرى، من خلال المراكز الصحية والنقاط الصحية أو الخدمات الصحية المجتمعية المتكاملة بالتعاون مع زعماء القرى. ومع ذلك، لم</w:t>
      </w:r>
      <w:r>
        <w:rPr>
          <w:rFonts w:hint="cs"/>
          <w:rtl/>
        </w:rPr>
        <w:t> </w:t>
      </w:r>
      <w:r>
        <w:rPr>
          <w:rtl/>
        </w:rPr>
        <w:t>تف هذه الآلية وجمع البيانات بتغطية الاحتياجات من الخدمات الصحية، وقد</w:t>
      </w:r>
      <w:r>
        <w:rPr>
          <w:rFonts w:hint="cs"/>
          <w:rtl/>
        </w:rPr>
        <w:t> </w:t>
      </w:r>
      <w:r>
        <w:rPr>
          <w:rtl/>
        </w:rPr>
        <w:t>نقحت في عام</w:t>
      </w:r>
      <w:r>
        <w:rPr>
          <w:rFonts w:hint="cs"/>
          <w:rtl/>
        </w:rPr>
        <w:t> </w:t>
      </w:r>
      <w:r>
        <w:rPr>
          <w:rtl/>
        </w:rPr>
        <w:t>2012 ليتسنى تحسين عملية جمع البيانات وكفالة تحسين نوعية البيانات. وستوفر الآلية الجديدة قاعدة معارف متينة من أجل وضع سياسات بصورة أكثر فعالية وتنفيذ ورصد جميع جوانب صحة المرأة والأسرة، وفي حين أن تقرير وزارة الصحة الإحصائي السنوي لعام 2012 ما زال قيد الإعداد، يجري حاليا رصد 9</w:t>
      </w:r>
      <w:r>
        <w:rPr>
          <w:rFonts w:hint="cs"/>
          <w:rtl/>
        </w:rPr>
        <w:t> </w:t>
      </w:r>
      <w:r>
        <w:rPr>
          <w:rtl/>
        </w:rPr>
        <w:t>مقاطعات من بين 13</w:t>
      </w:r>
      <w:r>
        <w:rPr>
          <w:rFonts w:hint="cs"/>
          <w:rtl/>
        </w:rPr>
        <w:t> </w:t>
      </w:r>
      <w:r>
        <w:rPr>
          <w:rtl/>
        </w:rPr>
        <w:t>مقاطعة رصدا كاملا على أساس كل قرية على حدة من خلال البرنامج المنقح لتسجيل الحالة الصحية للأسر</w:t>
      </w:r>
      <w:r w:rsidRPr="00D82F9C">
        <w:rPr>
          <w:vertAlign w:val="superscript"/>
          <w:rtl/>
        </w:rPr>
        <w:t>(</w:t>
      </w:r>
      <w:r w:rsidRPr="00D82F9C">
        <w:rPr>
          <w:rStyle w:val="FootnoteReference"/>
          <w:szCs w:val="30"/>
          <w:rtl/>
        </w:rPr>
        <w:footnoteReference w:id="211"/>
      </w:r>
      <w:r w:rsidRPr="00D82F9C">
        <w:rPr>
          <w:vertAlign w:val="superscript"/>
          <w:rtl/>
        </w:rPr>
        <w:t>)</w:t>
      </w:r>
      <w:r>
        <w:rPr>
          <w:rFonts w:hint="cs"/>
          <w:rtl/>
        </w:rPr>
        <w:t>.</w:t>
      </w:r>
    </w:p>
    <w:p w:rsidR="00083488" w:rsidRPr="00AC4EFB" w:rsidRDefault="00083488" w:rsidP="00083488">
      <w:pPr>
        <w:pStyle w:val="SingleTxt"/>
        <w:spacing w:after="0" w:line="120" w:lineRule="exact"/>
        <w:rPr>
          <w:sz w:val="10"/>
          <w:rtl/>
        </w:rPr>
      </w:pPr>
    </w:p>
    <w:p w:rsidR="00083488" w:rsidRDefault="00083488" w:rsidP="000834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الخطة الاستراتيجية الوطنية لقطاع الصحة للفترة 2011-2030</w:t>
      </w:r>
    </w:p>
    <w:p w:rsidR="00083488" w:rsidRDefault="00083488" w:rsidP="00083488">
      <w:pPr>
        <w:pStyle w:val="SingleTxt"/>
        <w:rPr>
          <w:rtl/>
        </w:rPr>
      </w:pPr>
      <w:r>
        <w:rPr>
          <w:rtl/>
        </w:rPr>
        <w:t>253 -</w:t>
      </w:r>
      <w:r>
        <w:rPr>
          <w:rFonts w:hint="cs"/>
          <w:rtl/>
        </w:rPr>
        <w:t xml:space="preserve"> </w:t>
      </w:r>
      <w:r>
        <w:rPr>
          <w:rtl/>
        </w:rPr>
        <w:t>وضعت الخطة الاستراتيجية الوطنية الأخيرة لقطاع الصحة للفترة 2011-2030 صحة الأم والطفل في مقدمة الأولويات العليا في برامج الصحة الوطنية. ووضعت الاستراتيجية مؤشرات رئيسية متنوعة وحددت النتائج المتوقعة التالية: حصول 70</w:t>
      </w:r>
      <w:r>
        <w:rPr>
          <w:rFonts w:hint="cs"/>
          <w:rtl/>
        </w:rPr>
        <w:t> </w:t>
      </w:r>
      <w:r>
        <w:rPr>
          <w:rtl/>
        </w:rPr>
        <w:t>في</w:t>
      </w:r>
      <w:r>
        <w:rPr>
          <w:rFonts w:hint="cs"/>
          <w:rtl/>
        </w:rPr>
        <w:t> </w:t>
      </w:r>
      <w:r>
        <w:rPr>
          <w:rtl/>
        </w:rPr>
        <w:t>المائة من النساء الحوامل على الرعاية السابقة للولادة، والرعاية بعد الولادة أربع مرات على الأقل خلال كل فترة حمل بحلول عام</w:t>
      </w:r>
      <w:r>
        <w:rPr>
          <w:rFonts w:hint="cs"/>
          <w:rtl/>
        </w:rPr>
        <w:t> </w:t>
      </w:r>
      <w:r>
        <w:rPr>
          <w:rtl/>
        </w:rPr>
        <w:t>2015؛ وتوفير المساعدة لأكثر من 40</w:t>
      </w:r>
      <w:r>
        <w:rPr>
          <w:rFonts w:hint="cs"/>
          <w:rtl/>
        </w:rPr>
        <w:t> </w:t>
      </w:r>
      <w:r>
        <w:rPr>
          <w:rtl/>
        </w:rPr>
        <w:t>في</w:t>
      </w:r>
      <w:r>
        <w:rPr>
          <w:rFonts w:hint="cs"/>
          <w:rtl/>
        </w:rPr>
        <w:t> </w:t>
      </w:r>
      <w:r>
        <w:rPr>
          <w:rtl/>
        </w:rPr>
        <w:t>المائة من الولادات في المرافق الصحية بحلول عام</w:t>
      </w:r>
      <w:r>
        <w:rPr>
          <w:rFonts w:hint="cs"/>
          <w:rtl/>
        </w:rPr>
        <w:t> </w:t>
      </w:r>
      <w:r>
        <w:rPr>
          <w:rtl/>
        </w:rPr>
        <w:t>2015؛ وخفض حالات الحمل بين المراهقات بنسبة 30</w:t>
      </w:r>
      <w:r>
        <w:rPr>
          <w:rFonts w:hint="cs"/>
          <w:rtl/>
        </w:rPr>
        <w:t> </w:t>
      </w:r>
      <w:r>
        <w:rPr>
          <w:rtl/>
        </w:rPr>
        <w:t>في</w:t>
      </w:r>
      <w:r>
        <w:rPr>
          <w:rFonts w:hint="cs"/>
          <w:rtl/>
        </w:rPr>
        <w:t> </w:t>
      </w:r>
      <w:r>
        <w:rPr>
          <w:rtl/>
        </w:rPr>
        <w:t>المائة بحلول عام 2015؛ ووقف معدل الوفيات النفاسية بحلول عام 2015؛ وقيام 100</w:t>
      </w:r>
      <w:r>
        <w:rPr>
          <w:rFonts w:hint="cs"/>
          <w:rtl/>
        </w:rPr>
        <w:t> </w:t>
      </w:r>
      <w:r>
        <w:rPr>
          <w:rtl/>
        </w:rPr>
        <w:t>في</w:t>
      </w:r>
      <w:r>
        <w:rPr>
          <w:rFonts w:hint="cs"/>
          <w:rtl/>
        </w:rPr>
        <w:t> </w:t>
      </w:r>
      <w:r>
        <w:rPr>
          <w:rtl/>
        </w:rPr>
        <w:t>المائة من المستشفيات بتقديم خدمات جيدة النوعية في مجال طب الأطفال وخفض معدلات وفيات الرضع والأطفال دون سن الخامسة من العمر إلى حد كبير.</w:t>
      </w:r>
    </w:p>
    <w:p w:rsidR="00083488" w:rsidRPr="00AC4EFB" w:rsidRDefault="00083488" w:rsidP="00083488">
      <w:pPr>
        <w:pStyle w:val="SingleTxt"/>
        <w:spacing w:after="0" w:line="120" w:lineRule="exact"/>
        <w:rPr>
          <w:sz w:val="10"/>
          <w:rtl/>
        </w:rPr>
      </w:pPr>
    </w:p>
    <w:p w:rsidR="00083488" w:rsidRPr="00E23F62" w:rsidRDefault="00083488" w:rsidP="0008348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23F62">
        <w:rPr>
          <w:rFonts w:hint="cs"/>
          <w:rtl/>
        </w:rPr>
        <w:tab/>
      </w:r>
      <w:r w:rsidRPr="00E23F62">
        <w:rPr>
          <w:rFonts w:hint="cs"/>
          <w:rtl/>
        </w:rPr>
        <w:tab/>
      </w:r>
      <w:r w:rsidRPr="00E23F62">
        <w:rPr>
          <w:rtl/>
        </w:rPr>
        <w:t>الاستراتيجية الوطنية للصحة الإنجابية</w:t>
      </w:r>
    </w:p>
    <w:p w:rsidR="00083488" w:rsidRDefault="00083488" w:rsidP="00083488">
      <w:pPr>
        <w:pStyle w:val="SingleTxt"/>
        <w:rPr>
          <w:rtl/>
        </w:rPr>
      </w:pPr>
      <w:r>
        <w:rPr>
          <w:rtl/>
        </w:rPr>
        <w:t>254 -</w:t>
      </w:r>
      <w:r>
        <w:rPr>
          <w:rFonts w:hint="cs"/>
          <w:rtl/>
        </w:rPr>
        <w:t xml:space="preserve"> </w:t>
      </w:r>
      <w:r>
        <w:rPr>
          <w:rtl/>
        </w:rPr>
        <w:t>وضعت الاستراتيجية الوطنية للصحة الإنجابية في عام 2004 للفترة الممتدة حتى عام</w:t>
      </w:r>
      <w:r>
        <w:rPr>
          <w:rFonts w:hint="cs"/>
          <w:rtl/>
        </w:rPr>
        <w:t> </w:t>
      </w:r>
      <w:r>
        <w:rPr>
          <w:rtl/>
        </w:rPr>
        <w:t>2015، وتلتزم بالأهداف الإنمائية للألفية. وتمشيا مع السياسة العامة لوزارة الصحة، سيجري استعراض الاستراتيجية في نهاية الربع الأول من عام 2013 عن سنتي التنفيذ الأخيرتين ومن أجل التأكد من استمرارية جدواها فيما يتعلق بالأنظمة الداخلية لوزارة الصحة وإجراءات التخطيط وإحداث المزيد من التغييرات في تقديم الخدمات بوجه عام</w:t>
      </w:r>
      <w:r w:rsidRPr="00695B53">
        <w:rPr>
          <w:vertAlign w:val="superscript"/>
          <w:rtl/>
        </w:rPr>
        <w:t>(</w:t>
      </w:r>
      <w:r w:rsidRPr="00695B53">
        <w:rPr>
          <w:rStyle w:val="FootnoteReference"/>
          <w:szCs w:val="30"/>
          <w:rtl/>
        </w:rPr>
        <w:footnoteReference w:id="212"/>
      </w:r>
      <w:r w:rsidRPr="00695B53">
        <w:rPr>
          <w:vertAlign w:val="superscript"/>
          <w:rtl/>
        </w:rPr>
        <w:t>)</w:t>
      </w:r>
      <w:r>
        <w:rPr>
          <w:rtl/>
        </w:rPr>
        <w:t>. وبعد التنقيح النهائي لل</w:t>
      </w:r>
      <w:r>
        <w:rPr>
          <w:rFonts w:hint="cs"/>
          <w:rtl/>
        </w:rPr>
        <w:t>ا</w:t>
      </w:r>
      <w:r>
        <w:rPr>
          <w:rtl/>
        </w:rPr>
        <w:t>ستراتيجية، سوف تصبح استراتيجية لصحة الأمهات/والأطفال/</w:t>
      </w:r>
      <w:r>
        <w:rPr>
          <w:rFonts w:hint="cs"/>
          <w:rtl/>
        </w:rPr>
        <w:t xml:space="preserve"> </w:t>
      </w:r>
      <w:r>
        <w:rPr>
          <w:rtl/>
        </w:rPr>
        <w:t xml:space="preserve">الأطفال حديثي الولادة، وسوف تنفذ بوصفها </w:t>
      </w:r>
      <w:r>
        <w:rPr>
          <w:rFonts w:hint="cs"/>
          <w:rtl/>
        </w:rPr>
        <w:t>”</w:t>
      </w:r>
      <w:r>
        <w:rPr>
          <w:rtl/>
        </w:rPr>
        <w:t>استراتيجية جامعة</w:t>
      </w:r>
      <w:r>
        <w:rPr>
          <w:rFonts w:hint="cs"/>
          <w:rtl/>
        </w:rPr>
        <w:t>“</w:t>
      </w:r>
      <w:r w:rsidRPr="00695B53">
        <w:rPr>
          <w:vertAlign w:val="superscript"/>
          <w:rtl/>
        </w:rPr>
        <w:t>(</w:t>
      </w:r>
      <w:r w:rsidRPr="00695B53">
        <w:rPr>
          <w:rStyle w:val="FootnoteReference"/>
          <w:szCs w:val="30"/>
          <w:rtl/>
        </w:rPr>
        <w:footnoteReference w:id="213"/>
      </w:r>
      <w:r w:rsidRPr="00695B53">
        <w:rPr>
          <w:vertAlign w:val="superscript"/>
          <w:rtl/>
        </w:rPr>
        <w:t>)</w:t>
      </w:r>
      <w:r>
        <w:rPr>
          <w:rFonts w:hint="cs"/>
          <w:rtl/>
        </w:rPr>
        <w:t>.</w:t>
      </w:r>
    </w:p>
    <w:p w:rsidR="00083488" w:rsidRDefault="00083488" w:rsidP="00083488">
      <w:pPr>
        <w:pStyle w:val="SingleTxt"/>
        <w:rPr>
          <w:rtl/>
        </w:rPr>
      </w:pPr>
      <w:r>
        <w:rPr>
          <w:rtl/>
        </w:rPr>
        <w:t>255 -</w:t>
      </w:r>
      <w:r>
        <w:rPr>
          <w:rFonts w:hint="cs"/>
          <w:rtl/>
        </w:rPr>
        <w:t xml:space="preserve"> </w:t>
      </w:r>
      <w:r>
        <w:rPr>
          <w:rtl/>
        </w:rPr>
        <w:t xml:space="preserve">وانبثقت عن الاستراتيجية الوطنية استراتيجية </w:t>
      </w:r>
      <w:r>
        <w:rPr>
          <w:rFonts w:hint="cs"/>
          <w:rtl/>
        </w:rPr>
        <w:t>”</w:t>
      </w:r>
      <w:r>
        <w:rPr>
          <w:rtl/>
        </w:rPr>
        <w:t>جعل الحمل أكثر أمانا</w:t>
      </w:r>
      <w:r>
        <w:rPr>
          <w:rFonts w:hint="cs"/>
          <w:rtl/>
        </w:rPr>
        <w:t>“</w:t>
      </w:r>
      <w:r>
        <w:rPr>
          <w:rtl/>
        </w:rPr>
        <w:t>، التي يتمثل هدفها الرئيسي في كفالة الحمل والولادة المأمونين، من خلال توفير خدمات الرعاية الماهرة عالية الجودة وإتاحة الوصول إليها والاستفادة منها لجميع النساء وأطفالهن المولودين حديثا. وتتمثل العناصر الأساسية للرعاية الصحية الماهرة في وجود موظف رعاية صحية ماهر وفنيين رئيسيين آخرين من ذوي المهارات تدعمهم بيئة ملائمة مزودة بإمكانية الحصول على اللوازم الأساسية، والعقاقير وخدمات الطوارئ ذات الصلة.</w:t>
      </w:r>
    </w:p>
    <w:p w:rsidR="00083488" w:rsidRPr="00AC4EFB" w:rsidRDefault="00083488" w:rsidP="00083488">
      <w:pPr>
        <w:pStyle w:val="SingleTxt"/>
        <w:spacing w:after="0" w:line="120" w:lineRule="exact"/>
        <w:rPr>
          <w:sz w:val="10"/>
          <w:rtl/>
        </w:rPr>
      </w:pPr>
    </w:p>
    <w:p w:rsidR="00083488" w:rsidRPr="00E23F62" w:rsidRDefault="00083488" w:rsidP="0008348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23F62">
        <w:rPr>
          <w:rFonts w:hint="cs"/>
          <w:rtl/>
        </w:rPr>
        <w:tab/>
      </w:r>
      <w:r w:rsidRPr="00E23F62">
        <w:rPr>
          <w:rFonts w:hint="cs"/>
          <w:rtl/>
        </w:rPr>
        <w:tab/>
      </w:r>
      <w:r w:rsidRPr="00E23F62">
        <w:rPr>
          <w:rtl/>
        </w:rPr>
        <w:t>تحسين الوعي وإمكانية الحصول على المساعدة الطبية</w:t>
      </w:r>
    </w:p>
    <w:p w:rsidR="00083488" w:rsidRDefault="00083488" w:rsidP="00083488">
      <w:pPr>
        <w:pStyle w:val="SingleTxt"/>
        <w:rPr>
          <w:rtl/>
        </w:rPr>
      </w:pPr>
      <w:r>
        <w:rPr>
          <w:rtl/>
        </w:rPr>
        <w:t>256 -</w:t>
      </w:r>
      <w:r>
        <w:rPr>
          <w:rFonts w:hint="cs"/>
          <w:rtl/>
        </w:rPr>
        <w:t xml:space="preserve"> </w:t>
      </w:r>
      <w:r>
        <w:rPr>
          <w:rtl/>
        </w:rPr>
        <w:t>في إطار توفير الرعاية الصحية الأولية، أنشئت في عام 2008 الخدمات الصحية المجتمعية المتكاملة لدعم المجتمعات المحلية النائية والمعزولة جغرافيا من خلال مجموعة من الخدمات الأساسية. وتعتبر الخدمات الصحية المجتمعية المتكاملة مكونا رئيسيا من مكونات الاستراتيجية لتحسين نوعية الرعاية الصحية الأولية وإمكانية الحصول عليها في 602</w:t>
      </w:r>
      <w:r>
        <w:rPr>
          <w:rFonts w:hint="cs"/>
          <w:rtl/>
        </w:rPr>
        <w:t> </w:t>
      </w:r>
      <w:r>
        <w:rPr>
          <w:rtl/>
        </w:rPr>
        <w:t>قرية. وهناك في الوقت الراهن، حوالي 477 مركزا لتوفير الخدمات الصحية المجتمعية المتكاملة وهي تعمل وفقا للمعايير المحددة لتسجيل الحالة الصحية للأسرة وتوفر تدخلات في مجالات صحة الأم والطفل والتغذية، وتوفر المساعدة الطبية والدوائية المباشرة وإجراءات تعزيز الصحة والتثقيف. وتوفر مراكز الخدمات الصحية المجتمعية المتكاملة خدمات متنقلة لمختلف المواقع في القرى بما في ذلك المدارس والأسواق</w:t>
      </w:r>
      <w:r w:rsidRPr="00695B53">
        <w:rPr>
          <w:vertAlign w:val="superscript"/>
          <w:rtl/>
        </w:rPr>
        <w:t>(</w:t>
      </w:r>
      <w:r w:rsidRPr="00695B53">
        <w:rPr>
          <w:rStyle w:val="FootnoteReference"/>
          <w:szCs w:val="30"/>
          <w:rtl/>
        </w:rPr>
        <w:footnoteReference w:id="214"/>
      </w:r>
      <w:r w:rsidRPr="00695B53">
        <w:rPr>
          <w:vertAlign w:val="superscript"/>
          <w:rtl/>
        </w:rPr>
        <w:t>)</w:t>
      </w:r>
      <w:r>
        <w:rPr>
          <w:rtl/>
        </w:rPr>
        <w:t>. (للاطلاع على المزيد من التفاصيل بشأن</w:t>
      </w:r>
      <w:r>
        <w:rPr>
          <w:rFonts w:hint="cs"/>
          <w:rtl/>
        </w:rPr>
        <w:t> </w:t>
      </w:r>
      <w:r>
        <w:rPr>
          <w:rtl/>
        </w:rPr>
        <w:t>الخدمات الصحية المجتمعية المتكاملة يرجى الرجوع إلى التقرير الخاص، فرع الصحة</w:t>
      </w:r>
      <w:r>
        <w:rPr>
          <w:rFonts w:hint="cs"/>
          <w:rtl/>
        </w:rPr>
        <w:t> </w:t>
      </w:r>
      <w:r>
        <w:rPr>
          <w:rtl/>
        </w:rPr>
        <w:t>الإنجابية).</w:t>
      </w:r>
    </w:p>
    <w:p w:rsidR="00083488" w:rsidRDefault="00083488" w:rsidP="00083488">
      <w:pPr>
        <w:pStyle w:val="SingleTxt"/>
        <w:rPr>
          <w:rtl/>
        </w:rPr>
      </w:pPr>
      <w:r>
        <w:rPr>
          <w:rtl/>
        </w:rPr>
        <w:t>257 -</w:t>
      </w:r>
      <w:r>
        <w:rPr>
          <w:rFonts w:hint="cs"/>
          <w:rtl/>
        </w:rPr>
        <w:t xml:space="preserve"> </w:t>
      </w:r>
      <w:r>
        <w:rPr>
          <w:rtl/>
        </w:rPr>
        <w:t>ومن خلال الخدمات الصحية المجتمعية المتكاملة زاد تقديم الخدمات الصحية المباشرة إلى المجتمعات المحلية. وحتى الآن يتم القيام بما يقارب 450</w:t>
      </w:r>
      <w:r>
        <w:rPr>
          <w:rFonts w:hint="cs"/>
          <w:rtl/>
        </w:rPr>
        <w:t> </w:t>
      </w:r>
      <w:r>
        <w:rPr>
          <w:rtl/>
        </w:rPr>
        <w:t>زيارة لأغراض التوعية كل شهر</w:t>
      </w:r>
      <w:r w:rsidRPr="00695B53">
        <w:rPr>
          <w:vertAlign w:val="superscript"/>
          <w:rtl/>
        </w:rPr>
        <w:t>(</w:t>
      </w:r>
      <w:r w:rsidRPr="00695B53">
        <w:rPr>
          <w:rStyle w:val="FootnoteReference"/>
          <w:szCs w:val="30"/>
          <w:rtl/>
        </w:rPr>
        <w:footnoteReference w:id="215"/>
      </w:r>
      <w:r w:rsidRPr="00695B53">
        <w:rPr>
          <w:vertAlign w:val="superscript"/>
          <w:rtl/>
        </w:rPr>
        <w:t>)</w:t>
      </w:r>
      <w:r>
        <w:rPr>
          <w:rtl/>
        </w:rPr>
        <w:t>. وفي عام</w:t>
      </w:r>
      <w:r>
        <w:rPr>
          <w:rFonts w:hint="cs"/>
          <w:rtl/>
        </w:rPr>
        <w:t> </w:t>
      </w:r>
      <w:r>
        <w:rPr>
          <w:rtl/>
        </w:rPr>
        <w:t>2010، أسهمت الخدمات الصحية المجتمعية المتكاملة في ضمان حصول حوالي 000</w:t>
      </w:r>
      <w:r>
        <w:rPr>
          <w:rFonts w:hint="cs"/>
          <w:rtl/>
        </w:rPr>
        <w:t> </w:t>
      </w:r>
      <w:r>
        <w:rPr>
          <w:rtl/>
        </w:rPr>
        <w:t>550</w:t>
      </w:r>
      <w:r>
        <w:rPr>
          <w:rFonts w:hint="cs"/>
          <w:rtl/>
        </w:rPr>
        <w:t> </w:t>
      </w:r>
      <w:r>
        <w:rPr>
          <w:rtl/>
        </w:rPr>
        <w:t>شخص على مجموعة من خدمات الرعاية الصحية الأساسية، بما</w:t>
      </w:r>
      <w:r>
        <w:rPr>
          <w:rFonts w:hint="cs"/>
          <w:rtl/>
        </w:rPr>
        <w:t> </w:t>
      </w:r>
      <w:r>
        <w:rPr>
          <w:rtl/>
        </w:rPr>
        <w:t>في</w:t>
      </w:r>
      <w:r>
        <w:rPr>
          <w:rFonts w:hint="cs"/>
          <w:rtl/>
        </w:rPr>
        <w:t> </w:t>
      </w:r>
      <w:r>
        <w:rPr>
          <w:rtl/>
        </w:rPr>
        <w:t>ذلك صحة الأم والطفل، والتدخلات التغذوية، وتسجيل الحالة الصحية للأسر والتثقيف بشأن تحسين الصحة وتوفير المساعدات الطبية والدوائية</w:t>
      </w:r>
      <w:r w:rsidRPr="00695B53">
        <w:rPr>
          <w:vertAlign w:val="superscript"/>
          <w:rtl/>
        </w:rPr>
        <w:t>(</w:t>
      </w:r>
      <w:r w:rsidRPr="00695B53">
        <w:rPr>
          <w:rStyle w:val="FootnoteReference"/>
          <w:szCs w:val="30"/>
          <w:rtl/>
        </w:rPr>
        <w:footnoteReference w:id="216"/>
      </w:r>
      <w:r w:rsidRPr="00695B53">
        <w:rPr>
          <w:vertAlign w:val="superscript"/>
          <w:rtl/>
        </w:rPr>
        <w:t>)</w:t>
      </w:r>
      <w:r>
        <w:rPr>
          <w:rtl/>
        </w:rPr>
        <w:t>.</w:t>
      </w:r>
    </w:p>
    <w:p w:rsidR="00083488" w:rsidRDefault="00083488" w:rsidP="00083488">
      <w:pPr>
        <w:pStyle w:val="SingleTxt"/>
        <w:rPr>
          <w:rtl/>
        </w:rPr>
      </w:pPr>
      <w:r>
        <w:rPr>
          <w:rtl/>
        </w:rPr>
        <w:t>258 -</w:t>
      </w:r>
      <w:r>
        <w:rPr>
          <w:rFonts w:hint="cs"/>
          <w:rtl/>
        </w:rPr>
        <w:t xml:space="preserve"> </w:t>
      </w:r>
      <w:r>
        <w:rPr>
          <w:rtl/>
        </w:rPr>
        <w:t xml:space="preserve">وحتى الآن، قامت الوكالة الأسترالية للتنمية الدولية والاتحاد الأوروبي بتقديم الدعم المالي لتنفيذ الخدمات الصحية المجتمعية من قبل وزارة الصحة من خلال مشروع دعم الخطة الاستراتيجية لقطاع الصحة وأسند تنفيذها بعقود من الباطن إلى 5 منظمات غير حكومية </w:t>
      </w:r>
      <w:r>
        <w:rPr>
          <w:rFonts w:hint="cs"/>
          <w:rtl/>
        </w:rPr>
        <w:t xml:space="preserve">- </w:t>
      </w:r>
      <w:r>
        <w:rPr>
          <w:rtl/>
        </w:rPr>
        <w:t>هي الصندوق الدولي للطفل؛ وتعاونية الإغاثة الأمريكية في كل مكان ومنظمة أطباء العالم وشبكة الصحة الدولية ومنظمة أوكسفام الدولية -</w:t>
      </w:r>
      <w:r>
        <w:rPr>
          <w:rFonts w:hint="cs"/>
          <w:rtl/>
        </w:rPr>
        <w:t xml:space="preserve"> </w:t>
      </w:r>
      <w:r>
        <w:rPr>
          <w:rtl/>
        </w:rPr>
        <w:t xml:space="preserve">لتقديم أنشطة محددة لأغراض إنجاز الخدمات وتحسين الصحة ومن ثم دعم تغطية الخدمات الصحية على نطاق أوسع في </w:t>
      </w:r>
      <w:r>
        <w:rPr>
          <w:rFonts w:hint="cs"/>
          <w:rtl/>
        </w:rPr>
        <w:br/>
      </w:r>
      <w:r>
        <w:rPr>
          <w:rtl/>
        </w:rPr>
        <w:t xml:space="preserve">تيمور </w:t>
      </w:r>
      <w:r>
        <w:rPr>
          <w:rFonts w:hint="cs"/>
          <w:rtl/>
        </w:rPr>
        <w:t>-</w:t>
      </w:r>
      <w:r>
        <w:rPr>
          <w:rtl/>
        </w:rPr>
        <w:t xml:space="preserve"> ليشتي</w:t>
      </w:r>
      <w:r w:rsidRPr="00695B53">
        <w:rPr>
          <w:vertAlign w:val="superscript"/>
          <w:rtl/>
        </w:rPr>
        <w:t>(</w:t>
      </w:r>
      <w:r w:rsidRPr="00695B53">
        <w:rPr>
          <w:rStyle w:val="FootnoteReference"/>
          <w:szCs w:val="30"/>
          <w:rtl/>
        </w:rPr>
        <w:footnoteReference w:id="217"/>
      </w:r>
      <w:r w:rsidRPr="00695B53">
        <w:rPr>
          <w:vertAlign w:val="superscript"/>
          <w:rtl/>
        </w:rPr>
        <w:t>)</w:t>
      </w:r>
      <w:r>
        <w:rPr>
          <w:rFonts w:hint="cs"/>
          <w:rtl/>
        </w:rPr>
        <w:t>.</w:t>
      </w:r>
    </w:p>
    <w:p w:rsidR="00083488" w:rsidRDefault="00083488" w:rsidP="00083488">
      <w:pPr>
        <w:pStyle w:val="SingleTxt"/>
        <w:rPr>
          <w:rtl/>
        </w:rPr>
      </w:pPr>
      <w:r>
        <w:rPr>
          <w:rtl/>
        </w:rPr>
        <w:t>259 -</w:t>
      </w:r>
      <w:r>
        <w:rPr>
          <w:rFonts w:hint="cs"/>
          <w:rtl/>
        </w:rPr>
        <w:t xml:space="preserve"> </w:t>
      </w:r>
      <w:r>
        <w:rPr>
          <w:rtl/>
        </w:rPr>
        <w:t>وعلى صعيد المقاطعات الفرعية، توفر مراكز الصحة المجتمعية خدمات أعلى مستوى مما تقدمه النقاط الصحية، وتشمل مجموعة أوسع من الموظفين وتقدم خدمات العيادة المتنقلة والدعم الإداري والتقني إلى النقاط الصحية. وتوجد مراكز الصحة المجتمعية المجهزة في</w:t>
      </w:r>
      <w:r>
        <w:rPr>
          <w:rFonts w:hint="cs"/>
          <w:rtl/>
        </w:rPr>
        <w:t> </w:t>
      </w:r>
      <w:r>
        <w:rPr>
          <w:rtl/>
        </w:rPr>
        <w:t>كل المقاطعات الفرعية وفقا لاحتياجات السكان، والمسافة التي تفصلها عن مرافق الإحالة الأكثر تقدما. وفي الفترة بين عامي 2007 و</w:t>
      </w:r>
      <w:r>
        <w:rPr>
          <w:rFonts w:hint="cs"/>
          <w:rtl/>
        </w:rPr>
        <w:t> </w:t>
      </w:r>
      <w:r>
        <w:rPr>
          <w:rtl/>
        </w:rPr>
        <w:t>2012، قامت وزارة الصحة ببناء 46</w:t>
      </w:r>
      <w:r>
        <w:rPr>
          <w:rFonts w:hint="cs"/>
          <w:rtl/>
        </w:rPr>
        <w:t> </w:t>
      </w:r>
      <w:r>
        <w:rPr>
          <w:rtl/>
        </w:rPr>
        <w:t>مركزا جديدا لرعاية الأمومة والرعاية الصحية تعمل على تحسين إمكانية الوصول للخدمات ونوعية خدمات صحة الأمهات والصحة الإنجابية وقامت بإصلاح 41 من المراكز و/النقاط الصحية الإضافية في جميع أنحاء المقاطعات الثلاث عشرة.</w:t>
      </w:r>
    </w:p>
    <w:p w:rsidR="00083488" w:rsidRPr="00AC4EFB" w:rsidRDefault="00083488" w:rsidP="00083488">
      <w:pPr>
        <w:pStyle w:val="SingleTxt"/>
        <w:spacing w:after="0" w:line="120" w:lineRule="exact"/>
        <w:rPr>
          <w:sz w:val="10"/>
          <w:rtl/>
        </w:rPr>
      </w:pPr>
    </w:p>
    <w:p w:rsidR="00083488" w:rsidRPr="009943B2" w:rsidRDefault="00083488"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943B2">
        <w:rPr>
          <w:rFonts w:hint="cs"/>
          <w:rtl/>
        </w:rPr>
        <w:tab/>
      </w:r>
      <w:r w:rsidRPr="009943B2">
        <w:rPr>
          <w:rFonts w:hint="cs"/>
          <w:rtl/>
        </w:rPr>
        <w:tab/>
      </w:r>
      <w:r w:rsidRPr="009943B2">
        <w:rPr>
          <w:rtl/>
        </w:rPr>
        <w:t>تعزيز قوة عمل القطاع الصحي</w:t>
      </w:r>
    </w:p>
    <w:p w:rsidR="00083488" w:rsidRDefault="00083488" w:rsidP="00083488">
      <w:pPr>
        <w:pStyle w:val="SingleTxt"/>
        <w:rPr>
          <w:rtl/>
        </w:rPr>
      </w:pPr>
      <w:r>
        <w:rPr>
          <w:rtl/>
        </w:rPr>
        <w:t>260</w:t>
      </w:r>
      <w:r>
        <w:rPr>
          <w:rFonts w:hint="cs"/>
          <w:rtl/>
        </w:rPr>
        <w:t xml:space="preserve"> </w:t>
      </w:r>
      <w:r>
        <w:rPr>
          <w:rtl/>
        </w:rPr>
        <w:t>-</w:t>
      </w:r>
      <w:r>
        <w:rPr>
          <w:rFonts w:hint="cs"/>
          <w:rtl/>
        </w:rPr>
        <w:t xml:space="preserve"> </w:t>
      </w:r>
      <w:r>
        <w:rPr>
          <w:rtl/>
        </w:rPr>
        <w:t>أنشأت الحكومة مدرسة للتمريض والقبالة، تحت إشراف كلية الطب وعلوم الصحة التابعة للجامعة الوطنية لتيمور</w:t>
      </w:r>
      <w:r>
        <w:rPr>
          <w:rFonts w:hint="cs"/>
          <w:rtl/>
        </w:rPr>
        <w:t xml:space="preserve"> </w:t>
      </w:r>
      <w:r>
        <w:rPr>
          <w:rtl/>
        </w:rPr>
        <w:t>-</w:t>
      </w:r>
      <w:r>
        <w:rPr>
          <w:rFonts w:hint="cs"/>
          <w:rtl/>
        </w:rPr>
        <w:t xml:space="preserve"> </w:t>
      </w:r>
      <w:r>
        <w:rPr>
          <w:rtl/>
        </w:rPr>
        <w:t>ليشتي في عام 2008</w:t>
      </w:r>
      <w:r w:rsidRPr="00695B53">
        <w:rPr>
          <w:vertAlign w:val="superscript"/>
          <w:rtl/>
        </w:rPr>
        <w:t>(</w:t>
      </w:r>
      <w:r w:rsidRPr="00695B53">
        <w:rPr>
          <w:rStyle w:val="FootnoteReference"/>
          <w:szCs w:val="30"/>
          <w:rtl/>
        </w:rPr>
        <w:footnoteReference w:id="218"/>
      </w:r>
      <w:r w:rsidRPr="00695B53">
        <w:rPr>
          <w:vertAlign w:val="superscript"/>
          <w:rtl/>
        </w:rPr>
        <w:t>)</w:t>
      </w:r>
      <w:r>
        <w:rPr>
          <w:rFonts w:hint="cs"/>
          <w:rtl/>
        </w:rPr>
        <w:t>.</w:t>
      </w:r>
    </w:p>
    <w:p w:rsidR="00083488" w:rsidRDefault="00083488" w:rsidP="00083488">
      <w:pPr>
        <w:pStyle w:val="SingleTxt"/>
        <w:rPr>
          <w:rtl/>
        </w:rPr>
      </w:pPr>
      <w:r>
        <w:rPr>
          <w:rtl/>
        </w:rPr>
        <w:t>261 -</w:t>
      </w:r>
      <w:r>
        <w:rPr>
          <w:rFonts w:hint="cs"/>
          <w:rtl/>
        </w:rPr>
        <w:t xml:space="preserve"> </w:t>
      </w:r>
      <w:r>
        <w:rPr>
          <w:rtl/>
        </w:rPr>
        <w:t>تخرج 400 من الطلبة التيموريين في عام 2012 كأطباء متخصصين عن طريق اتفاق تعاون مع حكومة كوبا وانضموا إلى الأطباء التيموريين الممارسين بالفعل البالغ عددهم 80 طبيبا والذين تخرجوا في العام الدراسي 2010/2011. ومن المتوقع أنه بحلول عام</w:t>
      </w:r>
      <w:r>
        <w:rPr>
          <w:rFonts w:hint="cs"/>
          <w:rtl/>
        </w:rPr>
        <w:t> </w:t>
      </w:r>
      <w:r>
        <w:rPr>
          <w:rtl/>
        </w:rPr>
        <w:t>2016 سيكون هناك أكثر من 000</w:t>
      </w:r>
      <w:r>
        <w:rPr>
          <w:rFonts w:hint="cs"/>
          <w:rtl/>
        </w:rPr>
        <w:t> </w:t>
      </w:r>
      <w:r>
        <w:rPr>
          <w:rtl/>
        </w:rPr>
        <w:t>1 من خريجي كليات الطب التيموريين يمارسون مهنة الطب في تيمور</w:t>
      </w:r>
      <w:r>
        <w:rPr>
          <w:rFonts w:hint="cs"/>
          <w:rtl/>
        </w:rPr>
        <w:t xml:space="preserve"> </w:t>
      </w:r>
      <w:r>
        <w:rPr>
          <w:rtl/>
        </w:rPr>
        <w:t>-</w:t>
      </w:r>
      <w:r>
        <w:rPr>
          <w:rFonts w:hint="cs"/>
          <w:rtl/>
        </w:rPr>
        <w:t xml:space="preserve"> </w:t>
      </w:r>
      <w:r>
        <w:rPr>
          <w:rtl/>
        </w:rPr>
        <w:t>ليشتي.</w:t>
      </w:r>
    </w:p>
    <w:p w:rsidR="00083488" w:rsidRDefault="00083488" w:rsidP="00083488">
      <w:pPr>
        <w:pStyle w:val="SingleTxt"/>
        <w:rPr>
          <w:rFonts w:hint="cs"/>
          <w:rtl/>
        </w:rPr>
      </w:pPr>
      <w:r>
        <w:rPr>
          <w:rtl/>
        </w:rPr>
        <w:t>262 -</w:t>
      </w:r>
      <w:r>
        <w:rPr>
          <w:rFonts w:hint="cs"/>
          <w:rtl/>
        </w:rPr>
        <w:t xml:space="preserve"> </w:t>
      </w:r>
      <w:r>
        <w:rPr>
          <w:rtl/>
        </w:rPr>
        <w:t>وفي عام 2012، قبل تخرج هؤلاء الطلبة مباشرة ومع بذل جهود محددة الهدف في مجال التوظيف الخارجي والتدريب الداخلي، أضحى لدى تيمور - ليشتي 13</w:t>
      </w:r>
      <w:r>
        <w:rPr>
          <w:rFonts w:hint="cs"/>
          <w:rtl/>
        </w:rPr>
        <w:t> </w:t>
      </w:r>
      <w:r>
        <w:rPr>
          <w:rtl/>
        </w:rPr>
        <w:t>طبيبا متخصصا و</w:t>
      </w:r>
      <w:r>
        <w:rPr>
          <w:rFonts w:hint="cs"/>
          <w:rtl/>
        </w:rPr>
        <w:t> </w:t>
      </w:r>
      <w:r>
        <w:rPr>
          <w:rtl/>
        </w:rPr>
        <w:t>139</w:t>
      </w:r>
      <w:r>
        <w:rPr>
          <w:rFonts w:hint="cs"/>
          <w:rtl/>
        </w:rPr>
        <w:t> </w:t>
      </w:r>
      <w:r>
        <w:rPr>
          <w:rtl/>
        </w:rPr>
        <w:t>طبيبا ممارسا عاما و</w:t>
      </w:r>
      <w:r>
        <w:rPr>
          <w:rFonts w:hint="cs"/>
          <w:rtl/>
        </w:rPr>
        <w:t> </w:t>
      </w:r>
      <w:r>
        <w:rPr>
          <w:rtl/>
        </w:rPr>
        <w:t>271</w:t>
      </w:r>
      <w:r>
        <w:rPr>
          <w:rFonts w:hint="cs"/>
          <w:rtl/>
        </w:rPr>
        <w:t> 1 </w:t>
      </w:r>
      <w:r>
        <w:rPr>
          <w:rtl/>
        </w:rPr>
        <w:t>ممرضا وممرضة ومساعديهم و</w:t>
      </w:r>
      <w:r>
        <w:rPr>
          <w:rFonts w:hint="cs"/>
          <w:rtl/>
        </w:rPr>
        <w:t> </w:t>
      </w:r>
      <w:r>
        <w:rPr>
          <w:rtl/>
        </w:rPr>
        <w:t>427</w:t>
      </w:r>
      <w:r>
        <w:rPr>
          <w:rFonts w:hint="cs"/>
          <w:rtl/>
        </w:rPr>
        <w:t> </w:t>
      </w:r>
      <w:r>
        <w:rPr>
          <w:rtl/>
        </w:rPr>
        <w:t>قابلة و</w:t>
      </w:r>
      <w:r>
        <w:rPr>
          <w:rFonts w:hint="cs"/>
          <w:rtl/>
        </w:rPr>
        <w:t> </w:t>
      </w:r>
      <w:r>
        <w:rPr>
          <w:rtl/>
        </w:rPr>
        <w:t>416 من التقنيين في مجال الصحة</w:t>
      </w:r>
      <w:r w:rsidRPr="00695B53">
        <w:rPr>
          <w:vertAlign w:val="superscript"/>
          <w:rtl/>
        </w:rPr>
        <w:t>(</w:t>
      </w:r>
      <w:r w:rsidRPr="00695B53">
        <w:rPr>
          <w:rStyle w:val="FootnoteReference"/>
          <w:szCs w:val="30"/>
          <w:rtl/>
        </w:rPr>
        <w:footnoteReference w:id="219"/>
      </w:r>
      <w:r w:rsidRPr="00695B53">
        <w:rPr>
          <w:vertAlign w:val="superscript"/>
          <w:rtl/>
        </w:rPr>
        <w:t>)</w:t>
      </w:r>
      <w:r>
        <w:rPr>
          <w:rtl/>
        </w:rPr>
        <w:t>. ولذا، فحتى وإن كانت تيمور</w:t>
      </w:r>
      <w:r>
        <w:rPr>
          <w:rFonts w:hint="cs"/>
          <w:rtl/>
        </w:rPr>
        <w:t xml:space="preserve"> </w:t>
      </w:r>
      <w:r>
        <w:rPr>
          <w:rtl/>
        </w:rPr>
        <w:t>-</w:t>
      </w:r>
      <w:r>
        <w:rPr>
          <w:rFonts w:hint="cs"/>
          <w:rtl/>
        </w:rPr>
        <w:t xml:space="preserve"> </w:t>
      </w:r>
      <w:r>
        <w:rPr>
          <w:rtl/>
        </w:rPr>
        <w:t>ليشتي تعاني من نقص عام في الموارد البشرية في القطاع الصحي، فقد سارت قوة العمل في قطاع الصحة العامة في اتجاه إيجابي حيث ارتفع عدد الممارسين في مجال الرعاية الصحية من 387</w:t>
      </w:r>
      <w:r>
        <w:rPr>
          <w:rFonts w:hint="cs"/>
          <w:rtl/>
        </w:rPr>
        <w:t> 1 </w:t>
      </w:r>
      <w:r>
        <w:rPr>
          <w:rtl/>
        </w:rPr>
        <w:t>ممارسا في عام</w:t>
      </w:r>
      <w:r>
        <w:rPr>
          <w:rFonts w:hint="cs"/>
          <w:rtl/>
        </w:rPr>
        <w:t> </w:t>
      </w:r>
      <w:r>
        <w:rPr>
          <w:rtl/>
        </w:rPr>
        <w:t xml:space="preserve">2008 إلى </w:t>
      </w:r>
      <w:r>
        <w:rPr>
          <w:rFonts w:hint="cs"/>
          <w:rtl/>
        </w:rPr>
        <w:t>266 2</w:t>
      </w:r>
      <w:r>
        <w:rPr>
          <w:rtl/>
        </w:rPr>
        <w:t xml:space="preserve"> في نهاية عام</w:t>
      </w:r>
      <w:r>
        <w:rPr>
          <w:rFonts w:hint="cs"/>
          <w:rtl/>
        </w:rPr>
        <w:t> </w:t>
      </w:r>
      <w:r>
        <w:rPr>
          <w:rtl/>
        </w:rPr>
        <w:t>2012</w:t>
      </w:r>
      <w:r w:rsidRPr="000311C0">
        <w:rPr>
          <w:vertAlign w:val="superscript"/>
          <w:rtl/>
        </w:rPr>
        <w:t>(</w:t>
      </w:r>
      <w:r w:rsidRPr="000311C0">
        <w:rPr>
          <w:rStyle w:val="FootnoteReference"/>
          <w:szCs w:val="30"/>
          <w:rtl/>
        </w:rPr>
        <w:footnoteReference w:id="220"/>
      </w:r>
      <w:r w:rsidRPr="000311C0">
        <w:rPr>
          <w:vertAlign w:val="superscript"/>
          <w:rtl/>
        </w:rPr>
        <w:t>)</w:t>
      </w:r>
      <w:r>
        <w:rPr>
          <w:rtl/>
        </w:rPr>
        <w:t>. ووفقا للتعداد السكاني لعام 2010، يكاد أن يكون هناك توازن بين الجنسين في قطاع مزاولي المهن الصحية في البلد (بنسبة</w:t>
      </w:r>
      <w:r>
        <w:rPr>
          <w:rFonts w:hint="cs"/>
          <w:rtl/>
        </w:rPr>
        <w:t> </w:t>
      </w:r>
      <w:r>
        <w:rPr>
          <w:rtl/>
        </w:rPr>
        <w:t>47</w:t>
      </w:r>
      <w:r>
        <w:rPr>
          <w:rFonts w:hint="cs"/>
          <w:rtl/>
        </w:rPr>
        <w:t> </w:t>
      </w:r>
      <w:r>
        <w:rPr>
          <w:rtl/>
        </w:rPr>
        <w:t>في</w:t>
      </w:r>
      <w:r>
        <w:rPr>
          <w:rFonts w:hint="cs"/>
          <w:rtl/>
        </w:rPr>
        <w:t> </w:t>
      </w:r>
      <w:r>
        <w:rPr>
          <w:rtl/>
        </w:rPr>
        <w:t>المائة من النساء إلى 53 في المائة من الرجال) ويتمثل الهدف النهائي للحكومة في أن يكون هناك ما لا يقل عن طبيب واحد وممرضان وقابلتان وفني مختبرات في المركز الصحية في كل قرية لا</w:t>
      </w:r>
      <w:r>
        <w:rPr>
          <w:rFonts w:hint="cs"/>
          <w:rtl/>
        </w:rPr>
        <w:t> </w:t>
      </w:r>
      <w:r>
        <w:rPr>
          <w:rtl/>
        </w:rPr>
        <w:t>يقل عدد سكانها عن 000</w:t>
      </w:r>
      <w:r>
        <w:rPr>
          <w:rFonts w:hint="cs"/>
          <w:rtl/>
        </w:rPr>
        <w:t> </w:t>
      </w:r>
      <w:r>
        <w:rPr>
          <w:rtl/>
        </w:rPr>
        <w:t>1</w:t>
      </w:r>
      <w:r>
        <w:rPr>
          <w:rFonts w:hint="cs"/>
          <w:rtl/>
        </w:rPr>
        <w:t> </w:t>
      </w:r>
      <w:r>
        <w:rPr>
          <w:rtl/>
        </w:rPr>
        <w:t>نسمة</w:t>
      </w:r>
      <w:r w:rsidRPr="000311C0">
        <w:rPr>
          <w:vertAlign w:val="superscript"/>
          <w:rtl/>
        </w:rPr>
        <w:t>(</w:t>
      </w:r>
      <w:r w:rsidRPr="000311C0">
        <w:rPr>
          <w:rStyle w:val="FootnoteReference"/>
          <w:szCs w:val="30"/>
          <w:rtl/>
        </w:rPr>
        <w:footnoteReference w:id="221"/>
      </w:r>
      <w:r w:rsidRPr="000311C0">
        <w:rPr>
          <w:vertAlign w:val="superscript"/>
          <w:rtl/>
        </w:rPr>
        <w:t>)</w:t>
      </w:r>
      <w:r>
        <w:rPr>
          <w:rtl/>
        </w:rPr>
        <w:t>.</w:t>
      </w:r>
    </w:p>
    <w:p w:rsidR="009943B2" w:rsidRPr="009943B2" w:rsidRDefault="009943B2" w:rsidP="009943B2">
      <w:pPr>
        <w:pStyle w:val="SingleTxt"/>
        <w:spacing w:after="0" w:line="120" w:lineRule="exact"/>
        <w:rPr>
          <w:rFonts w:hint="cs"/>
          <w:sz w:val="10"/>
          <w:rtl/>
        </w:rPr>
      </w:pPr>
    </w:p>
    <w:p w:rsidR="009943B2" w:rsidRPr="00C329B2" w:rsidRDefault="009943B2" w:rsidP="009943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C329B2">
        <w:rPr>
          <w:rFonts w:hint="cs"/>
          <w:rtl/>
          <w:lang w:bidi="ar-EG"/>
        </w:rPr>
        <w:t>صحة الطفل</w:t>
      </w:r>
    </w:p>
    <w:p w:rsidR="009943B2" w:rsidRPr="00C329B2" w:rsidRDefault="009943B2" w:rsidP="009943B2">
      <w:pPr>
        <w:pStyle w:val="SingleTxt"/>
        <w:rPr>
          <w:rFonts w:hint="cs"/>
          <w:rtl/>
          <w:lang w:bidi="ar-EG"/>
        </w:rPr>
      </w:pPr>
      <w:r w:rsidRPr="00C329B2">
        <w:rPr>
          <w:rFonts w:hint="cs"/>
          <w:rtl/>
          <w:lang w:bidi="ar-EG"/>
        </w:rPr>
        <w:t>263</w:t>
      </w:r>
      <w:r>
        <w:rPr>
          <w:rFonts w:hint="cs"/>
          <w:rtl/>
          <w:lang w:bidi="ar-EG"/>
        </w:rPr>
        <w:t xml:space="preserve"> </w:t>
      </w:r>
      <w:r w:rsidRPr="00C329B2">
        <w:rPr>
          <w:rFonts w:hint="cs"/>
          <w:rtl/>
          <w:lang w:bidi="ar-EG"/>
        </w:rPr>
        <w:t>-</w:t>
      </w:r>
      <w:r>
        <w:rPr>
          <w:rFonts w:hint="cs"/>
          <w:rtl/>
          <w:lang w:bidi="ar-EG"/>
        </w:rPr>
        <w:t xml:space="preserve"> </w:t>
      </w:r>
      <w:r w:rsidRPr="00C329B2">
        <w:rPr>
          <w:rFonts w:hint="cs"/>
          <w:rtl/>
          <w:lang w:bidi="ar-EG"/>
        </w:rPr>
        <w:t xml:space="preserve">أسهمت التحسينات في </w:t>
      </w:r>
      <w:r w:rsidRPr="00C329B2">
        <w:rPr>
          <w:rtl/>
          <w:lang w:bidi="ar-EG"/>
        </w:rPr>
        <w:t>تقديم الخدمات المتعلقة بصحة الأ</w:t>
      </w:r>
      <w:r w:rsidRPr="00C329B2">
        <w:rPr>
          <w:rFonts w:hint="cs"/>
          <w:rtl/>
          <w:lang w:bidi="ar-EG"/>
        </w:rPr>
        <w:t xml:space="preserve">م في الانخفاض الكبير في </w:t>
      </w:r>
      <w:r w:rsidRPr="00C329B2">
        <w:rPr>
          <w:rtl/>
          <w:lang w:bidi="ar-EG"/>
        </w:rPr>
        <w:t>معدل وفيات الرضع والأطفا</w:t>
      </w:r>
      <w:r w:rsidRPr="00C329B2">
        <w:rPr>
          <w:rFonts w:hint="cs"/>
          <w:rtl/>
          <w:lang w:bidi="ar-EG"/>
        </w:rPr>
        <w:t>ل: فبلغ معدل وفيات الأطفال دون سن الخامسة 64</w:t>
      </w:r>
      <w:r w:rsidRPr="00C329B2">
        <w:rPr>
          <w:rtl/>
          <w:lang w:bidi="ar-EG"/>
        </w:rPr>
        <w:t xml:space="preserve"> حالة وفاة لكل 000 1 مولود حي</w:t>
      </w:r>
      <w:r w:rsidRPr="00C329B2">
        <w:rPr>
          <w:rFonts w:hint="cs"/>
          <w:rtl/>
          <w:lang w:bidi="ar-EG"/>
        </w:rPr>
        <w:t xml:space="preserve"> في الفترة 2005-2009. وتحدث أغلب </w:t>
      </w:r>
      <w:r w:rsidRPr="00C329B2">
        <w:rPr>
          <w:rtl/>
          <w:lang w:bidi="ar-EG"/>
        </w:rPr>
        <w:t>وفيات الأطفال دون سن الخامس</w:t>
      </w:r>
      <w:r w:rsidRPr="00C329B2">
        <w:rPr>
          <w:rFonts w:hint="cs"/>
          <w:rtl/>
          <w:lang w:bidi="ar-EG"/>
        </w:rPr>
        <w:t>ة من العمر</w:t>
      </w:r>
      <w:r>
        <w:rPr>
          <w:rFonts w:hint="cs"/>
          <w:rtl/>
          <w:lang w:bidi="ar-EG"/>
        </w:rPr>
        <w:t xml:space="preserve"> </w:t>
      </w:r>
      <w:r w:rsidRPr="00C329B2">
        <w:rPr>
          <w:rFonts w:hint="cs"/>
          <w:rtl/>
          <w:lang w:bidi="ar-EG"/>
        </w:rPr>
        <w:t xml:space="preserve">(70 في المائة) </w:t>
      </w:r>
      <w:r w:rsidRPr="00C329B2">
        <w:rPr>
          <w:rtl/>
          <w:lang w:bidi="ar-EG"/>
        </w:rPr>
        <w:t>خلال السنة الأولى من حياة الولي</w:t>
      </w:r>
      <w:r w:rsidRPr="00C329B2">
        <w:rPr>
          <w:rFonts w:hint="cs"/>
          <w:rtl/>
          <w:lang w:bidi="ar-EG"/>
        </w:rPr>
        <w:t>د؛ ويبلغ معدل وفيات الرضع 45 وفاة لكل 000 1 مولود حي</w:t>
      </w:r>
      <w:r w:rsidRPr="0027404F">
        <w:rPr>
          <w:vertAlign w:val="superscript"/>
          <w:rtl/>
          <w:lang w:bidi="ar-EG"/>
        </w:rPr>
        <w:t>(</w:t>
      </w:r>
      <w:r w:rsidRPr="0027404F">
        <w:rPr>
          <w:rStyle w:val="FootnoteReference"/>
          <w:szCs w:val="30"/>
          <w:rtl/>
        </w:rPr>
        <w:footnoteReference w:id="222"/>
      </w:r>
      <w:r w:rsidRPr="0027404F">
        <w:rPr>
          <w:vertAlign w:val="superscript"/>
          <w:rtl/>
          <w:lang w:bidi="ar-EG"/>
        </w:rPr>
        <w:t>)</w:t>
      </w:r>
      <w:r w:rsidRPr="00C329B2">
        <w:rPr>
          <w:rFonts w:hint="cs"/>
          <w:rtl/>
          <w:lang w:bidi="ar-EG"/>
        </w:rPr>
        <w:t>.</w:t>
      </w:r>
    </w:p>
    <w:p w:rsidR="009943B2" w:rsidRPr="00C329B2" w:rsidRDefault="009943B2" w:rsidP="009943B2">
      <w:pPr>
        <w:pStyle w:val="SingleTxt"/>
        <w:rPr>
          <w:rFonts w:hint="cs"/>
          <w:rtl/>
          <w:lang w:bidi="ar-EG"/>
        </w:rPr>
      </w:pPr>
      <w:r w:rsidRPr="00C329B2">
        <w:rPr>
          <w:rFonts w:hint="cs"/>
          <w:rtl/>
          <w:lang w:bidi="ar-EG"/>
        </w:rPr>
        <w:t>264</w:t>
      </w:r>
      <w:r>
        <w:rPr>
          <w:rFonts w:hint="cs"/>
          <w:rtl/>
          <w:lang w:bidi="ar-EG"/>
        </w:rPr>
        <w:t xml:space="preserve"> </w:t>
      </w:r>
      <w:r w:rsidRPr="00C329B2">
        <w:rPr>
          <w:rFonts w:hint="cs"/>
          <w:rtl/>
          <w:lang w:bidi="ar-EG"/>
        </w:rPr>
        <w:t>- وتبين المقارنة بين نتائج الاستقصاء الديمغرافي والصحي لكل من عامي 2009 و</w:t>
      </w:r>
      <w:r>
        <w:rPr>
          <w:rFonts w:hint="eastAsia"/>
          <w:rtl/>
          <w:lang w:bidi="ar-EG"/>
        </w:rPr>
        <w:t> </w:t>
      </w:r>
      <w:r w:rsidRPr="00C329B2">
        <w:rPr>
          <w:rFonts w:hint="cs"/>
          <w:rtl/>
          <w:lang w:bidi="ar-EG"/>
        </w:rPr>
        <w:t>2013 تحسنا ملحوظا (23 في المائة) في معدّل بقاء الطفل، مع انخفاض معدل وفيات الأطفال دون سن الخامسة من العمر من 83 حالة وفاة لكل 000 1 مولود حي أثناء الفترة 1999-2003 إلى 64 حالة وفاة لكل 000 1 مولود حي في الفترة 2005-2009. ويُعزى ذلك أساسا إلى انخفاض معدل وفيات الأطفال من 60 حالة وفاة لكل 000</w:t>
      </w:r>
      <w:r>
        <w:rPr>
          <w:rFonts w:hint="eastAsia"/>
          <w:rtl/>
          <w:lang w:bidi="ar-EG"/>
        </w:rPr>
        <w:t> </w:t>
      </w:r>
      <w:r w:rsidRPr="00C329B2">
        <w:rPr>
          <w:rFonts w:hint="cs"/>
          <w:rtl/>
          <w:lang w:bidi="ar-EG"/>
        </w:rPr>
        <w:t>1</w:t>
      </w:r>
      <w:r>
        <w:rPr>
          <w:rFonts w:hint="eastAsia"/>
          <w:rtl/>
          <w:lang w:bidi="ar-EG"/>
        </w:rPr>
        <w:t> </w:t>
      </w:r>
      <w:r w:rsidRPr="00C329B2">
        <w:rPr>
          <w:rFonts w:hint="cs"/>
          <w:rtl/>
          <w:lang w:bidi="ar-EG"/>
        </w:rPr>
        <w:t>مولود حي في الفترة 1999-2003 إلى 45 حالة وفاة لكل 000 1 مولود حي في الفترة 2005-2009</w:t>
      </w:r>
      <w:r w:rsidRPr="0027404F">
        <w:rPr>
          <w:vertAlign w:val="superscript"/>
          <w:rtl/>
          <w:lang w:bidi="ar-EG"/>
        </w:rPr>
        <w:t>(</w:t>
      </w:r>
      <w:r w:rsidRPr="0027404F">
        <w:rPr>
          <w:rStyle w:val="FootnoteReference"/>
          <w:szCs w:val="30"/>
          <w:rtl/>
        </w:rPr>
        <w:footnoteReference w:id="223"/>
      </w:r>
      <w:r w:rsidRPr="0027404F">
        <w:rPr>
          <w:vertAlign w:val="superscript"/>
          <w:rtl/>
          <w:lang w:bidi="ar-EG"/>
        </w:rPr>
        <w:t>)</w:t>
      </w:r>
      <w:r w:rsidRPr="00C329B2">
        <w:rPr>
          <w:rFonts w:hint="cs"/>
          <w:rtl/>
          <w:lang w:bidi="ar-EG"/>
        </w:rPr>
        <w:t>.</w:t>
      </w:r>
      <w:r>
        <w:rPr>
          <w:rFonts w:hint="cs"/>
          <w:rtl/>
          <w:lang w:bidi="ar-EG"/>
        </w:rPr>
        <w:t xml:space="preserve"> </w:t>
      </w:r>
      <w:r w:rsidRPr="00C329B2">
        <w:rPr>
          <w:rFonts w:hint="cs"/>
          <w:rtl/>
          <w:lang w:bidi="ar-EG"/>
        </w:rPr>
        <w:t xml:space="preserve">ولذا، فإن تيمور </w:t>
      </w:r>
      <w:r>
        <w:rPr>
          <w:rtl/>
          <w:lang w:bidi="ar-EG"/>
        </w:rPr>
        <w:t>-</w:t>
      </w:r>
      <w:r w:rsidRPr="00C329B2">
        <w:rPr>
          <w:rFonts w:hint="cs"/>
          <w:rtl/>
          <w:lang w:bidi="ar-EG"/>
        </w:rPr>
        <w:t xml:space="preserve"> ليشتي على المسار الصحيح لتخفيض معدل </w:t>
      </w:r>
      <w:r w:rsidRPr="00C329B2">
        <w:rPr>
          <w:rtl/>
          <w:lang w:bidi="ar-EG"/>
        </w:rPr>
        <w:t>وفيات الرضع والأطفا</w:t>
      </w:r>
      <w:r w:rsidRPr="00C329B2">
        <w:rPr>
          <w:rFonts w:hint="cs"/>
          <w:rtl/>
          <w:lang w:bidi="ar-EG"/>
        </w:rPr>
        <w:t>ل دون سن الخامسة من أجل بلوغ الهدف 4 من الأهداف الإنمائية للألفية، ألا وهو خفض وفيات الأطفال دون سن الخامسة بنسبة الثلثين بحلول عام</w:t>
      </w:r>
      <w:r>
        <w:rPr>
          <w:rFonts w:hint="eastAsia"/>
          <w:rtl/>
          <w:lang w:bidi="ar-EG"/>
        </w:rPr>
        <w:t> </w:t>
      </w:r>
      <w:r w:rsidRPr="00C329B2">
        <w:rPr>
          <w:rFonts w:hint="cs"/>
          <w:rtl/>
          <w:lang w:bidi="ar-EG"/>
        </w:rPr>
        <w:t>2015</w:t>
      </w:r>
      <w:r w:rsidRPr="0027404F">
        <w:rPr>
          <w:vertAlign w:val="superscript"/>
          <w:rtl/>
          <w:lang w:bidi="ar-EG"/>
        </w:rPr>
        <w:t>(</w:t>
      </w:r>
      <w:r w:rsidRPr="0027404F">
        <w:rPr>
          <w:rStyle w:val="FootnoteReference"/>
          <w:szCs w:val="30"/>
          <w:rtl/>
        </w:rPr>
        <w:footnoteReference w:id="224"/>
      </w:r>
      <w:r w:rsidRPr="0027404F">
        <w:rPr>
          <w:vertAlign w:val="superscript"/>
          <w:rtl/>
          <w:lang w:bidi="ar-EG"/>
        </w:rPr>
        <w:t>)</w:t>
      </w:r>
      <w:r w:rsidRPr="00C329B2">
        <w:rPr>
          <w:rFonts w:hint="cs"/>
          <w:rtl/>
          <w:lang w:bidi="ar-EG"/>
        </w:rPr>
        <w:t>.</w:t>
      </w:r>
    </w:p>
    <w:p w:rsidR="009943B2" w:rsidRPr="00C329B2" w:rsidRDefault="009943B2" w:rsidP="009943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C329B2">
        <w:rPr>
          <w:rFonts w:hint="cs"/>
          <w:rtl/>
          <w:lang w:bidi="ar-EG"/>
        </w:rPr>
        <w:t>تنظيم الأسرة</w:t>
      </w:r>
    </w:p>
    <w:p w:rsidR="009943B2" w:rsidRPr="00C329B2" w:rsidRDefault="009943B2" w:rsidP="009943B2">
      <w:pPr>
        <w:pStyle w:val="SingleTxt"/>
        <w:rPr>
          <w:rFonts w:hint="cs"/>
          <w:rtl/>
          <w:lang w:bidi="ar-EG"/>
        </w:rPr>
      </w:pPr>
      <w:r w:rsidRPr="00C329B2">
        <w:rPr>
          <w:rFonts w:hint="cs"/>
          <w:rtl/>
          <w:lang w:bidi="ar-EG"/>
        </w:rPr>
        <w:t>265</w:t>
      </w:r>
      <w:r>
        <w:rPr>
          <w:rFonts w:hint="cs"/>
          <w:rtl/>
          <w:lang w:bidi="ar-EG"/>
        </w:rPr>
        <w:t xml:space="preserve"> </w:t>
      </w:r>
      <w:r w:rsidRPr="00C329B2">
        <w:rPr>
          <w:rFonts w:hint="cs"/>
          <w:rtl/>
          <w:lang w:bidi="ar-EG"/>
        </w:rPr>
        <w:t>- على نحو ما يشير إليه انخفاض معدلات الخصوبة وتوضحه البيانات المتعلقة باستخدام وسائل منع الحمل، حدث تطور إيجابي في استخدام هذه الوسائل من قِبَل النساء المتزوجات حاليا منذ عام 2002. وتضاعف استخدام الوسائل الحديثة خلال السنوات الخمس بين عامي 2002 و</w:t>
      </w:r>
      <w:r>
        <w:rPr>
          <w:rFonts w:hint="cs"/>
          <w:rtl/>
          <w:lang w:bidi="ar-EG"/>
        </w:rPr>
        <w:t xml:space="preserve"> </w:t>
      </w:r>
      <w:r w:rsidRPr="00C329B2">
        <w:rPr>
          <w:rFonts w:hint="cs"/>
          <w:rtl/>
          <w:lang w:bidi="ar-EG"/>
        </w:rPr>
        <w:t>2007، وزادت بنسبة تقارب 50 في المائة في الفترة بين عامي 2007 و</w:t>
      </w:r>
      <w:r>
        <w:rPr>
          <w:rFonts w:hint="cs"/>
          <w:rtl/>
          <w:lang w:bidi="ar-EG"/>
        </w:rPr>
        <w:t xml:space="preserve"> </w:t>
      </w:r>
      <w:r w:rsidRPr="00C329B2">
        <w:rPr>
          <w:rFonts w:hint="cs"/>
          <w:rtl/>
          <w:lang w:bidi="ar-EG"/>
        </w:rPr>
        <w:t xml:space="preserve">2010. وأسهمت الزيادة في استخدام الوسائل الحديثة في زيادة </w:t>
      </w:r>
      <w:r w:rsidRPr="00C329B2">
        <w:rPr>
          <w:rtl/>
          <w:lang w:bidi="ar-EG"/>
        </w:rPr>
        <w:t>بمعدل ثلاثة أضعا</w:t>
      </w:r>
      <w:r w:rsidRPr="00C329B2">
        <w:rPr>
          <w:rFonts w:hint="cs"/>
          <w:rtl/>
          <w:lang w:bidi="ar-EG"/>
        </w:rPr>
        <w:t xml:space="preserve">ف في </w:t>
      </w:r>
      <w:r w:rsidRPr="00C329B2">
        <w:rPr>
          <w:rtl/>
          <w:lang w:bidi="ar-EG"/>
        </w:rPr>
        <w:t>الاستخدام الكلي لوسائل منع الحم</w:t>
      </w:r>
      <w:r w:rsidRPr="00C329B2">
        <w:rPr>
          <w:rFonts w:hint="cs"/>
          <w:rtl/>
          <w:lang w:bidi="ar-EG"/>
        </w:rPr>
        <w:t>ل، من نسبة 7 في المائة إلى 21 في المائة من النساء المتزوجات حاليا، في غضون ما بين 7 و</w:t>
      </w:r>
      <w:r>
        <w:rPr>
          <w:rFonts w:hint="cs"/>
          <w:rtl/>
          <w:lang w:bidi="ar-EG"/>
        </w:rPr>
        <w:t xml:space="preserve"> </w:t>
      </w:r>
      <w:r w:rsidRPr="00C329B2">
        <w:rPr>
          <w:rFonts w:hint="cs"/>
          <w:rtl/>
          <w:lang w:bidi="ar-EG"/>
        </w:rPr>
        <w:t>8 سنوات</w:t>
      </w:r>
      <w:r w:rsidRPr="0027404F">
        <w:rPr>
          <w:vertAlign w:val="superscript"/>
          <w:rtl/>
          <w:lang w:bidi="ar-EG"/>
        </w:rPr>
        <w:t>(</w:t>
      </w:r>
      <w:r w:rsidRPr="0027404F">
        <w:rPr>
          <w:rStyle w:val="FootnoteReference"/>
          <w:szCs w:val="30"/>
          <w:rtl/>
        </w:rPr>
        <w:footnoteReference w:id="225"/>
      </w:r>
      <w:r w:rsidRPr="0027404F">
        <w:rPr>
          <w:vertAlign w:val="superscript"/>
          <w:rtl/>
          <w:lang w:bidi="ar-EG"/>
        </w:rPr>
        <w:t>)</w:t>
      </w:r>
      <w:r w:rsidRPr="00C329B2">
        <w:rPr>
          <w:rFonts w:hint="cs"/>
          <w:rtl/>
          <w:lang w:bidi="ar-EG"/>
        </w:rPr>
        <w:t>.</w:t>
      </w:r>
    </w:p>
    <w:p w:rsidR="009943B2" w:rsidRPr="00C329B2" w:rsidRDefault="009943B2" w:rsidP="009943B2">
      <w:pPr>
        <w:pStyle w:val="SingleTxt"/>
        <w:rPr>
          <w:rFonts w:hint="cs"/>
          <w:rtl/>
          <w:lang w:bidi="ar-EG"/>
        </w:rPr>
      </w:pPr>
      <w:r w:rsidRPr="00C329B2">
        <w:rPr>
          <w:rFonts w:hint="cs"/>
          <w:rtl/>
          <w:lang w:bidi="ar-EG"/>
        </w:rPr>
        <w:t>266</w:t>
      </w:r>
      <w:r>
        <w:rPr>
          <w:rFonts w:hint="cs"/>
          <w:rtl/>
          <w:lang w:bidi="ar-EG"/>
        </w:rPr>
        <w:t xml:space="preserve"> </w:t>
      </w:r>
      <w:r w:rsidRPr="00C329B2">
        <w:rPr>
          <w:rFonts w:hint="cs"/>
          <w:rtl/>
          <w:lang w:bidi="ar-EG"/>
        </w:rPr>
        <w:t xml:space="preserve">- ووفقا للاستقصاء </w:t>
      </w:r>
      <w:r w:rsidRPr="00C329B2">
        <w:rPr>
          <w:rtl/>
          <w:lang w:bidi="ar-EG"/>
        </w:rPr>
        <w:t>الديمغرافي والصحي</w:t>
      </w:r>
      <w:r w:rsidRPr="00C329B2">
        <w:rPr>
          <w:rFonts w:hint="cs"/>
          <w:rtl/>
          <w:lang w:bidi="ar-EG"/>
        </w:rPr>
        <w:t xml:space="preserve"> للفترة 2009-2010، تستخدم واحدة من كل خمس (22 في المائة) نساء متزوجات حاليا وسيلة من وسائل تنظيم الأسرة، بينهن 21</w:t>
      </w:r>
      <w:r>
        <w:rPr>
          <w:rFonts w:hint="eastAsia"/>
          <w:rtl/>
          <w:lang w:bidi="ar-EG"/>
        </w:rPr>
        <w:t> </w:t>
      </w:r>
      <w:r w:rsidRPr="00C329B2">
        <w:rPr>
          <w:rFonts w:hint="cs"/>
          <w:rtl/>
          <w:lang w:bidi="ar-EG"/>
        </w:rPr>
        <w:t xml:space="preserve">في المائة يستخدمن وسيلة حديثة لمنع الحمل. </w:t>
      </w:r>
      <w:r w:rsidRPr="00C329B2">
        <w:rPr>
          <w:rtl/>
          <w:lang w:bidi="ar-EG"/>
        </w:rPr>
        <w:t>ووسائل منع الحمل عن طريق الحق</w:t>
      </w:r>
      <w:r w:rsidRPr="00C329B2">
        <w:rPr>
          <w:rFonts w:hint="cs"/>
          <w:rtl/>
          <w:lang w:bidi="ar-EG"/>
        </w:rPr>
        <w:t>ن هي الأكثر شعبية إلى حد بعيد من بين الوسائل الحديثة لمنع الحمل، ويستخدمها 16 في المائة من النساء المتزوجات حاليا.</w:t>
      </w:r>
    </w:p>
    <w:p w:rsidR="009943B2" w:rsidRPr="00C329B2" w:rsidRDefault="009943B2" w:rsidP="009943B2">
      <w:pPr>
        <w:pStyle w:val="SingleTxt"/>
        <w:rPr>
          <w:rFonts w:hint="cs"/>
          <w:rtl/>
          <w:lang w:bidi="ar-EG"/>
        </w:rPr>
      </w:pPr>
      <w:r w:rsidRPr="00C329B2">
        <w:rPr>
          <w:rFonts w:hint="cs"/>
          <w:rtl/>
          <w:lang w:bidi="ar-EG"/>
        </w:rPr>
        <w:t>267</w:t>
      </w:r>
      <w:r>
        <w:rPr>
          <w:rFonts w:hint="cs"/>
          <w:rtl/>
          <w:lang w:bidi="ar-EG"/>
        </w:rPr>
        <w:t xml:space="preserve"> </w:t>
      </w:r>
      <w:r w:rsidRPr="00C329B2">
        <w:rPr>
          <w:rFonts w:hint="cs"/>
          <w:rtl/>
          <w:lang w:bidi="ar-EG"/>
        </w:rPr>
        <w:t>- وتبين أحدث بيانات وزارة الصحة بالفعل اتجاها إيجابيا طفيفا حيث استخدم 26 في المائة من النساء وسائل تنظيم الأسرة في عامي 2011 و</w:t>
      </w:r>
      <w:r>
        <w:rPr>
          <w:rFonts w:hint="cs"/>
          <w:rtl/>
          <w:lang w:bidi="ar-EG"/>
        </w:rPr>
        <w:t xml:space="preserve"> </w:t>
      </w:r>
      <w:r w:rsidRPr="00C329B2">
        <w:rPr>
          <w:rFonts w:hint="cs"/>
          <w:rtl/>
          <w:lang w:bidi="ar-EG"/>
        </w:rPr>
        <w:t>2012 مقارنة بنسبة 20 في المائة في عام 2010</w:t>
      </w:r>
      <w:r w:rsidRPr="0027404F">
        <w:rPr>
          <w:vertAlign w:val="superscript"/>
          <w:rtl/>
          <w:lang w:bidi="ar-EG"/>
        </w:rPr>
        <w:t>(</w:t>
      </w:r>
      <w:r w:rsidRPr="0027404F">
        <w:rPr>
          <w:rStyle w:val="FootnoteReference"/>
          <w:szCs w:val="30"/>
          <w:rtl/>
        </w:rPr>
        <w:footnoteReference w:id="226"/>
      </w:r>
      <w:r w:rsidRPr="0027404F">
        <w:rPr>
          <w:vertAlign w:val="superscript"/>
          <w:rtl/>
          <w:lang w:bidi="ar-EG"/>
        </w:rPr>
        <w:t>)</w:t>
      </w:r>
      <w:r w:rsidRPr="00C329B2">
        <w:rPr>
          <w:rFonts w:hint="cs"/>
          <w:rtl/>
          <w:lang w:bidi="ar-EG"/>
        </w:rPr>
        <w:t>.</w:t>
      </w:r>
      <w:r>
        <w:rPr>
          <w:rFonts w:hint="cs"/>
          <w:rtl/>
          <w:lang w:bidi="ar-EG"/>
        </w:rPr>
        <w:t xml:space="preserve"> </w:t>
      </w:r>
      <w:r w:rsidRPr="00C329B2">
        <w:rPr>
          <w:rFonts w:hint="cs"/>
          <w:rtl/>
          <w:lang w:bidi="ar-EG"/>
        </w:rPr>
        <w:t xml:space="preserve">وهنا مرة أخرى، توجد اختلافات كبيرة بين المقاطعات. ووفقا لوزارة الصحة، ترتفع نسبة النساء اللاتي يستخدمن وسائل تنظيم الأسرة إلى 70 في المائة في بعض المقاطعات مثل </w:t>
      </w:r>
      <w:r w:rsidRPr="00C329B2">
        <w:rPr>
          <w:rtl/>
          <w:lang w:bidi="ar-EG"/>
        </w:rPr>
        <w:t>مانوفاه</w:t>
      </w:r>
      <w:r w:rsidRPr="00C329B2">
        <w:rPr>
          <w:rFonts w:hint="cs"/>
          <w:rtl/>
          <w:lang w:bidi="ar-EG"/>
        </w:rPr>
        <w:t xml:space="preserve">ي (وهي منطقة ريفية في أغلبها)، بينما ينخفض المعدل إلى 13 في المائة في مقاطعات مثل </w:t>
      </w:r>
      <w:r w:rsidRPr="00C329B2">
        <w:rPr>
          <w:rtl/>
          <w:lang w:bidi="ar-EG"/>
        </w:rPr>
        <w:t>آيلي</w:t>
      </w:r>
      <w:r w:rsidRPr="00C329B2">
        <w:rPr>
          <w:rFonts w:hint="cs"/>
          <w:rtl/>
          <w:lang w:bidi="ar-EG"/>
        </w:rPr>
        <w:t>و وديلي (أكثر مناطق البلد حضرية).</w:t>
      </w:r>
    </w:p>
    <w:p w:rsidR="009943B2" w:rsidRPr="00C329B2" w:rsidRDefault="009943B2" w:rsidP="009943B2">
      <w:pPr>
        <w:pStyle w:val="SingleTxt"/>
        <w:rPr>
          <w:rFonts w:hint="cs"/>
        </w:rPr>
      </w:pPr>
      <w:r w:rsidRPr="00C329B2">
        <w:rPr>
          <w:rFonts w:hint="cs"/>
          <w:rtl/>
          <w:lang w:bidi="ar-EG"/>
        </w:rPr>
        <w:t>268</w:t>
      </w:r>
      <w:r>
        <w:rPr>
          <w:rFonts w:hint="cs"/>
          <w:rtl/>
          <w:lang w:bidi="ar-EG"/>
        </w:rPr>
        <w:t xml:space="preserve"> </w:t>
      </w:r>
      <w:r w:rsidRPr="00C329B2">
        <w:rPr>
          <w:rFonts w:hint="cs"/>
          <w:rtl/>
          <w:lang w:bidi="ar-EG"/>
        </w:rPr>
        <w:t xml:space="preserve">- وقد يُعزى ذلك إلى كون جمع البيانات لا يزال في مرحلة التحسين، وأن جمع البيانات بشأن تنظيم الأسرة لم يبدأ إلا في عام 2010. وسوف يسهم تحسُّن برنامج السجل الصحي العائلي منذ عام 2012 في توفير </w:t>
      </w:r>
      <w:r w:rsidRPr="00C329B2">
        <w:rPr>
          <w:rtl/>
          <w:lang w:bidi="ar-EG"/>
        </w:rPr>
        <w:t xml:space="preserve">قاعدة معرفة أكثر </w:t>
      </w:r>
      <w:r w:rsidRPr="00C329B2">
        <w:rPr>
          <w:rFonts w:hint="cs"/>
          <w:rtl/>
          <w:lang w:bidi="ar-EG"/>
        </w:rPr>
        <w:t>موثوقية في المستقبل.</w:t>
      </w:r>
    </w:p>
    <w:p w:rsidR="009943B2" w:rsidRPr="00C329B2" w:rsidRDefault="009943B2" w:rsidP="009943B2">
      <w:pPr>
        <w:pStyle w:val="SingleTxt"/>
        <w:rPr>
          <w:rFonts w:hint="cs"/>
          <w:rtl/>
          <w:lang w:bidi="ar-EG"/>
        </w:rPr>
      </w:pPr>
      <w:r w:rsidRPr="00C329B2">
        <w:rPr>
          <w:rFonts w:hint="cs"/>
          <w:rtl/>
          <w:lang w:bidi="ar-EG"/>
        </w:rPr>
        <w:t>269</w:t>
      </w:r>
      <w:r>
        <w:rPr>
          <w:rFonts w:hint="cs"/>
          <w:rtl/>
          <w:lang w:bidi="ar-EG"/>
        </w:rPr>
        <w:t xml:space="preserve"> </w:t>
      </w:r>
      <w:r w:rsidRPr="00C329B2">
        <w:rPr>
          <w:rFonts w:hint="cs"/>
          <w:rtl/>
          <w:lang w:bidi="ar-EG"/>
        </w:rPr>
        <w:t>- ولا تزال هناك ثغرات يتعين سدها إذ يكشف الاستقصاء الديمغرافي والصحي للفترة 2009-2010 أن الطلب على تنظيم الأسرة قد نما بأسرع من إمكانية توفير الخدمات. ولم</w:t>
      </w:r>
      <w:r>
        <w:rPr>
          <w:rFonts w:hint="eastAsia"/>
          <w:rtl/>
          <w:lang w:bidi="ar-EG"/>
        </w:rPr>
        <w:t> </w:t>
      </w:r>
      <w:r w:rsidRPr="00C329B2">
        <w:rPr>
          <w:rFonts w:hint="cs"/>
          <w:rtl/>
          <w:lang w:bidi="ar-EG"/>
        </w:rPr>
        <w:t>يُبلغ سوى 42 في المائة من النساء المتزوجات حاليا عن تلبية</w:t>
      </w:r>
      <w:r>
        <w:rPr>
          <w:rFonts w:hint="cs"/>
          <w:rtl/>
          <w:lang w:bidi="ar-EG"/>
        </w:rPr>
        <w:t xml:space="preserve"> </w:t>
      </w:r>
      <w:r w:rsidRPr="00C329B2">
        <w:rPr>
          <w:rtl/>
          <w:lang w:bidi="ar-EG"/>
        </w:rPr>
        <w:t>احتياجاتهن المتعلقة بتنظيم الأسر</w:t>
      </w:r>
      <w:r w:rsidRPr="00C329B2">
        <w:rPr>
          <w:rFonts w:hint="cs"/>
          <w:rtl/>
          <w:lang w:bidi="ar-EG"/>
        </w:rPr>
        <w:t>ة، سواء ما يتعلق ب</w:t>
      </w:r>
      <w:r w:rsidRPr="00C329B2">
        <w:rPr>
          <w:rtl/>
          <w:lang w:bidi="ar-EG"/>
        </w:rPr>
        <w:t>المباعدة بين الولاد</w:t>
      </w:r>
      <w:r w:rsidRPr="00C329B2">
        <w:rPr>
          <w:rFonts w:hint="cs"/>
          <w:rtl/>
          <w:lang w:bidi="ar-EG"/>
        </w:rPr>
        <w:t>ات</w:t>
      </w:r>
      <w:r w:rsidRPr="00C329B2">
        <w:rPr>
          <w:rtl/>
          <w:lang w:bidi="ar-EG"/>
        </w:rPr>
        <w:t xml:space="preserve"> أو تحديد الإنجا</w:t>
      </w:r>
      <w:r w:rsidRPr="00C329B2">
        <w:rPr>
          <w:rFonts w:hint="cs"/>
          <w:rtl/>
          <w:lang w:bidi="ar-EG"/>
        </w:rPr>
        <w:t>ب</w:t>
      </w:r>
      <w:r w:rsidRPr="0027404F">
        <w:rPr>
          <w:vertAlign w:val="superscript"/>
          <w:rtl/>
        </w:rPr>
        <w:t>(</w:t>
      </w:r>
      <w:r w:rsidRPr="0027404F">
        <w:rPr>
          <w:rStyle w:val="FootnoteReference"/>
          <w:szCs w:val="30"/>
          <w:rtl/>
        </w:rPr>
        <w:footnoteReference w:id="227"/>
      </w:r>
      <w:r w:rsidRPr="0027404F">
        <w:rPr>
          <w:vertAlign w:val="superscript"/>
          <w:rtl/>
        </w:rPr>
        <w:t>)</w:t>
      </w:r>
      <w:r w:rsidRPr="00C329B2">
        <w:rPr>
          <w:rFonts w:hint="cs"/>
          <w:rtl/>
          <w:lang w:bidi="ar-EG"/>
        </w:rPr>
        <w:t>.</w:t>
      </w:r>
      <w:r>
        <w:rPr>
          <w:rFonts w:hint="cs"/>
          <w:rtl/>
          <w:lang w:bidi="ar-EG"/>
        </w:rPr>
        <w:t xml:space="preserve"> </w:t>
      </w:r>
      <w:r w:rsidRPr="00C329B2">
        <w:rPr>
          <w:rFonts w:hint="cs"/>
          <w:rtl/>
          <w:lang w:bidi="ar-EG"/>
        </w:rPr>
        <w:t>(للمزيد من المعلومات، يرجى الرجوع إلى التقرير المحدَّد عن التعليم والصحة)</w:t>
      </w:r>
      <w:r>
        <w:rPr>
          <w:rFonts w:hint="cs"/>
          <w:rtl/>
          <w:lang w:bidi="ar-EG"/>
        </w:rPr>
        <w:t>.</w:t>
      </w:r>
    </w:p>
    <w:p w:rsidR="009943B2" w:rsidRPr="0027404F" w:rsidRDefault="009943B2" w:rsidP="009943B2">
      <w:pPr>
        <w:pStyle w:val="SingleTxt"/>
        <w:spacing w:after="0" w:line="120" w:lineRule="exact"/>
        <w:rPr>
          <w:rFonts w:hint="cs"/>
          <w:sz w:val="10"/>
          <w:u w:val="single"/>
          <w:rtl/>
          <w:lang w:bidi="ar-EG"/>
        </w:rPr>
      </w:pPr>
    </w:p>
    <w:p w:rsidR="009943B2" w:rsidRPr="0027404F"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27404F">
        <w:rPr>
          <w:rFonts w:hint="cs"/>
          <w:rtl/>
          <w:lang w:bidi="ar-EG"/>
        </w:rPr>
        <w:t>برامج التثقيف الجنسي</w:t>
      </w:r>
    </w:p>
    <w:p w:rsidR="009943B2" w:rsidRPr="00C329B2" w:rsidRDefault="009943B2" w:rsidP="009943B2">
      <w:pPr>
        <w:pStyle w:val="SingleTxt"/>
        <w:rPr>
          <w:rFonts w:hint="cs"/>
          <w:rtl/>
          <w:lang w:bidi="ar-EG"/>
        </w:rPr>
      </w:pPr>
      <w:r w:rsidRPr="00C329B2">
        <w:rPr>
          <w:rFonts w:hint="cs"/>
          <w:rtl/>
          <w:lang w:bidi="ar-EG"/>
        </w:rPr>
        <w:t>270</w:t>
      </w:r>
      <w:r>
        <w:rPr>
          <w:rFonts w:hint="cs"/>
          <w:rtl/>
          <w:lang w:bidi="ar-EG"/>
        </w:rPr>
        <w:t xml:space="preserve"> </w:t>
      </w:r>
      <w:r w:rsidRPr="00C329B2">
        <w:rPr>
          <w:rFonts w:hint="cs"/>
          <w:rtl/>
          <w:lang w:bidi="ar-EG"/>
        </w:rPr>
        <w:t>- أعدت وزارة التعليم مقررا دراسيا ل</w:t>
      </w:r>
      <w:r w:rsidRPr="00C329B2">
        <w:rPr>
          <w:rtl/>
          <w:lang w:bidi="ar-EG"/>
        </w:rPr>
        <w:t xml:space="preserve">لصحة الإنجابية للمراهقين </w:t>
      </w:r>
      <w:r w:rsidRPr="00C329B2">
        <w:rPr>
          <w:rFonts w:hint="cs"/>
          <w:rtl/>
          <w:lang w:bidi="ar-EG"/>
        </w:rPr>
        <w:t>في ا</w:t>
      </w:r>
      <w:r w:rsidRPr="00C329B2">
        <w:rPr>
          <w:rtl/>
          <w:lang w:bidi="ar-EG"/>
        </w:rPr>
        <w:t xml:space="preserve">لصفوف الدراسية </w:t>
      </w:r>
      <w:r w:rsidRPr="00C329B2">
        <w:rPr>
          <w:rFonts w:hint="cs"/>
          <w:rtl/>
          <w:lang w:bidi="ar-EG"/>
        </w:rPr>
        <w:t xml:space="preserve">من </w:t>
      </w:r>
      <w:r w:rsidRPr="00C329B2">
        <w:rPr>
          <w:rtl/>
          <w:lang w:bidi="ar-EG"/>
        </w:rPr>
        <w:t xml:space="preserve">السابع إلى الثاني عشر، </w:t>
      </w:r>
      <w:r w:rsidRPr="00C329B2">
        <w:rPr>
          <w:rFonts w:hint="cs"/>
          <w:rtl/>
          <w:lang w:bidi="ar-EG"/>
        </w:rPr>
        <w:t xml:space="preserve">ويشمل السلوك في العلاقات والمسائل المتعلقة بالعنف الجنساني والعنف العائلي. وأُعد تدريب تكميلي للمعلمين بشأن المقرر الدراسي للصحة الإنجابية للمراهقين وجُرِّب في 10 مدارس في تيمور </w:t>
      </w:r>
      <w:r>
        <w:rPr>
          <w:rtl/>
          <w:lang w:bidi="ar-EG"/>
        </w:rPr>
        <w:t>-</w:t>
      </w:r>
      <w:r w:rsidRPr="00C329B2">
        <w:rPr>
          <w:rFonts w:hint="cs"/>
          <w:rtl/>
          <w:lang w:bidi="ar-EG"/>
        </w:rPr>
        <w:t xml:space="preserve"> ليشتي في 8 مقاطعات (</w:t>
      </w:r>
      <w:r w:rsidRPr="00C329B2">
        <w:rPr>
          <w:rtl/>
          <w:lang w:bidi="ar-EG"/>
        </w:rPr>
        <w:t>آيلي</w:t>
      </w:r>
      <w:r w:rsidRPr="00C329B2">
        <w:rPr>
          <w:rFonts w:hint="cs"/>
          <w:rtl/>
          <w:lang w:bidi="ar-EG"/>
        </w:rPr>
        <w:t xml:space="preserve">و، </w:t>
      </w:r>
      <w:r w:rsidRPr="00C329B2">
        <w:rPr>
          <w:rtl/>
          <w:lang w:bidi="ar-EG"/>
        </w:rPr>
        <w:t>وآينارو</w:t>
      </w:r>
      <w:r w:rsidRPr="00C329B2">
        <w:rPr>
          <w:rFonts w:hint="cs"/>
          <w:rtl/>
          <w:lang w:bidi="ar-EG"/>
        </w:rPr>
        <w:t xml:space="preserve">، </w:t>
      </w:r>
      <w:r w:rsidRPr="00C329B2">
        <w:rPr>
          <w:rtl/>
          <w:lang w:bidi="ar-EG"/>
        </w:rPr>
        <w:t>وباوكا</w:t>
      </w:r>
      <w:r w:rsidRPr="00C329B2">
        <w:rPr>
          <w:rFonts w:hint="cs"/>
          <w:rtl/>
          <w:lang w:bidi="ar-EG"/>
        </w:rPr>
        <w:t>و، و</w:t>
      </w:r>
      <w:r w:rsidRPr="00C329B2">
        <w:rPr>
          <w:rtl/>
          <w:lang w:bidi="ar-EG"/>
        </w:rPr>
        <w:t>بوبونارو</w:t>
      </w:r>
      <w:r w:rsidRPr="00C329B2">
        <w:rPr>
          <w:rFonts w:hint="cs"/>
          <w:rtl/>
          <w:lang w:bidi="ar-EG"/>
        </w:rPr>
        <w:t>، وديلي، وإرميرا، وماناتوتو، و</w:t>
      </w:r>
      <w:r w:rsidRPr="00C329B2">
        <w:rPr>
          <w:rtl/>
          <w:lang w:bidi="ar-EG"/>
        </w:rPr>
        <w:t>أوكيسي</w:t>
      </w:r>
      <w:r w:rsidRPr="00C329B2">
        <w:rPr>
          <w:rFonts w:hint="cs"/>
          <w:rtl/>
          <w:lang w:bidi="ar-EG"/>
        </w:rPr>
        <w:t>)</w:t>
      </w:r>
      <w:r w:rsidRPr="0027404F">
        <w:rPr>
          <w:vertAlign w:val="superscript"/>
          <w:rtl/>
          <w:lang w:bidi="ar-EG"/>
        </w:rPr>
        <w:t>(</w:t>
      </w:r>
      <w:r w:rsidRPr="0027404F">
        <w:rPr>
          <w:rStyle w:val="FootnoteReference"/>
          <w:szCs w:val="30"/>
          <w:rtl/>
        </w:rPr>
        <w:footnoteReference w:id="228"/>
      </w:r>
      <w:r w:rsidRPr="0027404F">
        <w:rPr>
          <w:vertAlign w:val="superscript"/>
          <w:rtl/>
          <w:lang w:bidi="ar-EG"/>
        </w:rPr>
        <w:t>)</w:t>
      </w:r>
      <w:r w:rsidRPr="00C329B2">
        <w:rPr>
          <w:rFonts w:hint="cs"/>
          <w:rtl/>
          <w:lang w:bidi="ar-EG"/>
        </w:rPr>
        <w:t>.</w:t>
      </w:r>
      <w:r>
        <w:rPr>
          <w:rFonts w:hint="cs"/>
          <w:rtl/>
          <w:lang w:bidi="ar-EG"/>
        </w:rPr>
        <w:t xml:space="preserve"> </w:t>
      </w:r>
      <w:r w:rsidRPr="00C329B2">
        <w:rPr>
          <w:rFonts w:hint="cs"/>
          <w:rtl/>
          <w:lang w:bidi="ar-EG"/>
        </w:rPr>
        <w:t>(للمزيد من المعلومات،</w:t>
      </w:r>
      <w:r>
        <w:rPr>
          <w:rFonts w:hint="cs"/>
          <w:rtl/>
          <w:lang w:bidi="ar-EG"/>
        </w:rPr>
        <w:t xml:space="preserve"> </w:t>
      </w:r>
      <w:r w:rsidRPr="00C329B2">
        <w:rPr>
          <w:rFonts w:hint="cs"/>
          <w:rtl/>
          <w:lang w:bidi="ar-EG"/>
        </w:rPr>
        <w:t>يرجى الرجوع إلى التقرير المحدَّد عن التعليم والصحة)</w:t>
      </w:r>
      <w:r>
        <w:rPr>
          <w:rFonts w:hint="cs"/>
          <w:rtl/>
          <w:lang w:bidi="ar-EG"/>
        </w:rPr>
        <w:t>.</w:t>
      </w:r>
    </w:p>
    <w:p w:rsidR="009943B2" w:rsidRPr="00C329B2" w:rsidRDefault="009943B2" w:rsidP="009943B2">
      <w:pPr>
        <w:pStyle w:val="SingleTxt"/>
        <w:rPr>
          <w:rFonts w:hint="cs"/>
          <w:rtl/>
          <w:lang w:bidi="ar-EG"/>
        </w:rPr>
      </w:pPr>
      <w:r w:rsidRPr="00C329B2">
        <w:rPr>
          <w:rFonts w:hint="cs"/>
          <w:rtl/>
          <w:lang w:bidi="ar-EG"/>
        </w:rPr>
        <w:t>271</w:t>
      </w:r>
      <w:r>
        <w:rPr>
          <w:rFonts w:hint="cs"/>
          <w:rtl/>
          <w:lang w:bidi="ar-EG"/>
        </w:rPr>
        <w:t xml:space="preserve"> </w:t>
      </w:r>
      <w:r w:rsidRPr="00C329B2">
        <w:rPr>
          <w:rFonts w:hint="cs"/>
          <w:rtl/>
          <w:lang w:bidi="ar-EG"/>
        </w:rPr>
        <w:t xml:space="preserve">- </w:t>
      </w:r>
      <w:r>
        <w:rPr>
          <w:rFonts w:hint="cs"/>
          <w:rtl/>
          <w:lang w:bidi="ar-EG"/>
        </w:rPr>
        <w:t>و</w:t>
      </w:r>
      <w:r w:rsidRPr="00C329B2">
        <w:rPr>
          <w:rFonts w:hint="cs"/>
          <w:rtl/>
          <w:lang w:bidi="ar-EG"/>
        </w:rPr>
        <w:t xml:space="preserve">يرجى الرجوع إلى التقرير المحدَّد عن التعليم والصحة، للحصول على معلومات بشأن برنامج </w:t>
      </w:r>
      <w:r w:rsidRPr="00C329B2">
        <w:rPr>
          <w:rtl/>
          <w:lang w:bidi="ar-EG"/>
        </w:rPr>
        <w:t>الاتصال لتغيير السلو</w:t>
      </w:r>
      <w:r w:rsidRPr="00C329B2">
        <w:rPr>
          <w:rFonts w:hint="cs"/>
          <w:rtl/>
          <w:lang w:bidi="ar-EG"/>
        </w:rPr>
        <w:t>ك، خصوصا فيما يتعلق بالتدخلات التي تستهدف الرجال والنساء والشباب في سن الإنجاب (15-49 سنة من العمر) من خلال حملات التوعية بغرض إيجاد الطلب على جميع خدمات ومعلومات الصحة الإنجابية.</w:t>
      </w:r>
    </w:p>
    <w:p w:rsidR="009943B2" w:rsidRPr="0027404F" w:rsidRDefault="009943B2" w:rsidP="009943B2">
      <w:pPr>
        <w:pStyle w:val="SingleTxt"/>
        <w:spacing w:after="0" w:line="120" w:lineRule="exact"/>
        <w:rPr>
          <w:rFonts w:hint="cs"/>
          <w:b/>
          <w:bCs/>
          <w:sz w:val="10"/>
          <w:rtl/>
          <w:lang w:bidi="ar-EG"/>
        </w:rPr>
      </w:pPr>
    </w:p>
    <w:p w:rsidR="009943B2" w:rsidRPr="00C329B2" w:rsidRDefault="009943B2" w:rsidP="009943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C329B2">
        <w:rPr>
          <w:rFonts w:hint="cs"/>
          <w:rtl/>
          <w:lang w:bidi="ar-EG"/>
        </w:rPr>
        <w:t>الصحة العقلية</w:t>
      </w:r>
    </w:p>
    <w:p w:rsidR="009943B2" w:rsidRPr="0027404F" w:rsidRDefault="009943B2" w:rsidP="009943B2">
      <w:pPr>
        <w:pStyle w:val="SingleTxt"/>
        <w:rPr>
          <w:rFonts w:hint="cs"/>
          <w:rtl/>
        </w:rPr>
      </w:pPr>
      <w:r w:rsidRPr="00C329B2">
        <w:rPr>
          <w:rFonts w:hint="cs"/>
          <w:rtl/>
          <w:lang w:bidi="ar-EG"/>
        </w:rPr>
        <w:t>272</w:t>
      </w:r>
      <w:r>
        <w:rPr>
          <w:rFonts w:hint="cs"/>
          <w:rtl/>
          <w:lang w:bidi="ar-EG"/>
        </w:rPr>
        <w:t xml:space="preserve"> </w:t>
      </w:r>
      <w:r w:rsidRPr="00C329B2">
        <w:rPr>
          <w:rFonts w:hint="cs"/>
          <w:rtl/>
          <w:lang w:bidi="ar-EG"/>
        </w:rPr>
        <w:t>- تتوفر الآن بيانات عن حالات الأمراض العقلية التي جرى التعرف عليها منذ التحسينات في جمع البيانات وإدارة الإحصاءات في وزارة الصحة بين عامي 2008 و</w:t>
      </w:r>
      <w:r>
        <w:rPr>
          <w:rFonts w:hint="eastAsia"/>
          <w:rtl/>
          <w:lang w:bidi="ar-EG"/>
        </w:rPr>
        <w:t> </w:t>
      </w:r>
      <w:r w:rsidRPr="00C329B2">
        <w:rPr>
          <w:rFonts w:hint="cs"/>
          <w:rtl/>
          <w:lang w:bidi="ar-EG"/>
        </w:rPr>
        <w:t xml:space="preserve">2012. وتبين هذه الأرقام التي أصدرتها إدارة الصحة العقلية أن المرض العقلي الأكثر شيوعا في تيمور </w:t>
      </w:r>
      <w:r>
        <w:rPr>
          <w:rtl/>
          <w:lang w:bidi="ar-EG"/>
        </w:rPr>
        <w:t>-</w:t>
      </w:r>
      <w:r w:rsidRPr="00C329B2">
        <w:rPr>
          <w:rFonts w:hint="cs"/>
          <w:rtl/>
          <w:lang w:bidi="ar-EG"/>
        </w:rPr>
        <w:t xml:space="preserve"> ليشتي هو الذهان الحاد، حيث بلغ عدد الحالات نحو 450 حالة في عام</w:t>
      </w:r>
      <w:r>
        <w:rPr>
          <w:rFonts w:hint="eastAsia"/>
          <w:rtl/>
          <w:lang w:bidi="ar-EG"/>
        </w:rPr>
        <w:t> </w:t>
      </w:r>
      <w:r w:rsidRPr="00C329B2">
        <w:rPr>
          <w:rFonts w:hint="cs"/>
          <w:rtl/>
          <w:lang w:bidi="ar-EG"/>
        </w:rPr>
        <w:t>2012. وانفصام الشخصية هو ثاني أكثر الأمراض شيوعا في ظل وجود 350 حالة من الإناث، يليه مرض الاكتئاب (نحو 150 حالة من الإناث) والعصاب الاكتئابي (60 حالة من الإناث) والحصر النفسي (أقل من 50 حالة من الإناث). وعموما، تشير البيانات إلى أن الأرجح أن يكون المرضى العقلي</w:t>
      </w:r>
      <w:r>
        <w:rPr>
          <w:rFonts w:hint="cs"/>
          <w:rtl/>
          <w:lang w:bidi="ar-EG"/>
        </w:rPr>
        <w:t>و</w:t>
      </w:r>
      <w:r w:rsidRPr="00C329B2">
        <w:rPr>
          <w:rFonts w:hint="cs"/>
          <w:rtl/>
          <w:lang w:bidi="ar-EG"/>
        </w:rPr>
        <w:t>ن من الإناث: فحوالي 55 في المائة من المرضى العقليين من الإناث. ويكون الفرق الأكبر بين الذكور والإناث في حالات مرض الاكتئاب</w:t>
      </w:r>
      <w:r w:rsidRPr="0027404F">
        <w:rPr>
          <w:vertAlign w:val="superscript"/>
          <w:rtl/>
        </w:rPr>
        <w:t>(</w:t>
      </w:r>
      <w:r w:rsidRPr="0027404F">
        <w:rPr>
          <w:rStyle w:val="FootnoteReference"/>
          <w:szCs w:val="30"/>
          <w:rtl/>
        </w:rPr>
        <w:footnoteReference w:id="229"/>
      </w:r>
      <w:r w:rsidRPr="0027404F">
        <w:rPr>
          <w:vertAlign w:val="superscript"/>
          <w:rtl/>
        </w:rPr>
        <w:t>)</w:t>
      </w:r>
      <w:r w:rsidRPr="00C329B2">
        <w:rPr>
          <w:rFonts w:hint="cs"/>
          <w:rtl/>
          <w:lang w:bidi="ar-EG"/>
        </w:rPr>
        <w:t>.</w:t>
      </w:r>
    </w:p>
    <w:p w:rsidR="009943B2" w:rsidRPr="0027404F" w:rsidRDefault="009943B2" w:rsidP="009943B2">
      <w:pPr>
        <w:pStyle w:val="SingleTxt"/>
        <w:spacing w:after="0" w:line="120" w:lineRule="exact"/>
        <w:rPr>
          <w:rFonts w:hint="cs"/>
          <w:b/>
          <w:bCs/>
          <w:sz w:val="10"/>
          <w:rtl/>
          <w:lang w:bidi="ar-EG"/>
        </w:rPr>
      </w:pPr>
    </w:p>
    <w:p w:rsidR="009943B2" w:rsidRPr="00C329B2" w:rsidRDefault="009943B2" w:rsidP="009943B2">
      <w:pPr>
        <w:pStyle w:val="H1"/>
        <w:keepNext/>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C329B2">
        <w:rPr>
          <w:rFonts w:hint="cs"/>
          <w:rtl/>
          <w:lang w:bidi="ar-EG"/>
        </w:rPr>
        <w:t>المادة 13: الفوائد الاقتصادية والاجتماعية</w:t>
      </w:r>
    </w:p>
    <w:p w:rsidR="009943B2" w:rsidRPr="00C329B2" w:rsidRDefault="009943B2" w:rsidP="009943B2">
      <w:pPr>
        <w:pStyle w:val="SingleTxt"/>
        <w:rPr>
          <w:rFonts w:hint="cs"/>
          <w:rtl/>
          <w:lang w:bidi="ar-EG"/>
        </w:rPr>
      </w:pPr>
      <w:r w:rsidRPr="00C329B2">
        <w:rPr>
          <w:rFonts w:hint="cs"/>
          <w:rtl/>
          <w:lang w:bidi="ar-EG"/>
        </w:rPr>
        <w:t>273</w:t>
      </w:r>
      <w:r>
        <w:rPr>
          <w:rFonts w:hint="cs"/>
          <w:rtl/>
          <w:lang w:bidi="ar-EG"/>
        </w:rPr>
        <w:t xml:space="preserve"> </w:t>
      </w:r>
      <w:r w:rsidRPr="00C329B2">
        <w:rPr>
          <w:rFonts w:hint="cs"/>
          <w:rtl/>
          <w:lang w:bidi="ar-EG"/>
        </w:rPr>
        <w:t>- يُقدَّر أن انتشار الفقر في تيمور - ليشتي قد انخفض بنسبة 9 في المائة، من 49.9</w:t>
      </w:r>
      <w:r>
        <w:rPr>
          <w:rFonts w:hint="eastAsia"/>
          <w:rtl/>
          <w:lang w:bidi="ar-EG"/>
        </w:rPr>
        <w:t> </w:t>
      </w:r>
      <w:r w:rsidRPr="00C329B2">
        <w:rPr>
          <w:rFonts w:hint="cs"/>
          <w:rtl/>
          <w:lang w:bidi="ar-EG"/>
        </w:rPr>
        <w:t>في</w:t>
      </w:r>
      <w:r>
        <w:rPr>
          <w:rFonts w:hint="eastAsia"/>
          <w:rtl/>
          <w:lang w:bidi="ar-EG"/>
        </w:rPr>
        <w:t> </w:t>
      </w:r>
      <w:r w:rsidRPr="00C329B2">
        <w:rPr>
          <w:rFonts w:hint="cs"/>
          <w:rtl/>
          <w:lang w:bidi="ar-EG"/>
        </w:rPr>
        <w:t>المائة في عام 2007 إلى 41 في المائة في عام 2009 وفقا للبنك الدولي</w:t>
      </w:r>
      <w:r w:rsidRPr="0027404F">
        <w:rPr>
          <w:vertAlign w:val="superscript"/>
          <w:rtl/>
        </w:rPr>
        <w:t>(</w:t>
      </w:r>
      <w:r w:rsidRPr="0027404F">
        <w:rPr>
          <w:rStyle w:val="FootnoteReference"/>
          <w:szCs w:val="30"/>
          <w:rtl/>
        </w:rPr>
        <w:footnoteReference w:id="230"/>
      </w:r>
      <w:r w:rsidRPr="0027404F">
        <w:rPr>
          <w:vertAlign w:val="superscript"/>
          <w:rtl/>
        </w:rPr>
        <w:t>)</w:t>
      </w:r>
      <w:r w:rsidRPr="00C329B2">
        <w:rPr>
          <w:rFonts w:hint="cs"/>
          <w:rtl/>
          <w:lang w:bidi="ar-EG"/>
        </w:rPr>
        <w:t>.</w:t>
      </w:r>
      <w:r>
        <w:rPr>
          <w:rFonts w:hint="cs"/>
          <w:rtl/>
          <w:lang w:bidi="ar-EG"/>
        </w:rPr>
        <w:t xml:space="preserve"> </w:t>
      </w:r>
      <w:r w:rsidRPr="00C329B2">
        <w:rPr>
          <w:rFonts w:hint="cs"/>
          <w:rtl/>
          <w:lang w:bidi="ar-EG"/>
        </w:rPr>
        <w:t>وقد بدأت جهود الإسراع من قِبَل الحكومة بدعم من شركاء التنمية. ويتمثل أحد مجالات التركيز الرئيسية في تنمية الاقتصاد غير النفطي، وتحديدا الاقتصاد الريفي الذي يعيل نحو 70</w:t>
      </w:r>
      <w:r>
        <w:rPr>
          <w:rFonts w:hint="eastAsia"/>
          <w:rtl/>
          <w:lang w:bidi="ar-EG"/>
        </w:rPr>
        <w:t> </w:t>
      </w:r>
      <w:r w:rsidRPr="00C329B2">
        <w:rPr>
          <w:rFonts w:hint="cs"/>
          <w:rtl/>
          <w:lang w:bidi="ar-EG"/>
        </w:rPr>
        <w:t>في المائة من سكان البلد. وتواجه النساء وسكان الريف والشباب والأشخاص ذوو</w:t>
      </w:r>
      <w:r>
        <w:rPr>
          <w:rFonts w:hint="eastAsia"/>
          <w:rtl/>
          <w:lang w:bidi="ar-EG"/>
        </w:rPr>
        <w:t> </w:t>
      </w:r>
      <w:r w:rsidRPr="00C329B2">
        <w:rPr>
          <w:rFonts w:hint="cs"/>
          <w:rtl/>
          <w:lang w:bidi="ar-EG"/>
        </w:rPr>
        <w:t>الإعاقة تحديات خاصة في المشاركة الكاملة في التنمية الاقتصادية.</w:t>
      </w:r>
    </w:p>
    <w:p w:rsidR="009943B2" w:rsidRPr="0027404F" w:rsidRDefault="009943B2" w:rsidP="009943B2">
      <w:pPr>
        <w:pStyle w:val="SingleTxt"/>
        <w:rPr>
          <w:rFonts w:hint="cs"/>
          <w:rtl/>
        </w:rPr>
      </w:pPr>
      <w:r w:rsidRPr="00C329B2">
        <w:rPr>
          <w:rFonts w:hint="cs"/>
          <w:rtl/>
          <w:lang w:bidi="ar-EG"/>
        </w:rPr>
        <w:t>274</w:t>
      </w:r>
      <w:r>
        <w:rPr>
          <w:rFonts w:hint="cs"/>
          <w:rtl/>
          <w:lang w:bidi="ar-EG"/>
        </w:rPr>
        <w:t xml:space="preserve"> </w:t>
      </w:r>
      <w:r w:rsidRPr="00C329B2">
        <w:rPr>
          <w:rFonts w:hint="cs"/>
          <w:rtl/>
          <w:lang w:bidi="ar-EG"/>
        </w:rPr>
        <w:t>- وتزيد الحكومة تدريجيا قدرتها على إمداد سكانها بالخدمات الاجتماعية الأساسية، بما في ذلك الضمان الاجتماعي. وتؤكد الخطة الإنمائية الاستراتيجية للفترة 2011-2030 مجددا الالتزام بتخفيف الفقر المدقع وبناء القدرات البشرية وتوفير الخدمات الاجتماعية</w:t>
      </w:r>
      <w:r>
        <w:rPr>
          <w:rFonts w:hint="eastAsia"/>
          <w:rtl/>
          <w:lang w:bidi="ar-EG"/>
        </w:rPr>
        <w:t> </w:t>
      </w:r>
      <w:r w:rsidRPr="00C329B2">
        <w:rPr>
          <w:rFonts w:hint="cs"/>
          <w:rtl/>
          <w:lang w:bidi="ar-EG"/>
        </w:rPr>
        <w:t>الأساسية</w:t>
      </w:r>
      <w:r w:rsidRPr="0027404F">
        <w:rPr>
          <w:vertAlign w:val="superscript"/>
          <w:rtl/>
          <w:lang w:bidi="ar-EG"/>
        </w:rPr>
        <w:t>(</w:t>
      </w:r>
      <w:r w:rsidRPr="0027404F">
        <w:rPr>
          <w:rStyle w:val="FootnoteReference"/>
          <w:szCs w:val="30"/>
          <w:rtl/>
        </w:rPr>
        <w:footnoteReference w:id="231"/>
      </w:r>
      <w:r w:rsidRPr="0027404F">
        <w:rPr>
          <w:vertAlign w:val="superscript"/>
          <w:rtl/>
          <w:lang w:bidi="ar-EG"/>
        </w:rPr>
        <w:t>)</w:t>
      </w:r>
      <w:r w:rsidRPr="00C329B2">
        <w:rPr>
          <w:rFonts w:hint="cs"/>
          <w:rtl/>
          <w:lang w:bidi="ar-EG"/>
        </w:rPr>
        <w:t>.</w:t>
      </w:r>
    </w:p>
    <w:p w:rsidR="009943B2" w:rsidRPr="0027404F" w:rsidRDefault="009943B2" w:rsidP="009943B2">
      <w:pPr>
        <w:pStyle w:val="SingleTxt"/>
        <w:spacing w:after="0" w:line="120" w:lineRule="exact"/>
        <w:rPr>
          <w:rFonts w:hint="cs"/>
          <w:b/>
          <w:bCs/>
          <w:sz w:val="10"/>
          <w:rtl/>
          <w:lang w:bidi="ar-EG"/>
        </w:rPr>
      </w:pPr>
    </w:p>
    <w:p w:rsidR="009943B2" w:rsidRPr="00C329B2" w:rsidRDefault="009943B2" w:rsidP="009943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C329B2">
        <w:rPr>
          <w:rFonts w:hint="cs"/>
          <w:rtl/>
          <w:lang w:bidi="ar-EG"/>
        </w:rPr>
        <w:t>الحماية الاجتماعية للفئات الضعيفة</w:t>
      </w:r>
    </w:p>
    <w:p w:rsidR="009943B2" w:rsidRPr="00C329B2" w:rsidRDefault="009943B2" w:rsidP="009943B2">
      <w:pPr>
        <w:pStyle w:val="SingleTxt"/>
        <w:rPr>
          <w:rFonts w:hint="cs"/>
          <w:rtl/>
          <w:lang w:bidi="ar-EG"/>
        </w:rPr>
      </w:pPr>
      <w:r w:rsidRPr="00C329B2">
        <w:rPr>
          <w:rFonts w:hint="cs"/>
          <w:rtl/>
          <w:lang w:bidi="ar-EG"/>
        </w:rPr>
        <w:t>275</w:t>
      </w:r>
      <w:r>
        <w:rPr>
          <w:rFonts w:hint="cs"/>
          <w:rtl/>
          <w:lang w:bidi="ar-EG"/>
        </w:rPr>
        <w:t xml:space="preserve"> </w:t>
      </w:r>
      <w:r w:rsidRPr="00C329B2">
        <w:rPr>
          <w:rFonts w:hint="cs"/>
          <w:rtl/>
          <w:lang w:bidi="ar-EG"/>
        </w:rPr>
        <w:t>- اعتمدت الحكومة المرسوم بقانون رقم 19/2008 بشأن دعم كبار السن والأشخاص ذوي الإعاقة، الذي نفذته الإدارة الوطنية للضمان الاجتماعي في إطار وزارة التضامن الاجتماعي.</w:t>
      </w:r>
    </w:p>
    <w:p w:rsidR="009943B2" w:rsidRPr="0027404F" w:rsidRDefault="009943B2" w:rsidP="009943B2">
      <w:pPr>
        <w:pStyle w:val="SingleTxt"/>
        <w:spacing w:after="0" w:line="120" w:lineRule="exact"/>
        <w:rPr>
          <w:sz w:val="10"/>
          <w:u w:val="single"/>
          <w:rtl/>
          <w:lang w:bidi="ar-EG"/>
        </w:rPr>
      </w:pPr>
    </w:p>
    <w:p w:rsidR="009943B2" w:rsidRPr="0027404F"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27404F">
        <w:rPr>
          <w:rtl/>
          <w:lang w:bidi="ar-EG"/>
        </w:rPr>
        <w:t>الرعاية لكبار السن</w:t>
      </w:r>
    </w:p>
    <w:p w:rsidR="009943B2" w:rsidRPr="00E5179B" w:rsidRDefault="009943B2" w:rsidP="009943B2">
      <w:pPr>
        <w:pStyle w:val="SingleTxt"/>
        <w:rPr>
          <w:rFonts w:hint="cs"/>
          <w:rtl/>
        </w:rPr>
      </w:pPr>
      <w:r w:rsidRPr="00C329B2">
        <w:rPr>
          <w:rFonts w:hint="cs"/>
          <w:rtl/>
          <w:lang w:bidi="ar-EG"/>
        </w:rPr>
        <w:t>276</w:t>
      </w:r>
      <w:r>
        <w:rPr>
          <w:rFonts w:hint="cs"/>
          <w:rtl/>
          <w:lang w:bidi="ar-EG"/>
        </w:rPr>
        <w:t xml:space="preserve"> </w:t>
      </w:r>
      <w:r w:rsidRPr="00C329B2">
        <w:rPr>
          <w:rFonts w:hint="cs"/>
          <w:rtl/>
          <w:lang w:bidi="ar-EG"/>
        </w:rPr>
        <w:t>- حدَّد تعداد عام 2010 عدد الأشخاص البالغ عمرهم 60 عاما أو أكثر في تيمور</w:t>
      </w:r>
      <w:r>
        <w:rPr>
          <w:rFonts w:hint="eastAsia"/>
          <w:rtl/>
          <w:lang w:bidi="ar-EG"/>
        </w:rPr>
        <w:t> </w:t>
      </w:r>
      <w:r>
        <w:rPr>
          <w:rtl/>
          <w:lang w:bidi="ar-EG"/>
        </w:rPr>
        <w:t>-</w:t>
      </w:r>
      <w:r w:rsidRPr="00C329B2">
        <w:rPr>
          <w:rFonts w:hint="cs"/>
          <w:rtl/>
          <w:lang w:bidi="ar-EG"/>
        </w:rPr>
        <w:t xml:space="preserve"> ليشتي بأنهم 500 87 شخص، أكثر من نصفهم بقليل، أي 000 45، من النساء</w:t>
      </w:r>
      <w:r w:rsidRPr="0027404F">
        <w:rPr>
          <w:vertAlign w:val="superscript"/>
          <w:rtl/>
        </w:rPr>
        <w:t>(</w:t>
      </w:r>
      <w:r w:rsidRPr="0027404F">
        <w:rPr>
          <w:rStyle w:val="FootnoteReference"/>
          <w:szCs w:val="30"/>
          <w:rtl/>
        </w:rPr>
        <w:footnoteReference w:id="232"/>
      </w:r>
      <w:r w:rsidRPr="0027404F">
        <w:rPr>
          <w:vertAlign w:val="superscript"/>
          <w:rtl/>
        </w:rPr>
        <w:t>)</w:t>
      </w:r>
      <w:r w:rsidRPr="00C329B2">
        <w:rPr>
          <w:rFonts w:hint="cs"/>
          <w:rtl/>
          <w:lang w:bidi="ar-EG"/>
        </w:rPr>
        <w:t xml:space="preserve">. ووفقا لوزارة التضامن الاجتماعي، استفاد نحو 000 85 شخص من </w:t>
      </w:r>
      <w:r w:rsidRPr="00C329B2">
        <w:rPr>
          <w:rtl/>
          <w:lang w:bidi="ar-EG"/>
        </w:rPr>
        <w:t>المعاش التقاعدي لكبار السن</w:t>
      </w:r>
      <w:r w:rsidRPr="00C329B2">
        <w:rPr>
          <w:rFonts w:hint="cs"/>
          <w:rtl/>
          <w:lang w:bidi="ar-EG"/>
        </w:rPr>
        <w:t xml:space="preserve"> في عام 2011، من بينهم نحو 000 45 امرأة. ولذا، فإن جميع كبار السن الذين حددهم التعداد تقريبا، من نساء ورجال، قد استفادوا من معاشات</w:t>
      </w:r>
      <w:r>
        <w:rPr>
          <w:rFonts w:hint="eastAsia"/>
          <w:rtl/>
          <w:lang w:bidi="ar-EG"/>
        </w:rPr>
        <w:t> </w:t>
      </w:r>
      <w:r w:rsidRPr="00C329B2">
        <w:rPr>
          <w:rFonts w:hint="cs"/>
          <w:rtl/>
          <w:lang w:bidi="ar-EG"/>
        </w:rPr>
        <w:t>التقاعد</w:t>
      </w:r>
      <w:r w:rsidRPr="00E5179B">
        <w:rPr>
          <w:vertAlign w:val="superscript"/>
          <w:rtl/>
          <w:lang w:bidi="ar-EG"/>
        </w:rPr>
        <w:t>(</w:t>
      </w:r>
      <w:r w:rsidRPr="00E5179B">
        <w:rPr>
          <w:rStyle w:val="FootnoteReference"/>
          <w:szCs w:val="30"/>
          <w:rtl/>
        </w:rPr>
        <w:footnoteReference w:id="233"/>
      </w:r>
      <w:r w:rsidRPr="00E5179B">
        <w:rPr>
          <w:vertAlign w:val="superscript"/>
          <w:rtl/>
          <w:lang w:bidi="ar-EG"/>
        </w:rPr>
        <w:t>)</w:t>
      </w:r>
      <w:r w:rsidRPr="00C329B2">
        <w:rPr>
          <w:rFonts w:hint="cs"/>
          <w:rtl/>
          <w:lang w:bidi="ar-EG"/>
        </w:rPr>
        <w:t>.</w:t>
      </w:r>
    </w:p>
    <w:p w:rsidR="009943B2" w:rsidRPr="00E5179B" w:rsidRDefault="009943B2" w:rsidP="009943B2">
      <w:pPr>
        <w:pStyle w:val="SingleTxt"/>
        <w:rPr>
          <w:rFonts w:hint="cs"/>
          <w:rtl/>
        </w:rPr>
      </w:pPr>
      <w:r w:rsidRPr="00C329B2">
        <w:rPr>
          <w:rFonts w:hint="cs"/>
          <w:rtl/>
          <w:lang w:bidi="ar-EG"/>
        </w:rPr>
        <w:t>277</w:t>
      </w:r>
      <w:r>
        <w:rPr>
          <w:rFonts w:hint="cs"/>
          <w:rtl/>
          <w:lang w:bidi="ar-EG"/>
        </w:rPr>
        <w:t xml:space="preserve"> </w:t>
      </w:r>
      <w:r w:rsidRPr="00C329B2">
        <w:rPr>
          <w:rFonts w:hint="cs"/>
          <w:rtl/>
          <w:lang w:bidi="ar-EG"/>
        </w:rPr>
        <w:t xml:space="preserve">- ولا يسكن سوى 11 في المائة من المستفيدين في </w:t>
      </w:r>
      <w:r w:rsidRPr="00C329B2">
        <w:rPr>
          <w:rtl/>
          <w:lang w:bidi="ar-EG"/>
        </w:rPr>
        <w:t>با</w:t>
      </w:r>
      <w:r w:rsidRPr="00C329B2">
        <w:rPr>
          <w:rFonts w:hint="cs"/>
          <w:rtl/>
          <w:lang w:bidi="ar-EG"/>
        </w:rPr>
        <w:t>و</w:t>
      </w:r>
      <w:r w:rsidRPr="00C329B2">
        <w:rPr>
          <w:rtl/>
          <w:lang w:bidi="ar-EG"/>
        </w:rPr>
        <w:t>كاو وديلي</w:t>
      </w:r>
      <w:r w:rsidRPr="00C329B2">
        <w:rPr>
          <w:rFonts w:hint="cs"/>
          <w:rtl/>
          <w:lang w:bidi="ar-EG"/>
        </w:rPr>
        <w:t>، المقاطعتين الأكثر حضرية في البلد، وتضمان 23 في المائة من كبار السن (60 عاما أو أكثر). ويشير ذلك إلى أن كبار السن الريفيين هم الذين يستفيدون أساسا من هذا المعاش التقاعدي. ويؤدي اعتماد عملية تسجيل شاملة تشارك فيها وزارة إدارة شؤون الدولة، والمديرية الوطنية للإحصاءات، و</w:t>
      </w:r>
      <w:r w:rsidRPr="00C329B2">
        <w:rPr>
          <w:rtl/>
          <w:lang w:bidi="ar-EG"/>
        </w:rPr>
        <w:t>الأمانة التقنية لإدارة الانتخابات</w:t>
      </w:r>
      <w:r w:rsidRPr="00C329B2">
        <w:rPr>
          <w:rFonts w:hint="cs"/>
          <w:rtl/>
          <w:lang w:bidi="ar-EG"/>
        </w:rPr>
        <w:t>، في 13 مقاطعة في البلد إلى تجنب أخطاء الاستبعاد والتكرار في تقديم الحماية الاجتماعية</w:t>
      </w:r>
      <w:r w:rsidRPr="00E5179B">
        <w:rPr>
          <w:vertAlign w:val="superscript"/>
          <w:rtl/>
        </w:rPr>
        <w:t>(</w:t>
      </w:r>
      <w:r w:rsidRPr="00E5179B">
        <w:rPr>
          <w:rStyle w:val="FootnoteReference"/>
          <w:szCs w:val="30"/>
          <w:rtl/>
        </w:rPr>
        <w:footnoteReference w:id="234"/>
      </w:r>
      <w:r w:rsidRPr="00E5179B">
        <w:rPr>
          <w:vertAlign w:val="superscript"/>
          <w:rtl/>
        </w:rPr>
        <w:t>)</w:t>
      </w:r>
      <w:r w:rsidRPr="00C329B2">
        <w:rPr>
          <w:rFonts w:hint="cs"/>
          <w:rtl/>
          <w:lang w:bidi="ar-EG"/>
        </w:rPr>
        <w:t>.</w:t>
      </w:r>
    </w:p>
    <w:p w:rsidR="009943B2" w:rsidRPr="0027404F" w:rsidRDefault="009943B2" w:rsidP="009943B2">
      <w:pPr>
        <w:pStyle w:val="SingleTxt"/>
        <w:spacing w:after="0" w:line="120" w:lineRule="exact"/>
        <w:rPr>
          <w:sz w:val="10"/>
          <w:u w:val="single"/>
          <w:rtl/>
          <w:lang w:bidi="ar-EG"/>
        </w:rPr>
      </w:pPr>
    </w:p>
    <w:p w:rsidR="009943B2" w:rsidRPr="0027404F"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27404F">
        <w:rPr>
          <w:rtl/>
          <w:lang w:bidi="ar-EG"/>
        </w:rPr>
        <w:t xml:space="preserve">الرعاية </w:t>
      </w:r>
      <w:r w:rsidRPr="0027404F">
        <w:rPr>
          <w:rFonts w:hint="cs"/>
          <w:rtl/>
          <w:lang w:bidi="ar-EG"/>
        </w:rPr>
        <w:t>للأشخاص ذوي الإعاقة</w:t>
      </w:r>
    </w:p>
    <w:p w:rsidR="009943B2" w:rsidRPr="00C329B2" w:rsidRDefault="009943B2" w:rsidP="009943B2">
      <w:pPr>
        <w:pStyle w:val="SingleTxt"/>
        <w:rPr>
          <w:rFonts w:hint="cs"/>
          <w:rtl/>
          <w:lang w:bidi="ar-EG"/>
        </w:rPr>
      </w:pPr>
      <w:r w:rsidRPr="00C329B2">
        <w:rPr>
          <w:rFonts w:hint="cs"/>
          <w:rtl/>
          <w:lang w:bidi="ar-EG"/>
        </w:rPr>
        <w:t>278</w:t>
      </w:r>
      <w:r>
        <w:rPr>
          <w:rFonts w:hint="cs"/>
          <w:rtl/>
          <w:lang w:bidi="ar-EG"/>
        </w:rPr>
        <w:t xml:space="preserve"> </w:t>
      </w:r>
      <w:r w:rsidRPr="00C329B2">
        <w:rPr>
          <w:rFonts w:hint="cs"/>
          <w:rtl/>
          <w:lang w:bidi="ar-EG"/>
        </w:rPr>
        <w:t>- وفقا لتعداد عام 2010، يوجد 243 48 شخصا من ذوي الإعاقة يمثلون نحو 4.5 في المائة من مجموع السكان. ومن بين هؤلاء، يوجد نحو 27.5 في المائة من ذوي</w:t>
      </w:r>
      <w:r>
        <w:rPr>
          <w:rFonts w:hint="eastAsia"/>
          <w:rtl/>
          <w:lang w:bidi="ar-EG"/>
        </w:rPr>
        <w:t> </w:t>
      </w:r>
      <w:r w:rsidRPr="00C329B2">
        <w:rPr>
          <w:rFonts w:hint="cs"/>
          <w:rtl/>
          <w:lang w:bidi="ar-EG"/>
        </w:rPr>
        <w:t>الإعاقة العقلية، و</w:t>
      </w:r>
      <w:r>
        <w:rPr>
          <w:rFonts w:hint="cs"/>
          <w:rtl/>
          <w:lang w:bidi="ar-EG"/>
        </w:rPr>
        <w:t xml:space="preserve"> </w:t>
      </w:r>
      <w:r w:rsidRPr="00C329B2">
        <w:rPr>
          <w:rFonts w:hint="cs"/>
          <w:rtl/>
          <w:lang w:bidi="ar-EG"/>
        </w:rPr>
        <w:t>61 في المائة من ذوي الإعاقة البصرية، و</w:t>
      </w:r>
      <w:r>
        <w:rPr>
          <w:rFonts w:hint="cs"/>
          <w:rtl/>
          <w:lang w:bidi="ar-EG"/>
        </w:rPr>
        <w:t xml:space="preserve"> </w:t>
      </w:r>
      <w:r w:rsidRPr="00C329B2">
        <w:rPr>
          <w:rFonts w:hint="cs"/>
          <w:rtl/>
          <w:lang w:bidi="ar-EG"/>
        </w:rPr>
        <w:t>42.5 في المائة من ذوي الإعاقة الحركية، و</w:t>
      </w:r>
      <w:r>
        <w:rPr>
          <w:rFonts w:hint="cs"/>
          <w:rtl/>
          <w:lang w:bidi="ar-EG"/>
        </w:rPr>
        <w:t xml:space="preserve"> </w:t>
      </w:r>
      <w:r w:rsidRPr="00C329B2">
        <w:rPr>
          <w:rFonts w:hint="cs"/>
          <w:rtl/>
          <w:lang w:bidi="ar-EG"/>
        </w:rPr>
        <w:t>36 في المائة ممن لديهم مشكلة في السمع (الشخص الواحد قد يعاني من عدة إعاقات)</w:t>
      </w:r>
      <w:r w:rsidRPr="00E5179B">
        <w:rPr>
          <w:vertAlign w:val="superscript"/>
          <w:rtl/>
        </w:rPr>
        <w:t>(</w:t>
      </w:r>
      <w:r w:rsidRPr="00E5179B">
        <w:rPr>
          <w:rStyle w:val="FootnoteReference"/>
          <w:szCs w:val="30"/>
          <w:rtl/>
        </w:rPr>
        <w:footnoteReference w:id="235"/>
      </w:r>
      <w:r w:rsidRPr="00E5179B">
        <w:rPr>
          <w:vertAlign w:val="superscript"/>
          <w:rtl/>
        </w:rPr>
        <w:t>)</w:t>
      </w:r>
      <w:r w:rsidRPr="00C329B2">
        <w:rPr>
          <w:rFonts w:hint="cs"/>
          <w:rtl/>
          <w:lang w:bidi="ar-EG"/>
        </w:rPr>
        <w:t xml:space="preserve">. </w:t>
      </w:r>
    </w:p>
    <w:p w:rsidR="009943B2" w:rsidRPr="00C329B2" w:rsidRDefault="009943B2" w:rsidP="009943B2">
      <w:pPr>
        <w:pStyle w:val="SingleTxt"/>
        <w:rPr>
          <w:rFonts w:hint="cs"/>
          <w:rtl/>
          <w:lang w:bidi="ar-EG"/>
        </w:rPr>
      </w:pPr>
      <w:r w:rsidRPr="00C329B2">
        <w:rPr>
          <w:rFonts w:hint="cs"/>
          <w:rtl/>
          <w:lang w:bidi="ar-EG"/>
        </w:rPr>
        <w:t>279</w:t>
      </w:r>
      <w:r>
        <w:rPr>
          <w:rFonts w:hint="cs"/>
          <w:rtl/>
          <w:lang w:bidi="ar-EG"/>
        </w:rPr>
        <w:t xml:space="preserve"> </w:t>
      </w:r>
      <w:r w:rsidRPr="00C329B2">
        <w:rPr>
          <w:rFonts w:hint="cs"/>
          <w:rtl/>
          <w:lang w:bidi="ar-EG"/>
        </w:rPr>
        <w:t>- وقدمت وزارة التضامن الاجتماعي في عام 2011 المساعدة لنحو 800 4 شخص من ذوي الإعاقة (نحو 44 في المائة منهم من النساء)، من خلال برنامج منح. ولكن في ضوء الإحصاءات أعلاه، فإن الحكومة غير قادرة على تقديم المساعدة إلا لحوالي 10 في المائة من الأشخاص ذوي الإعاقة في البلد</w:t>
      </w:r>
      <w:r w:rsidRPr="00E5179B">
        <w:rPr>
          <w:vertAlign w:val="superscript"/>
          <w:rtl/>
          <w:lang w:bidi="ar-EG"/>
        </w:rPr>
        <w:t>(</w:t>
      </w:r>
      <w:r w:rsidRPr="00E5179B">
        <w:rPr>
          <w:rStyle w:val="FootnoteReference"/>
          <w:szCs w:val="30"/>
          <w:rtl/>
        </w:rPr>
        <w:footnoteReference w:id="236"/>
      </w:r>
      <w:r w:rsidRPr="00E5179B">
        <w:rPr>
          <w:vertAlign w:val="superscript"/>
          <w:rtl/>
          <w:lang w:bidi="ar-EG"/>
        </w:rPr>
        <w:t>)</w:t>
      </w:r>
      <w:r w:rsidRPr="00C329B2">
        <w:rPr>
          <w:rFonts w:hint="cs"/>
          <w:rtl/>
          <w:lang w:bidi="ar-EG"/>
        </w:rPr>
        <w:t>.</w:t>
      </w:r>
    </w:p>
    <w:p w:rsidR="009943B2" w:rsidRPr="0027404F" w:rsidRDefault="009943B2" w:rsidP="009943B2">
      <w:pPr>
        <w:pStyle w:val="SingleTxt"/>
        <w:spacing w:after="0" w:line="120" w:lineRule="exact"/>
        <w:rPr>
          <w:rFonts w:hint="cs"/>
          <w:sz w:val="10"/>
          <w:u w:val="single"/>
          <w:rtl/>
          <w:lang w:bidi="ar-EG"/>
        </w:rPr>
      </w:pPr>
    </w:p>
    <w:p w:rsidR="009943B2" w:rsidRPr="0027404F"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27404F">
        <w:rPr>
          <w:rFonts w:hint="cs"/>
          <w:rtl/>
          <w:lang w:bidi="ar-EG"/>
        </w:rPr>
        <w:t>الضمان الاجتماعي والدخول التقاعدية</w:t>
      </w:r>
    </w:p>
    <w:p w:rsidR="009943B2" w:rsidRPr="00E5179B" w:rsidRDefault="009943B2" w:rsidP="009943B2">
      <w:pPr>
        <w:pStyle w:val="SingleTxt"/>
        <w:rPr>
          <w:rFonts w:hint="cs"/>
          <w:rtl/>
        </w:rPr>
      </w:pPr>
      <w:r w:rsidRPr="00C329B2">
        <w:rPr>
          <w:rFonts w:hint="cs"/>
          <w:rtl/>
          <w:lang w:bidi="ar-EG"/>
        </w:rPr>
        <w:t>280</w:t>
      </w:r>
      <w:r>
        <w:rPr>
          <w:rFonts w:hint="cs"/>
          <w:rtl/>
          <w:lang w:bidi="ar-EG"/>
        </w:rPr>
        <w:t xml:space="preserve"> </w:t>
      </w:r>
      <w:r w:rsidRPr="00C329B2">
        <w:rPr>
          <w:rFonts w:hint="cs"/>
          <w:rtl/>
          <w:lang w:bidi="ar-EG"/>
        </w:rPr>
        <w:t xml:space="preserve">- يلتزم برنامج الحكومة الدستورية الخامسة بمواءمة النظام الانتقالي الراهن للضمان الاجتماعي بحيث يصير نظاما دائما يكفل الاحتياجات الأساسية في مجال الضمان الاجتماعي للموظفين وأفراد أسرهم المعالين. وسوف يتم توسيع هذا النظام لكي يصبح نظام اشتراكات شامل للضمان الاجتماعي، بما يكفل حصول جميع العاملين وأفراد أسرهم المعالين </w:t>
      </w:r>
      <w:r>
        <w:rPr>
          <w:rtl/>
          <w:lang w:bidi="ar-EG"/>
        </w:rPr>
        <w:t>-</w:t>
      </w:r>
      <w:r w:rsidRPr="00C329B2">
        <w:rPr>
          <w:rFonts w:hint="cs"/>
          <w:rtl/>
          <w:lang w:bidi="ar-EG"/>
        </w:rPr>
        <w:t xml:space="preserve"> في القطاعين العام والخاص </w:t>
      </w:r>
      <w:r>
        <w:rPr>
          <w:rtl/>
          <w:lang w:bidi="ar-EG"/>
        </w:rPr>
        <w:t>-</w:t>
      </w:r>
      <w:r w:rsidRPr="00C329B2">
        <w:rPr>
          <w:rFonts w:hint="cs"/>
          <w:rtl/>
          <w:lang w:bidi="ar-EG"/>
        </w:rPr>
        <w:t xml:space="preserve"> على معاش تقاعد في حالة التقاعد أو الإعاقة أو الوفاة</w:t>
      </w:r>
      <w:r w:rsidRPr="00E5179B">
        <w:rPr>
          <w:vertAlign w:val="superscript"/>
          <w:rtl/>
        </w:rPr>
        <w:t>(</w:t>
      </w:r>
      <w:r w:rsidRPr="00E5179B">
        <w:rPr>
          <w:rStyle w:val="FootnoteReference"/>
          <w:szCs w:val="30"/>
          <w:rtl/>
        </w:rPr>
        <w:footnoteReference w:id="237"/>
      </w:r>
      <w:r w:rsidRPr="00E5179B">
        <w:rPr>
          <w:vertAlign w:val="superscript"/>
          <w:rtl/>
        </w:rPr>
        <w:t>)</w:t>
      </w:r>
      <w:r w:rsidRPr="00C329B2">
        <w:rPr>
          <w:rFonts w:hint="cs"/>
          <w:rtl/>
          <w:lang w:bidi="ar-EG"/>
        </w:rPr>
        <w:t>.</w:t>
      </w:r>
    </w:p>
    <w:p w:rsidR="009943B2" w:rsidRPr="0027404F" w:rsidRDefault="009943B2" w:rsidP="009943B2">
      <w:pPr>
        <w:pStyle w:val="SingleTxt"/>
        <w:spacing w:after="0" w:line="120" w:lineRule="exact"/>
        <w:rPr>
          <w:rFonts w:hint="cs"/>
          <w:b/>
          <w:bCs/>
          <w:sz w:val="10"/>
          <w:rtl/>
          <w:lang w:bidi="ar-EG"/>
        </w:rPr>
      </w:pPr>
    </w:p>
    <w:p w:rsidR="009943B2" w:rsidRPr="00C329B2" w:rsidRDefault="009943B2" w:rsidP="009943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C329B2">
        <w:rPr>
          <w:rFonts w:hint="cs"/>
          <w:rtl/>
          <w:lang w:bidi="ar-EG"/>
        </w:rPr>
        <w:t>برامج التحويلات النقدية</w:t>
      </w:r>
    </w:p>
    <w:p w:rsidR="009943B2" w:rsidRPr="0027404F"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27404F">
        <w:rPr>
          <w:rtl/>
          <w:lang w:bidi="ar-EG"/>
        </w:rPr>
        <w:t xml:space="preserve">الرعاية </w:t>
      </w:r>
      <w:r w:rsidRPr="0027404F">
        <w:rPr>
          <w:rFonts w:hint="cs"/>
          <w:rtl/>
          <w:lang w:bidi="ar-EG"/>
        </w:rPr>
        <w:t>ل</w:t>
      </w:r>
      <w:r w:rsidRPr="0027404F">
        <w:rPr>
          <w:rtl/>
          <w:lang w:bidi="ar-EG"/>
        </w:rPr>
        <w:t xml:space="preserve">لأسر المعيشية التي </w:t>
      </w:r>
      <w:r w:rsidRPr="0027404F">
        <w:rPr>
          <w:rFonts w:hint="cs"/>
          <w:rtl/>
          <w:lang w:bidi="ar-EG"/>
        </w:rPr>
        <w:t>تعيلها</w:t>
      </w:r>
      <w:r w:rsidRPr="0027404F">
        <w:rPr>
          <w:rtl/>
          <w:lang w:bidi="ar-EG"/>
        </w:rPr>
        <w:t xml:space="preserve"> نساء</w:t>
      </w:r>
    </w:p>
    <w:p w:rsidR="009943B2" w:rsidRPr="00C329B2" w:rsidRDefault="009943B2" w:rsidP="009943B2">
      <w:pPr>
        <w:pStyle w:val="SingleTxt"/>
        <w:rPr>
          <w:rFonts w:hint="cs"/>
          <w:rtl/>
          <w:lang w:bidi="ar-EG"/>
        </w:rPr>
      </w:pPr>
      <w:r w:rsidRPr="00C329B2">
        <w:rPr>
          <w:rFonts w:hint="cs"/>
          <w:rtl/>
          <w:lang w:bidi="ar-EG"/>
        </w:rPr>
        <w:t>281</w:t>
      </w:r>
      <w:r>
        <w:rPr>
          <w:rFonts w:hint="cs"/>
          <w:rtl/>
          <w:lang w:bidi="ar-EG"/>
        </w:rPr>
        <w:t xml:space="preserve"> </w:t>
      </w:r>
      <w:r w:rsidRPr="00C329B2">
        <w:rPr>
          <w:rFonts w:hint="cs"/>
          <w:rtl/>
          <w:lang w:bidi="ar-EG"/>
        </w:rPr>
        <w:t>- بدأ أول برنامج</w:t>
      </w:r>
      <w:r w:rsidRPr="00C329B2">
        <w:rPr>
          <w:rtl/>
          <w:lang w:bidi="ar-EG"/>
        </w:rPr>
        <w:t xml:space="preserve"> </w:t>
      </w:r>
      <w:r w:rsidRPr="00C329B2">
        <w:rPr>
          <w:rFonts w:hint="cs"/>
          <w:rtl/>
          <w:lang w:bidi="ar-EG"/>
        </w:rPr>
        <w:t>ل</w:t>
      </w:r>
      <w:r w:rsidRPr="00C329B2">
        <w:rPr>
          <w:rtl/>
          <w:lang w:bidi="ar-EG"/>
        </w:rPr>
        <w:t>لتحويل النقدي المشروط</w:t>
      </w:r>
      <w:r w:rsidRPr="00C329B2">
        <w:rPr>
          <w:rFonts w:hint="cs"/>
          <w:rtl/>
          <w:lang w:bidi="ar-EG"/>
        </w:rPr>
        <w:t xml:space="preserve"> في تيمور </w:t>
      </w:r>
      <w:r>
        <w:rPr>
          <w:rtl/>
          <w:lang w:bidi="ar-EG"/>
        </w:rPr>
        <w:t>-</w:t>
      </w:r>
      <w:r w:rsidRPr="00C329B2">
        <w:rPr>
          <w:rFonts w:hint="cs"/>
          <w:rtl/>
          <w:lang w:bidi="ar-EG"/>
        </w:rPr>
        <w:t xml:space="preserve"> ليشتي، المعروف باسم </w:t>
      </w:r>
      <w:r>
        <w:rPr>
          <w:rFonts w:hint="eastAsia"/>
          <w:rtl/>
          <w:lang w:bidi="ar-EG"/>
        </w:rPr>
        <w:t>”</w:t>
      </w:r>
      <w:r w:rsidRPr="00C329B2">
        <w:rPr>
          <w:rtl/>
          <w:lang w:bidi="ar-EG"/>
        </w:rPr>
        <w:t>محفظة الأم</w:t>
      </w:r>
      <w:r>
        <w:rPr>
          <w:rFonts w:hint="eastAsia"/>
          <w:rtl/>
          <w:lang w:bidi="ar-EG"/>
        </w:rPr>
        <w:t>“</w:t>
      </w:r>
      <w:r w:rsidRPr="00C329B2">
        <w:rPr>
          <w:rtl/>
          <w:lang w:bidi="ar-EG"/>
        </w:rPr>
        <w:t xml:space="preserve"> (</w:t>
      </w:r>
      <w:r w:rsidRPr="00C329B2">
        <w:t>Bolsa da Mãe</w:t>
      </w:r>
      <w:r w:rsidRPr="00C329B2">
        <w:rPr>
          <w:rtl/>
          <w:lang w:bidi="ar-EG"/>
        </w:rPr>
        <w:t>)</w:t>
      </w:r>
      <w:r w:rsidRPr="00C329B2">
        <w:rPr>
          <w:rFonts w:hint="cs"/>
          <w:rtl/>
          <w:lang w:bidi="ar-EG"/>
        </w:rPr>
        <w:t xml:space="preserve"> في أوائل عام 2008، وكان مصمما بحيث يعالج الصلة بين </w:t>
      </w:r>
      <w:r w:rsidRPr="00C329B2">
        <w:rPr>
          <w:rtl/>
          <w:lang w:bidi="ar-EG"/>
        </w:rPr>
        <w:t>الأسر المعيشية الضعيفة التي تع</w:t>
      </w:r>
      <w:r w:rsidRPr="00C329B2">
        <w:rPr>
          <w:rFonts w:hint="cs"/>
          <w:rtl/>
          <w:lang w:bidi="ar-EG"/>
        </w:rPr>
        <w:t>ي</w:t>
      </w:r>
      <w:r w:rsidRPr="00C329B2">
        <w:rPr>
          <w:rtl/>
          <w:lang w:bidi="ar-EG"/>
        </w:rPr>
        <w:t>لها إناث</w:t>
      </w:r>
      <w:r w:rsidRPr="00C329B2">
        <w:rPr>
          <w:rFonts w:hint="cs"/>
          <w:rtl/>
          <w:lang w:bidi="ar-EG"/>
        </w:rPr>
        <w:t xml:space="preserve"> من جهة وافتقار أطفالها إلى التحصيل التعليمي من جهة أخرى، وذلك كجزء من </w:t>
      </w:r>
      <w:r>
        <w:rPr>
          <w:rFonts w:hint="eastAsia"/>
          <w:rtl/>
          <w:lang w:bidi="ar-EG"/>
        </w:rPr>
        <w:t>”</w:t>
      </w:r>
      <w:r w:rsidRPr="00C329B2">
        <w:rPr>
          <w:rFonts w:hint="cs"/>
          <w:rtl/>
          <w:lang w:bidi="ar-EG"/>
        </w:rPr>
        <w:t>سياسة العمل الاجتماعي</w:t>
      </w:r>
      <w:r>
        <w:rPr>
          <w:rFonts w:hint="eastAsia"/>
          <w:rtl/>
          <w:lang w:bidi="ar-EG"/>
        </w:rPr>
        <w:t>“</w:t>
      </w:r>
      <w:r w:rsidRPr="00C329B2">
        <w:rPr>
          <w:rFonts w:hint="cs"/>
          <w:rtl/>
          <w:lang w:bidi="ar-EG"/>
        </w:rPr>
        <w:t>. وفي عام 2008، تمت تجربة البرنامج في جميع المقاطعات الفرعية الخمس والستين، وصولا إلى 051 7 من النساء اللاتي يعلن أسرا معيشية واليتامى. وتنطبق الحصص على جميع مستويات الدراسة من المدارس الابتدائية إلى الجامعات، حيث تتراوح المدفوعات بين 40 و</w:t>
      </w:r>
      <w:r>
        <w:rPr>
          <w:rFonts w:hint="cs"/>
          <w:rtl/>
          <w:lang w:bidi="ar-EG"/>
        </w:rPr>
        <w:t xml:space="preserve"> </w:t>
      </w:r>
      <w:r w:rsidRPr="00C329B2">
        <w:rPr>
          <w:rFonts w:hint="cs"/>
          <w:rtl/>
          <w:lang w:bidi="ar-EG"/>
        </w:rPr>
        <w:t>360 دولارا من دولارات الولايات المتحدة سنويا. وجرى تحديد أغلب الأسر المعيشية الضعيفة بأنها أسر تعيلها نساء (كان 90 في المائة من معيلي الأسر المعيشية من النساء في الفترة 2011/2012).</w:t>
      </w:r>
    </w:p>
    <w:p w:rsidR="009943B2" w:rsidRPr="00C329B2" w:rsidRDefault="009943B2" w:rsidP="009943B2">
      <w:pPr>
        <w:pStyle w:val="SingleTxt"/>
        <w:rPr>
          <w:rFonts w:hint="cs"/>
          <w:rtl/>
          <w:lang w:bidi="ar-EG"/>
        </w:rPr>
      </w:pPr>
      <w:r w:rsidRPr="00C329B2">
        <w:rPr>
          <w:rFonts w:hint="cs"/>
          <w:rtl/>
          <w:lang w:bidi="ar-EG"/>
        </w:rPr>
        <w:t>282</w:t>
      </w:r>
      <w:r>
        <w:rPr>
          <w:rFonts w:hint="cs"/>
          <w:rtl/>
          <w:lang w:bidi="ar-EG"/>
        </w:rPr>
        <w:t xml:space="preserve"> </w:t>
      </w:r>
      <w:r w:rsidRPr="00C329B2">
        <w:rPr>
          <w:rFonts w:hint="cs"/>
          <w:rtl/>
          <w:lang w:bidi="ar-EG"/>
        </w:rPr>
        <w:t xml:space="preserve">- ويستمر تمويل البرنامج من خلال مخصصات ميزانية الدولة لوزارة التضامن الاجتماعي، حيث زادت المخصصات من 750 663 دولارا في عام 2008 إلى 000 520 2 دولار في عام 2012 (5 في المائة للتكاليف التشغيلية)، ويجري حاليا تنفيذ البرنامج في مقاطعات البلد البالغ عددها 13 مقاطعة لصالح نحو 000 14 من المستفيدين الذين حددتهم الوزارة كأسر فقيرة تعيلها نساء. </w:t>
      </w:r>
    </w:p>
    <w:p w:rsidR="009943B2" w:rsidRPr="00C329B2" w:rsidRDefault="009943B2" w:rsidP="009943B2">
      <w:pPr>
        <w:pStyle w:val="SingleTxt"/>
        <w:rPr>
          <w:rFonts w:hint="cs"/>
          <w:rtl/>
          <w:lang w:bidi="ar-EG"/>
        </w:rPr>
      </w:pPr>
      <w:r w:rsidRPr="00C329B2">
        <w:rPr>
          <w:rFonts w:hint="cs"/>
          <w:rtl/>
          <w:lang w:bidi="ar-EG"/>
        </w:rPr>
        <w:t>283</w:t>
      </w:r>
      <w:r>
        <w:rPr>
          <w:rFonts w:hint="cs"/>
          <w:rtl/>
          <w:lang w:bidi="ar-EG"/>
        </w:rPr>
        <w:t xml:space="preserve"> </w:t>
      </w:r>
      <w:r w:rsidRPr="00C329B2">
        <w:rPr>
          <w:rFonts w:hint="cs"/>
          <w:rtl/>
          <w:lang w:bidi="ar-EG"/>
        </w:rPr>
        <w:t xml:space="preserve">- وأعيد توجيه البرنامج في عام 2011 للتركيز على تحقيق الهدف الثاني من الأهداف الإنمائية للألفية - </w:t>
      </w:r>
      <w:r w:rsidRPr="00C329B2">
        <w:rPr>
          <w:rtl/>
          <w:lang w:bidi="ar-EG"/>
        </w:rPr>
        <w:t>توفير التعليم الابتدائي للجميع،</w:t>
      </w:r>
      <w:r w:rsidRPr="00C329B2">
        <w:rPr>
          <w:rFonts w:hint="cs"/>
          <w:rtl/>
          <w:lang w:bidi="ar-EG"/>
        </w:rPr>
        <w:t xml:space="preserve"> الأمر الذي قاد إلى إزالة فئات التعليم العالي. وأصدر البرلمان المرسوم بقانون المتعلق ببرنامج </w:t>
      </w:r>
      <w:r>
        <w:rPr>
          <w:rFonts w:hint="eastAsia"/>
          <w:rtl/>
          <w:lang w:bidi="ar-EG"/>
        </w:rPr>
        <w:t>”</w:t>
      </w:r>
      <w:r w:rsidRPr="00C329B2">
        <w:rPr>
          <w:rFonts w:hint="cs"/>
          <w:rtl/>
          <w:lang w:bidi="ar-EG"/>
        </w:rPr>
        <w:t>محفظة الأم</w:t>
      </w:r>
      <w:r>
        <w:rPr>
          <w:rFonts w:hint="eastAsia"/>
          <w:rtl/>
          <w:lang w:bidi="ar-EG"/>
        </w:rPr>
        <w:t>“</w:t>
      </w:r>
      <w:r w:rsidRPr="00C329B2">
        <w:rPr>
          <w:rFonts w:hint="cs"/>
          <w:rtl/>
          <w:lang w:bidi="ar-EG"/>
        </w:rPr>
        <w:t xml:space="preserve"> في شباط/فبراير 2012 لكي يعكس بدقة المعيار الجديد للبرنامج وسياساته الموضوعة من أجل تحقيق الأهداف المتمثلة في دعم الأسر الضعيفة التي تعيلها نساء في التعليم الابتدائي وتحصين أطفالها. ولكن تبيَّن أثناء العملية التشاورية المتصلة بهذا التقرير أن معايير تحديد المستفيدين لا تزال غير واضحة وتحتاج إلى توضيح.</w:t>
      </w:r>
    </w:p>
    <w:p w:rsidR="009943B2" w:rsidRPr="00C329B2" w:rsidRDefault="009943B2" w:rsidP="009943B2">
      <w:pPr>
        <w:pStyle w:val="SingleTxt"/>
        <w:rPr>
          <w:rFonts w:hint="cs"/>
          <w:rtl/>
          <w:lang w:bidi="ar-EG"/>
        </w:rPr>
      </w:pPr>
      <w:r w:rsidRPr="00C329B2">
        <w:rPr>
          <w:rFonts w:hint="cs"/>
          <w:rtl/>
          <w:lang w:bidi="ar-EG"/>
        </w:rPr>
        <w:t>284</w:t>
      </w:r>
      <w:r>
        <w:rPr>
          <w:rFonts w:hint="cs"/>
          <w:rtl/>
          <w:lang w:bidi="ar-EG"/>
        </w:rPr>
        <w:t xml:space="preserve"> </w:t>
      </w:r>
      <w:r w:rsidRPr="00C329B2">
        <w:rPr>
          <w:rFonts w:hint="cs"/>
          <w:rtl/>
          <w:lang w:bidi="ar-EG"/>
        </w:rPr>
        <w:t xml:space="preserve">- وأخيرا، كشف استقصاء الحماية الاجتماعية لعام 2011 الصادر عن البنك الدولي أن 96 في المائة من المستفيدين من هذا البرنامج، منذ بداية تنفيذه، استخدموا المنحة في شراء مستلزمات تعليمية لأبنائهم. (ارجع إلى المرفقات </w:t>
      </w:r>
      <w:r>
        <w:rPr>
          <w:rtl/>
          <w:lang w:bidi="ar-EG"/>
        </w:rPr>
        <w:t>-</w:t>
      </w:r>
      <w:r w:rsidRPr="00C329B2">
        <w:rPr>
          <w:rFonts w:hint="cs"/>
          <w:rtl/>
          <w:lang w:bidi="ar-EG"/>
        </w:rPr>
        <w:t xml:space="preserve"> الجدول 8).</w:t>
      </w:r>
    </w:p>
    <w:p w:rsidR="009943B2" w:rsidRPr="0027404F" w:rsidRDefault="009943B2" w:rsidP="009943B2">
      <w:pPr>
        <w:pStyle w:val="SingleTxt"/>
        <w:spacing w:after="0" w:line="120" w:lineRule="exact"/>
        <w:rPr>
          <w:rFonts w:hint="cs"/>
          <w:sz w:val="10"/>
          <w:u w:val="single"/>
          <w:rtl/>
          <w:lang w:bidi="ar-EG"/>
        </w:rPr>
      </w:pPr>
    </w:p>
    <w:p w:rsidR="009943B2" w:rsidRPr="0027404F"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27404F">
        <w:rPr>
          <w:rFonts w:hint="cs"/>
          <w:rtl/>
          <w:lang w:bidi="ar-EG"/>
        </w:rPr>
        <w:t>برامج التحويلات النقدية الأخرى</w:t>
      </w:r>
    </w:p>
    <w:p w:rsidR="009943B2" w:rsidRPr="00C329B2" w:rsidRDefault="009943B2" w:rsidP="009943B2">
      <w:pPr>
        <w:pStyle w:val="SingleTxt"/>
        <w:rPr>
          <w:rFonts w:hint="cs"/>
          <w:rtl/>
          <w:lang w:bidi="ar-EG"/>
        </w:rPr>
      </w:pPr>
      <w:r w:rsidRPr="00C329B2">
        <w:rPr>
          <w:rFonts w:hint="cs"/>
          <w:rtl/>
          <w:lang w:bidi="ar-EG"/>
        </w:rPr>
        <w:t>285</w:t>
      </w:r>
      <w:r>
        <w:rPr>
          <w:rFonts w:hint="cs"/>
          <w:rtl/>
          <w:lang w:bidi="ar-EG"/>
        </w:rPr>
        <w:t xml:space="preserve"> </w:t>
      </w:r>
      <w:r w:rsidRPr="00C329B2">
        <w:rPr>
          <w:rFonts w:hint="cs"/>
          <w:rtl/>
          <w:lang w:bidi="ar-EG"/>
        </w:rPr>
        <w:t>- شارك عدد من المؤسسات الحكومية، من بينها وزارة الزراعة ومصايد الأسماك، و</w:t>
      </w:r>
      <w:r>
        <w:rPr>
          <w:rFonts w:hint="cs"/>
          <w:rtl/>
          <w:lang w:bidi="ar-EG"/>
        </w:rPr>
        <w:t>و</w:t>
      </w:r>
      <w:r w:rsidRPr="00C329B2">
        <w:rPr>
          <w:rFonts w:hint="cs"/>
          <w:rtl/>
          <w:lang w:bidi="ar-EG"/>
        </w:rPr>
        <w:t>زارة التنمية الاقتصادية</w:t>
      </w:r>
      <w:r w:rsidRPr="00E5179B">
        <w:rPr>
          <w:vertAlign w:val="superscript"/>
          <w:rtl/>
        </w:rPr>
        <w:t>(</w:t>
      </w:r>
      <w:r w:rsidRPr="00E5179B">
        <w:rPr>
          <w:rStyle w:val="FootnoteReference"/>
          <w:szCs w:val="30"/>
          <w:rtl/>
        </w:rPr>
        <w:footnoteReference w:id="238"/>
      </w:r>
      <w:r w:rsidRPr="00E5179B">
        <w:rPr>
          <w:vertAlign w:val="superscript"/>
          <w:rtl/>
        </w:rPr>
        <w:t>)</w:t>
      </w:r>
      <w:r w:rsidRPr="00C329B2">
        <w:rPr>
          <w:rFonts w:hint="cs"/>
          <w:rtl/>
          <w:lang w:bidi="ar-EG"/>
        </w:rPr>
        <w:t>،</w:t>
      </w:r>
      <w:r>
        <w:rPr>
          <w:rFonts w:hint="cs"/>
          <w:rtl/>
        </w:rPr>
        <w:t xml:space="preserve"> </w:t>
      </w:r>
      <w:r w:rsidRPr="00C329B2">
        <w:rPr>
          <w:rFonts w:hint="cs"/>
          <w:rtl/>
          <w:lang w:bidi="ar-EG"/>
        </w:rPr>
        <w:t>وأمانة الدولة لسياسة التدريب المهني والتثقيف، وأمانة الدولة لتعزيز المساواة، في التمكين الاقتصادي للنساء من خلال برامج التحويل النقدي التي تستهدف النساء. وفي وقت إعداد التقرير، كان برنامج التحويلات العامة التابع لأمانة الدولة لتعزيز المساواة وبرنامج محفظة الأم هما البرنامجان الوحيدان الجاريان.</w:t>
      </w:r>
    </w:p>
    <w:p w:rsidR="009943B2" w:rsidRPr="00C329B2" w:rsidRDefault="009943B2" w:rsidP="009943B2">
      <w:pPr>
        <w:pStyle w:val="SingleTxt"/>
        <w:rPr>
          <w:rFonts w:hint="cs"/>
          <w:rtl/>
          <w:lang w:bidi="ar-EG"/>
        </w:rPr>
      </w:pPr>
      <w:r w:rsidRPr="00C329B2">
        <w:rPr>
          <w:rFonts w:hint="cs"/>
          <w:rtl/>
          <w:lang w:bidi="ar-EG"/>
        </w:rPr>
        <w:t>286</w:t>
      </w:r>
      <w:r>
        <w:rPr>
          <w:rFonts w:hint="cs"/>
          <w:rtl/>
          <w:lang w:bidi="ar-EG"/>
        </w:rPr>
        <w:t xml:space="preserve"> </w:t>
      </w:r>
      <w:r w:rsidRPr="00C329B2">
        <w:rPr>
          <w:rFonts w:hint="cs"/>
          <w:rtl/>
          <w:lang w:bidi="ar-EG"/>
        </w:rPr>
        <w:t>- ودعمت أمانة</w:t>
      </w:r>
      <w:r w:rsidRPr="00C329B2">
        <w:rPr>
          <w:rtl/>
          <w:lang w:bidi="ar-EG"/>
        </w:rPr>
        <w:t xml:space="preserve"> الدولة لتعزيز المساواة</w:t>
      </w:r>
      <w:r w:rsidRPr="00C329B2">
        <w:rPr>
          <w:rFonts w:hint="cs"/>
          <w:rtl/>
          <w:lang w:bidi="ar-EG"/>
        </w:rPr>
        <w:t xml:space="preserve"> المجموعات النسائية في بدء أعمال تجارية صغيرة منذ عام 2008 من خلال برنامج للتحويل النقدي. وفي البداية، نظم القليل من التدريب والإرشاد بشأن التسويق للفئات المستهدفة المتلقية للتحويلات النقدية، وتبيَّن أن ذلك غير كافٍ للتمكين الاقتصادي. ولاحقا، دخل برنامج التحويلات النقدية في شراكة مع معهد دعم تطوير الأعمال التجارية، ووزارة التنمية الاقتصادية، وأمانة الدولة لسياسة التدريب المهني والتثقيف، من أجل تشجيع المنتجات الزراعية للمجموعات النسائية.</w:t>
      </w:r>
    </w:p>
    <w:p w:rsidR="009943B2" w:rsidRPr="00E5179B" w:rsidRDefault="009943B2" w:rsidP="009943B2">
      <w:pPr>
        <w:pStyle w:val="SingleTxt"/>
        <w:rPr>
          <w:rFonts w:hint="cs"/>
          <w:rtl/>
        </w:rPr>
      </w:pPr>
      <w:r w:rsidRPr="00C329B2">
        <w:rPr>
          <w:rFonts w:hint="cs"/>
          <w:rtl/>
          <w:lang w:bidi="ar-EG"/>
        </w:rPr>
        <w:t>287</w:t>
      </w:r>
      <w:r>
        <w:rPr>
          <w:rFonts w:hint="cs"/>
          <w:rtl/>
          <w:lang w:bidi="ar-EG"/>
        </w:rPr>
        <w:t xml:space="preserve"> </w:t>
      </w:r>
      <w:r w:rsidRPr="00C329B2">
        <w:rPr>
          <w:rFonts w:hint="cs"/>
          <w:rtl/>
          <w:lang w:bidi="ar-EG"/>
        </w:rPr>
        <w:t xml:space="preserve">- ووصل المبلغ الإجمالي الممنوح حتى عام 2011، في إطار </w:t>
      </w:r>
      <w:r w:rsidRPr="00C329B2">
        <w:rPr>
          <w:rtl/>
          <w:lang w:bidi="ar-EG"/>
        </w:rPr>
        <w:t>برنامج التمكين الاقتصادي للمرأ</w:t>
      </w:r>
      <w:r w:rsidRPr="00C329B2">
        <w:rPr>
          <w:rFonts w:hint="cs"/>
          <w:rtl/>
          <w:lang w:bidi="ar-EG"/>
        </w:rPr>
        <w:t>ة، 967 349 دولارا من دولارات الولايات المتحدة، موزعة على 162</w:t>
      </w:r>
      <w:r>
        <w:rPr>
          <w:rFonts w:hint="eastAsia"/>
          <w:rtl/>
          <w:lang w:bidi="ar-EG"/>
        </w:rPr>
        <w:t> </w:t>
      </w:r>
      <w:r w:rsidRPr="00C329B2">
        <w:rPr>
          <w:rFonts w:hint="cs"/>
          <w:rtl/>
          <w:lang w:bidi="ar-EG"/>
        </w:rPr>
        <w:t>مجموعة نسائية في 13 مقاطعة و</w:t>
      </w:r>
      <w:r>
        <w:rPr>
          <w:rFonts w:hint="cs"/>
          <w:rtl/>
          <w:lang w:bidi="ar-EG"/>
        </w:rPr>
        <w:t xml:space="preserve"> </w:t>
      </w:r>
      <w:r w:rsidRPr="00C329B2">
        <w:rPr>
          <w:rFonts w:hint="cs"/>
          <w:rtl/>
          <w:lang w:bidi="ar-EG"/>
        </w:rPr>
        <w:t xml:space="preserve">48 مقاطعة فرعية و 103 قرى. ومُنح ما متوسطه 160 2 دولارا لكل مجموعة من النساء. وبالرغم من أن ديلي اجتذبت 34 في المائة من المبلغ الإجمالي، فقد خُصصت غالبية المنح للمجموعات في المناطق الريفية. وحافظت </w:t>
      </w:r>
      <w:r>
        <w:rPr>
          <w:rFonts w:hint="eastAsia"/>
          <w:rtl/>
          <w:lang w:bidi="ar-EG"/>
        </w:rPr>
        <w:t> </w:t>
      </w:r>
      <w:r w:rsidRPr="00C329B2">
        <w:rPr>
          <w:rFonts w:hint="cs"/>
          <w:rtl/>
          <w:lang w:bidi="ar-EG"/>
        </w:rPr>
        <w:t>في</w:t>
      </w:r>
      <w:r>
        <w:rPr>
          <w:rFonts w:hint="eastAsia"/>
          <w:rtl/>
          <w:lang w:bidi="ar-EG"/>
        </w:rPr>
        <w:t> </w:t>
      </w:r>
      <w:r w:rsidRPr="00C329B2">
        <w:rPr>
          <w:rFonts w:hint="cs"/>
          <w:rtl/>
          <w:lang w:bidi="ar-EG"/>
        </w:rPr>
        <w:t>المائة من المجموعات (بين عامي 2008 و</w:t>
      </w:r>
      <w:r>
        <w:rPr>
          <w:rFonts w:hint="cs"/>
          <w:rtl/>
          <w:lang w:bidi="ar-EG"/>
        </w:rPr>
        <w:t xml:space="preserve"> </w:t>
      </w:r>
      <w:r w:rsidRPr="00C329B2">
        <w:rPr>
          <w:rFonts w:hint="cs"/>
          <w:rtl/>
          <w:lang w:bidi="ar-EG"/>
        </w:rPr>
        <w:t>2010) على استمرار أنشطتها</w:t>
      </w:r>
      <w:r w:rsidRPr="00E5179B">
        <w:rPr>
          <w:vertAlign w:val="superscript"/>
          <w:rtl/>
        </w:rPr>
        <w:t>(</w:t>
      </w:r>
      <w:r w:rsidRPr="00E5179B">
        <w:rPr>
          <w:rStyle w:val="FootnoteReference"/>
          <w:szCs w:val="30"/>
          <w:rtl/>
        </w:rPr>
        <w:footnoteReference w:id="239"/>
      </w:r>
      <w:r w:rsidRPr="00E5179B">
        <w:rPr>
          <w:vertAlign w:val="superscript"/>
          <w:rtl/>
        </w:rPr>
        <w:t>)</w:t>
      </w:r>
      <w:r w:rsidRPr="00C329B2">
        <w:rPr>
          <w:rFonts w:hint="cs"/>
          <w:rtl/>
          <w:lang w:bidi="ar-EG"/>
        </w:rPr>
        <w:t>.</w:t>
      </w:r>
    </w:p>
    <w:p w:rsidR="009943B2" w:rsidRPr="0027404F" w:rsidRDefault="009943B2" w:rsidP="009943B2">
      <w:pPr>
        <w:pStyle w:val="SingleTxt"/>
        <w:spacing w:after="0" w:line="120" w:lineRule="exact"/>
        <w:rPr>
          <w:rFonts w:hint="cs"/>
          <w:b/>
          <w:bCs/>
          <w:sz w:val="10"/>
          <w:rtl/>
          <w:lang w:bidi="ar-EG"/>
        </w:rPr>
      </w:pPr>
    </w:p>
    <w:p w:rsidR="009943B2" w:rsidRPr="00C329B2" w:rsidRDefault="009943B2" w:rsidP="009943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C329B2">
        <w:rPr>
          <w:rFonts w:hint="cs"/>
          <w:rtl/>
          <w:lang w:bidi="ar-EG"/>
        </w:rPr>
        <w:t>الحصول على تسهيلات ائتمانية</w:t>
      </w:r>
    </w:p>
    <w:p w:rsidR="009943B2" w:rsidRPr="00C329B2" w:rsidRDefault="009943B2" w:rsidP="009943B2">
      <w:pPr>
        <w:pStyle w:val="SingleTxt"/>
        <w:rPr>
          <w:rFonts w:hint="cs"/>
          <w:rtl/>
          <w:lang w:bidi="ar-EG"/>
        </w:rPr>
      </w:pPr>
      <w:r w:rsidRPr="00C329B2">
        <w:rPr>
          <w:rFonts w:hint="cs"/>
          <w:rtl/>
          <w:lang w:bidi="ar-EG"/>
        </w:rPr>
        <w:t>288</w:t>
      </w:r>
      <w:r>
        <w:rPr>
          <w:rFonts w:hint="cs"/>
          <w:rtl/>
          <w:lang w:bidi="ar-EG"/>
        </w:rPr>
        <w:t xml:space="preserve"> </w:t>
      </w:r>
      <w:r w:rsidRPr="00C329B2">
        <w:rPr>
          <w:rFonts w:hint="cs"/>
          <w:rtl/>
          <w:lang w:bidi="ar-EG"/>
        </w:rPr>
        <w:t>- يمثل الحصول على ائتمان مشكلة</w:t>
      </w:r>
      <w:r>
        <w:rPr>
          <w:rFonts w:hint="cs"/>
          <w:rtl/>
          <w:lang w:bidi="ar-EG"/>
        </w:rPr>
        <w:t xml:space="preserve"> </w:t>
      </w:r>
      <w:r w:rsidRPr="00C329B2">
        <w:rPr>
          <w:rFonts w:hint="cs"/>
          <w:rtl/>
          <w:lang w:bidi="ar-EG"/>
        </w:rPr>
        <w:t xml:space="preserve">للأعمال التجارية الصغيرة والأفراد في تيمور </w:t>
      </w:r>
      <w:r>
        <w:rPr>
          <w:rtl/>
          <w:lang w:bidi="ar-EG"/>
        </w:rPr>
        <w:t>-</w:t>
      </w:r>
      <w:r w:rsidRPr="00C329B2">
        <w:rPr>
          <w:rFonts w:hint="cs"/>
          <w:rtl/>
          <w:lang w:bidi="ar-EG"/>
        </w:rPr>
        <w:t xml:space="preserve"> ليشتي، خصوصا أولئك الذين يسكنون في المناطق الريفية. بيد أن القطاع آخذ في التطور حاليا، ومن أجل معالجة هذه المسألة، قامت الحكومة بإدراج ما يلي كأهداف للسنة الختامية لتنفيذ خطة الأولويات الوطنية (2011) للتنمية الريفية: زيادة تنويع المنتجات والخدمات المالية المتاحة للتمويل البالغ الصغر؛ وحصول 000 10 عميل إضافي يكون ما لا يقل عن 50 في المائة منهم من النساء على خدمات التمويل البالغ الصغر</w:t>
      </w:r>
      <w:r w:rsidRPr="00E5179B">
        <w:rPr>
          <w:vertAlign w:val="superscript"/>
          <w:rtl/>
        </w:rPr>
        <w:t>(</w:t>
      </w:r>
      <w:r w:rsidRPr="00E5179B">
        <w:rPr>
          <w:rStyle w:val="FootnoteReference"/>
          <w:szCs w:val="30"/>
          <w:rtl/>
        </w:rPr>
        <w:footnoteReference w:id="240"/>
      </w:r>
      <w:r w:rsidRPr="00E5179B">
        <w:rPr>
          <w:vertAlign w:val="superscript"/>
          <w:rtl/>
        </w:rPr>
        <w:t>)</w:t>
      </w:r>
      <w:r w:rsidRPr="00C329B2">
        <w:rPr>
          <w:rFonts w:hint="cs"/>
          <w:rtl/>
          <w:lang w:bidi="ar-EG"/>
        </w:rPr>
        <w:t>.</w:t>
      </w:r>
    </w:p>
    <w:p w:rsidR="009943B2" w:rsidRPr="00E5179B" w:rsidRDefault="009943B2" w:rsidP="009943B2">
      <w:pPr>
        <w:pStyle w:val="SingleTxt"/>
        <w:rPr>
          <w:rFonts w:hint="cs"/>
          <w:rtl/>
        </w:rPr>
      </w:pPr>
      <w:r w:rsidRPr="00C329B2">
        <w:rPr>
          <w:rFonts w:hint="cs"/>
          <w:rtl/>
          <w:lang w:bidi="ar-EG"/>
        </w:rPr>
        <w:t>289</w:t>
      </w:r>
      <w:r>
        <w:rPr>
          <w:rFonts w:hint="cs"/>
          <w:rtl/>
          <w:lang w:bidi="ar-EG"/>
        </w:rPr>
        <w:t xml:space="preserve"> </w:t>
      </w:r>
      <w:r w:rsidRPr="00C329B2">
        <w:rPr>
          <w:rFonts w:hint="cs"/>
          <w:rtl/>
          <w:lang w:bidi="ar-EG"/>
        </w:rPr>
        <w:t>- وبعد انتهاء برنامج الأولويات الوطنية، وفقا للخطة الإنمائية الاستراتيجية للفترة 2011-2030، تواصل الحكومة تنمية الأسواق المالية المحلية، بما في ذلك الإقراض المصرفي التجاري. وتعمل الحكومة أيضا على نشر التمويل البالغ الصغر بجميع أنواعه، بما في ذلك حسابات الادخار والإقراض البالغ الصغر</w:t>
      </w:r>
      <w:r w:rsidRPr="00E5179B">
        <w:rPr>
          <w:vertAlign w:val="superscript"/>
          <w:rtl/>
        </w:rPr>
        <w:t>(</w:t>
      </w:r>
      <w:r w:rsidRPr="00E5179B">
        <w:rPr>
          <w:rStyle w:val="FootnoteReference"/>
          <w:szCs w:val="30"/>
          <w:rtl/>
        </w:rPr>
        <w:footnoteReference w:id="241"/>
      </w:r>
      <w:r w:rsidRPr="00E5179B">
        <w:rPr>
          <w:vertAlign w:val="superscript"/>
          <w:rtl/>
        </w:rPr>
        <w:t>)</w:t>
      </w:r>
      <w:r w:rsidRPr="00C329B2">
        <w:rPr>
          <w:rFonts w:hint="cs"/>
          <w:rtl/>
          <w:lang w:bidi="ar-EG"/>
        </w:rPr>
        <w:t>.</w:t>
      </w:r>
    </w:p>
    <w:p w:rsidR="009943B2" w:rsidRPr="00E5179B" w:rsidRDefault="009943B2" w:rsidP="009943B2">
      <w:pPr>
        <w:pStyle w:val="SingleTxt"/>
        <w:rPr>
          <w:rFonts w:hint="cs"/>
          <w:rtl/>
        </w:rPr>
      </w:pPr>
      <w:r w:rsidRPr="00C329B2">
        <w:rPr>
          <w:rFonts w:hint="cs"/>
          <w:rtl/>
          <w:lang w:bidi="ar-EG"/>
        </w:rPr>
        <w:t>290</w:t>
      </w:r>
      <w:r>
        <w:rPr>
          <w:rFonts w:hint="cs"/>
          <w:rtl/>
          <w:lang w:bidi="ar-EG"/>
        </w:rPr>
        <w:t xml:space="preserve"> </w:t>
      </w:r>
      <w:r w:rsidRPr="00C329B2">
        <w:rPr>
          <w:rFonts w:hint="cs"/>
          <w:rtl/>
          <w:lang w:bidi="ar-EG"/>
        </w:rPr>
        <w:t xml:space="preserve">- وفي هذا الصدد، قامت الحكومة في عام 2012 بتحويل معهد تيمور </w:t>
      </w:r>
      <w:r>
        <w:rPr>
          <w:rtl/>
          <w:lang w:bidi="ar-EG"/>
        </w:rPr>
        <w:t>-</w:t>
      </w:r>
      <w:r w:rsidRPr="00C329B2">
        <w:rPr>
          <w:rFonts w:hint="cs"/>
          <w:rtl/>
          <w:lang w:bidi="ar-EG"/>
        </w:rPr>
        <w:t xml:space="preserve"> ليشتي للتمويل البالغ الصغر المنشأ في عام 2001 إلى البنك التجاري الوطني لتيمور </w:t>
      </w:r>
      <w:r>
        <w:rPr>
          <w:rtl/>
          <w:lang w:bidi="ar-EG"/>
        </w:rPr>
        <w:t>-</w:t>
      </w:r>
      <w:r w:rsidRPr="00C329B2">
        <w:rPr>
          <w:rFonts w:hint="cs"/>
          <w:rtl/>
          <w:lang w:bidi="ar-EG"/>
        </w:rPr>
        <w:t xml:space="preserve"> ليشتي، الذي يضم فروعا في جميع المقاطعات ويصل إلى المقاطعات الفرعية عن طريق المركبات المصرفية المتنقلة. وتتوقع الحكومة منح خطوط ائتمان كوسيلة لتخليف حدة الفقر وتعزيز التنمية الاقتصادية، خصوصا في المناطق الريفية</w:t>
      </w:r>
      <w:r w:rsidRPr="00E5179B">
        <w:rPr>
          <w:vertAlign w:val="superscript"/>
          <w:rtl/>
        </w:rPr>
        <w:t>(</w:t>
      </w:r>
      <w:r w:rsidRPr="00E5179B">
        <w:rPr>
          <w:rStyle w:val="FootnoteReference"/>
          <w:szCs w:val="30"/>
          <w:rtl/>
        </w:rPr>
        <w:footnoteReference w:id="242"/>
      </w:r>
      <w:r w:rsidRPr="00E5179B">
        <w:rPr>
          <w:vertAlign w:val="superscript"/>
          <w:rtl/>
        </w:rPr>
        <w:t>)</w:t>
      </w:r>
      <w:r w:rsidRPr="00C329B2">
        <w:rPr>
          <w:rFonts w:hint="cs"/>
          <w:rtl/>
          <w:lang w:bidi="ar-EG"/>
        </w:rPr>
        <w:t>.</w:t>
      </w:r>
      <w:r>
        <w:rPr>
          <w:rFonts w:hint="cs"/>
          <w:rtl/>
          <w:lang w:bidi="ar-EG"/>
        </w:rPr>
        <w:t xml:space="preserve"> </w:t>
      </w:r>
      <w:r w:rsidRPr="00C329B2">
        <w:rPr>
          <w:rFonts w:hint="cs"/>
          <w:rtl/>
          <w:lang w:bidi="ar-EG"/>
        </w:rPr>
        <w:t>ومن أجل تيسير الحصول على الائتمان والخدمات المصرفية لجميع الأشخاص، لا سيما النساء، يوفر البنك الخدمات للأفراد وللشركات البالغة الصغر والصغيرة والمتوسطة</w:t>
      </w:r>
      <w:r w:rsidRPr="00E5179B">
        <w:rPr>
          <w:vertAlign w:val="superscript"/>
          <w:rtl/>
        </w:rPr>
        <w:t>(</w:t>
      </w:r>
      <w:r w:rsidRPr="00E5179B">
        <w:rPr>
          <w:rStyle w:val="FootnoteReference"/>
          <w:szCs w:val="30"/>
          <w:rtl/>
        </w:rPr>
        <w:footnoteReference w:id="243"/>
      </w:r>
      <w:r w:rsidRPr="00E5179B">
        <w:rPr>
          <w:vertAlign w:val="superscript"/>
          <w:rtl/>
        </w:rPr>
        <w:t>)</w:t>
      </w:r>
      <w:r w:rsidRPr="00C329B2">
        <w:rPr>
          <w:rFonts w:hint="cs"/>
          <w:rtl/>
          <w:lang w:bidi="ar-EG"/>
        </w:rPr>
        <w:t>.</w:t>
      </w:r>
    </w:p>
    <w:p w:rsidR="009943B2" w:rsidRPr="0027404F" w:rsidRDefault="009943B2" w:rsidP="009943B2">
      <w:pPr>
        <w:pStyle w:val="SingleTxt"/>
        <w:spacing w:after="0" w:line="120" w:lineRule="exact"/>
        <w:rPr>
          <w:rFonts w:hint="cs"/>
          <w:sz w:val="10"/>
          <w:u w:val="single"/>
          <w:rtl/>
          <w:lang w:bidi="ar-EG"/>
        </w:rPr>
      </w:pPr>
    </w:p>
    <w:p w:rsidR="009943B2" w:rsidRPr="0027404F"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27404F">
        <w:rPr>
          <w:rFonts w:hint="cs"/>
          <w:rtl/>
          <w:lang w:bidi="ar-EG"/>
        </w:rPr>
        <w:t>الشراكة مع مؤسسات التمويل البالغ الصغر المتخصصة</w:t>
      </w:r>
    </w:p>
    <w:p w:rsidR="009943B2" w:rsidRPr="00C329B2" w:rsidRDefault="009943B2" w:rsidP="009943B2">
      <w:pPr>
        <w:pStyle w:val="SingleTxt"/>
        <w:rPr>
          <w:rFonts w:hint="cs"/>
          <w:rtl/>
          <w:lang w:bidi="ar-EG"/>
        </w:rPr>
      </w:pPr>
      <w:r w:rsidRPr="00C329B2">
        <w:rPr>
          <w:rFonts w:hint="cs"/>
          <w:rtl/>
          <w:lang w:bidi="ar-EG"/>
        </w:rPr>
        <w:t>291</w:t>
      </w:r>
      <w:r>
        <w:rPr>
          <w:rFonts w:hint="cs"/>
          <w:rtl/>
          <w:lang w:bidi="ar-EG"/>
        </w:rPr>
        <w:t xml:space="preserve"> </w:t>
      </w:r>
      <w:r w:rsidRPr="00C329B2">
        <w:rPr>
          <w:rFonts w:hint="cs"/>
          <w:rtl/>
          <w:lang w:bidi="ar-EG"/>
        </w:rPr>
        <w:t xml:space="preserve">- يتكون القطاع من منظمتين غير حكوميتين متخصصتين: هما منظمة </w:t>
      </w:r>
      <w:r w:rsidRPr="00C329B2">
        <w:rPr>
          <w:rtl/>
        </w:rPr>
        <w:t>موريس راسيك</w:t>
      </w:r>
      <w:r w:rsidRPr="00C329B2">
        <w:rPr>
          <w:rFonts w:hint="cs"/>
          <w:rtl/>
          <w:lang w:bidi="ar-EG"/>
        </w:rPr>
        <w:t xml:space="preserve"> </w:t>
      </w:r>
      <w:r w:rsidRPr="00C329B2">
        <w:t>Moris Rasik</w:t>
      </w:r>
      <w:r w:rsidRPr="00C329B2">
        <w:rPr>
          <w:rFonts w:hint="cs"/>
          <w:rtl/>
          <w:lang w:bidi="ar-EG"/>
        </w:rPr>
        <w:t xml:space="preserve"> </w:t>
      </w:r>
      <w:r>
        <w:rPr>
          <w:rtl/>
          <w:lang w:bidi="ar-EG"/>
        </w:rPr>
        <w:t>-</w:t>
      </w:r>
      <w:r w:rsidRPr="00C329B2">
        <w:rPr>
          <w:rFonts w:hint="cs"/>
          <w:rtl/>
          <w:lang w:bidi="ar-EG"/>
        </w:rPr>
        <w:t xml:space="preserve"> كبرى مؤسسات التمويل البالغ الصغر في البلد والمؤسسة الرائدة في مجال التمويل البالغ الصغر لأغراض الحد من الفقر، وهي تعمل فقط في المناطق الريفية وتكاد لا تُقرض سوى النساء </w:t>
      </w:r>
      <w:r>
        <w:rPr>
          <w:rtl/>
          <w:lang w:bidi="ar-EG"/>
        </w:rPr>
        <w:t>-</w:t>
      </w:r>
      <w:r w:rsidRPr="00C329B2">
        <w:rPr>
          <w:rFonts w:hint="cs"/>
          <w:rtl/>
          <w:lang w:bidi="ar-EG"/>
        </w:rPr>
        <w:t xml:space="preserve"> ومنظمة </w:t>
      </w:r>
      <w:r w:rsidRPr="00C329B2">
        <w:rPr>
          <w:rtl/>
        </w:rPr>
        <w:t>توبا ري ميتين</w:t>
      </w:r>
      <w:r w:rsidRPr="00C329B2">
        <w:rPr>
          <w:rFonts w:hint="cs"/>
          <w:rtl/>
          <w:lang w:bidi="ar-EG"/>
        </w:rPr>
        <w:t xml:space="preserve"> </w:t>
      </w:r>
      <w:r w:rsidRPr="00C329B2">
        <w:rPr>
          <w:iCs/>
        </w:rPr>
        <w:t>Tuba Rai Metin</w:t>
      </w:r>
      <w:r w:rsidRPr="00C329B2">
        <w:rPr>
          <w:rFonts w:hint="cs"/>
          <w:rtl/>
          <w:lang w:bidi="ar-EG"/>
        </w:rPr>
        <w:t xml:space="preserve"> </w:t>
      </w:r>
      <w:r>
        <w:rPr>
          <w:rtl/>
          <w:lang w:bidi="ar-EG"/>
        </w:rPr>
        <w:t>-</w:t>
      </w:r>
      <w:r w:rsidRPr="00C329B2">
        <w:rPr>
          <w:rFonts w:hint="cs"/>
          <w:rtl/>
          <w:lang w:bidi="ar-EG"/>
        </w:rPr>
        <w:t xml:space="preserve"> المكرسة لبرامج التمويل البالغ الصغر للنساء في ديلي وفي المقاطعات الشرقية. وثمة العديد من الاتحادات الائتمانية أيضا وعدد من برامج التمويل البالغ الصغر؛ وتتمتع هذه المنظمات بعضوية جمعية التمويل البالغ الصغر في تيمور </w:t>
      </w:r>
      <w:r>
        <w:rPr>
          <w:rtl/>
          <w:lang w:bidi="ar-EG"/>
        </w:rPr>
        <w:t>-</w:t>
      </w:r>
      <w:r w:rsidRPr="00C329B2">
        <w:rPr>
          <w:rFonts w:hint="cs"/>
          <w:rtl/>
          <w:lang w:bidi="ar-EG"/>
        </w:rPr>
        <w:t xml:space="preserve"> ليشتي.</w:t>
      </w:r>
    </w:p>
    <w:p w:rsidR="009943B2" w:rsidRPr="00C329B2" w:rsidRDefault="009943B2" w:rsidP="009943B2">
      <w:pPr>
        <w:pStyle w:val="SingleTxt"/>
        <w:rPr>
          <w:rFonts w:hint="cs"/>
          <w:rtl/>
          <w:lang w:bidi="ar-EG"/>
        </w:rPr>
      </w:pPr>
      <w:r w:rsidRPr="00C329B2">
        <w:rPr>
          <w:rFonts w:hint="cs"/>
          <w:rtl/>
          <w:lang w:bidi="ar-EG"/>
        </w:rPr>
        <w:t>292</w:t>
      </w:r>
      <w:r>
        <w:rPr>
          <w:rFonts w:hint="cs"/>
          <w:rtl/>
          <w:lang w:bidi="ar-EG"/>
        </w:rPr>
        <w:t xml:space="preserve"> </w:t>
      </w:r>
      <w:r w:rsidRPr="00C329B2">
        <w:rPr>
          <w:rFonts w:hint="cs"/>
          <w:rtl/>
          <w:lang w:bidi="ar-EG"/>
        </w:rPr>
        <w:t xml:space="preserve">- ويقوم مشروع </w:t>
      </w:r>
      <w:r>
        <w:rPr>
          <w:rFonts w:hint="eastAsia"/>
          <w:rtl/>
          <w:lang w:bidi="ar-EG"/>
        </w:rPr>
        <w:t>”</w:t>
      </w:r>
      <w:r w:rsidRPr="00C329B2">
        <w:rPr>
          <w:rFonts w:hint="cs"/>
          <w:rtl/>
          <w:lang w:bidi="ar-EG"/>
        </w:rPr>
        <w:t>التمويل الشامل للاقتصاد الناقص الخدمات</w:t>
      </w:r>
      <w:r>
        <w:rPr>
          <w:rFonts w:hint="eastAsia"/>
          <w:rtl/>
          <w:lang w:bidi="ar-EG"/>
        </w:rPr>
        <w:t>“</w:t>
      </w:r>
      <w:r w:rsidRPr="00C329B2">
        <w:rPr>
          <w:rFonts w:hint="cs"/>
          <w:rtl/>
          <w:lang w:bidi="ar-EG"/>
        </w:rPr>
        <w:t xml:space="preserve">، الذي تنفذه الحكومة من خلال وزارة التنمية الاقتصادية السابقة (تنفذه الآن وزارة التجارة والصناعة والبيئة)، بالشراكة مع شركائها التنفيذيين المتمثلين في برنامج الأمم المتحدة الإنمائي وشعبة آسيا والمحيط الهادئ والوكالة </w:t>
      </w:r>
      <w:r w:rsidRPr="00C329B2">
        <w:rPr>
          <w:rtl/>
          <w:lang w:bidi="ar-EG"/>
        </w:rPr>
        <w:t>الأسترالية للتنمية الدولية</w:t>
      </w:r>
      <w:r w:rsidRPr="00C329B2">
        <w:rPr>
          <w:rFonts w:hint="cs"/>
          <w:rtl/>
          <w:lang w:bidi="ar-EG"/>
        </w:rPr>
        <w:t>، بتعزيز قدرة مؤسسات التمويل البالغ الصغر. ويسعى البرنامج إلى بناء قطاع مالي شامل يتمثل هدفه الإجمالي في زيادة حصول كل رجل وامرأة، بشكل مستدام، على نطاق من الخدمات المالية مثل المدخرات، والقروض، وخدمات التحويلات المالية، والتأمين لصالح الفقراء ومحدودي الدخل.</w:t>
      </w:r>
    </w:p>
    <w:p w:rsidR="009943B2" w:rsidRDefault="009943B2" w:rsidP="009943B2">
      <w:pPr>
        <w:pStyle w:val="SingleTxt"/>
        <w:rPr>
          <w:rFonts w:hint="cs"/>
          <w:rtl/>
          <w:lang w:bidi="ar-EG"/>
        </w:rPr>
      </w:pPr>
      <w:r w:rsidRPr="00C329B2">
        <w:rPr>
          <w:rFonts w:hint="cs"/>
          <w:rtl/>
          <w:lang w:bidi="ar-EG"/>
        </w:rPr>
        <w:t>293</w:t>
      </w:r>
      <w:r>
        <w:rPr>
          <w:rFonts w:hint="cs"/>
          <w:rtl/>
          <w:lang w:bidi="ar-EG"/>
        </w:rPr>
        <w:t xml:space="preserve"> </w:t>
      </w:r>
      <w:r w:rsidRPr="00C329B2">
        <w:rPr>
          <w:rFonts w:hint="cs"/>
          <w:rtl/>
          <w:lang w:bidi="ar-EG"/>
        </w:rPr>
        <w:t xml:space="preserve">- وتجاوز نطاق برنامج </w:t>
      </w:r>
      <w:r>
        <w:rPr>
          <w:rFonts w:hint="eastAsia"/>
          <w:rtl/>
          <w:lang w:bidi="ar-EG"/>
        </w:rPr>
        <w:t>”</w:t>
      </w:r>
      <w:r w:rsidRPr="00C329B2">
        <w:rPr>
          <w:rFonts w:hint="cs"/>
          <w:rtl/>
          <w:lang w:bidi="ar-EG"/>
        </w:rPr>
        <w:t>التمويل الشامل للاقتصاد الناقص الخدمات</w:t>
      </w:r>
      <w:r>
        <w:rPr>
          <w:rFonts w:hint="eastAsia"/>
          <w:rtl/>
          <w:lang w:bidi="ar-EG"/>
        </w:rPr>
        <w:t>“</w:t>
      </w:r>
      <w:r w:rsidRPr="00C329B2">
        <w:rPr>
          <w:rFonts w:hint="cs"/>
          <w:rtl/>
          <w:lang w:bidi="ar-EG"/>
        </w:rPr>
        <w:t xml:space="preserve">، الذي نفذه كل من </w:t>
      </w:r>
      <w:r w:rsidRPr="00C329B2">
        <w:t>Moris Rasik</w:t>
      </w:r>
      <w:r w:rsidRPr="00C329B2">
        <w:rPr>
          <w:rFonts w:hint="cs"/>
          <w:rtl/>
          <w:lang w:bidi="ar-EG"/>
        </w:rPr>
        <w:t xml:space="preserve"> و</w:t>
      </w:r>
      <w:r>
        <w:rPr>
          <w:rFonts w:hint="cs"/>
          <w:rtl/>
          <w:lang w:bidi="ar-EG"/>
        </w:rPr>
        <w:t xml:space="preserve"> </w:t>
      </w:r>
      <w:r w:rsidRPr="00C329B2">
        <w:rPr>
          <w:iCs/>
        </w:rPr>
        <w:t xml:space="preserve"> Tuba Rai Metin</w:t>
      </w:r>
      <w:r w:rsidRPr="00C329B2">
        <w:rPr>
          <w:rFonts w:hint="cs"/>
          <w:iCs/>
          <w:rtl/>
        </w:rPr>
        <w:t xml:space="preserve"> </w:t>
      </w:r>
      <w:r w:rsidRPr="00C329B2">
        <w:rPr>
          <w:rFonts w:hint="cs"/>
          <w:rtl/>
          <w:lang w:bidi="ar-EG"/>
        </w:rPr>
        <w:t xml:space="preserve">والبنك التجاري الوطني لتيمور </w:t>
      </w:r>
      <w:r>
        <w:rPr>
          <w:rtl/>
          <w:lang w:bidi="ar-EG"/>
        </w:rPr>
        <w:t>-</w:t>
      </w:r>
      <w:r w:rsidRPr="00C329B2">
        <w:rPr>
          <w:rFonts w:hint="cs"/>
          <w:rtl/>
          <w:lang w:bidi="ar-EG"/>
        </w:rPr>
        <w:t xml:space="preserve"> ليشتي، أهدافه بشكل كبير، حيث بلغ عدد عملائه النشطين 696 141 عميلا بنهاية عام 2012، مقارنة بـ 929 32 عميلا للفترة نفسها في عام 2008. وبالرغم من أن الغالبية الكبرى من المستفيدين من خدمات البنك هي بوضوح من النساء، فإنه لا توجد بعد بيانات مصنفة حسب نوع الجنس. وتبين البيانات المصنفة حسب نوع الجنس الخاصة بمنظمتي </w:t>
      </w:r>
      <w:r w:rsidRPr="00C329B2">
        <w:t>Moris Rasik</w:t>
      </w:r>
      <w:r w:rsidRPr="00C329B2">
        <w:rPr>
          <w:rFonts w:hint="cs"/>
          <w:rtl/>
          <w:lang w:bidi="ar-EG"/>
        </w:rPr>
        <w:t xml:space="preserve"> و</w:t>
      </w:r>
      <w:r>
        <w:rPr>
          <w:rFonts w:hint="cs"/>
          <w:rtl/>
          <w:lang w:bidi="ar-EG"/>
        </w:rPr>
        <w:t xml:space="preserve"> </w:t>
      </w:r>
      <w:r w:rsidRPr="00C329B2">
        <w:rPr>
          <w:iCs/>
        </w:rPr>
        <w:t xml:space="preserve"> Tuba Rai Metin</w:t>
      </w:r>
      <w:r w:rsidRPr="00C329B2">
        <w:rPr>
          <w:rFonts w:hint="cs"/>
          <w:iCs/>
          <w:rtl/>
        </w:rPr>
        <w:t xml:space="preserve"> </w:t>
      </w:r>
      <w:r w:rsidRPr="00C329B2">
        <w:rPr>
          <w:rFonts w:hint="cs"/>
          <w:rtl/>
          <w:lang w:bidi="ar-EG"/>
        </w:rPr>
        <w:t>أن 90.2 في المائة من المستفيدين نساء</w:t>
      </w:r>
      <w:r w:rsidRPr="00E5179B">
        <w:rPr>
          <w:vertAlign w:val="superscript"/>
          <w:rtl/>
        </w:rPr>
        <w:t>(</w:t>
      </w:r>
      <w:r w:rsidRPr="00E5179B">
        <w:rPr>
          <w:rStyle w:val="FootnoteReference"/>
          <w:szCs w:val="30"/>
          <w:rtl/>
        </w:rPr>
        <w:footnoteReference w:id="244"/>
      </w:r>
      <w:r w:rsidRPr="00E5179B">
        <w:rPr>
          <w:vertAlign w:val="superscript"/>
          <w:rtl/>
        </w:rPr>
        <w:t>)</w:t>
      </w:r>
      <w:r w:rsidRPr="00C329B2">
        <w:rPr>
          <w:rFonts w:hint="cs"/>
          <w:rtl/>
          <w:lang w:bidi="ar-EG"/>
        </w:rPr>
        <w:t>.</w:t>
      </w:r>
    </w:p>
    <w:p w:rsidR="009943B2" w:rsidRPr="009943B2" w:rsidRDefault="009943B2" w:rsidP="009943B2">
      <w:pPr>
        <w:pStyle w:val="SingleTxt"/>
        <w:spacing w:after="0" w:line="120" w:lineRule="exact"/>
        <w:rPr>
          <w:rFonts w:hint="cs"/>
          <w:sz w:val="10"/>
          <w:rtl/>
          <w:lang w:bidi="ar-EG"/>
        </w:rPr>
      </w:pPr>
    </w:p>
    <w:p w:rsidR="009943B2" w:rsidRPr="00AA4C77"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Pr="00AA4C77">
        <w:rPr>
          <w:rtl/>
          <w:lang w:eastAsia="zh-TW"/>
        </w:rPr>
        <w:t>التأمين البالغ الصغر</w:t>
      </w:r>
    </w:p>
    <w:p w:rsidR="009943B2" w:rsidRPr="00562F26" w:rsidRDefault="009943B2" w:rsidP="009943B2">
      <w:pPr>
        <w:pStyle w:val="SingleTxt"/>
        <w:rPr>
          <w:rtl/>
          <w:lang w:eastAsia="zh-TW"/>
        </w:rPr>
      </w:pPr>
      <w:r>
        <w:rPr>
          <w:color w:val="000000"/>
          <w:rtl/>
          <w:lang w:eastAsia="zh-TW"/>
        </w:rPr>
        <w:t>٢٩٤</w:t>
      </w:r>
      <w:r>
        <w:rPr>
          <w:rFonts w:hint="cs"/>
          <w:rtl/>
        </w:rPr>
        <w:t xml:space="preserve"> </w:t>
      </w:r>
      <w:r>
        <w:rPr>
          <w:rtl/>
        </w:rPr>
        <w:t xml:space="preserve">- </w:t>
      </w:r>
      <w:r>
        <w:rPr>
          <w:rtl/>
          <w:lang w:eastAsia="zh-TW"/>
        </w:rPr>
        <w:t xml:space="preserve">يعمل برنامج </w:t>
      </w:r>
      <w:r>
        <w:rPr>
          <w:lang w:eastAsia="zh-TW"/>
        </w:rPr>
        <w:t>INFUSE</w:t>
      </w:r>
      <w:r>
        <w:rPr>
          <w:rFonts w:hint="cs"/>
          <w:rtl/>
          <w:lang w:eastAsia="zh-TW"/>
        </w:rPr>
        <w:t xml:space="preserve"> </w:t>
      </w:r>
      <w:r>
        <w:rPr>
          <w:rtl/>
          <w:lang w:eastAsia="zh-TW"/>
        </w:rPr>
        <w:t>أيضا على تيسير الشراكات بين مؤسسات -</w:t>
      </w:r>
      <w:r>
        <w:rPr>
          <w:rFonts w:hint="cs"/>
          <w:rtl/>
          <w:lang w:eastAsia="zh-TW"/>
        </w:rPr>
        <w:t xml:space="preserve"> </w:t>
      </w:r>
      <w:r>
        <w:rPr>
          <w:rtl/>
          <w:lang w:eastAsia="zh-TW"/>
        </w:rPr>
        <w:t>توبا ري ميتين وموريس راسيك - للتمويل البالغ الصغر وهيئة التأمين الوطنية في تيمور</w:t>
      </w:r>
      <w:r>
        <w:rPr>
          <w:rFonts w:hint="cs"/>
          <w:rtl/>
          <w:lang w:eastAsia="zh-TW"/>
        </w:rPr>
        <w:t xml:space="preserve"> </w:t>
      </w:r>
      <w:r>
        <w:rPr>
          <w:rtl/>
          <w:lang w:eastAsia="zh-TW"/>
        </w:rPr>
        <w:t>-</w:t>
      </w:r>
      <w:r>
        <w:rPr>
          <w:rFonts w:hint="cs"/>
          <w:rtl/>
          <w:lang w:eastAsia="zh-TW"/>
        </w:rPr>
        <w:t xml:space="preserve"> </w:t>
      </w:r>
      <w:r>
        <w:rPr>
          <w:rtl/>
          <w:lang w:eastAsia="zh-TW"/>
        </w:rPr>
        <w:t>ليشتي من أجل إيجاد مجموعة من منتجات التأمين البالغ الصغر الخاضعة للقوانين. ولا تزال منتجات التأمين البالغ الصغر هذه في مراحل مبكرة من التطور، إلا أن لديها إمكانات ضخمة لتحسين الاستقرار المالي للكثير من التيموريين وهي بالفعل ذات دور فعال لـ 000 9 امرأة من صاحبات الأعمال التجارية الصغيرة في جميع أنحاء البلاد في كانون الثاني/</w:t>
      </w:r>
      <w:r>
        <w:rPr>
          <w:rFonts w:hint="cs"/>
          <w:rtl/>
          <w:lang w:eastAsia="zh-TW"/>
        </w:rPr>
        <w:t xml:space="preserve"> </w:t>
      </w:r>
      <w:r>
        <w:rPr>
          <w:rtl/>
          <w:lang w:eastAsia="zh-TW"/>
        </w:rPr>
        <w:t>يناير</w:t>
      </w:r>
      <w:r>
        <w:rPr>
          <w:rFonts w:hint="cs"/>
          <w:rtl/>
          <w:lang w:eastAsia="zh-TW"/>
        </w:rPr>
        <w:t> </w:t>
      </w:r>
      <w:r>
        <w:rPr>
          <w:rtl/>
          <w:lang w:eastAsia="zh-TW"/>
        </w:rPr>
        <w:t>2013</w:t>
      </w:r>
      <w:r w:rsidRPr="00AA4C77">
        <w:rPr>
          <w:vertAlign w:val="superscript"/>
          <w:rtl/>
          <w:lang w:eastAsia="zh-TW"/>
        </w:rPr>
        <w:t>(</w:t>
      </w:r>
      <w:r w:rsidRPr="00AA4C77">
        <w:rPr>
          <w:rStyle w:val="FootnoteReference"/>
          <w:szCs w:val="30"/>
          <w:rtl/>
          <w:lang w:eastAsia="zh-TW"/>
        </w:rPr>
        <w:footnoteReference w:id="245"/>
      </w:r>
      <w:r w:rsidRPr="00AA4C77">
        <w:rPr>
          <w:vertAlign w:val="superscript"/>
          <w:rtl/>
          <w:lang w:eastAsia="zh-TW"/>
        </w:rPr>
        <w:t>)</w:t>
      </w:r>
      <w:r>
        <w:rPr>
          <w:rtl/>
          <w:lang w:eastAsia="zh-TW"/>
        </w:rPr>
        <w:t>.</w:t>
      </w:r>
    </w:p>
    <w:p w:rsidR="009943B2" w:rsidRPr="00562F26" w:rsidRDefault="009943B2" w:rsidP="009943B2">
      <w:pPr>
        <w:pStyle w:val="SingleTxt"/>
        <w:rPr>
          <w:rtl/>
          <w:lang w:eastAsia="zh-TW"/>
        </w:rPr>
      </w:pPr>
      <w:r>
        <w:rPr>
          <w:color w:val="000000"/>
          <w:rtl/>
          <w:lang w:eastAsia="zh-TW"/>
        </w:rPr>
        <w:t>٢٩٥</w:t>
      </w:r>
      <w:r>
        <w:rPr>
          <w:rFonts w:hint="cs"/>
          <w:rtl/>
        </w:rPr>
        <w:t xml:space="preserve"> </w:t>
      </w:r>
      <w:r>
        <w:rPr>
          <w:rtl/>
        </w:rPr>
        <w:t xml:space="preserve">- </w:t>
      </w:r>
      <w:r>
        <w:rPr>
          <w:rtl/>
          <w:lang w:eastAsia="zh-TW"/>
        </w:rPr>
        <w:t>والمنتجان الأوليان من منتجات التأمين التي جرى تطويرها هما منتجان إلزاميان لصرف قروض جديدة وتوفير تغطية للنساء وأزواجهن. ويمكن سداد المدفوعات إذا توفيت العميلة أو زوجها. وإذا توفيت المقترضة، يتم إلغاء القرض المتبقي وتحصل أسرتها على مبلغ مسدد على أساس المبلغ الأولي المقترض، بحد أدنى 500 دولار. وإذا توفي زوج المقترضة، تحصل الأسرة على نصف المبلغ المقترض. وقد أتيحت هذه الخدمة كي تحسن بشكل خاص من نوعية الحياة للأرامل واليتامى والمعوزين</w:t>
      </w:r>
      <w:r w:rsidRPr="00AA4C77">
        <w:rPr>
          <w:vertAlign w:val="superscript"/>
          <w:rtl/>
          <w:lang w:eastAsia="zh-TW"/>
        </w:rPr>
        <w:t>(</w:t>
      </w:r>
      <w:r w:rsidRPr="00AA4C77">
        <w:rPr>
          <w:rStyle w:val="FootnoteReference"/>
          <w:szCs w:val="30"/>
          <w:rtl/>
          <w:lang w:eastAsia="zh-TW"/>
        </w:rPr>
        <w:footnoteReference w:id="246"/>
      </w:r>
      <w:r w:rsidRPr="00AA4C77">
        <w:rPr>
          <w:vertAlign w:val="superscript"/>
          <w:rtl/>
          <w:lang w:eastAsia="zh-TW"/>
        </w:rPr>
        <w:t>)</w:t>
      </w:r>
      <w:r>
        <w:rPr>
          <w:rtl/>
          <w:lang w:eastAsia="zh-TW"/>
        </w:rPr>
        <w:t>.</w:t>
      </w:r>
    </w:p>
    <w:p w:rsidR="009943B2" w:rsidRDefault="009943B2" w:rsidP="009943B2">
      <w:pPr>
        <w:pStyle w:val="SingleTxt"/>
        <w:rPr>
          <w:rFonts w:hint="cs"/>
          <w:rtl/>
          <w:lang w:eastAsia="zh-TW"/>
        </w:rPr>
      </w:pPr>
      <w:r>
        <w:rPr>
          <w:color w:val="000000"/>
          <w:rtl/>
          <w:lang w:eastAsia="zh-TW"/>
        </w:rPr>
        <w:t>٢٩٦</w:t>
      </w:r>
      <w:r>
        <w:rPr>
          <w:rFonts w:hint="cs"/>
          <w:rtl/>
        </w:rPr>
        <w:t xml:space="preserve"> </w:t>
      </w:r>
      <w:r>
        <w:rPr>
          <w:rtl/>
        </w:rPr>
        <w:t xml:space="preserve">- </w:t>
      </w:r>
      <w:r>
        <w:rPr>
          <w:rtl/>
          <w:lang w:eastAsia="zh-TW"/>
        </w:rPr>
        <w:t>ولوحظ أن العديد من النساء المقترضات يساورهن القلق من أن يستخدم الأزواج الباقون على قيد الحياة المبلغ المدفوع للزواج من جديد بدلا من توفير الرعاية للأطفال، ولذلك يفضلن عدم إدراج أزواجهن كمستفيدين. ولتحسين قيمة المنتجات الجديدة، أدرجت هذه المعلومات المستقاة في المنتجات التجريبية</w:t>
      </w:r>
      <w:r w:rsidRPr="00AA4C77">
        <w:rPr>
          <w:vertAlign w:val="superscript"/>
          <w:rtl/>
          <w:lang w:eastAsia="zh-TW"/>
        </w:rPr>
        <w:t>(</w:t>
      </w:r>
      <w:r w:rsidRPr="00AA4C77">
        <w:rPr>
          <w:rStyle w:val="FootnoteReference"/>
          <w:szCs w:val="30"/>
          <w:rtl/>
          <w:lang w:eastAsia="zh-TW"/>
        </w:rPr>
        <w:footnoteReference w:id="247"/>
      </w:r>
      <w:r w:rsidRPr="00AA4C77">
        <w:rPr>
          <w:vertAlign w:val="superscript"/>
          <w:rtl/>
          <w:lang w:eastAsia="zh-TW"/>
        </w:rPr>
        <w:t>)</w:t>
      </w:r>
      <w:r>
        <w:rPr>
          <w:rtl/>
          <w:lang w:eastAsia="zh-TW"/>
        </w:rPr>
        <w:t>.</w:t>
      </w:r>
      <w:bookmarkStart w:id="3" w:name="_Toc356284903"/>
      <w:bookmarkStart w:id="4" w:name="_Toc358879762"/>
    </w:p>
    <w:p w:rsidR="009943B2" w:rsidRPr="00AA4C77" w:rsidRDefault="009943B2" w:rsidP="009943B2">
      <w:pPr>
        <w:pStyle w:val="SingleTxt"/>
        <w:spacing w:after="0" w:line="120" w:lineRule="exact"/>
        <w:rPr>
          <w:rFonts w:hint="cs"/>
          <w:sz w:val="10"/>
          <w:rtl/>
          <w:lang w:eastAsia="zh-TW"/>
        </w:rPr>
      </w:pPr>
    </w:p>
    <w:p w:rsidR="009943B2" w:rsidRPr="009D7F5A" w:rsidRDefault="009943B2" w:rsidP="009943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9D7F5A">
        <w:rPr>
          <w:rtl/>
          <w:lang w:eastAsia="zh-TW"/>
        </w:rPr>
        <w:tab/>
      </w:r>
      <w:r w:rsidRPr="009D7F5A">
        <w:rPr>
          <w:rtl/>
          <w:lang w:eastAsia="zh-TW"/>
        </w:rPr>
        <w:tab/>
        <w:t xml:space="preserve">المادة 14: المرأة الريفية </w:t>
      </w:r>
      <w:bookmarkEnd w:id="3"/>
      <w:bookmarkEnd w:id="4"/>
    </w:p>
    <w:p w:rsidR="009943B2" w:rsidRPr="00562F26" w:rsidRDefault="009943B2" w:rsidP="009943B2">
      <w:pPr>
        <w:pStyle w:val="SingleTxt"/>
        <w:rPr>
          <w:rtl/>
          <w:lang w:eastAsia="zh-TW"/>
        </w:rPr>
      </w:pPr>
      <w:r>
        <w:rPr>
          <w:color w:val="000000"/>
          <w:rtl/>
          <w:lang w:eastAsia="zh-TW"/>
        </w:rPr>
        <w:t>٢٩٧</w:t>
      </w:r>
      <w:r>
        <w:rPr>
          <w:rFonts w:hint="cs"/>
          <w:rtl/>
        </w:rPr>
        <w:t xml:space="preserve"> </w:t>
      </w:r>
      <w:r>
        <w:rPr>
          <w:rtl/>
        </w:rPr>
        <w:t xml:space="preserve">- </w:t>
      </w:r>
      <w:r>
        <w:rPr>
          <w:rtl/>
          <w:lang w:eastAsia="zh-TW"/>
        </w:rPr>
        <w:t>وفقا للتعداد السكاني لعام 2010، فإن تيمور</w:t>
      </w:r>
      <w:r>
        <w:rPr>
          <w:rFonts w:hint="cs"/>
          <w:rtl/>
          <w:lang w:eastAsia="zh-TW"/>
        </w:rPr>
        <w:t xml:space="preserve"> </w:t>
      </w:r>
      <w:r>
        <w:rPr>
          <w:rtl/>
          <w:lang w:eastAsia="zh-TW"/>
        </w:rPr>
        <w:t>-</w:t>
      </w:r>
      <w:r>
        <w:rPr>
          <w:rFonts w:hint="cs"/>
          <w:rtl/>
          <w:lang w:eastAsia="zh-TW"/>
        </w:rPr>
        <w:t xml:space="preserve"> </w:t>
      </w:r>
      <w:r>
        <w:rPr>
          <w:rtl/>
          <w:lang w:eastAsia="zh-TW"/>
        </w:rPr>
        <w:t>ليشتي بها بالكاد ما يزيد على 1.06 مليون شخص (50.9 في المائة من الرجال/49.1 في المائة من النساء؛ وتبلغ النسبة بين الجنسين 102.99). وتعيش الأغلبية الساحقة (71 في المائة) من السكان في المناطق الريفية (ينطبق نفس التصنيف بالتحديد في ما بين المرأة الحضرية والمرأة الريفية - تبلغ نسبة المرأة الريفية 71 في المائة)</w:t>
      </w:r>
      <w:r w:rsidRPr="00AA4C77">
        <w:rPr>
          <w:vertAlign w:val="superscript"/>
          <w:rtl/>
          <w:lang w:eastAsia="zh-TW"/>
        </w:rPr>
        <w:t>(</w:t>
      </w:r>
      <w:r w:rsidRPr="00AA4C77">
        <w:rPr>
          <w:rStyle w:val="FootnoteReference"/>
          <w:szCs w:val="30"/>
          <w:rtl/>
          <w:lang w:eastAsia="zh-TW"/>
        </w:rPr>
        <w:footnoteReference w:id="248"/>
      </w:r>
      <w:r w:rsidRPr="00AA4C77">
        <w:rPr>
          <w:vertAlign w:val="superscript"/>
          <w:rtl/>
          <w:lang w:eastAsia="zh-TW"/>
        </w:rPr>
        <w:t>)</w:t>
      </w:r>
      <w:r>
        <w:rPr>
          <w:rtl/>
          <w:lang w:eastAsia="zh-TW"/>
        </w:rPr>
        <w:t>.</w:t>
      </w:r>
      <w:bookmarkStart w:id="5" w:name="_Toc356284904"/>
      <w:bookmarkStart w:id="6" w:name="_Toc358879763"/>
    </w:p>
    <w:p w:rsidR="009943B2" w:rsidRPr="00AA4C77" w:rsidRDefault="009943B2" w:rsidP="009943B2">
      <w:pPr>
        <w:pStyle w:val="SingleTxt"/>
        <w:spacing w:after="0" w:line="120" w:lineRule="exact"/>
        <w:rPr>
          <w:sz w:val="10"/>
          <w:rtl/>
          <w:lang w:eastAsia="zh-TW"/>
        </w:rPr>
      </w:pPr>
    </w:p>
    <w:p w:rsidR="009943B2" w:rsidRPr="00562F26" w:rsidRDefault="009943B2" w:rsidP="009943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Pr="00562F26">
        <w:rPr>
          <w:rtl/>
          <w:lang w:eastAsia="zh-TW"/>
        </w:rPr>
        <w:t>السياسات والتشريعات</w:t>
      </w:r>
      <w:bookmarkEnd w:id="5"/>
      <w:bookmarkEnd w:id="6"/>
    </w:p>
    <w:p w:rsidR="009943B2" w:rsidRDefault="009943B2" w:rsidP="009943B2">
      <w:pPr>
        <w:pStyle w:val="SingleTxt"/>
        <w:rPr>
          <w:rFonts w:hint="cs"/>
          <w:rtl/>
          <w:lang w:eastAsia="zh-TW"/>
        </w:rPr>
      </w:pPr>
      <w:r>
        <w:rPr>
          <w:color w:val="000000"/>
          <w:rtl/>
          <w:lang w:eastAsia="zh-TW"/>
        </w:rPr>
        <w:t>٢٩٨</w:t>
      </w:r>
      <w:r>
        <w:rPr>
          <w:rFonts w:hint="cs"/>
          <w:rtl/>
        </w:rPr>
        <w:t xml:space="preserve"> </w:t>
      </w:r>
      <w:r>
        <w:rPr>
          <w:rtl/>
        </w:rPr>
        <w:t xml:space="preserve">- </w:t>
      </w:r>
      <w:r>
        <w:rPr>
          <w:rtl/>
          <w:lang w:eastAsia="zh-TW"/>
        </w:rPr>
        <w:t>صدقت الحكومة الدستورية الرابعة على المرسوم بقانون رقم 26/2011 المتعلق بالتنمية المستدامة في المناطق الريفية، الذي أنشئت بموجبه لجنة مشتركة بين الوزارات من أجل التنمية الريفية برئاسة وزير الاقتصاد والتنمية. وتتمثل المهمة الرئيسية لهذه اللجنة في الوقوف على أولويات التنمية الريفية، وتحديد مدى مناسبة التنسيق المشترك بين الوزارات لتحديد المشاريع وتنفيذها واستكمالها، وإرساء سبل التنسيق والتحقق، في إطار الشراكة من أجل التنمية. وتتولى اللجنة المسؤولية أيضا عن إدراج البيانات المجمعة المفصلة حسب نوع الجنس، ورصد المساواة بين الجنسين على أعلى مستوى إطاري، ضمن الإطار الاستراتيجي للتنمية الريفية للفترة 2010-2020</w:t>
      </w:r>
      <w:r w:rsidRPr="00AA4C77">
        <w:rPr>
          <w:vertAlign w:val="superscript"/>
          <w:rtl/>
          <w:lang w:eastAsia="zh-TW"/>
        </w:rPr>
        <w:t>(</w:t>
      </w:r>
      <w:r w:rsidRPr="00AA4C77">
        <w:rPr>
          <w:rStyle w:val="FootnoteReference"/>
          <w:szCs w:val="30"/>
          <w:rtl/>
          <w:lang w:eastAsia="zh-TW"/>
        </w:rPr>
        <w:footnoteReference w:id="249"/>
      </w:r>
      <w:r w:rsidRPr="00AA4C77">
        <w:rPr>
          <w:vertAlign w:val="superscript"/>
          <w:rtl/>
          <w:lang w:eastAsia="zh-TW"/>
        </w:rPr>
        <w:t>)</w:t>
      </w:r>
      <w:r>
        <w:rPr>
          <w:rtl/>
          <w:lang w:eastAsia="zh-TW"/>
        </w:rPr>
        <w:t>.</w:t>
      </w:r>
      <w:r>
        <w:rPr>
          <w:rFonts w:hint="cs"/>
          <w:rtl/>
          <w:lang w:eastAsia="zh-TW"/>
        </w:rPr>
        <w:t xml:space="preserve"> </w:t>
      </w:r>
      <w:r>
        <w:rPr>
          <w:rtl/>
          <w:lang w:eastAsia="zh-TW"/>
        </w:rPr>
        <w:t>إلا أن حل وزارة الاقتصاد والتنمية أدى إلى وجود فراغ في القيادة والمسؤوليات. وتجري إعادة تنشيط هذه اللجنة، في الحكومة الدستورية الخامسة، تحت إشراف نائب رئيس الوزراء، وبمشاركة العديد من الوزارات ذات</w:t>
      </w:r>
      <w:r>
        <w:rPr>
          <w:rFonts w:hint="cs"/>
          <w:rtl/>
          <w:lang w:eastAsia="zh-TW"/>
        </w:rPr>
        <w:t> </w:t>
      </w:r>
      <w:r>
        <w:rPr>
          <w:rtl/>
          <w:lang w:eastAsia="zh-TW"/>
        </w:rPr>
        <w:t>الصلة، ولا سيما وزارة إدارة شؤون الدولة، ووزارة المالية و</w:t>
      </w:r>
      <w:r w:rsidRPr="009D7F5A">
        <w:rPr>
          <w:rtl/>
          <w:lang w:eastAsia="zh-TW"/>
        </w:rPr>
        <w:t>وزارة الزراعة ومصائد الأسماك</w:t>
      </w:r>
      <w:r>
        <w:rPr>
          <w:rtl/>
          <w:lang w:eastAsia="zh-TW"/>
        </w:rPr>
        <w:t>، ووزارة الأشغال العامة</w:t>
      </w:r>
      <w:r w:rsidRPr="008304C2">
        <w:rPr>
          <w:vertAlign w:val="superscript"/>
          <w:rtl/>
          <w:lang w:eastAsia="zh-TW"/>
        </w:rPr>
        <w:t>(</w:t>
      </w:r>
      <w:r w:rsidRPr="008304C2">
        <w:rPr>
          <w:rStyle w:val="FootnoteReference"/>
          <w:szCs w:val="30"/>
          <w:rtl/>
          <w:lang w:eastAsia="zh-TW"/>
        </w:rPr>
        <w:footnoteReference w:id="250"/>
      </w:r>
      <w:r w:rsidRPr="008304C2">
        <w:rPr>
          <w:vertAlign w:val="superscript"/>
          <w:rtl/>
          <w:lang w:eastAsia="zh-TW"/>
        </w:rPr>
        <w:t>)</w:t>
      </w:r>
      <w:r>
        <w:rPr>
          <w:rtl/>
          <w:lang w:eastAsia="zh-TW"/>
        </w:rPr>
        <w:t>.</w:t>
      </w:r>
    </w:p>
    <w:p w:rsidR="009943B2" w:rsidRPr="00562F26" w:rsidRDefault="009943B2" w:rsidP="009943B2">
      <w:pPr>
        <w:pStyle w:val="SingleTxt"/>
        <w:rPr>
          <w:rtl/>
          <w:lang w:eastAsia="zh-TW"/>
        </w:rPr>
      </w:pPr>
      <w:r>
        <w:rPr>
          <w:color w:val="000000"/>
          <w:rtl/>
          <w:lang w:eastAsia="zh-TW"/>
        </w:rPr>
        <w:t>٢٩٩</w:t>
      </w:r>
      <w:r>
        <w:rPr>
          <w:rFonts w:hint="cs"/>
          <w:rtl/>
        </w:rPr>
        <w:t xml:space="preserve"> </w:t>
      </w:r>
      <w:r>
        <w:rPr>
          <w:rtl/>
        </w:rPr>
        <w:t xml:space="preserve">- </w:t>
      </w:r>
      <w:r>
        <w:rPr>
          <w:rtl/>
          <w:lang w:eastAsia="zh-TW"/>
        </w:rPr>
        <w:t xml:space="preserve">وفي ما يتعلق بإمكانية حصول المجتمعات الريفية على المياه، يجري حاليا وضع سياسة وطنية للموارد المائية، وهي الآن بصدد إعادة الانخراط داخل المديرية الوطنية للمياه في إطار </w:t>
      </w:r>
      <w:r w:rsidRPr="009D7F5A">
        <w:rPr>
          <w:rtl/>
          <w:lang w:eastAsia="zh-TW"/>
        </w:rPr>
        <w:t>وزارة الأشغال العامة</w:t>
      </w:r>
      <w:r>
        <w:rPr>
          <w:rtl/>
          <w:lang w:eastAsia="zh-TW"/>
        </w:rPr>
        <w:t xml:space="preserve">. وبرنامج المياه والصرف الصحي والنظافة الصحية في المجتمعات المحلية (بيسيك) </w:t>
      </w:r>
      <w:r>
        <w:rPr>
          <w:rFonts w:hint="cs"/>
          <w:rtl/>
          <w:lang w:eastAsia="zh-TW"/>
        </w:rPr>
        <w:t>’</w:t>
      </w:r>
      <w:r w:rsidRPr="00562F26">
        <w:rPr>
          <w:i/>
          <w:szCs w:val="24"/>
        </w:rPr>
        <w:t>Bee, Saneamentu no Ijiene iha Komunidade</w:t>
      </w:r>
      <w:r>
        <w:rPr>
          <w:rFonts w:hint="cs"/>
          <w:rtl/>
          <w:lang w:eastAsia="zh-TW"/>
        </w:rPr>
        <w:t>‘</w:t>
      </w:r>
      <w:r>
        <w:rPr>
          <w:rtl/>
          <w:lang w:eastAsia="zh-TW"/>
        </w:rPr>
        <w:t xml:space="preserve"> بدعم من الوكالة الأسترالية للتنمية الدولية، وهو يقوم حاليا بمساعدة حكومة تيمور</w:t>
      </w:r>
      <w:r>
        <w:rPr>
          <w:rFonts w:hint="cs"/>
          <w:rtl/>
          <w:lang w:eastAsia="zh-TW"/>
        </w:rPr>
        <w:t xml:space="preserve"> </w:t>
      </w:r>
      <w:r>
        <w:rPr>
          <w:rtl/>
          <w:lang w:eastAsia="zh-TW"/>
        </w:rPr>
        <w:t>-</w:t>
      </w:r>
      <w:r>
        <w:rPr>
          <w:rFonts w:hint="cs"/>
          <w:rtl/>
          <w:lang w:eastAsia="zh-TW"/>
        </w:rPr>
        <w:t xml:space="preserve"> </w:t>
      </w:r>
      <w:r>
        <w:rPr>
          <w:rtl/>
          <w:lang w:eastAsia="zh-TW"/>
        </w:rPr>
        <w:t>ليشتي في صياغة القانون. ومن المتوقع أن يسن القانون في البرلمان الوطني بحلول نهاية عام 2013</w:t>
      </w:r>
      <w:r w:rsidRPr="008304C2">
        <w:rPr>
          <w:vertAlign w:val="superscript"/>
          <w:rtl/>
          <w:lang w:eastAsia="zh-TW"/>
        </w:rPr>
        <w:t>(</w:t>
      </w:r>
      <w:r w:rsidRPr="008304C2">
        <w:rPr>
          <w:rStyle w:val="FootnoteReference"/>
          <w:szCs w:val="30"/>
          <w:rtl/>
          <w:lang w:eastAsia="zh-TW"/>
        </w:rPr>
        <w:footnoteReference w:id="251"/>
      </w:r>
      <w:r w:rsidRPr="008304C2">
        <w:rPr>
          <w:vertAlign w:val="superscript"/>
          <w:rtl/>
          <w:lang w:eastAsia="zh-TW"/>
        </w:rPr>
        <w:t>)</w:t>
      </w:r>
      <w:r>
        <w:rPr>
          <w:rtl/>
          <w:lang w:eastAsia="zh-TW"/>
        </w:rPr>
        <w:t>.</w:t>
      </w:r>
    </w:p>
    <w:p w:rsidR="009943B2" w:rsidRPr="00562F26" w:rsidRDefault="009943B2" w:rsidP="009943B2">
      <w:pPr>
        <w:pStyle w:val="SingleTxt"/>
        <w:rPr>
          <w:rtl/>
          <w:lang w:eastAsia="zh-TW"/>
        </w:rPr>
      </w:pPr>
      <w:r>
        <w:rPr>
          <w:color w:val="000000"/>
          <w:rtl/>
          <w:lang w:eastAsia="zh-TW"/>
        </w:rPr>
        <w:t>٣٠٠</w:t>
      </w:r>
      <w:r>
        <w:rPr>
          <w:rtl/>
        </w:rPr>
        <w:t xml:space="preserve"> - </w:t>
      </w:r>
      <w:r>
        <w:rPr>
          <w:rtl/>
          <w:lang w:eastAsia="zh-TW"/>
        </w:rPr>
        <w:t>ويضمن المرسوم بقانون رقم 4/2004 بشأن استهلاك المياه النظيفة وإدارة النفايات (شاركت وزارة الدولة المعنية بالنهوض بالمساواة بين الجنسين في الفريق العامل المعني به من أجل صياغة مشروع القانون) وجود منظومة لشبكة المياه في المناطق الريفية والحضرية، بما في ذلك وجود مرافق نظيفة، ويضمن لجميع النساء - لا سيما الريفيات - إمكانية الوصول إلى المياه النظيفة وخدمات الصرف الصحي الجيدة</w:t>
      </w:r>
      <w:r w:rsidRPr="008304C2">
        <w:rPr>
          <w:vertAlign w:val="superscript"/>
          <w:rtl/>
          <w:lang w:eastAsia="zh-TW"/>
        </w:rPr>
        <w:t>(</w:t>
      </w:r>
      <w:r w:rsidRPr="008304C2">
        <w:rPr>
          <w:rStyle w:val="FootnoteReference"/>
          <w:szCs w:val="30"/>
          <w:rtl/>
          <w:lang w:eastAsia="zh-TW"/>
        </w:rPr>
        <w:footnoteReference w:id="252"/>
      </w:r>
      <w:r w:rsidRPr="008304C2">
        <w:rPr>
          <w:vertAlign w:val="superscript"/>
          <w:rtl/>
          <w:lang w:eastAsia="zh-TW"/>
        </w:rPr>
        <w:t>)</w:t>
      </w:r>
      <w:r>
        <w:rPr>
          <w:rtl/>
          <w:lang w:eastAsia="zh-TW"/>
        </w:rPr>
        <w:t>.</w:t>
      </w:r>
      <w:r>
        <w:rPr>
          <w:rFonts w:hint="cs"/>
          <w:rtl/>
          <w:lang w:eastAsia="zh-TW"/>
        </w:rPr>
        <w:t xml:space="preserve"> </w:t>
      </w:r>
      <w:r>
        <w:rPr>
          <w:rtl/>
          <w:lang w:eastAsia="zh-TW"/>
        </w:rPr>
        <w:t>وتبعا لإسهامات وزارة الدولة المعنية بالنهوض بالمساواة بين الجنسين في وضع السياسات المائية وسياسة الصرف الصحي في الفترة 2010-2011، وتعزز السياسة المائية الدور القيادي للمرأة الريفية في اللجان المجتمعية</w:t>
      </w:r>
      <w:r>
        <w:rPr>
          <w:rFonts w:hint="cs"/>
          <w:rtl/>
          <w:lang w:eastAsia="zh-TW"/>
        </w:rPr>
        <w:t> </w:t>
      </w:r>
      <w:r>
        <w:rPr>
          <w:rtl/>
          <w:lang w:eastAsia="zh-TW"/>
        </w:rPr>
        <w:t>لإدارة المياه مع تحديد حصة لهن لا تقل عن 30 في المائة ونسبة موصى بها قدرها 50 في المائة، فضلا عن إسناد أدوار تقنية وإدارية إلى النساء. وتعزز سياسة الصرف الصحي من إمكانية حصول الجميع على الخدمات، بما في ذلك المراحيض العامة المنفصلة للرجال والنساء والمراعية لجوانب النظافة الصحية المتعلقة بالطمث، لا سيما في المدارس</w:t>
      </w:r>
      <w:r w:rsidRPr="008304C2">
        <w:rPr>
          <w:vertAlign w:val="superscript"/>
          <w:rtl/>
          <w:lang w:eastAsia="zh-TW"/>
        </w:rPr>
        <w:t>(</w:t>
      </w:r>
      <w:r w:rsidRPr="008304C2">
        <w:rPr>
          <w:rStyle w:val="FootnoteReference"/>
          <w:szCs w:val="30"/>
          <w:rtl/>
          <w:lang w:eastAsia="zh-TW"/>
        </w:rPr>
        <w:footnoteReference w:id="253"/>
      </w:r>
      <w:r w:rsidRPr="008304C2">
        <w:rPr>
          <w:vertAlign w:val="superscript"/>
          <w:rtl/>
          <w:lang w:eastAsia="zh-TW"/>
        </w:rPr>
        <w:t>)</w:t>
      </w:r>
      <w:r>
        <w:rPr>
          <w:rtl/>
          <w:lang w:eastAsia="zh-TW"/>
        </w:rPr>
        <w:t>.</w:t>
      </w:r>
    </w:p>
    <w:p w:rsidR="009943B2" w:rsidRPr="00562F26" w:rsidRDefault="009943B2" w:rsidP="009943B2">
      <w:pPr>
        <w:pStyle w:val="SingleTxt"/>
        <w:rPr>
          <w:rtl/>
          <w:lang w:eastAsia="zh-TW"/>
        </w:rPr>
      </w:pPr>
      <w:r>
        <w:rPr>
          <w:color w:val="000000"/>
          <w:rtl/>
          <w:lang w:eastAsia="zh-TW"/>
        </w:rPr>
        <w:t>٣٠١</w:t>
      </w:r>
      <w:r>
        <w:rPr>
          <w:rFonts w:hint="cs"/>
          <w:rtl/>
        </w:rPr>
        <w:t xml:space="preserve"> </w:t>
      </w:r>
      <w:r>
        <w:rPr>
          <w:rtl/>
        </w:rPr>
        <w:t xml:space="preserve">- </w:t>
      </w:r>
      <w:r>
        <w:rPr>
          <w:rtl/>
          <w:lang w:eastAsia="zh-TW"/>
        </w:rPr>
        <w:t>ويشكل أثر عدم التيقن فيما يتعلق بملكية الأراضي والممتلكات مسألة حساسة وقد أصبح في كثير من الأحيان مصدرا للنزاع فيما بين التيموريين</w:t>
      </w:r>
      <w:r w:rsidRPr="009547C5">
        <w:rPr>
          <w:vertAlign w:val="superscript"/>
          <w:rtl/>
          <w:lang w:eastAsia="zh-TW"/>
        </w:rPr>
        <w:t>(</w:t>
      </w:r>
      <w:r w:rsidRPr="009547C5">
        <w:rPr>
          <w:rStyle w:val="FootnoteReference"/>
          <w:szCs w:val="30"/>
          <w:rtl/>
          <w:lang w:eastAsia="zh-TW"/>
        </w:rPr>
        <w:footnoteReference w:id="254"/>
      </w:r>
      <w:r w:rsidRPr="009547C5">
        <w:rPr>
          <w:vertAlign w:val="superscript"/>
          <w:rtl/>
          <w:lang w:eastAsia="zh-TW"/>
        </w:rPr>
        <w:t>)</w:t>
      </w:r>
      <w:r>
        <w:rPr>
          <w:rtl/>
          <w:lang w:eastAsia="zh-TW"/>
        </w:rPr>
        <w:t>.</w:t>
      </w:r>
      <w:bookmarkStart w:id="7" w:name="_Toc356284905"/>
      <w:bookmarkStart w:id="8" w:name="_Toc358879764"/>
      <w:r>
        <w:rPr>
          <w:rFonts w:hint="cs"/>
          <w:rtl/>
          <w:lang w:eastAsia="zh-TW"/>
        </w:rPr>
        <w:t xml:space="preserve"> </w:t>
      </w:r>
      <w:r>
        <w:rPr>
          <w:rtl/>
          <w:lang w:eastAsia="zh-TW"/>
        </w:rPr>
        <w:t>ولا يزال قانون الأراضي (المسمى رسميا النظام الخاص لتعريف ملكية الممتلكات العقارية) معلقا منذ عام 2008، وجرى تنقيحه بشكل واسع النطاق في الفترة شباط/فبراير</w:t>
      </w:r>
      <w:r>
        <w:rPr>
          <w:rFonts w:hint="cs"/>
          <w:rtl/>
          <w:lang w:eastAsia="zh-TW"/>
        </w:rPr>
        <w:t xml:space="preserve"> </w:t>
      </w:r>
      <w:r>
        <w:rPr>
          <w:rtl/>
          <w:lang w:eastAsia="zh-TW"/>
        </w:rPr>
        <w:t>-</w:t>
      </w:r>
      <w:r>
        <w:rPr>
          <w:rFonts w:hint="cs"/>
          <w:rtl/>
          <w:lang w:eastAsia="zh-TW"/>
        </w:rPr>
        <w:t xml:space="preserve"> </w:t>
      </w:r>
      <w:r>
        <w:rPr>
          <w:rtl/>
          <w:lang w:eastAsia="zh-TW"/>
        </w:rPr>
        <w:t>نيسان/أبريل 2013 مع إنشاء فريق عامل فرعي معني بنوع الجنس وبقانون الأراضي. وركزت الإسهامات على كفالة مشاركة المرأة أثناء المشاورات المتعلقة بالمسح العقاري، مع التشجيع على إصدار سندات ملكية الأراضي باسم كل من الزوجين، والتساوي في التعويضات التي يتم تلقيها/الوصول إليها، والحصول على حماية خاصة أثناء عمليات نزع الملكية. وقد أعيد تقديم القانون الآن إلى وزير العدل، وهو في انتظار موافقة مجلس الوزراء.</w:t>
      </w:r>
    </w:p>
    <w:p w:rsidR="009943B2" w:rsidRPr="009547C5" w:rsidRDefault="009943B2" w:rsidP="009943B2">
      <w:pPr>
        <w:pStyle w:val="SingleTxt"/>
        <w:spacing w:after="0" w:line="120" w:lineRule="exact"/>
        <w:rPr>
          <w:sz w:val="10"/>
          <w:rtl/>
          <w:lang w:eastAsia="zh-TW"/>
        </w:rPr>
      </w:pPr>
    </w:p>
    <w:p w:rsidR="009943B2" w:rsidRPr="009547C5"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Pr="009547C5">
        <w:rPr>
          <w:rtl/>
          <w:lang w:eastAsia="zh-TW"/>
        </w:rPr>
        <w:t>أولويات واستراتيجيات التنمية الريفية</w:t>
      </w:r>
      <w:bookmarkEnd w:id="7"/>
      <w:bookmarkEnd w:id="8"/>
    </w:p>
    <w:p w:rsidR="009943B2" w:rsidRDefault="009943B2" w:rsidP="009943B2">
      <w:pPr>
        <w:pStyle w:val="SingleTxt"/>
        <w:rPr>
          <w:rFonts w:hint="cs"/>
          <w:rtl/>
          <w:lang w:eastAsia="zh-TW"/>
        </w:rPr>
      </w:pPr>
      <w:r>
        <w:rPr>
          <w:color w:val="000000"/>
          <w:rtl/>
          <w:lang w:eastAsia="zh-TW"/>
        </w:rPr>
        <w:t>٣٠٢</w:t>
      </w:r>
      <w:r>
        <w:rPr>
          <w:rFonts w:hint="cs"/>
          <w:rtl/>
        </w:rPr>
        <w:t xml:space="preserve"> </w:t>
      </w:r>
      <w:r>
        <w:rPr>
          <w:rtl/>
        </w:rPr>
        <w:t xml:space="preserve">- </w:t>
      </w:r>
      <w:r>
        <w:rPr>
          <w:rtl/>
          <w:lang w:eastAsia="zh-TW"/>
        </w:rPr>
        <w:t>تضطلع المرأة الريفية بدور بالغ الأهمية في التنمية الاقتصادية لتيمور</w:t>
      </w:r>
      <w:r>
        <w:rPr>
          <w:rFonts w:hint="cs"/>
          <w:rtl/>
          <w:lang w:eastAsia="zh-TW"/>
        </w:rPr>
        <w:t xml:space="preserve"> </w:t>
      </w:r>
      <w:r>
        <w:rPr>
          <w:rtl/>
          <w:lang w:eastAsia="zh-TW"/>
        </w:rPr>
        <w:t>-</w:t>
      </w:r>
      <w:r>
        <w:rPr>
          <w:rFonts w:hint="cs"/>
          <w:rtl/>
          <w:lang w:eastAsia="zh-TW"/>
        </w:rPr>
        <w:t xml:space="preserve"> </w:t>
      </w:r>
      <w:r>
        <w:rPr>
          <w:rtl/>
          <w:lang w:eastAsia="zh-TW"/>
        </w:rPr>
        <w:t xml:space="preserve">ليشتي، وذلك في الغالب عن طريق القطاع الزراعي. ومن أجل التوصل إلى تقييم أفضل لاحتياجات وأولويات المرأة الريفية، والنظر في مشاركة المرأة في البرامج الزراعية في المستقبل، بدأت </w:t>
      </w:r>
      <w:r w:rsidRPr="00AD4C55">
        <w:rPr>
          <w:rtl/>
          <w:lang w:eastAsia="zh-TW"/>
        </w:rPr>
        <w:t>وزارة الزراعة ومصائد الأسماك</w:t>
      </w:r>
      <w:r>
        <w:rPr>
          <w:szCs w:val="20"/>
          <w:rtl/>
          <w:lang w:eastAsia="zh-TW"/>
        </w:rPr>
        <w:t xml:space="preserve"> </w:t>
      </w:r>
      <w:r>
        <w:rPr>
          <w:rtl/>
          <w:lang w:eastAsia="zh-TW"/>
        </w:rPr>
        <w:t>خلال عام 2008 في صياغة سياسة زراعية مراعية للاعتبارات الجنسانية. وجرى وضع السياسة الجنسانية بالتشاور مع النساء العاملات في الزراعة، وفي مجال الإرشاد الزراعي، والمنظمات النسائية، فضلا عن الجهات المعنية الأخرى. وطرحت</w:t>
      </w:r>
      <w:r w:rsidRPr="00852584">
        <w:rPr>
          <w:rtl/>
          <w:lang w:eastAsia="zh-TW"/>
        </w:rPr>
        <w:t xml:space="preserve"> </w:t>
      </w:r>
      <w:r>
        <w:rPr>
          <w:rtl/>
          <w:lang w:eastAsia="zh-TW"/>
        </w:rPr>
        <w:t>على لجنة صياغة السياسة الجنسانية، الآراء التي أعرب عنها في حلقات العمل التشاورية، وهي الآن في المراحل النهائية</w:t>
      </w:r>
      <w:r w:rsidRPr="000853F7">
        <w:rPr>
          <w:vertAlign w:val="superscript"/>
          <w:rtl/>
          <w:lang w:eastAsia="zh-TW"/>
        </w:rPr>
        <w:t>(</w:t>
      </w:r>
      <w:r w:rsidRPr="000853F7">
        <w:rPr>
          <w:rStyle w:val="FootnoteReference"/>
          <w:szCs w:val="30"/>
          <w:rtl/>
          <w:lang w:eastAsia="zh-TW"/>
        </w:rPr>
        <w:footnoteReference w:id="255"/>
      </w:r>
      <w:r w:rsidRPr="000853F7">
        <w:rPr>
          <w:vertAlign w:val="superscript"/>
          <w:rtl/>
          <w:lang w:eastAsia="zh-TW"/>
        </w:rPr>
        <w:t>)</w:t>
      </w:r>
      <w:r>
        <w:rPr>
          <w:rtl/>
          <w:lang w:eastAsia="zh-TW"/>
        </w:rPr>
        <w:t>.</w:t>
      </w:r>
      <w:bookmarkStart w:id="9" w:name="_Toc356284906"/>
      <w:bookmarkStart w:id="10" w:name="_Toc358879765"/>
    </w:p>
    <w:p w:rsidR="009943B2" w:rsidRPr="001F1F8D" w:rsidRDefault="009943B2" w:rsidP="009943B2">
      <w:pPr>
        <w:pStyle w:val="SingleTxt"/>
        <w:spacing w:after="0" w:line="120" w:lineRule="exact"/>
        <w:rPr>
          <w:sz w:val="10"/>
          <w:rtl/>
          <w:lang w:eastAsia="zh-TW"/>
        </w:rPr>
      </w:pPr>
    </w:p>
    <w:p w:rsidR="009943B2" w:rsidRPr="000853F7"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Pr="000853F7">
        <w:rPr>
          <w:rtl/>
          <w:lang w:eastAsia="zh-TW"/>
        </w:rPr>
        <w:t>الأمن الغذائي للمرأة في المناطق الريفية</w:t>
      </w:r>
      <w:bookmarkEnd w:id="9"/>
      <w:bookmarkEnd w:id="10"/>
    </w:p>
    <w:p w:rsidR="009943B2" w:rsidRPr="00562F26" w:rsidRDefault="009943B2" w:rsidP="009943B2">
      <w:pPr>
        <w:pStyle w:val="SingleTxt"/>
        <w:rPr>
          <w:rtl/>
          <w:lang w:eastAsia="zh-TW"/>
        </w:rPr>
      </w:pPr>
      <w:r>
        <w:rPr>
          <w:color w:val="000000"/>
          <w:rtl/>
          <w:lang w:eastAsia="zh-TW"/>
        </w:rPr>
        <w:t>٣٠٣</w:t>
      </w:r>
      <w:r>
        <w:rPr>
          <w:rFonts w:hint="cs"/>
          <w:rtl/>
        </w:rPr>
        <w:t xml:space="preserve"> </w:t>
      </w:r>
      <w:r>
        <w:rPr>
          <w:rtl/>
        </w:rPr>
        <w:t xml:space="preserve">- </w:t>
      </w:r>
      <w:r>
        <w:rPr>
          <w:rtl/>
          <w:lang w:eastAsia="zh-TW"/>
        </w:rPr>
        <w:t>لا يزال انعدام الأمن الغذائي يمثل تحديا في تيمور</w:t>
      </w:r>
      <w:r>
        <w:rPr>
          <w:rFonts w:hint="cs"/>
          <w:rtl/>
          <w:lang w:eastAsia="zh-TW"/>
        </w:rPr>
        <w:t xml:space="preserve"> </w:t>
      </w:r>
      <w:r>
        <w:rPr>
          <w:rtl/>
          <w:lang w:eastAsia="zh-TW"/>
        </w:rPr>
        <w:t>-</w:t>
      </w:r>
      <w:r>
        <w:rPr>
          <w:rFonts w:hint="cs"/>
          <w:rtl/>
          <w:lang w:eastAsia="zh-TW"/>
        </w:rPr>
        <w:t xml:space="preserve"> </w:t>
      </w:r>
      <w:r>
        <w:rPr>
          <w:rtl/>
          <w:lang w:eastAsia="zh-TW"/>
        </w:rPr>
        <w:t>ليشتي، ولا سيما بالنسبة للأطفال والنساء في المناطق الريفية. ووفقا لما ورد في الاستقصاء الديمغرافي والصحي للفترة 2009-2010، جرى التوصل إلى أن 27 في المائة من النساء يقل مؤشر كتلة الجسم لديهن عن 18.5 مما يشير إلى أن سوء التغذية بين النساء باعث على القلق بشكل خطير في مجال الصحة العامة. ومع ذلك، فقد لوحظ اتجاه إيجابي في الحالة التغذوية للمرأة مع انخفاض النسبة المئوية للنساء التي يقل مؤشر كتلة الجسم لديهن عن 18.5، حيث كانت النسبة 38</w:t>
      </w:r>
      <w:r>
        <w:rPr>
          <w:rFonts w:hint="cs"/>
          <w:rtl/>
          <w:lang w:eastAsia="zh-TW"/>
        </w:rPr>
        <w:t> </w:t>
      </w:r>
      <w:r>
        <w:rPr>
          <w:rtl/>
          <w:lang w:eastAsia="zh-TW"/>
        </w:rPr>
        <w:t>في المائة في الاستقصاء الديمغرافي والصحي لعام 2003 وبلغت 27 في المائة في الفترة 2009-2010</w:t>
      </w:r>
      <w:r w:rsidRPr="000853F7">
        <w:rPr>
          <w:vertAlign w:val="superscript"/>
          <w:rtl/>
          <w:lang w:eastAsia="zh-TW"/>
        </w:rPr>
        <w:t>(</w:t>
      </w:r>
      <w:r w:rsidRPr="000853F7">
        <w:rPr>
          <w:rStyle w:val="FootnoteReference"/>
          <w:szCs w:val="30"/>
          <w:rtl/>
          <w:lang w:eastAsia="zh-TW"/>
        </w:rPr>
        <w:footnoteReference w:id="256"/>
      </w:r>
      <w:r w:rsidRPr="000853F7">
        <w:rPr>
          <w:vertAlign w:val="superscript"/>
          <w:rtl/>
          <w:lang w:eastAsia="zh-TW"/>
        </w:rPr>
        <w:t>)</w:t>
      </w:r>
      <w:r>
        <w:rPr>
          <w:rtl/>
          <w:lang w:eastAsia="zh-TW"/>
        </w:rPr>
        <w:t>.</w:t>
      </w:r>
    </w:p>
    <w:p w:rsidR="009943B2" w:rsidRPr="00562F26" w:rsidRDefault="009943B2" w:rsidP="009943B2">
      <w:pPr>
        <w:pStyle w:val="SingleTxt"/>
        <w:rPr>
          <w:rtl/>
          <w:lang w:eastAsia="zh-TW"/>
        </w:rPr>
      </w:pPr>
      <w:r>
        <w:rPr>
          <w:color w:val="000000"/>
          <w:rtl/>
          <w:lang w:eastAsia="zh-TW"/>
        </w:rPr>
        <w:t>٣٠٤</w:t>
      </w:r>
      <w:r>
        <w:rPr>
          <w:rFonts w:hint="cs"/>
          <w:rtl/>
        </w:rPr>
        <w:t xml:space="preserve"> </w:t>
      </w:r>
      <w:r>
        <w:rPr>
          <w:rtl/>
        </w:rPr>
        <w:t>- و</w:t>
      </w:r>
      <w:r>
        <w:rPr>
          <w:rtl/>
          <w:lang w:eastAsia="zh-TW"/>
        </w:rPr>
        <w:t>النساء اللاتي تتراوح أعمارهن بين 15 و 19 عاما أكثر عرضة</w:t>
      </w:r>
      <w:r w:rsidRPr="00732556">
        <w:rPr>
          <w:rtl/>
          <w:lang w:eastAsia="zh-TW"/>
        </w:rPr>
        <w:t xml:space="preserve"> </w:t>
      </w:r>
      <w:r>
        <w:rPr>
          <w:rtl/>
          <w:lang w:eastAsia="zh-TW"/>
        </w:rPr>
        <w:t>لسوء التغذية (33</w:t>
      </w:r>
      <w:r>
        <w:rPr>
          <w:rFonts w:hint="cs"/>
          <w:rtl/>
          <w:lang w:eastAsia="zh-TW"/>
        </w:rPr>
        <w:t> </w:t>
      </w:r>
      <w:r>
        <w:rPr>
          <w:rtl/>
          <w:lang w:eastAsia="zh-TW"/>
        </w:rPr>
        <w:t>في المائة) من النساء في المجموعات العمرية الأخرى. والنساء في المناطق الريفية أكثر عرضة لأن يكون مؤشر كتلة الجسم لديهن أقل من 18.5 (28 في المائة) عن النساء في المناطق الحضرية (24 في المائة)</w:t>
      </w:r>
      <w:r w:rsidRPr="000853F7">
        <w:rPr>
          <w:vertAlign w:val="superscript"/>
          <w:rtl/>
          <w:lang w:eastAsia="zh-TW"/>
        </w:rPr>
        <w:t>(</w:t>
      </w:r>
      <w:r w:rsidRPr="000853F7">
        <w:rPr>
          <w:rStyle w:val="FootnoteReference"/>
          <w:szCs w:val="30"/>
          <w:rtl/>
          <w:lang w:eastAsia="zh-TW"/>
        </w:rPr>
        <w:footnoteReference w:id="257"/>
      </w:r>
      <w:r w:rsidRPr="000853F7">
        <w:rPr>
          <w:vertAlign w:val="superscript"/>
          <w:rtl/>
          <w:lang w:eastAsia="zh-TW"/>
        </w:rPr>
        <w:t>)</w:t>
      </w:r>
      <w:r>
        <w:rPr>
          <w:rtl/>
          <w:lang w:eastAsia="zh-TW"/>
        </w:rPr>
        <w:t>. وتوجد في مقاطعة بوبونارو أعلى نسبة مئوية من النساء اللاتي يعانين من نقص التغذية (39 في المائة) بالمقارنة مع مقاطعة باوكاو، التي توجد فيها أدنى نسبة (17 في المائة)</w:t>
      </w:r>
      <w:r w:rsidRPr="000853F7">
        <w:rPr>
          <w:vertAlign w:val="superscript"/>
          <w:rtl/>
          <w:lang w:eastAsia="zh-TW"/>
        </w:rPr>
        <w:t>(</w:t>
      </w:r>
      <w:r w:rsidRPr="000853F7">
        <w:rPr>
          <w:rStyle w:val="FootnoteReference"/>
          <w:szCs w:val="30"/>
          <w:rtl/>
          <w:lang w:eastAsia="zh-TW"/>
        </w:rPr>
        <w:footnoteReference w:id="258"/>
      </w:r>
      <w:r w:rsidRPr="000853F7">
        <w:rPr>
          <w:vertAlign w:val="superscript"/>
          <w:rtl/>
          <w:lang w:eastAsia="zh-TW"/>
        </w:rPr>
        <w:t>)</w:t>
      </w:r>
      <w:r>
        <w:rPr>
          <w:rtl/>
          <w:lang w:eastAsia="zh-TW"/>
        </w:rPr>
        <w:t>.</w:t>
      </w:r>
    </w:p>
    <w:p w:rsidR="009943B2" w:rsidRPr="00562F26" w:rsidRDefault="009943B2" w:rsidP="009943B2">
      <w:pPr>
        <w:pStyle w:val="SingleTxt"/>
        <w:rPr>
          <w:rtl/>
          <w:lang w:eastAsia="zh-TW"/>
        </w:rPr>
      </w:pPr>
      <w:r>
        <w:rPr>
          <w:color w:val="000000"/>
          <w:rtl/>
          <w:lang w:eastAsia="zh-TW"/>
        </w:rPr>
        <w:t>٣٠٥</w:t>
      </w:r>
      <w:r>
        <w:rPr>
          <w:rFonts w:hint="cs"/>
          <w:rtl/>
        </w:rPr>
        <w:t xml:space="preserve"> </w:t>
      </w:r>
      <w:r>
        <w:rPr>
          <w:rtl/>
        </w:rPr>
        <w:t xml:space="preserve">- </w:t>
      </w:r>
      <w:r>
        <w:rPr>
          <w:rtl/>
          <w:lang w:eastAsia="zh-TW"/>
        </w:rPr>
        <w:t>وأحد أكثر أشكال سوء التغذية شيوعا في البلد هو سوء التغذية الناجم عن</w:t>
      </w:r>
      <w:r>
        <w:rPr>
          <w:rFonts w:hint="cs"/>
          <w:rtl/>
          <w:lang w:eastAsia="zh-TW"/>
        </w:rPr>
        <w:t> </w:t>
      </w:r>
      <w:r>
        <w:rPr>
          <w:rtl/>
          <w:lang w:eastAsia="zh-TW"/>
        </w:rPr>
        <w:t>نقص</w:t>
      </w:r>
      <w:r>
        <w:rPr>
          <w:rFonts w:hint="cs"/>
          <w:rtl/>
          <w:lang w:eastAsia="zh-TW"/>
        </w:rPr>
        <w:t> </w:t>
      </w:r>
      <w:r>
        <w:rPr>
          <w:rtl/>
          <w:lang w:eastAsia="zh-TW"/>
        </w:rPr>
        <w:t>البروتينات والطاقة</w:t>
      </w:r>
      <w:r w:rsidRPr="000853F7">
        <w:rPr>
          <w:vertAlign w:val="superscript"/>
          <w:rtl/>
          <w:lang w:eastAsia="zh-TW"/>
        </w:rPr>
        <w:t>(</w:t>
      </w:r>
      <w:r w:rsidRPr="000853F7">
        <w:rPr>
          <w:rStyle w:val="FootnoteReference"/>
          <w:szCs w:val="30"/>
          <w:rtl/>
          <w:lang w:eastAsia="zh-TW"/>
        </w:rPr>
        <w:footnoteReference w:id="259"/>
      </w:r>
      <w:r w:rsidRPr="000853F7">
        <w:rPr>
          <w:vertAlign w:val="superscript"/>
          <w:rtl/>
          <w:lang w:eastAsia="zh-TW"/>
        </w:rPr>
        <w:t>)</w:t>
      </w:r>
      <w:r>
        <w:rPr>
          <w:rtl/>
          <w:lang w:eastAsia="zh-TW"/>
        </w:rPr>
        <w:t>.</w:t>
      </w:r>
      <w:r>
        <w:rPr>
          <w:rFonts w:hint="cs"/>
          <w:rtl/>
          <w:lang w:eastAsia="zh-TW"/>
        </w:rPr>
        <w:t xml:space="preserve"> </w:t>
      </w:r>
      <w:r>
        <w:rPr>
          <w:rtl/>
          <w:lang w:eastAsia="zh-TW"/>
        </w:rPr>
        <w:t>ويستشف من الاستقصاء الديمغرافي والصحي للفترة 2009-2010 أن الحالة التغذوية</w:t>
      </w:r>
      <w:r w:rsidRPr="00D22866">
        <w:rPr>
          <w:rtl/>
          <w:lang w:eastAsia="zh-TW"/>
        </w:rPr>
        <w:t xml:space="preserve"> </w:t>
      </w:r>
      <w:r>
        <w:rPr>
          <w:rtl/>
          <w:lang w:eastAsia="zh-TW"/>
        </w:rPr>
        <w:t>تدهورت في المناطق التي كان حصاد المحاصيل فيها ضعيفا</w:t>
      </w:r>
      <w:r w:rsidRPr="00130427">
        <w:rPr>
          <w:vertAlign w:val="superscript"/>
          <w:rtl/>
          <w:lang w:eastAsia="zh-TW"/>
        </w:rPr>
        <w:t>(</w:t>
      </w:r>
      <w:r w:rsidRPr="00130427">
        <w:rPr>
          <w:rStyle w:val="FootnoteReference"/>
          <w:szCs w:val="30"/>
          <w:rtl/>
          <w:lang w:eastAsia="zh-TW"/>
        </w:rPr>
        <w:footnoteReference w:id="260"/>
      </w:r>
      <w:r w:rsidRPr="00130427">
        <w:rPr>
          <w:vertAlign w:val="superscript"/>
          <w:rtl/>
          <w:lang w:eastAsia="zh-TW"/>
        </w:rPr>
        <w:t>)</w:t>
      </w:r>
      <w:r>
        <w:rPr>
          <w:rFonts w:hint="cs"/>
          <w:rtl/>
          <w:lang w:eastAsia="zh-TW"/>
        </w:rPr>
        <w:t xml:space="preserve"> </w:t>
      </w:r>
      <w:r>
        <w:rPr>
          <w:rtl/>
          <w:lang w:eastAsia="zh-TW"/>
        </w:rPr>
        <w:t>وأدت إلى تفاقم انعدام الأمن الغذائي في المجتمعات الريفية. وبدأت إدارة التغذية التابعة لمديرية الصحة المجتمعية في وزارة الصحة العديد من برامج التغذية</w:t>
      </w:r>
      <w:r w:rsidRPr="00130427">
        <w:rPr>
          <w:vertAlign w:val="superscript"/>
          <w:rtl/>
          <w:lang w:eastAsia="zh-TW"/>
        </w:rPr>
        <w:t>(</w:t>
      </w:r>
      <w:r w:rsidRPr="00130427">
        <w:rPr>
          <w:rStyle w:val="FootnoteReference"/>
          <w:szCs w:val="30"/>
          <w:rtl/>
          <w:lang w:eastAsia="zh-TW"/>
        </w:rPr>
        <w:footnoteReference w:id="261"/>
      </w:r>
      <w:r w:rsidRPr="00130427">
        <w:rPr>
          <w:vertAlign w:val="superscript"/>
          <w:rtl/>
          <w:lang w:eastAsia="zh-TW"/>
        </w:rPr>
        <w:t>)</w:t>
      </w:r>
      <w:r>
        <w:rPr>
          <w:rtl/>
          <w:lang w:eastAsia="zh-TW"/>
        </w:rPr>
        <w:t>.</w:t>
      </w:r>
    </w:p>
    <w:p w:rsidR="009943B2" w:rsidRDefault="009943B2" w:rsidP="009943B2">
      <w:pPr>
        <w:pStyle w:val="SingleTxt"/>
        <w:rPr>
          <w:rFonts w:hint="cs"/>
          <w:rtl/>
          <w:lang w:eastAsia="zh-TW"/>
        </w:rPr>
      </w:pPr>
      <w:r w:rsidRPr="00130427">
        <w:rPr>
          <w:rtl/>
          <w:lang w:eastAsia="zh-TW"/>
        </w:rPr>
        <w:t>٣٠٦ - ومن أجل تعزيز النمو الزراعي والأمن الغذائي المستدام والحد من سوء التغذية المزمن في المناطق الريفية، يجري الترويج لمشروع الحدائق المنزلية، الذي يتضمن تحسين المحاصيل في الحقول والبساتين والتثقيف في مجال التغذية وتعليمات الطهي؛ وتبلغ نسبة النساء المستفيدا</w:t>
      </w:r>
      <w:r>
        <w:rPr>
          <w:rtl/>
          <w:lang w:eastAsia="zh-TW"/>
        </w:rPr>
        <w:t>ت من هذا المشروع 70 في المائة</w:t>
      </w:r>
      <w:r w:rsidRPr="00130427">
        <w:rPr>
          <w:vertAlign w:val="superscript"/>
          <w:rtl/>
          <w:lang w:eastAsia="zh-TW"/>
        </w:rPr>
        <w:t>(</w:t>
      </w:r>
      <w:r w:rsidRPr="00130427">
        <w:rPr>
          <w:rStyle w:val="FootnoteReference"/>
          <w:szCs w:val="30"/>
          <w:rtl/>
          <w:lang w:eastAsia="zh-TW"/>
        </w:rPr>
        <w:footnoteReference w:id="262"/>
      </w:r>
      <w:r w:rsidRPr="00130427">
        <w:rPr>
          <w:vertAlign w:val="superscript"/>
          <w:rtl/>
          <w:lang w:eastAsia="zh-TW"/>
        </w:rPr>
        <w:t>)</w:t>
      </w:r>
      <w:r>
        <w:rPr>
          <w:rtl/>
          <w:lang w:eastAsia="zh-TW"/>
        </w:rPr>
        <w:t>.</w:t>
      </w:r>
      <w:bookmarkStart w:id="11" w:name="_Toc356284907"/>
      <w:bookmarkStart w:id="12" w:name="_Toc358879766"/>
    </w:p>
    <w:p w:rsidR="009943B2" w:rsidRPr="00130427" w:rsidRDefault="009943B2" w:rsidP="009943B2">
      <w:pPr>
        <w:pStyle w:val="SingleTxt"/>
        <w:spacing w:after="0" w:line="120" w:lineRule="exact"/>
        <w:rPr>
          <w:sz w:val="10"/>
          <w:rtl/>
          <w:lang w:eastAsia="zh-TW"/>
        </w:rPr>
      </w:pPr>
    </w:p>
    <w:p w:rsidR="009943B2" w:rsidRPr="00562F26" w:rsidRDefault="009943B2" w:rsidP="009943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Pr="00562F26">
        <w:rPr>
          <w:rtl/>
          <w:lang w:eastAsia="zh-TW"/>
        </w:rPr>
        <w:t>إمكانية الاستفادة من البنية الأساسية الريفية</w:t>
      </w:r>
      <w:bookmarkStart w:id="13" w:name="_Toc356284908"/>
      <w:bookmarkStart w:id="14" w:name="_Toc358879767"/>
      <w:bookmarkEnd w:id="11"/>
      <w:bookmarkEnd w:id="12"/>
    </w:p>
    <w:p w:rsidR="009943B2" w:rsidRPr="00130427"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Pr="00130427">
        <w:rPr>
          <w:rtl/>
          <w:lang w:eastAsia="zh-TW"/>
        </w:rPr>
        <w:t>تشييد طرق الوصول إلى القرى</w:t>
      </w:r>
      <w:bookmarkEnd w:id="13"/>
      <w:bookmarkEnd w:id="14"/>
    </w:p>
    <w:p w:rsidR="009943B2" w:rsidRPr="00562F26" w:rsidRDefault="009943B2" w:rsidP="009943B2">
      <w:pPr>
        <w:pStyle w:val="SingleTxt"/>
        <w:rPr>
          <w:rtl/>
          <w:lang w:eastAsia="zh-TW"/>
        </w:rPr>
      </w:pPr>
      <w:r>
        <w:rPr>
          <w:color w:val="000000"/>
          <w:rtl/>
          <w:lang w:eastAsia="zh-TW"/>
        </w:rPr>
        <w:t>٣٠٧</w:t>
      </w:r>
      <w:r>
        <w:rPr>
          <w:rFonts w:hint="cs"/>
          <w:rtl/>
        </w:rPr>
        <w:t xml:space="preserve"> </w:t>
      </w:r>
      <w:r>
        <w:rPr>
          <w:rtl/>
        </w:rPr>
        <w:t xml:space="preserve">- </w:t>
      </w:r>
      <w:r>
        <w:rPr>
          <w:rtl/>
          <w:lang w:eastAsia="zh-TW"/>
        </w:rPr>
        <w:t xml:space="preserve">تشدد </w:t>
      </w:r>
      <w:r w:rsidRPr="00E43266">
        <w:rPr>
          <w:rtl/>
          <w:lang w:eastAsia="zh-TW"/>
        </w:rPr>
        <w:t>الخطة الإنمائية الاستراتيجية</w:t>
      </w:r>
      <w:r w:rsidRPr="00E43266">
        <w:rPr>
          <w:szCs w:val="20"/>
          <w:rtl/>
          <w:lang w:eastAsia="zh-TW"/>
        </w:rPr>
        <w:t xml:space="preserve"> </w:t>
      </w:r>
      <w:r>
        <w:rPr>
          <w:rtl/>
          <w:lang w:eastAsia="zh-TW"/>
        </w:rPr>
        <w:t>في تيمور</w:t>
      </w:r>
      <w:r>
        <w:rPr>
          <w:rFonts w:hint="cs"/>
          <w:rtl/>
          <w:lang w:eastAsia="zh-TW"/>
        </w:rPr>
        <w:t xml:space="preserve"> </w:t>
      </w:r>
      <w:r>
        <w:rPr>
          <w:rtl/>
          <w:lang w:eastAsia="zh-TW"/>
        </w:rPr>
        <w:t>-</w:t>
      </w:r>
      <w:r>
        <w:rPr>
          <w:rFonts w:hint="cs"/>
          <w:rtl/>
          <w:lang w:eastAsia="zh-TW"/>
        </w:rPr>
        <w:t xml:space="preserve"> </w:t>
      </w:r>
      <w:r>
        <w:rPr>
          <w:rtl/>
          <w:lang w:eastAsia="zh-TW"/>
        </w:rPr>
        <w:t xml:space="preserve">ليشتي للفترة 2011-2030 على ضرورة تعجيل وزيادة الاستثمارات في الهياكل الأساسية في البلد، بما في ذلك الطرق في المناطق الريفية، بوصفها شرطا أساسيا لتحقيق التعجيل بالتنمية المستدامة. وحددت </w:t>
      </w:r>
      <w:r w:rsidRPr="00E43266">
        <w:rPr>
          <w:rtl/>
          <w:lang w:eastAsia="zh-TW"/>
        </w:rPr>
        <w:t>الخطة الإنمائية الاستراتيجية</w:t>
      </w:r>
      <w:r w:rsidRPr="00E43266">
        <w:rPr>
          <w:szCs w:val="20"/>
          <w:rtl/>
          <w:lang w:eastAsia="zh-TW"/>
        </w:rPr>
        <w:t xml:space="preserve"> </w:t>
      </w:r>
      <w:r>
        <w:rPr>
          <w:rtl/>
          <w:lang w:eastAsia="zh-TW"/>
        </w:rPr>
        <w:t>حالة الطرق الريفية بأنها سيئة</w:t>
      </w:r>
      <w:r w:rsidRPr="0049334C">
        <w:rPr>
          <w:rtl/>
          <w:lang w:eastAsia="zh-TW"/>
        </w:rPr>
        <w:t xml:space="preserve"> </w:t>
      </w:r>
      <w:r>
        <w:rPr>
          <w:rtl/>
          <w:lang w:eastAsia="zh-TW"/>
        </w:rPr>
        <w:t>عموما</w:t>
      </w:r>
      <w:r w:rsidRPr="00130427">
        <w:rPr>
          <w:vertAlign w:val="superscript"/>
          <w:rtl/>
          <w:lang w:eastAsia="zh-TW"/>
        </w:rPr>
        <w:t>(</w:t>
      </w:r>
      <w:r w:rsidRPr="00130427">
        <w:rPr>
          <w:rStyle w:val="FootnoteReference"/>
          <w:szCs w:val="30"/>
          <w:rtl/>
          <w:lang w:eastAsia="zh-TW"/>
        </w:rPr>
        <w:footnoteReference w:id="263"/>
      </w:r>
      <w:r w:rsidRPr="00130427">
        <w:rPr>
          <w:vertAlign w:val="superscript"/>
          <w:rtl/>
          <w:lang w:eastAsia="zh-TW"/>
        </w:rPr>
        <w:t>)</w:t>
      </w:r>
      <w:r>
        <w:rPr>
          <w:rtl/>
          <w:lang w:eastAsia="zh-TW"/>
        </w:rPr>
        <w:t>.</w:t>
      </w:r>
      <w:r>
        <w:rPr>
          <w:rFonts w:hint="cs"/>
          <w:rtl/>
          <w:lang w:eastAsia="zh-TW"/>
        </w:rPr>
        <w:t xml:space="preserve"> </w:t>
      </w:r>
      <w:r>
        <w:rPr>
          <w:rtl/>
          <w:lang w:eastAsia="zh-TW"/>
        </w:rPr>
        <w:t>وأشارت الدراسة الاستقصائية إلى أن 3.5 في المائة من الطرق في حالة جيدة، و 27 في المائة في حالة معقولة، و 52.7 في المائة في حالة سيئة، و 16.2 في المائة في حالة سيئة جدا</w:t>
      </w:r>
      <w:r w:rsidRPr="00130427">
        <w:rPr>
          <w:vertAlign w:val="superscript"/>
          <w:rtl/>
          <w:lang w:eastAsia="zh-TW"/>
        </w:rPr>
        <w:t>(</w:t>
      </w:r>
      <w:r w:rsidRPr="00130427">
        <w:rPr>
          <w:rStyle w:val="FootnoteReference"/>
          <w:szCs w:val="30"/>
          <w:rtl/>
          <w:lang w:eastAsia="zh-TW"/>
        </w:rPr>
        <w:footnoteReference w:id="264"/>
      </w:r>
      <w:r w:rsidRPr="00130427">
        <w:rPr>
          <w:vertAlign w:val="superscript"/>
          <w:rtl/>
          <w:lang w:eastAsia="zh-TW"/>
        </w:rPr>
        <w:t>)</w:t>
      </w:r>
      <w:r>
        <w:rPr>
          <w:rtl/>
          <w:lang w:eastAsia="zh-TW"/>
        </w:rPr>
        <w:t>.</w:t>
      </w:r>
    </w:p>
    <w:p w:rsidR="009943B2" w:rsidRPr="00562F26" w:rsidRDefault="009943B2" w:rsidP="009943B2">
      <w:pPr>
        <w:pStyle w:val="SingleTxt"/>
        <w:rPr>
          <w:rtl/>
          <w:lang w:eastAsia="zh-TW"/>
        </w:rPr>
      </w:pPr>
      <w:r>
        <w:rPr>
          <w:color w:val="000000"/>
          <w:rtl/>
          <w:lang w:eastAsia="zh-TW"/>
        </w:rPr>
        <w:t>٣٠٨</w:t>
      </w:r>
      <w:r>
        <w:rPr>
          <w:rFonts w:hint="cs"/>
          <w:rtl/>
        </w:rPr>
        <w:t xml:space="preserve"> </w:t>
      </w:r>
      <w:r>
        <w:rPr>
          <w:rtl/>
        </w:rPr>
        <w:t xml:space="preserve">- </w:t>
      </w:r>
      <w:r>
        <w:rPr>
          <w:rtl/>
          <w:lang w:eastAsia="zh-TW"/>
        </w:rPr>
        <w:t>ونظرا لأن أكثر من 70 في المائة من السكان يعيشون في مناطق ريفية، فمن الأهمية بمكان أن يتم تحسين شبكة الطرق الريفية من أجل الربط بين السكان والمجتمعات المحلية، وتشجيع التنمية الزراعية وتنمية الموارد الطبيعية، وزيادة الدخل في الريف وتيسير التنفيذ الفعال للخدمات الحكومية بما في ذلك الرعاية الصحية والتعليم والأمن، ولا سيما فيما</w:t>
      </w:r>
      <w:r>
        <w:rPr>
          <w:rFonts w:hint="cs"/>
          <w:rtl/>
          <w:lang w:eastAsia="zh-TW"/>
        </w:rPr>
        <w:t> </w:t>
      </w:r>
      <w:r>
        <w:rPr>
          <w:rtl/>
          <w:lang w:eastAsia="zh-TW"/>
        </w:rPr>
        <w:t>يتعلق</w:t>
      </w:r>
      <w:r>
        <w:rPr>
          <w:rFonts w:hint="cs"/>
          <w:rtl/>
          <w:lang w:eastAsia="zh-TW"/>
        </w:rPr>
        <w:t> </w:t>
      </w:r>
      <w:r>
        <w:rPr>
          <w:rtl/>
          <w:lang w:eastAsia="zh-TW"/>
        </w:rPr>
        <w:t>بالمرأة</w:t>
      </w:r>
      <w:r w:rsidRPr="00130427">
        <w:rPr>
          <w:vertAlign w:val="superscript"/>
          <w:rtl/>
          <w:lang w:eastAsia="zh-TW"/>
        </w:rPr>
        <w:t>(</w:t>
      </w:r>
      <w:r w:rsidRPr="00130427">
        <w:rPr>
          <w:rStyle w:val="FootnoteReference"/>
          <w:szCs w:val="30"/>
          <w:rtl/>
          <w:lang w:eastAsia="zh-TW"/>
        </w:rPr>
        <w:footnoteReference w:id="265"/>
      </w:r>
      <w:r w:rsidRPr="00130427">
        <w:rPr>
          <w:vertAlign w:val="superscript"/>
          <w:rtl/>
          <w:lang w:eastAsia="zh-TW"/>
        </w:rPr>
        <w:t>)</w:t>
      </w:r>
      <w:r>
        <w:rPr>
          <w:rtl/>
          <w:lang w:eastAsia="zh-TW"/>
        </w:rPr>
        <w:t>.</w:t>
      </w:r>
    </w:p>
    <w:p w:rsidR="009943B2" w:rsidRPr="00562F26" w:rsidRDefault="009943B2" w:rsidP="009943B2">
      <w:pPr>
        <w:pStyle w:val="SingleTxt"/>
        <w:rPr>
          <w:rtl/>
          <w:lang w:eastAsia="zh-TW"/>
        </w:rPr>
      </w:pPr>
      <w:r>
        <w:rPr>
          <w:color w:val="000000"/>
          <w:rtl/>
          <w:lang w:eastAsia="zh-TW"/>
        </w:rPr>
        <w:t>٣٠٩</w:t>
      </w:r>
      <w:r>
        <w:rPr>
          <w:rFonts w:hint="cs"/>
          <w:rtl/>
        </w:rPr>
        <w:t xml:space="preserve"> </w:t>
      </w:r>
      <w:r>
        <w:rPr>
          <w:rtl/>
        </w:rPr>
        <w:t>-</w:t>
      </w:r>
      <w:r>
        <w:rPr>
          <w:rFonts w:hint="cs"/>
          <w:rtl/>
        </w:rPr>
        <w:t xml:space="preserve"> </w:t>
      </w:r>
      <w:r>
        <w:rPr>
          <w:rtl/>
          <w:lang w:eastAsia="zh-TW"/>
        </w:rPr>
        <w:t xml:space="preserve">وقد قامت الحكومة عن طريق </w:t>
      </w:r>
      <w:r w:rsidRPr="00E43266">
        <w:rPr>
          <w:rtl/>
          <w:lang w:eastAsia="zh-TW"/>
        </w:rPr>
        <w:t>وز</w:t>
      </w:r>
      <w:r>
        <w:rPr>
          <w:rtl/>
          <w:lang w:eastAsia="zh-TW"/>
        </w:rPr>
        <w:t>ا</w:t>
      </w:r>
      <w:r w:rsidRPr="00E43266">
        <w:rPr>
          <w:rtl/>
          <w:lang w:eastAsia="zh-TW"/>
        </w:rPr>
        <w:t>ر</w:t>
      </w:r>
      <w:r>
        <w:rPr>
          <w:rtl/>
          <w:lang w:eastAsia="zh-TW"/>
        </w:rPr>
        <w:t>ة</w:t>
      </w:r>
      <w:r w:rsidRPr="00E43266">
        <w:rPr>
          <w:rtl/>
          <w:lang w:eastAsia="zh-TW"/>
        </w:rPr>
        <w:t xml:space="preserve"> الدولة لسياسة التدريب المهني والتوظيف</w:t>
      </w:r>
      <w:r>
        <w:rPr>
          <w:rtl/>
          <w:lang w:eastAsia="zh-TW"/>
        </w:rPr>
        <w:t xml:space="preserve">، خلال الفترة من عام 2009 إلى عام 2012، بإشراك 614 </w:t>
      </w:r>
      <w:r>
        <w:rPr>
          <w:rFonts w:hint="cs"/>
          <w:rtl/>
          <w:lang w:eastAsia="zh-TW"/>
        </w:rPr>
        <w:t xml:space="preserve">13 </w:t>
      </w:r>
      <w:r>
        <w:rPr>
          <w:rtl/>
          <w:lang w:eastAsia="zh-TW"/>
        </w:rPr>
        <w:t>امرأة (35 في المائة) و</w:t>
      </w:r>
      <w:r>
        <w:rPr>
          <w:rFonts w:hint="cs"/>
          <w:rtl/>
          <w:lang w:eastAsia="zh-TW"/>
        </w:rPr>
        <w:t> </w:t>
      </w:r>
      <w:r>
        <w:rPr>
          <w:rtl/>
          <w:lang w:eastAsia="zh-TW"/>
        </w:rPr>
        <w:t xml:space="preserve">017 </w:t>
      </w:r>
      <w:r>
        <w:rPr>
          <w:rFonts w:hint="cs"/>
          <w:rtl/>
          <w:lang w:eastAsia="zh-TW"/>
        </w:rPr>
        <w:t xml:space="preserve">35 </w:t>
      </w:r>
      <w:r>
        <w:rPr>
          <w:rtl/>
          <w:lang w:eastAsia="zh-TW"/>
        </w:rPr>
        <w:t>رجلا (72 في المائة) في إصلاح الطرق في المناطق الريفية، على أساس برنامج للعمل بأجر قدره 3 دولارات في اليوم. وتشارك النساء عموما في الأعمال السابقة للتشييد بأداء مهام من قبيل إزالة الأعشاب، والتنظيف، والتقاط الأحجار، والأعمال الخفيفة الأخرى</w:t>
      </w:r>
      <w:r w:rsidRPr="00130427">
        <w:rPr>
          <w:vertAlign w:val="superscript"/>
          <w:rtl/>
          <w:lang w:eastAsia="zh-TW"/>
        </w:rPr>
        <w:t>(</w:t>
      </w:r>
      <w:r w:rsidRPr="00130427">
        <w:rPr>
          <w:rStyle w:val="FootnoteReference"/>
          <w:szCs w:val="30"/>
          <w:rtl/>
          <w:lang w:eastAsia="zh-TW"/>
        </w:rPr>
        <w:footnoteReference w:id="266"/>
      </w:r>
      <w:r w:rsidRPr="00130427">
        <w:rPr>
          <w:vertAlign w:val="superscript"/>
          <w:rtl/>
          <w:lang w:eastAsia="zh-TW"/>
        </w:rPr>
        <w:t>)</w:t>
      </w:r>
      <w:r>
        <w:rPr>
          <w:rtl/>
          <w:lang w:eastAsia="zh-TW"/>
        </w:rPr>
        <w:t>.</w:t>
      </w:r>
    </w:p>
    <w:p w:rsidR="009943B2" w:rsidRPr="00562F26" w:rsidRDefault="009943B2" w:rsidP="009943B2">
      <w:pPr>
        <w:pStyle w:val="SingleTxt"/>
        <w:rPr>
          <w:rtl/>
          <w:lang w:eastAsia="zh-TW"/>
        </w:rPr>
      </w:pPr>
      <w:r>
        <w:rPr>
          <w:color w:val="000000"/>
          <w:rtl/>
          <w:lang w:eastAsia="zh-TW"/>
        </w:rPr>
        <w:t>٣١٠</w:t>
      </w:r>
      <w:r>
        <w:rPr>
          <w:rFonts w:hint="cs"/>
          <w:rtl/>
        </w:rPr>
        <w:t xml:space="preserve"> </w:t>
      </w:r>
      <w:r>
        <w:rPr>
          <w:rtl/>
        </w:rPr>
        <w:t xml:space="preserve">- </w:t>
      </w:r>
      <w:r>
        <w:rPr>
          <w:rtl/>
          <w:lang w:eastAsia="zh-TW"/>
        </w:rPr>
        <w:t>وقد كانت هذه المشاريع لتشييد الطرق التي يُدفع للعاملين فيها أجر قدره 3</w:t>
      </w:r>
      <w:r>
        <w:rPr>
          <w:rFonts w:hint="cs"/>
          <w:rtl/>
          <w:lang w:eastAsia="zh-TW"/>
        </w:rPr>
        <w:t> </w:t>
      </w:r>
      <w:r>
        <w:rPr>
          <w:rtl/>
          <w:lang w:eastAsia="zh-TW"/>
        </w:rPr>
        <w:t xml:space="preserve">دولارات في اليوم ثمرة بحث بشأن </w:t>
      </w:r>
      <w:r>
        <w:rPr>
          <w:rFonts w:hint="cs"/>
          <w:rtl/>
          <w:lang w:eastAsia="zh-TW"/>
        </w:rPr>
        <w:t>”</w:t>
      </w:r>
      <w:r>
        <w:rPr>
          <w:rtl/>
          <w:lang w:eastAsia="zh-TW"/>
        </w:rPr>
        <w:t>بناء السلام في المجتمعات المحلية</w:t>
      </w:r>
      <w:r>
        <w:rPr>
          <w:rFonts w:hint="cs"/>
          <w:rtl/>
          <w:lang w:eastAsia="zh-TW"/>
        </w:rPr>
        <w:t>“</w:t>
      </w:r>
      <w:r>
        <w:rPr>
          <w:rtl/>
          <w:lang w:eastAsia="zh-TW"/>
        </w:rPr>
        <w:t xml:space="preserve"> أجري في عام</w:t>
      </w:r>
      <w:r>
        <w:rPr>
          <w:rFonts w:hint="cs"/>
          <w:rtl/>
          <w:lang w:eastAsia="zh-TW"/>
        </w:rPr>
        <w:t> </w:t>
      </w:r>
      <w:r>
        <w:rPr>
          <w:rtl/>
          <w:lang w:eastAsia="zh-TW"/>
        </w:rPr>
        <w:t>2009، بهدف الوفاء بالاحتياجات العاجلة للمرأة الريفية في الكثير من الأسر المعيشية في المجتمعات المحلية الريفية. ومن أجل إشراك المزيد من النساء في المشاريع الريفية، يوجد في كل قرية لجنة بها ممثلة واحدة للمرأة تشارك في عمليات التخطيط وصنع القرار في مشاريع التنمية الريفية</w:t>
      </w:r>
      <w:r w:rsidRPr="005B1302">
        <w:rPr>
          <w:vertAlign w:val="superscript"/>
          <w:rtl/>
          <w:lang w:eastAsia="zh-TW"/>
        </w:rPr>
        <w:t>(</w:t>
      </w:r>
      <w:r w:rsidRPr="005B1302">
        <w:rPr>
          <w:rStyle w:val="FootnoteReference"/>
          <w:szCs w:val="30"/>
          <w:rtl/>
          <w:lang w:eastAsia="zh-TW"/>
        </w:rPr>
        <w:footnoteReference w:id="267"/>
      </w:r>
      <w:r w:rsidRPr="005B1302">
        <w:rPr>
          <w:vertAlign w:val="superscript"/>
          <w:rtl/>
          <w:lang w:eastAsia="zh-TW"/>
        </w:rPr>
        <w:t>)</w:t>
      </w:r>
      <w:r>
        <w:rPr>
          <w:rtl/>
          <w:lang w:eastAsia="zh-TW"/>
        </w:rPr>
        <w:t>.</w:t>
      </w:r>
    </w:p>
    <w:p w:rsidR="009943B2" w:rsidRPr="00562F26" w:rsidRDefault="009943B2" w:rsidP="009943B2">
      <w:pPr>
        <w:pStyle w:val="SingleTxt"/>
        <w:rPr>
          <w:rtl/>
          <w:lang w:eastAsia="zh-TW"/>
        </w:rPr>
      </w:pPr>
      <w:r>
        <w:rPr>
          <w:color w:val="000000"/>
          <w:rtl/>
          <w:lang w:eastAsia="zh-TW"/>
        </w:rPr>
        <w:t>٣١١</w:t>
      </w:r>
      <w:r>
        <w:rPr>
          <w:rFonts w:hint="cs"/>
          <w:rtl/>
        </w:rPr>
        <w:t xml:space="preserve"> </w:t>
      </w:r>
      <w:r>
        <w:rPr>
          <w:rtl/>
        </w:rPr>
        <w:t xml:space="preserve">- </w:t>
      </w:r>
      <w:r>
        <w:rPr>
          <w:rtl/>
          <w:lang w:eastAsia="zh-TW"/>
        </w:rPr>
        <w:t xml:space="preserve">ومنذ عام 2012، يتمتع برنامج الطرق من أجل التنمية بولاية إدارة جميع الطرق العامة. وتتولى </w:t>
      </w:r>
      <w:r w:rsidRPr="00CE3FFC">
        <w:rPr>
          <w:rtl/>
          <w:lang w:eastAsia="zh-TW"/>
        </w:rPr>
        <w:t>وزارة الأشغال العامة</w:t>
      </w:r>
      <w:r w:rsidRPr="00CE3FFC">
        <w:rPr>
          <w:szCs w:val="20"/>
          <w:rtl/>
          <w:lang w:eastAsia="zh-TW"/>
        </w:rPr>
        <w:t xml:space="preserve"> </w:t>
      </w:r>
      <w:r>
        <w:rPr>
          <w:rtl/>
          <w:lang w:eastAsia="zh-TW"/>
        </w:rPr>
        <w:t>المسؤولية عن هذا البرنامج، إلا أن منظمة العمل الدولية هي الشريك المنفذ المكلف بذلك بالنسبة لبرنامج الطرق من أجل التنمية</w:t>
      </w:r>
      <w:r w:rsidRPr="005B1302">
        <w:rPr>
          <w:vertAlign w:val="superscript"/>
          <w:rtl/>
          <w:lang w:eastAsia="zh-TW"/>
        </w:rPr>
        <w:t>(</w:t>
      </w:r>
      <w:r w:rsidRPr="005B1302">
        <w:rPr>
          <w:rStyle w:val="FootnoteReference"/>
          <w:szCs w:val="30"/>
          <w:rtl/>
          <w:lang w:eastAsia="zh-TW"/>
        </w:rPr>
        <w:footnoteReference w:id="268"/>
      </w:r>
      <w:r w:rsidRPr="005B1302">
        <w:rPr>
          <w:vertAlign w:val="superscript"/>
          <w:rtl/>
          <w:lang w:eastAsia="zh-TW"/>
        </w:rPr>
        <w:t>)</w:t>
      </w:r>
      <w:r>
        <w:rPr>
          <w:rtl/>
          <w:lang w:eastAsia="zh-TW"/>
        </w:rPr>
        <w:t>.</w:t>
      </w:r>
      <w:r>
        <w:rPr>
          <w:rFonts w:hint="cs"/>
          <w:rtl/>
          <w:lang w:eastAsia="zh-TW"/>
        </w:rPr>
        <w:t xml:space="preserve"> </w:t>
      </w:r>
      <w:r>
        <w:rPr>
          <w:rtl/>
          <w:lang w:eastAsia="zh-TW"/>
        </w:rPr>
        <w:t>ونتيجة لبرنامج الطرق من أجل التنمية، تجني المرأة والرجل في المناطق الريفية فوائد اجتماعية واقتصادية جراء تحسين إمكانية الوصول من خلال الطرق. ويعتبر الحوار بشأن السياسات مع المجتمعات المحلية أمرا محوريا من أجل النجاح النهائي لبرنامج الطرق من أجل التنمية من خلال تعزيز الترتيبات المؤسسية السليمة لإدارة الطرق، وإدماج الشواغل الاجتماعية والبيئية، بما في ذلك المساواة بين الجنسين، في أشغال الطرق</w:t>
      </w:r>
      <w:r w:rsidRPr="005B1302">
        <w:rPr>
          <w:vertAlign w:val="superscript"/>
          <w:rtl/>
          <w:lang w:eastAsia="zh-TW"/>
        </w:rPr>
        <w:t>(</w:t>
      </w:r>
      <w:r w:rsidRPr="005B1302">
        <w:rPr>
          <w:rStyle w:val="FootnoteReference"/>
          <w:szCs w:val="30"/>
          <w:rtl/>
          <w:lang w:eastAsia="zh-TW"/>
        </w:rPr>
        <w:footnoteReference w:id="269"/>
      </w:r>
      <w:r w:rsidRPr="005B1302">
        <w:rPr>
          <w:vertAlign w:val="superscript"/>
          <w:rtl/>
          <w:lang w:eastAsia="zh-TW"/>
        </w:rPr>
        <w:t>)</w:t>
      </w:r>
      <w:r>
        <w:rPr>
          <w:rtl/>
          <w:lang w:eastAsia="zh-TW"/>
        </w:rPr>
        <w:t>.</w:t>
      </w:r>
    </w:p>
    <w:p w:rsidR="009943B2" w:rsidRDefault="009943B2" w:rsidP="009943B2">
      <w:pPr>
        <w:pStyle w:val="SingleTxt"/>
        <w:rPr>
          <w:rFonts w:hint="cs"/>
          <w:rtl/>
          <w:lang w:eastAsia="zh-TW"/>
        </w:rPr>
      </w:pPr>
      <w:r>
        <w:rPr>
          <w:color w:val="000000"/>
          <w:rtl/>
          <w:lang w:eastAsia="zh-TW"/>
        </w:rPr>
        <w:t>٣١٢</w:t>
      </w:r>
      <w:r>
        <w:rPr>
          <w:rFonts w:hint="cs"/>
          <w:rtl/>
        </w:rPr>
        <w:t xml:space="preserve"> </w:t>
      </w:r>
      <w:r>
        <w:rPr>
          <w:rtl/>
        </w:rPr>
        <w:t xml:space="preserve">- </w:t>
      </w:r>
      <w:r>
        <w:rPr>
          <w:rtl/>
          <w:lang w:eastAsia="zh-TW"/>
        </w:rPr>
        <w:t xml:space="preserve">ومن الأهداف الأولية لبرنامج الطرق من أجل التنمية أن تبلغ نسبة مشاركة النساء في القوى العاملة 30 في المائة. ويهدف برنامج الطرق من أجل التنمية حاليا إلى زيادة هذه النسبة إلى 50 في المائة من خلال تنفيذ </w:t>
      </w:r>
      <w:r>
        <w:rPr>
          <w:rFonts w:hint="cs"/>
          <w:rtl/>
          <w:lang w:eastAsia="zh-TW"/>
        </w:rPr>
        <w:t>ا</w:t>
      </w:r>
      <w:r>
        <w:rPr>
          <w:rtl/>
          <w:lang w:eastAsia="zh-TW"/>
        </w:rPr>
        <w:t>ستراتيجيته للمساواة بين الجنسين التي تشكل جزءا من إطار الضمانات الاجتماعية للبرنامج</w:t>
      </w:r>
      <w:bookmarkStart w:id="15" w:name="_Toc356284909"/>
      <w:bookmarkStart w:id="16" w:name="_Toc358879768"/>
      <w:r>
        <w:rPr>
          <w:rtl/>
          <w:lang w:eastAsia="zh-TW"/>
        </w:rPr>
        <w:t>.</w:t>
      </w:r>
    </w:p>
    <w:p w:rsidR="009943B2" w:rsidRPr="00AC6950" w:rsidRDefault="009943B2" w:rsidP="009943B2">
      <w:pPr>
        <w:pStyle w:val="SingleTxt"/>
        <w:spacing w:after="0" w:line="120" w:lineRule="exact"/>
        <w:rPr>
          <w:sz w:val="10"/>
          <w:rtl/>
          <w:lang w:eastAsia="zh-TW"/>
        </w:rPr>
      </w:pPr>
    </w:p>
    <w:p w:rsidR="009943B2" w:rsidRPr="00AC6950"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Pr="00AC6950">
        <w:rPr>
          <w:rtl/>
          <w:lang w:eastAsia="zh-TW"/>
        </w:rPr>
        <w:t>إمكانية الحصول على المياه النظيفة وخدمات الصرف الصحي الجيدة</w:t>
      </w:r>
      <w:bookmarkEnd w:id="15"/>
      <w:bookmarkEnd w:id="16"/>
    </w:p>
    <w:p w:rsidR="009943B2" w:rsidRPr="00562F26" w:rsidRDefault="009943B2" w:rsidP="009943B2">
      <w:pPr>
        <w:pStyle w:val="SingleTxt"/>
        <w:rPr>
          <w:rtl/>
          <w:lang w:eastAsia="zh-TW"/>
        </w:rPr>
      </w:pPr>
      <w:r>
        <w:rPr>
          <w:color w:val="000000"/>
          <w:rtl/>
          <w:lang w:eastAsia="zh-TW"/>
        </w:rPr>
        <w:t>٣١٣</w:t>
      </w:r>
      <w:r>
        <w:rPr>
          <w:rFonts w:hint="cs"/>
          <w:rtl/>
        </w:rPr>
        <w:t xml:space="preserve"> </w:t>
      </w:r>
      <w:r>
        <w:rPr>
          <w:rtl/>
        </w:rPr>
        <w:t xml:space="preserve">- </w:t>
      </w:r>
      <w:r>
        <w:rPr>
          <w:rtl/>
          <w:lang w:eastAsia="zh-TW"/>
        </w:rPr>
        <w:t>أفاد تعداد السكان لعام 2010 بأن 34.1 في المائة من الأسر المعيشية لا تزال تستخدم مصادر مياه غير محسنة (بما في ذلك الآبار والينابيع والبحيرات والأنهار غير المشمولة بالحماية) تكون عرضة للتلوث وفي كثير من الأحيان تؤدي إلى انتشار الأمراض، ويوجد معظم هذه الأسر المعيشية في المناطق الريفية</w:t>
      </w:r>
      <w:r w:rsidRPr="00AC6950">
        <w:rPr>
          <w:vertAlign w:val="superscript"/>
          <w:rtl/>
          <w:lang w:eastAsia="zh-TW"/>
        </w:rPr>
        <w:t>(</w:t>
      </w:r>
      <w:r w:rsidRPr="00AC6950">
        <w:rPr>
          <w:rStyle w:val="FootnoteReference"/>
          <w:szCs w:val="30"/>
          <w:rtl/>
          <w:lang w:eastAsia="zh-TW"/>
        </w:rPr>
        <w:footnoteReference w:id="270"/>
      </w:r>
      <w:r w:rsidRPr="00AC6950">
        <w:rPr>
          <w:vertAlign w:val="superscript"/>
          <w:rtl/>
          <w:lang w:eastAsia="zh-TW"/>
        </w:rPr>
        <w:t>)</w:t>
      </w:r>
      <w:r>
        <w:rPr>
          <w:rtl/>
          <w:lang w:eastAsia="zh-TW"/>
        </w:rPr>
        <w:t>.</w:t>
      </w:r>
      <w:r>
        <w:rPr>
          <w:rFonts w:hint="cs"/>
          <w:rtl/>
          <w:lang w:eastAsia="zh-TW"/>
        </w:rPr>
        <w:t xml:space="preserve"> </w:t>
      </w:r>
      <w:r>
        <w:rPr>
          <w:rtl/>
          <w:lang w:eastAsia="zh-TW"/>
        </w:rPr>
        <w:t>ووفقا للمصدر نفسه، فإن 57 في المائة من السكان في المناطق الريفية يمكنهم الحصول على مياه شرب محسنة، بالمقارنة مع 91 في المائة في المناطق الحضرية.</w:t>
      </w:r>
    </w:p>
    <w:p w:rsidR="009943B2" w:rsidRPr="00562F26" w:rsidRDefault="009943B2" w:rsidP="009943B2">
      <w:pPr>
        <w:pStyle w:val="SingleTxt"/>
        <w:rPr>
          <w:rtl/>
          <w:lang w:eastAsia="zh-TW"/>
        </w:rPr>
      </w:pPr>
      <w:r>
        <w:rPr>
          <w:color w:val="000000"/>
          <w:rtl/>
          <w:lang w:eastAsia="zh-TW"/>
        </w:rPr>
        <w:t>٣١٤</w:t>
      </w:r>
      <w:r>
        <w:rPr>
          <w:rFonts w:hint="cs"/>
          <w:rtl/>
        </w:rPr>
        <w:t xml:space="preserve"> </w:t>
      </w:r>
      <w:r>
        <w:rPr>
          <w:rtl/>
        </w:rPr>
        <w:t xml:space="preserve">- </w:t>
      </w:r>
      <w:r>
        <w:rPr>
          <w:rtl/>
          <w:lang w:eastAsia="zh-TW"/>
        </w:rPr>
        <w:t xml:space="preserve">والنوع الأكثر شيوعا من خدمات الصرف الصحي هو </w:t>
      </w:r>
      <w:r>
        <w:rPr>
          <w:rFonts w:hint="cs"/>
          <w:rtl/>
          <w:lang w:eastAsia="zh-TW"/>
        </w:rPr>
        <w:t>”</w:t>
      </w:r>
      <w:r>
        <w:rPr>
          <w:rtl/>
          <w:lang w:eastAsia="zh-TW"/>
        </w:rPr>
        <w:t>عدم وجود مرفق أو</w:t>
      </w:r>
      <w:r>
        <w:rPr>
          <w:rFonts w:hint="cs"/>
          <w:rtl/>
          <w:lang w:eastAsia="zh-TW"/>
        </w:rPr>
        <w:t> </w:t>
      </w:r>
      <w:r>
        <w:rPr>
          <w:rtl/>
          <w:lang w:eastAsia="zh-TW"/>
        </w:rPr>
        <w:t>قضاء الحاجة في الأدغال</w:t>
      </w:r>
      <w:r>
        <w:rPr>
          <w:rFonts w:hint="cs"/>
          <w:rtl/>
          <w:lang w:eastAsia="zh-TW"/>
        </w:rPr>
        <w:t>“</w:t>
      </w:r>
      <w:r>
        <w:rPr>
          <w:rtl/>
          <w:lang w:eastAsia="zh-TW"/>
        </w:rPr>
        <w:t xml:space="preserve"> (28 في المائة من الأسر المعيشية) ويعتمد ربع الأسر المعيشية (25 في المائة) على مرافق مشتركة بين الأسر للمراحيض يشترك فيها العديد من الأسر المعيشية، مما يزيد من احتمال انتشار الأمراض. ويرتبط سببان من أهم أسباب وفيات الرضع والأطفال في تيمور</w:t>
      </w:r>
      <w:r>
        <w:rPr>
          <w:rFonts w:hint="cs"/>
          <w:rtl/>
          <w:lang w:eastAsia="zh-TW"/>
        </w:rPr>
        <w:t xml:space="preserve"> </w:t>
      </w:r>
      <w:r>
        <w:rPr>
          <w:rtl/>
          <w:lang w:eastAsia="zh-TW"/>
        </w:rPr>
        <w:t>-</w:t>
      </w:r>
      <w:r>
        <w:rPr>
          <w:rFonts w:hint="cs"/>
          <w:rtl/>
          <w:lang w:eastAsia="zh-TW"/>
        </w:rPr>
        <w:t xml:space="preserve"> </w:t>
      </w:r>
      <w:r>
        <w:rPr>
          <w:rtl/>
          <w:lang w:eastAsia="zh-TW"/>
        </w:rPr>
        <w:t>ليشتي - وهما عدوى الجهاز التنفسي السفلي ومرض الإسهال، ارتباطا مباشرا بسوء مرافق الصرف الصحي والنظافة الصحية</w:t>
      </w:r>
      <w:r w:rsidRPr="00AC6950">
        <w:rPr>
          <w:vertAlign w:val="superscript"/>
          <w:rtl/>
          <w:lang w:eastAsia="zh-TW"/>
        </w:rPr>
        <w:t>(</w:t>
      </w:r>
      <w:r w:rsidRPr="00AC6950">
        <w:rPr>
          <w:rStyle w:val="FootnoteReference"/>
          <w:szCs w:val="30"/>
          <w:rtl/>
          <w:lang w:eastAsia="zh-TW"/>
        </w:rPr>
        <w:footnoteReference w:id="271"/>
      </w:r>
      <w:r w:rsidRPr="00AC6950">
        <w:rPr>
          <w:vertAlign w:val="superscript"/>
          <w:rtl/>
          <w:lang w:eastAsia="zh-TW"/>
        </w:rPr>
        <w:t>)</w:t>
      </w:r>
      <w:r>
        <w:rPr>
          <w:rtl/>
          <w:lang w:eastAsia="zh-TW"/>
        </w:rPr>
        <w:t>.</w:t>
      </w:r>
    </w:p>
    <w:p w:rsidR="009943B2" w:rsidRPr="00562F26" w:rsidRDefault="009943B2" w:rsidP="009943B2">
      <w:pPr>
        <w:pStyle w:val="SingleTxt"/>
        <w:rPr>
          <w:rtl/>
          <w:lang w:eastAsia="zh-TW"/>
        </w:rPr>
      </w:pPr>
      <w:r>
        <w:rPr>
          <w:color w:val="000000"/>
          <w:rtl/>
          <w:lang w:eastAsia="zh-TW"/>
        </w:rPr>
        <w:t>٣١٥</w:t>
      </w:r>
      <w:r>
        <w:rPr>
          <w:rFonts w:hint="cs"/>
          <w:rtl/>
        </w:rPr>
        <w:t xml:space="preserve"> </w:t>
      </w:r>
      <w:r>
        <w:rPr>
          <w:rtl/>
        </w:rPr>
        <w:t xml:space="preserve">- </w:t>
      </w:r>
      <w:r>
        <w:rPr>
          <w:rtl/>
          <w:lang w:eastAsia="zh-TW"/>
        </w:rPr>
        <w:t xml:space="preserve">ومع ذلك، فقد قامت الحكومة ببعض التحسينات منذ بداية عام 2010، سواء من خلال تنفيذ برامج الأهداف الإنمائية للألفية للقرى وتنفيذ </w:t>
      </w:r>
      <w:r w:rsidRPr="00E43266">
        <w:rPr>
          <w:rtl/>
          <w:lang w:eastAsia="zh-TW"/>
        </w:rPr>
        <w:t>الخطة الإنمائية الاستراتيجية</w:t>
      </w:r>
      <w:r>
        <w:rPr>
          <w:rtl/>
          <w:lang w:eastAsia="zh-TW"/>
        </w:rPr>
        <w:t>. ووفقا للتعداد السكاني لعام 2010، فإن 57 في المائة من سكان المناطق الريفية في تيمور</w:t>
      </w:r>
      <w:r>
        <w:rPr>
          <w:rFonts w:hint="cs"/>
          <w:rtl/>
          <w:lang w:eastAsia="zh-TW"/>
        </w:rPr>
        <w:t xml:space="preserve"> </w:t>
      </w:r>
      <w:r>
        <w:rPr>
          <w:rtl/>
          <w:lang w:eastAsia="zh-TW"/>
        </w:rPr>
        <w:t>-</w:t>
      </w:r>
      <w:r>
        <w:rPr>
          <w:rFonts w:hint="cs"/>
          <w:rtl/>
          <w:lang w:eastAsia="zh-TW"/>
        </w:rPr>
        <w:t xml:space="preserve"> </w:t>
      </w:r>
      <w:r>
        <w:rPr>
          <w:rtl/>
          <w:lang w:eastAsia="zh-TW"/>
        </w:rPr>
        <w:t>ليشتي يمكنهم الحصول على مياه شرب محسنة، و 25 في المائة يمكنهم الحصول على مرافق صرف صحي محسنة. والمصدر الرئيسي لمياه الشرب</w:t>
      </w:r>
      <w:r w:rsidRPr="00FC1672">
        <w:rPr>
          <w:rtl/>
          <w:lang w:eastAsia="zh-TW"/>
        </w:rPr>
        <w:t xml:space="preserve"> </w:t>
      </w:r>
      <w:r>
        <w:rPr>
          <w:rtl/>
          <w:lang w:eastAsia="zh-TW"/>
        </w:rPr>
        <w:t>في المناطق الريفية، هو آبار أو ينابيع غير مشمولة بالحماية (25 في المائة)، مقارنة بالمناطق الحضرية، حيث يكون مصدر مياه الشرب هو الصنابير لدى الأسر المعيشية (42 في المائة)</w:t>
      </w:r>
      <w:r w:rsidRPr="003603F1">
        <w:rPr>
          <w:vertAlign w:val="superscript"/>
          <w:rtl/>
          <w:lang w:eastAsia="zh-TW"/>
        </w:rPr>
        <w:t>(</w:t>
      </w:r>
      <w:r w:rsidRPr="003603F1">
        <w:rPr>
          <w:rStyle w:val="FootnoteReference"/>
          <w:szCs w:val="30"/>
          <w:rtl/>
          <w:lang w:eastAsia="zh-TW"/>
        </w:rPr>
        <w:footnoteReference w:id="272"/>
      </w:r>
      <w:r w:rsidRPr="003603F1">
        <w:rPr>
          <w:vertAlign w:val="superscript"/>
          <w:rtl/>
          <w:lang w:eastAsia="zh-TW"/>
        </w:rPr>
        <w:t>)</w:t>
      </w:r>
      <w:r>
        <w:rPr>
          <w:rtl/>
          <w:lang w:eastAsia="zh-TW"/>
        </w:rPr>
        <w:t>. ويستخدم نحو 18 في المائة من الأسر المعيشية الريفية مرافق الصرف الصحي المحسنة بالمقارنة مع نسبة 61 في المائة في المناطق الحضرية. ويمكن لما نسبته 25 في المائة من الأسر المعيشية الريفية الحصول على مرافق غسل اليدين بالصابون</w:t>
      </w:r>
      <w:r w:rsidRPr="003603F1">
        <w:rPr>
          <w:vertAlign w:val="superscript"/>
          <w:rtl/>
          <w:lang w:eastAsia="zh-TW"/>
        </w:rPr>
        <w:t>(</w:t>
      </w:r>
      <w:r w:rsidRPr="003603F1">
        <w:rPr>
          <w:rStyle w:val="FootnoteReference"/>
          <w:szCs w:val="30"/>
          <w:rtl/>
          <w:lang w:eastAsia="zh-TW"/>
        </w:rPr>
        <w:footnoteReference w:id="273"/>
      </w:r>
      <w:r w:rsidRPr="003603F1">
        <w:rPr>
          <w:vertAlign w:val="superscript"/>
          <w:rtl/>
          <w:lang w:eastAsia="zh-TW"/>
        </w:rPr>
        <w:t>)</w:t>
      </w:r>
      <w:r>
        <w:rPr>
          <w:rtl/>
          <w:lang w:eastAsia="zh-TW"/>
        </w:rPr>
        <w:t>.</w:t>
      </w:r>
    </w:p>
    <w:p w:rsidR="009943B2" w:rsidRPr="00562F26" w:rsidRDefault="009943B2" w:rsidP="009943B2">
      <w:pPr>
        <w:pStyle w:val="SingleTxt"/>
        <w:rPr>
          <w:rtl/>
          <w:lang w:eastAsia="zh-TW"/>
        </w:rPr>
      </w:pPr>
      <w:r>
        <w:rPr>
          <w:color w:val="000000"/>
          <w:rtl/>
          <w:lang w:eastAsia="zh-TW"/>
        </w:rPr>
        <w:t>٣١٦</w:t>
      </w:r>
      <w:r>
        <w:rPr>
          <w:rFonts w:hint="cs"/>
          <w:rtl/>
        </w:rPr>
        <w:t xml:space="preserve"> </w:t>
      </w:r>
      <w:r>
        <w:rPr>
          <w:rtl/>
        </w:rPr>
        <w:t>-</w:t>
      </w:r>
      <w:r>
        <w:rPr>
          <w:rFonts w:hint="cs"/>
          <w:rtl/>
        </w:rPr>
        <w:t xml:space="preserve"> </w:t>
      </w:r>
      <w:r>
        <w:rPr>
          <w:rtl/>
          <w:lang w:eastAsia="zh-TW"/>
        </w:rPr>
        <w:t>وتحققت أيضا تحسينات من حيث الزمن اللازم لجلب المياه في المناطق الريفية. فخلال الفترة 2011-2012 أظهرت بيانات واردة من 878 179</w:t>
      </w:r>
      <w:r>
        <w:rPr>
          <w:rFonts w:hint="cs"/>
          <w:rtl/>
          <w:lang w:eastAsia="zh-TW"/>
        </w:rPr>
        <w:t xml:space="preserve"> </w:t>
      </w:r>
      <w:r>
        <w:rPr>
          <w:rtl/>
          <w:lang w:eastAsia="zh-TW"/>
        </w:rPr>
        <w:t>من الأسر المعيشية التي تعيش في 954 1 قرية صغيرة أن نحو 34 في المائة من الأسر المعيشية تقضي 5 دقائق في جلب المياه النظيفة بالمقارنة مع 16 في المائة في تموز/يوليه 2010. وتقضي نسبة 28 في المائة من الأسر المعيشية 30 دقيقة في جلب المياه النظيفة وتقضي نسبة 38 في المائة أكثر من 30 دقيقة في القيام بذلك. وبالرغم من أن هذه الأرقام ليست مصنفة حسب نوع الجنس، فهي تبين تحسنا كبيرا، حيث ازداد عدد المجتمعات المحلية في المناطق الريفية التي بإمكانها الوصول إلى المياه النظيفة في 5 دقائق</w:t>
      </w:r>
      <w:r w:rsidRPr="003603F1">
        <w:rPr>
          <w:vertAlign w:val="superscript"/>
          <w:rtl/>
          <w:lang w:eastAsia="zh-TW"/>
        </w:rPr>
        <w:t>(</w:t>
      </w:r>
      <w:r w:rsidRPr="003603F1">
        <w:rPr>
          <w:rStyle w:val="FootnoteReference"/>
          <w:szCs w:val="30"/>
          <w:rtl/>
          <w:lang w:eastAsia="zh-TW"/>
        </w:rPr>
        <w:footnoteReference w:id="274"/>
      </w:r>
      <w:r w:rsidRPr="003603F1">
        <w:rPr>
          <w:vertAlign w:val="superscript"/>
          <w:rtl/>
          <w:lang w:eastAsia="zh-TW"/>
        </w:rPr>
        <w:t>)</w:t>
      </w:r>
      <w:r>
        <w:rPr>
          <w:rtl/>
          <w:lang w:eastAsia="zh-TW"/>
        </w:rPr>
        <w:t>.</w:t>
      </w:r>
    </w:p>
    <w:p w:rsidR="009943B2" w:rsidRPr="00562F26" w:rsidRDefault="009943B2" w:rsidP="009943B2">
      <w:pPr>
        <w:pStyle w:val="SingleTxt"/>
        <w:rPr>
          <w:rtl/>
          <w:lang w:eastAsia="zh-TW"/>
        </w:rPr>
      </w:pPr>
      <w:r>
        <w:rPr>
          <w:color w:val="000000"/>
          <w:rtl/>
          <w:lang w:eastAsia="zh-TW"/>
        </w:rPr>
        <w:t>٣١٧</w:t>
      </w:r>
      <w:r>
        <w:rPr>
          <w:rFonts w:hint="cs"/>
          <w:rtl/>
        </w:rPr>
        <w:t xml:space="preserve"> </w:t>
      </w:r>
      <w:r>
        <w:rPr>
          <w:rtl/>
        </w:rPr>
        <w:t>-</w:t>
      </w:r>
      <w:r>
        <w:rPr>
          <w:rFonts w:hint="cs"/>
          <w:rtl/>
        </w:rPr>
        <w:t xml:space="preserve"> </w:t>
      </w:r>
      <w:r>
        <w:rPr>
          <w:rtl/>
          <w:lang w:eastAsia="zh-TW"/>
        </w:rPr>
        <w:t>غير أن استمرار شبكات إمدادات المياه هذه كثيرا ما يمثل مشكلة، حيث يواجه العديد من المجتمعات المحلية صعوبات في تشغيلها وصيانتها</w:t>
      </w:r>
      <w:r w:rsidRPr="003603F1">
        <w:rPr>
          <w:vertAlign w:val="superscript"/>
          <w:rtl/>
          <w:lang w:eastAsia="zh-TW"/>
        </w:rPr>
        <w:t>(</w:t>
      </w:r>
      <w:r w:rsidRPr="003603F1">
        <w:rPr>
          <w:rStyle w:val="FootnoteReference"/>
          <w:szCs w:val="30"/>
          <w:rtl/>
          <w:lang w:eastAsia="zh-TW"/>
        </w:rPr>
        <w:footnoteReference w:id="275"/>
      </w:r>
      <w:r w:rsidRPr="003603F1">
        <w:rPr>
          <w:vertAlign w:val="superscript"/>
          <w:rtl/>
          <w:lang w:eastAsia="zh-TW"/>
        </w:rPr>
        <w:t>)</w:t>
      </w:r>
      <w:r>
        <w:rPr>
          <w:rtl/>
          <w:lang w:eastAsia="zh-TW"/>
        </w:rPr>
        <w:t>.</w:t>
      </w:r>
      <w:r>
        <w:rPr>
          <w:rFonts w:hint="cs"/>
          <w:rtl/>
          <w:lang w:eastAsia="zh-TW"/>
        </w:rPr>
        <w:t xml:space="preserve"> </w:t>
      </w:r>
      <w:r>
        <w:rPr>
          <w:rtl/>
          <w:lang w:eastAsia="zh-TW"/>
        </w:rPr>
        <w:t>والإدارة الوطنية للمياه ومرافق الصرف الصحي هي الوكالة المسؤولة عن مشاركة المرأة الريفية في أفرقة إدارة المرافق. ودور أفرقة إدارة المرافق هو الحفاظ على المرافق من خلال إصلاح أنابيب المياه المكسورة وقياس هطول الأمطار، وجمع الأموال من الأسر المعيشية في المجتمعات المحلية من أجل صيانة مرافق الإمداد بالمياه النظيفة في كل قرية</w:t>
      </w:r>
      <w:r w:rsidRPr="003603F1">
        <w:rPr>
          <w:vertAlign w:val="superscript"/>
          <w:rtl/>
          <w:lang w:eastAsia="zh-TW"/>
        </w:rPr>
        <w:t>(</w:t>
      </w:r>
      <w:r w:rsidRPr="003603F1">
        <w:rPr>
          <w:rStyle w:val="FootnoteReference"/>
          <w:szCs w:val="30"/>
          <w:rtl/>
          <w:lang w:eastAsia="zh-TW"/>
        </w:rPr>
        <w:footnoteReference w:id="276"/>
      </w:r>
      <w:r w:rsidRPr="003603F1">
        <w:rPr>
          <w:vertAlign w:val="superscript"/>
          <w:rtl/>
          <w:lang w:eastAsia="zh-TW"/>
        </w:rPr>
        <w:t>)</w:t>
      </w:r>
      <w:r>
        <w:rPr>
          <w:rtl/>
          <w:lang w:eastAsia="zh-TW"/>
        </w:rPr>
        <w:t>.</w:t>
      </w:r>
    </w:p>
    <w:p w:rsidR="009943B2" w:rsidRDefault="009943B2" w:rsidP="009943B2">
      <w:pPr>
        <w:pStyle w:val="SingleTxt"/>
        <w:rPr>
          <w:rFonts w:hint="cs"/>
          <w:rtl/>
        </w:rPr>
      </w:pPr>
      <w:r>
        <w:rPr>
          <w:color w:val="000000"/>
          <w:rtl/>
          <w:lang w:eastAsia="zh-TW"/>
        </w:rPr>
        <w:t>٣١٨</w:t>
      </w:r>
      <w:r>
        <w:rPr>
          <w:rFonts w:hint="cs"/>
          <w:rtl/>
        </w:rPr>
        <w:t xml:space="preserve"> </w:t>
      </w:r>
      <w:r>
        <w:rPr>
          <w:rtl/>
        </w:rPr>
        <w:t xml:space="preserve">- </w:t>
      </w:r>
      <w:r>
        <w:rPr>
          <w:rtl/>
          <w:lang w:eastAsia="zh-TW"/>
        </w:rPr>
        <w:t>ووفقا للبيانات المستقاة من المديرية الوطنية للمياه ومرافق الصرف الصحي التي بدأت العمل في عام 2010، هناك حوالي 778 قرية لديها أفرقة لإدارة المرافق (حوالي</w:t>
      </w:r>
      <w:r>
        <w:rPr>
          <w:rFonts w:hint="cs"/>
          <w:rtl/>
          <w:lang w:eastAsia="zh-TW"/>
        </w:rPr>
        <w:t> </w:t>
      </w:r>
      <w:r>
        <w:rPr>
          <w:rtl/>
          <w:lang w:eastAsia="zh-TW"/>
        </w:rPr>
        <w:t>40</w:t>
      </w:r>
      <w:r>
        <w:rPr>
          <w:rFonts w:hint="cs"/>
          <w:rtl/>
          <w:lang w:eastAsia="zh-TW"/>
        </w:rPr>
        <w:t> </w:t>
      </w:r>
      <w:r>
        <w:rPr>
          <w:rtl/>
          <w:lang w:eastAsia="zh-TW"/>
        </w:rPr>
        <w:t>في المائة من مجموع القرى. ومن أصل 262 7 من الأعضاء في أفرقة إدارة المرافق هناك 33 في المائة من الإناث</w:t>
      </w:r>
      <w:r w:rsidRPr="003603F1">
        <w:rPr>
          <w:vertAlign w:val="superscript"/>
          <w:rtl/>
          <w:lang w:eastAsia="zh-TW"/>
        </w:rPr>
        <w:t>(</w:t>
      </w:r>
      <w:r w:rsidRPr="003603F1">
        <w:rPr>
          <w:rStyle w:val="FootnoteReference"/>
          <w:szCs w:val="30"/>
          <w:rtl/>
          <w:lang w:eastAsia="zh-TW"/>
        </w:rPr>
        <w:footnoteReference w:id="277"/>
      </w:r>
      <w:r w:rsidRPr="003603F1">
        <w:rPr>
          <w:vertAlign w:val="superscript"/>
          <w:rtl/>
          <w:lang w:eastAsia="zh-TW"/>
        </w:rPr>
        <w:t>)</w:t>
      </w:r>
      <w:r>
        <w:rPr>
          <w:rtl/>
          <w:lang w:eastAsia="zh-TW"/>
        </w:rPr>
        <w:t>.</w:t>
      </w:r>
      <w:r>
        <w:rPr>
          <w:rFonts w:hint="cs"/>
          <w:rtl/>
          <w:lang w:eastAsia="zh-TW"/>
        </w:rPr>
        <w:t xml:space="preserve"> </w:t>
      </w:r>
      <w:r>
        <w:rPr>
          <w:rtl/>
          <w:lang w:eastAsia="zh-TW"/>
        </w:rPr>
        <w:t>وللمرأة دور هام تضطلع به في صيانة مرافق إمدادات المياه النظيفة. ومن خلال أفرقة إدارة المرافق، تستطيع النساء الريفيات إدارة إمكانية حصولهن على المياه النظيفة. وقبل التصديق على ميزانية الدولة لعام 2013، واجهت أفرقة إدارة المرافق عقبات في القيام بأنشطتها. ولا يعمل</w:t>
      </w:r>
      <w:r w:rsidRPr="00A44A15">
        <w:rPr>
          <w:rtl/>
          <w:lang w:eastAsia="zh-TW"/>
        </w:rPr>
        <w:t xml:space="preserve"> </w:t>
      </w:r>
      <w:r>
        <w:rPr>
          <w:rtl/>
          <w:lang w:eastAsia="zh-TW"/>
        </w:rPr>
        <w:t>من المرافق بشكل كامل إلا ما نسبته 35</w:t>
      </w:r>
      <w:r>
        <w:rPr>
          <w:rFonts w:hint="cs"/>
          <w:rtl/>
          <w:lang w:eastAsia="zh-TW"/>
        </w:rPr>
        <w:t> </w:t>
      </w:r>
      <w:r>
        <w:rPr>
          <w:rtl/>
          <w:lang w:eastAsia="zh-TW"/>
        </w:rPr>
        <w:t>في المائة فحسب، ويعمل 45 في المائة منها بشكل جزئي بسبب الافتقار إلى الدعم والتمويل. وقد بحثت وزارة الأشغال العامة الحاجة إلى دعم إعادة تنشيط أفرقة إدارة المرافق وتحقيق الاستدامة فيها من أجل استدامة إمدادات المياه النظيفة على الأجل الطويل من خلال جعلها إحدى الأولويات الرئيسية للميزانية العامة للدولة لعام 2013</w:t>
      </w:r>
      <w:r w:rsidRPr="003603F1">
        <w:rPr>
          <w:vertAlign w:val="superscript"/>
          <w:rtl/>
          <w:lang w:eastAsia="zh-TW"/>
        </w:rPr>
        <w:t>(</w:t>
      </w:r>
      <w:r w:rsidRPr="003603F1">
        <w:rPr>
          <w:rStyle w:val="FootnoteReference"/>
          <w:szCs w:val="30"/>
          <w:rtl/>
          <w:lang w:eastAsia="zh-TW"/>
        </w:rPr>
        <w:footnoteReference w:id="278"/>
      </w:r>
      <w:r w:rsidRPr="003603F1">
        <w:rPr>
          <w:vertAlign w:val="superscript"/>
          <w:rtl/>
          <w:lang w:eastAsia="zh-TW"/>
        </w:rPr>
        <w:t>)</w:t>
      </w:r>
      <w:r>
        <w:rPr>
          <w:rtl/>
          <w:lang w:eastAsia="zh-TW"/>
        </w:rPr>
        <w:t>.</w:t>
      </w:r>
    </w:p>
    <w:p w:rsidR="009943B2" w:rsidRPr="009943B2" w:rsidRDefault="009943B2" w:rsidP="009943B2">
      <w:pPr>
        <w:pStyle w:val="SingleTxt"/>
        <w:spacing w:after="0" w:line="120" w:lineRule="exact"/>
        <w:rPr>
          <w:rFonts w:hint="cs"/>
          <w:color w:val="000000"/>
          <w:sz w:val="10"/>
          <w:rtl/>
          <w:lang w:eastAsia="zh-TW"/>
        </w:rPr>
      </w:pPr>
    </w:p>
    <w:p w:rsidR="009943B2" w:rsidRPr="00A22B7B" w:rsidRDefault="009943B2" w:rsidP="009943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tab/>
      </w:r>
      <w:r w:rsidRPr="00A22B7B">
        <w:rPr>
          <w:rFonts w:hint="cs"/>
          <w:rtl/>
        </w:rPr>
        <w:t>دعم</w:t>
      </w:r>
      <w:r>
        <w:rPr>
          <w:rFonts w:hint="cs"/>
          <w:rtl/>
        </w:rPr>
        <w:t xml:space="preserve"> </w:t>
      </w:r>
      <w:r w:rsidRPr="00A22B7B">
        <w:rPr>
          <w:rFonts w:hint="cs"/>
          <w:rtl/>
        </w:rPr>
        <w:t>الأنشطة</w:t>
      </w:r>
      <w:r>
        <w:rPr>
          <w:rFonts w:hint="cs"/>
          <w:rtl/>
        </w:rPr>
        <w:t xml:space="preserve"> </w:t>
      </w:r>
      <w:r w:rsidRPr="00A22B7B">
        <w:rPr>
          <w:rFonts w:hint="cs"/>
          <w:rtl/>
        </w:rPr>
        <w:t>الاقتصادية</w:t>
      </w:r>
      <w:r>
        <w:rPr>
          <w:rFonts w:hint="cs"/>
          <w:rtl/>
        </w:rPr>
        <w:t xml:space="preserve"> </w:t>
      </w:r>
      <w:r w:rsidRPr="00A22B7B">
        <w:rPr>
          <w:rFonts w:hint="cs"/>
          <w:rtl/>
        </w:rPr>
        <w:t>والأنشطة</w:t>
      </w:r>
      <w:r>
        <w:rPr>
          <w:rFonts w:hint="cs"/>
          <w:rtl/>
        </w:rPr>
        <w:t xml:space="preserve"> </w:t>
      </w:r>
      <w:r w:rsidRPr="00A22B7B">
        <w:rPr>
          <w:rFonts w:hint="cs"/>
          <w:rtl/>
        </w:rPr>
        <w:t>المدرّة</w:t>
      </w:r>
      <w:r>
        <w:rPr>
          <w:rFonts w:hint="cs"/>
          <w:rtl/>
        </w:rPr>
        <w:t xml:space="preserve"> </w:t>
      </w:r>
      <w:r w:rsidRPr="00A22B7B">
        <w:rPr>
          <w:rFonts w:hint="cs"/>
          <w:rtl/>
        </w:rPr>
        <w:t>للدخل</w:t>
      </w:r>
      <w:r>
        <w:rPr>
          <w:rFonts w:hint="cs"/>
          <w:rtl/>
        </w:rPr>
        <w:t xml:space="preserve"> </w:t>
      </w:r>
      <w:r w:rsidRPr="00A22B7B">
        <w:rPr>
          <w:rFonts w:hint="cs"/>
          <w:rtl/>
        </w:rPr>
        <w:t>التي</w:t>
      </w:r>
      <w:r>
        <w:rPr>
          <w:rFonts w:hint="cs"/>
          <w:rtl/>
        </w:rPr>
        <w:t xml:space="preserve"> </w:t>
      </w:r>
      <w:r w:rsidRPr="00A22B7B">
        <w:rPr>
          <w:rFonts w:hint="cs"/>
          <w:rtl/>
        </w:rPr>
        <w:t>تضطلع</w:t>
      </w:r>
      <w:r>
        <w:rPr>
          <w:rFonts w:hint="cs"/>
          <w:rtl/>
        </w:rPr>
        <w:t xml:space="preserve"> </w:t>
      </w:r>
      <w:r w:rsidRPr="00A22B7B">
        <w:rPr>
          <w:rFonts w:hint="cs"/>
          <w:rtl/>
        </w:rPr>
        <w:t>بها</w:t>
      </w:r>
      <w:r>
        <w:rPr>
          <w:rFonts w:hint="cs"/>
          <w:rtl/>
        </w:rPr>
        <w:t xml:space="preserve"> </w:t>
      </w:r>
      <w:r w:rsidRPr="00A22B7B">
        <w:rPr>
          <w:rFonts w:hint="cs"/>
          <w:rtl/>
        </w:rPr>
        <w:t>المرأة</w:t>
      </w:r>
    </w:p>
    <w:p w:rsidR="009943B2" w:rsidRPr="00A22B7B" w:rsidRDefault="009943B2" w:rsidP="009943B2">
      <w:pPr>
        <w:pStyle w:val="SingleTxt"/>
        <w:rPr>
          <w:rFonts w:hint="cs"/>
        </w:rPr>
      </w:pPr>
      <w:r>
        <w:rPr>
          <w:rFonts w:hint="cs"/>
          <w:rtl/>
        </w:rPr>
        <w:t xml:space="preserve">319 - </w:t>
      </w:r>
      <w:r w:rsidRPr="00A22B7B">
        <w:rPr>
          <w:rFonts w:hint="cs"/>
          <w:rtl/>
        </w:rPr>
        <w:t>تعمل</w:t>
      </w:r>
      <w:r>
        <w:rPr>
          <w:rFonts w:hint="cs"/>
          <w:rtl/>
        </w:rPr>
        <w:t xml:space="preserve"> </w:t>
      </w:r>
      <w:r w:rsidRPr="00A22B7B">
        <w:rPr>
          <w:rFonts w:hint="cs"/>
          <w:rtl/>
        </w:rPr>
        <w:t>الحكومة</w:t>
      </w:r>
      <w:r>
        <w:rPr>
          <w:rFonts w:hint="cs"/>
          <w:rtl/>
        </w:rPr>
        <w:t xml:space="preserve"> </w:t>
      </w:r>
      <w:r w:rsidRPr="00A22B7B">
        <w:rPr>
          <w:rFonts w:hint="cs"/>
          <w:rtl/>
        </w:rPr>
        <w:t>من</w:t>
      </w:r>
      <w:r>
        <w:rPr>
          <w:rFonts w:hint="cs"/>
          <w:rtl/>
        </w:rPr>
        <w:t xml:space="preserve"> </w:t>
      </w:r>
      <w:r w:rsidRPr="00A22B7B">
        <w:rPr>
          <w:rFonts w:hint="cs"/>
          <w:rtl/>
        </w:rPr>
        <w:t>خلال</w:t>
      </w:r>
      <w:r>
        <w:rPr>
          <w:rFonts w:hint="cs"/>
          <w:rtl/>
        </w:rPr>
        <w:t xml:space="preserve"> </w:t>
      </w:r>
      <w:r w:rsidRPr="00A22B7B">
        <w:rPr>
          <w:rFonts w:hint="cs"/>
          <w:rtl/>
        </w:rPr>
        <w:t>وزارة</w:t>
      </w:r>
      <w:r>
        <w:rPr>
          <w:rFonts w:hint="cs"/>
          <w:rtl/>
        </w:rPr>
        <w:t xml:space="preserve"> </w:t>
      </w:r>
      <w:r w:rsidRPr="00A22B7B">
        <w:rPr>
          <w:rFonts w:hint="cs"/>
          <w:rtl/>
        </w:rPr>
        <w:t>الدولة</w:t>
      </w:r>
      <w:r>
        <w:rPr>
          <w:rFonts w:hint="cs"/>
          <w:rtl/>
        </w:rPr>
        <w:t xml:space="preserve"> </w:t>
      </w:r>
      <w:r w:rsidRPr="00A22B7B">
        <w:rPr>
          <w:rFonts w:hint="cs"/>
          <w:rtl/>
        </w:rPr>
        <w:t>لسياسة</w:t>
      </w:r>
      <w:r>
        <w:rPr>
          <w:rFonts w:hint="cs"/>
          <w:rtl/>
        </w:rPr>
        <w:t xml:space="preserve"> </w:t>
      </w:r>
      <w:r w:rsidRPr="00A22B7B">
        <w:rPr>
          <w:rFonts w:hint="cs"/>
          <w:rtl/>
        </w:rPr>
        <w:t>التدريب</w:t>
      </w:r>
      <w:r>
        <w:rPr>
          <w:rFonts w:hint="cs"/>
          <w:rtl/>
        </w:rPr>
        <w:t xml:space="preserve"> </w:t>
      </w:r>
      <w:r w:rsidRPr="00A22B7B">
        <w:rPr>
          <w:rFonts w:hint="cs"/>
          <w:rtl/>
        </w:rPr>
        <w:t>المهني</w:t>
      </w:r>
      <w:r>
        <w:rPr>
          <w:rFonts w:hint="cs"/>
          <w:rtl/>
        </w:rPr>
        <w:t xml:space="preserve"> </w:t>
      </w:r>
      <w:r w:rsidRPr="00A22B7B">
        <w:rPr>
          <w:rFonts w:hint="cs"/>
          <w:rtl/>
        </w:rPr>
        <w:t>والتوظيف</w:t>
      </w:r>
      <w:r>
        <w:rPr>
          <w:rFonts w:hint="cs"/>
          <w:rtl/>
        </w:rPr>
        <w:t xml:space="preserve"> </w:t>
      </w:r>
      <w:r w:rsidRPr="00A22B7B">
        <w:rPr>
          <w:rFonts w:hint="cs"/>
          <w:rtl/>
        </w:rPr>
        <w:t>على</w:t>
      </w:r>
      <w:r>
        <w:rPr>
          <w:rFonts w:hint="cs"/>
          <w:rtl/>
        </w:rPr>
        <w:t xml:space="preserve"> </w:t>
      </w:r>
      <w:r w:rsidRPr="00A22B7B">
        <w:rPr>
          <w:rFonts w:hint="cs"/>
          <w:rtl/>
        </w:rPr>
        <w:t>إتاحة</w:t>
      </w:r>
      <w:r>
        <w:rPr>
          <w:rFonts w:hint="cs"/>
          <w:rtl/>
        </w:rPr>
        <w:t xml:space="preserve"> </w:t>
      </w:r>
      <w:r w:rsidRPr="00A22B7B">
        <w:rPr>
          <w:rFonts w:hint="cs"/>
          <w:rtl/>
        </w:rPr>
        <w:t>الفرص</w:t>
      </w:r>
      <w:r>
        <w:rPr>
          <w:rFonts w:hint="cs"/>
          <w:rtl/>
        </w:rPr>
        <w:t xml:space="preserve"> </w:t>
      </w:r>
      <w:r w:rsidRPr="00A22B7B">
        <w:rPr>
          <w:rFonts w:hint="cs"/>
          <w:rtl/>
        </w:rPr>
        <w:t>للنساء</w:t>
      </w:r>
      <w:r>
        <w:rPr>
          <w:rFonts w:hint="cs"/>
          <w:rtl/>
        </w:rPr>
        <w:t xml:space="preserve"> </w:t>
      </w:r>
      <w:r w:rsidRPr="00A22B7B">
        <w:rPr>
          <w:rFonts w:hint="cs"/>
          <w:rtl/>
        </w:rPr>
        <w:t>الريفيات</w:t>
      </w:r>
      <w:r>
        <w:rPr>
          <w:rFonts w:hint="cs"/>
          <w:rtl/>
        </w:rPr>
        <w:t xml:space="preserve"> </w:t>
      </w:r>
      <w:r w:rsidRPr="00A22B7B">
        <w:rPr>
          <w:rFonts w:hint="cs"/>
          <w:rtl/>
        </w:rPr>
        <w:t>للعمل</w:t>
      </w:r>
      <w:r>
        <w:rPr>
          <w:rFonts w:hint="cs"/>
          <w:rtl/>
        </w:rPr>
        <w:t xml:space="preserve"> </w:t>
      </w:r>
      <w:r w:rsidRPr="00A22B7B">
        <w:rPr>
          <w:rFonts w:hint="cs"/>
          <w:rtl/>
        </w:rPr>
        <w:t>لحسابهن</w:t>
      </w:r>
      <w:r>
        <w:rPr>
          <w:rFonts w:hint="cs"/>
          <w:rtl/>
        </w:rPr>
        <w:t xml:space="preserve"> </w:t>
      </w:r>
      <w:r w:rsidRPr="00A22B7B">
        <w:rPr>
          <w:rFonts w:hint="cs"/>
          <w:rtl/>
        </w:rPr>
        <w:t>الخاص</w:t>
      </w:r>
      <w:r>
        <w:rPr>
          <w:rFonts w:hint="cs"/>
          <w:rtl/>
        </w:rPr>
        <w:t xml:space="preserve"> </w:t>
      </w:r>
      <w:r w:rsidRPr="00A22B7B">
        <w:rPr>
          <w:rFonts w:hint="cs"/>
          <w:rtl/>
        </w:rPr>
        <w:t>وإنشاء</w:t>
      </w:r>
      <w:r>
        <w:rPr>
          <w:rFonts w:hint="cs"/>
          <w:rtl/>
        </w:rPr>
        <w:t xml:space="preserve"> </w:t>
      </w:r>
      <w:r w:rsidRPr="00A22B7B">
        <w:rPr>
          <w:rFonts w:hint="cs"/>
          <w:rtl/>
        </w:rPr>
        <w:t>مجموعات</w:t>
      </w:r>
      <w:r>
        <w:rPr>
          <w:rFonts w:hint="cs"/>
          <w:rtl/>
        </w:rPr>
        <w:t xml:space="preserve"> </w:t>
      </w:r>
      <w:r w:rsidRPr="00A22B7B">
        <w:rPr>
          <w:rFonts w:hint="cs"/>
          <w:rtl/>
        </w:rPr>
        <w:t>العون</w:t>
      </w:r>
      <w:r>
        <w:rPr>
          <w:rFonts w:hint="cs"/>
          <w:rtl/>
        </w:rPr>
        <w:t xml:space="preserve"> </w:t>
      </w:r>
      <w:r w:rsidRPr="00A22B7B">
        <w:rPr>
          <w:rFonts w:hint="cs"/>
          <w:rtl/>
        </w:rPr>
        <w:t>الذاتي</w:t>
      </w:r>
      <w:r>
        <w:rPr>
          <w:rFonts w:hint="cs"/>
          <w:rtl/>
        </w:rPr>
        <w:t xml:space="preserve"> </w:t>
      </w:r>
      <w:r w:rsidRPr="00A22B7B">
        <w:rPr>
          <w:rFonts w:hint="cs"/>
          <w:rtl/>
        </w:rPr>
        <w:t>من</w:t>
      </w:r>
      <w:r>
        <w:rPr>
          <w:rFonts w:hint="cs"/>
          <w:rtl/>
        </w:rPr>
        <w:t xml:space="preserve"> </w:t>
      </w:r>
      <w:r w:rsidRPr="00A22B7B">
        <w:rPr>
          <w:rFonts w:hint="cs"/>
          <w:rtl/>
        </w:rPr>
        <w:t>خلال</w:t>
      </w:r>
      <w:r>
        <w:rPr>
          <w:rFonts w:hint="cs"/>
          <w:rtl/>
        </w:rPr>
        <w:t xml:space="preserve"> </w:t>
      </w:r>
      <w:r w:rsidRPr="00A22B7B">
        <w:rPr>
          <w:rFonts w:hint="cs"/>
          <w:rtl/>
        </w:rPr>
        <w:t>مبادرات</w:t>
      </w:r>
      <w:r>
        <w:rPr>
          <w:rFonts w:hint="cs"/>
          <w:rtl/>
        </w:rPr>
        <w:t xml:space="preserve"> </w:t>
      </w:r>
      <w:r w:rsidRPr="00A22B7B">
        <w:rPr>
          <w:rFonts w:hint="cs"/>
          <w:rtl/>
        </w:rPr>
        <w:t>مختلفة</w:t>
      </w:r>
      <w:r>
        <w:rPr>
          <w:rFonts w:hint="cs"/>
          <w:rtl/>
        </w:rPr>
        <w:t xml:space="preserve"> </w:t>
      </w:r>
      <w:r w:rsidRPr="00A22B7B">
        <w:rPr>
          <w:rFonts w:hint="cs"/>
          <w:rtl/>
        </w:rPr>
        <w:t>لبناء</w:t>
      </w:r>
      <w:r>
        <w:rPr>
          <w:rFonts w:hint="cs"/>
          <w:rtl/>
        </w:rPr>
        <w:t xml:space="preserve"> </w:t>
      </w:r>
      <w:r w:rsidRPr="00A22B7B">
        <w:rPr>
          <w:rFonts w:hint="cs"/>
          <w:rtl/>
        </w:rPr>
        <w:t>قدراتهن</w:t>
      </w:r>
      <w:r>
        <w:rPr>
          <w:rFonts w:hint="cs"/>
          <w:rtl/>
        </w:rPr>
        <w:t xml:space="preserve"> </w:t>
      </w:r>
      <w:r w:rsidRPr="00A22B7B">
        <w:rPr>
          <w:rFonts w:hint="cs"/>
          <w:rtl/>
        </w:rPr>
        <w:t>بالشراكة</w:t>
      </w:r>
      <w:r>
        <w:rPr>
          <w:rFonts w:hint="cs"/>
          <w:rtl/>
        </w:rPr>
        <w:t xml:space="preserve"> </w:t>
      </w:r>
      <w:r w:rsidRPr="00A22B7B">
        <w:rPr>
          <w:rFonts w:hint="cs"/>
          <w:rtl/>
        </w:rPr>
        <w:t>مع</w:t>
      </w:r>
      <w:r>
        <w:rPr>
          <w:rFonts w:hint="cs"/>
          <w:rtl/>
        </w:rPr>
        <w:t xml:space="preserve"> </w:t>
      </w:r>
      <w:r w:rsidRPr="00A22B7B">
        <w:rPr>
          <w:rFonts w:hint="cs"/>
          <w:rtl/>
        </w:rPr>
        <w:t>معهد</w:t>
      </w:r>
      <w:r>
        <w:rPr>
          <w:rFonts w:hint="cs"/>
          <w:rtl/>
        </w:rPr>
        <w:t xml:space="preserve"> </w:t>
      </w:r>
      <w:r w:rsidRPr="00A22B7B">
        <w:rPr>
          <w:rFonts w:hint="cs"/>
          <w:rtl/>
        </w:rPr>
        <w:t>دعم</w:t>
      </w:r>
      <w:r>
        <w:rPr>
          <w:rFonts w:hint="cs"/>
          <w:rtl/>
        </w:rPr>
        <w:t xml:space="preserve"> </w:t>
      </w:r>
      <w:r w:rsidRPr="00A22B7B">
        <w:rPr>
          <w:rFonts w:hint="cs"/>
          <w:rtl/>
        </w:rPr>
        <w:t>تطوير</w:t>
      </w:r>
      <w:r>
        <w:rPr>
          <w:rFonts w:hint="cs"/>
          <w:rtl/>
        </w:rPr>
        <w:t xml:space="preserve"> </w:t>
      </w:r>
      <w:r w:rsidRPr="00A22B7B">
        <w:rPr>
          <w:rFonts w:hint="cs"/>
          <w:rtl/>
        </w:rPr>
        <w:t>الأعمال</w:t>
      </w:r>
      <w:r>
        <w:rPr>
          <w:rFonts w:hint="cs"/>
          <w:rtl/>
        </w:rPr>
        <w:t xml:space="preserve"> </w:t>
      </w:r>
      <w:r w:rsidRPr="00A22B7B">
        <w:rPr>
          <w:rFonts w:hint="cs"/>
          <w:rtl/>
        </w:rPr>
        <w:t>التجارية.</w:t>
      </w:r>
      <w:r>
        <w:rPr>
          <w:rFonts w:hint="cs"/>
          <w:rtl/>
        </w:rPr>
        <w:t xml:space="preserve"> </w:t>
      </w:r>
      <w:r w:rsidRPr="00A22B7B">
        <w:rPr>
          <w:rFonts w:hint="cs"/>
          <w:rtl/>
        </w:rPr>
        <w:t>وما</w:t>
      </w:r>
      <w:r>
        <w:rPr>
          <w:rFonts w:hint="eastAsia"/>
          <w:rtl/>
        </w:rPr>
        <w:t> </w:t>
      </w:r>
      <w:r w:rsidRPr="00A22B7B">
        <w:rPr>
          <w:rFonts w:hint="cs"/>
          <w:rtl/>
        </w:rPr>
        <w:t>برحت</w:t>
      </w:r>
      <w:r>
        <w:rPr>
          <w:rFonts w:hint="cs"/>
          <w:rtl/>
        </w:rPr>
        <w:t xml:space="preserve"> </w:t>
      </w:r>
      <w:r w:rsidRPr="00A22B7B">
        <w:rPr>
          <w:rFonts w:hint="cs"/>
          <w:rtl/>
        </w:rPr>
        <w:t>وزارة</w:t>
      </w:r>
      <w:r>
        <w:rPr>
          <w:rFonts w:hint="cs"/>
          <w:rtl/>
        </w:rPr>
        <w:t xml:space="preserve"> </w:t>
      </w:r>
      <w:r w:rsidRPr="00A22B7B">
        <w:rPr>
          <w:rFonts w:hint="cs"/>
          <w:rtl/>
        </w:rPr>
        <w:t>الدولة</w:t>
      </w:r>
      <w:r>
        <w:rPr>
          <w:rFonts w:hint="cs"/>
          <w:rtl/>
        </w:rPr>
        <w:t xml:space="preserve"> </w:t>
      </w:r>
      <w:r w:rsidRPr="00A22B7B">
        <w:rPr>
          <w:rFonts w:hint="cs"/>
          <w:rtl/>
        </w:rPr>
        <w:t>لسياسة</w:t>
      </w:r>
      <w:r>
        <w:rPr>
          <w:rFonts w:hint="cs"/>
          <w:rtl/>
        </w:rPr>
        <w:t xml:space="preserve"> </w:t>
      </w:r>
      <w:r w:rsidRPr="00A22B7B">
        <w:rPr>
          <w:rFonts w:hint="cs"/>
          <w:rtl/>
        </w:rPr>
        <w:t>التدريب</w:t>
      </w:r>
      <w:r>
        <w:rPr>
          <w:rFonts w:hint="cs"/>
          <w:rtl/>
        </w:rPr>
        <w:t xml:space="preserve"> </w:t>
      </w:r>
      <w:r w:rsidRPr="00A22B7B">
        <w:rPr>
          <w:rFonts w:hint="cs"/>
          <w:rtl/>
        </w:rPr>
        <w:t>المهني</w:t>
      </w:r>
      <w:r>
        <w:rPr>
          <w:rFonts w:hint="cs"/>
          <w:rtl/>
        </w:rPr>
        <w:t xml:space="preserve"> </w:t>
      </w:r>
      <w:r w:rsidRPr="00A22B7B">
        <w:rPr>
          <w:rFonts w:hint="cs"/>
          <w:rtl/>
        </w:rPr>
        <w:t>والتوظيف</w:t>
      </w:r>
      <w:r>
        <w:rPr>
          <w:rFonts w:hint="cs"/>
          <w:rtl/>
        </w:rPr>
        <w:t xml:space="preserve"> </w:t>
      </w:r>
      <w:r w:rsidRPr="00A22B7B">
        <w:rPr>
          <w:rFonts w:hint="cs"/>
          <w:rtl/>
        </w:rPr>
        <w:t>ومعهد</w:t>
      </w:r>
      <w:r>
        <w:rPr>
          <w:rFonts w:hint="cs"/>
          <w:rtl/>
        </w:rPr>
        <w:t xml:space="preserve"> </w:t>
      </w:r>
      <w:r w:rsidRPr="00A22B7B">
        <w:rPr>
          <w:rFonts w:hint="cs"/>
          <w:rtl/>
        </w:rPr>
        <w:t>دعم</w:t>
      </w:r>
      <w:r>
        <w:rPr>
          <w:rFonts w:hint="cs"/>
          <w:rtl/>
        </w:rPr>
        <w:t xml:space="preserve"> </w:t>
      </w:r>
      <w:r w:rsidRPr="00A22B7B">
        <w:rPr>
          <w:rFonts w:hint="cs"/>
          <w:rtl/>
        </w:rPr>
        <w:t>تطوير</w:t>
      </w:r>
      <w:r>
        <w:rPr>
          <w:rFonts w:hint="cs"/>
          <w:rtl/>
        </w:rPr>
        <w:t xml:space="preserve"> </w:t>
      </w:r>
      <w:r w:rsidRPr="00A22B7B">
        <w:rPr>
          <w:rFonts w:hint="cs"/>
          <w:rtl/>
        </w:rPr>
        <w:t>الأعمال</w:t>
      </w:r>
      <w:r>
        <w:rPr>
          <w:rFonts w:hint="cs"/>
          <w:rtl/>
        </w:rPr>
        <w:t xml:space="preserve"> </w:t>
      </w:r>
      <w:r w:rsidRPr="00A22B7B">
        <w:rPr>
          <w:rFonts w:hint="cs"/>
          <w:rtl/>
        </w:rPr>
        <w:t>التجارية</w:t>
      </w:r>
      <w:r>
        <w:rPr>
          <w:rFonts w:hint="cs"/>
          <w:rtl/>
        </w:rPr>
        <w:t xml:space="preserve"> </w:t>
      </w:r>
      <w:r w:rsidRPr="00A22B7B">
        <w:rPr>
          <w:rFonts w:hint="cs"/>
          <w:rtl/>
        </w:rPr>
        <w:t>يموّلان</w:t>
      </w:r>
      <w:r>
        <w:rPr>
          <w:rFonts w:hint="cs"/>
          <w:rtl/>
        </w:rPr>
        <w:t xml:space="preserve"> </w:t>
      </w:r>
      <w:r w:rsidRPr="00A22B7B">
        <w:rPr>
          <w:rFonts w:hint="cs"/>
          <w:rtl/>
        </w:rPr>
        <w:t>دورات</w:t>
      </w:r>
      <w:r>
        <w:rPr>
          <w:rFonts w:hint="cs"/>
          <w:rtl/>
        </w:rPr>
        <w:t xml:space="preserve"> </w:t>
      </w:r>
      <w:r w:rsidRPr="00A22B7B">
        <w:rPr>
          <w:rFonts w:hint="cs"/>
          <w:rtl/>
        </w:rPr>
        <w:t>تدريبية</w:t>
      </w:r>
      <w:r>
        <w:rPr>
          <w:rFonts w:hint="cs"/>
          <w:rtl/>
        </w:rPr>
        <w:t xml:space="preserve"> </w:t>
      </w:r>
      <w:r w:rsidRPr="00A22B7B">
        <w:rPr>
          <w:rFonts w:hint="cs"/>
          <w:rtl/>
        </w:rPr>
        <w:t>لأرباب</w:t>
      </w:r>
      <w:r>
        <w:rPr>
          <w:rFonts w:hint="cs"/>
          <w:rtl/>
        </w:rPr>
        <w:t xml:space="preserve"> </w:t>
      </w:r>
      <w:r w:rsidRPr="00A22B7B">
        <w:rPr>
          <w:rFonts w:hint="cs"/>
          <w:rtl/>
        </w:rPr>
        <w:t>العمل</w:t>
      </w:r>
      <w:r>
        <w:rPr>
          <w:rFonts w:hint="cs"/>
          <w:rtl/>
        </w:rPr>
        <w:t xml:space="preserve"> </w:t>
      </w:r>
      <w:r w:rsidRPr="00A22B7B">
        <w:rPr>
          <w:rFonts w:hint="cs"/>
          <w:rtl/>
        </w:rPr>
        <w:t>وأصحاب</w:t>
      </w:r>
      <w:r>
        <w:rPr>
          <w:rFonts w:hint="cs"/>
          <w:rtl/>
        </w:rPr>
        <w:t xml:space="preserve"> </w:t>
      </w:r>
      <w:r w:rsidRPr="00A22B7B">
        <w:rPr>
          <w:rFonts w:hint="cs"/>
          <w:rtl/>
        </w:rPr>
        <w:t>الأعمال</w:t>
      </w:r>
      <w:r>
        <w:rPr>
          <w:rFonts w:hint="cs"/>
          <w:rtl/>
        </w:rPr>
        <w:t xml:space="preserve"> </w:t>
      </w:r>
      <w:r w:rsidRPr="00A22B7B">
        <w:rPr>
          <w:rFonts w:hint="cs"/>
          <w:rtl/>
        </w:rPr>
        <w:t>الحرّة</w:t>
      </w:r>
      <w:r>
        <w:rPr>
          <w:rFonts w:hint="cs"/>
          <w:rtl/>
        </w:rPr>
        <w:t xml:space="preserve"> </w:t>
      </w:r>
      <w:r w:rsidRPr="00A22B7B">
        <w:rPr>
          <w:rFonts w:hint="cs"/>
          <w:rtl/>
        </w:rPr>
        <w:t>من</w:t>
      </w:r>
      <w:r>
        <w:rPr>
          <w:rFonts w:hint="cs"/>
          <w:rtl/>
        </w:rPr>
        <w:t xml:space="preserve"> </w:t>
      </w:r>
      <w:r w:rsidRPr="00A22B7B">
        <w:rPr>
          <w:rFonts w:hint="cs"/>
          <w:rtl/>
        </w:rPr>
        <w:t>أجل</w:t>
      </w:r>
      <w:r>
        <w:rPr>
          <w:rFonts w:hint="cs"/>
          <w:rtl/>
        </w:rPr>
        <w:t xml:space="preserve"> </w:t>
      </w:r>
      <w:r w:rsidRPr="00A22B7B">
        <w:rPr>
          <w:rFonts w:hint="cs"/>
          <w:rtl/>
        </w:rPr>
        <w:t>دعم</w:t>
      </w:r>
      <w:r>
        <w:rPr>
          <w:rFonts w:hint="cs"/>
          <w:rtl/>
        </w:rPr>
        <w:t xml:space="preserve"> </w:t>
      </w:r>
      <w:r w:rsidRPr="00A22B7B">
        <w:rPr>
          <w:rFonts w:hint="cs"/>
          <w:rtl/>
        </w:rPr>
        <w:t>مجموعات</w:t>
      </w:r>
      <w:r>
        <w:rPr>
          <w:rFonts w:hint="cs"/>
          <w:rtl/>
        </w:rPr>
        <w:t xml:space="preserve"> </w:t>
      </w:r>
      <w:r w:rsidRPr="00A22B7B">
        <w:rPr>
          <w:rFonts w:hint="cs"/>
          <w:rtl/>
        </w:rPr>
        <w:t>الشركات</w:t>
      </w:r>
      <w:r>
        <w:rPr>
          <w:rFonts w:hint="cs"/>
          <w:rtl/>
        </w:rPr>
        <w:t xml:space="preserve"> </w:t>
      </w:r>
      <w:r w:rsidRPr="00A22B7B">
        <w:rPr>
          <w:rFonts w:hint="cs"/>
          <w:rtl/>
        </w:rPr>
        <w:t>الصغيرة</w:t>
      </w:r>
      <w:r>
        <w:rPr>
          <w:rFonts w:hint="cs"/>
          <w:rtl/>
        </w:rPr>
        <w:t xml:space="preserve"> </w:t>
      </w:r>
      <w:r w:rsidRPr="00A22B7B">
        <w:rPr>
          <w:rFonts w:hint="cs"/>
          <w:rtl/>
        </w:rPr>
        <w:t>في</w:t>
      </w:r>
      <w:r>
        <w:rPr>
          <w:rFonts w:hint="cs"/>
          <w:rtl/>
        </w:rPr>
        <w:t xml:space="preserve"> </w:t>
      </w:r>
      <w:r w:rsidRPr="00A22B7B">
        <w:rPr>
          <w:rFonts w:hint="cs"/>
          <w:rtl/>
        </w:rPr>
        <w:t>المناطق</w:t>
      </w:r>
      <w:r>
        <w:rPr>
          <w:rFonts w:hint="cs"/>
          <w:rtl/>
        </w:rPr>
        <w:t xml:space="preserve"> </w:t>
      </w:r>
      <w:r w:rsidRPr="00A22B7B">
        <w:rPr>
          <w:rFonts w:hint="cs"/>
          <w:rtl/>
        </w:rPr>
        <w:t>الريفية،</w:t>
      </w:r>
      <w:r>
        <w:rPr>
          <w:rFonts w:hint="cs"/>
          <w:rtl/>
        </w:rPr>
        <w:t xml:space="preserve"> </w:t>
      </w:r>
      <w:r w:rsidRPr="00A22B7B">
        <w:rPr>
          <w:rFonts w:hint="cs"/>
          <w:rtl/>
        </w:rPr>
        <w:t>بما</w:t>
      </w:r>
      <w:r>
        <w:rPr>
          <w:rFonts w:hint="cs"/>
          <w:rtl/>
        </w:rPr>
        <w:t xml:space="preserve"> </w:t>
      </w:r>
      <w:r w:rsidRPr="00A22B7B">
        <w:rPr>
          <w:rFonts w:hint="cs"/>
          <w:rtl/>
        </w:rPr>
        <w:t>في</w:t>
      </w:r>
      <w:r>
        <w:rPr>
          <w:rFonts w:hint="cs"/>
          <w:rtl/>
        </w:rPr>
        <w:t xml:space="preserve"> </w:t>
      </w:r>
      <w:r w:rsidRPr="00A22B7B">
        <w:rPr>
          <w:rFonts w:hint="cs"/>
          <w:rtl/>
        </w:rPr>
        <w:t>ذلك</w:t>
      </w:r>
      <w:r>
        <w:rPr>
          <w:rFonts w:hint="cs"/>
          <w:rtl/>
        </w:rPr>
        <w:t xml:space="preserve"> </w:t>
      </w:r>
      <w:r w:rsidRPr="00A22B7B">
        <w:rPr>
          <w:rFonts w:hint="cs"/>
          <w:rtl/>
        </w:rPr>
        <w:t>مجموعات</w:t>
      </w:r>
      <w:r>
        <w:rPr>
          <w:rFonts w:hint="cs"/>
          <w:rtl/>
        </w:rPr>
        <w:t xml:space="preserve"> </w:t>
      </w:r>
      <w:r w:rsidRPr="00A22B7B">
        <w:rPr>
          <w:rFonts w:hint="cs"/>
          <w:rtl/>
        </w:rPr>
        <w:t>الشركات</w:t>
      </w:r>
      <w:r>
        <w:rPr>
          <w:rFonts w:hint="cs"/>
          <w:rtl/>
        </w:rPr>
        <w:t xml:space="preserve"> </w:t>
      </w:r>
      <w:r w:rsidRPr="00A22B7B">
        <w:rPr>
          <w:rFonts w:hint="cs"/>
          <w:rtl/>
        </w:rPr>
        <w:t>التي</w:t>
      </w:r>
      <w:r>
        <w:rPr>
          <w:rFonts w:hint="cs"/>
          <w:rtl/>
        </w:rPr>
        <w:t xml:space="preserve"> </w:t>
      </w:r>
      <w:r w:rsidRPr="00A22B7B">
        <w:rPr>
          <w:rFonts w:hint="cs"/>
          <w:rtl/>
        </w:rPr>
        <w:t>تملكها</w:t>
      </w:r>
      <w:r>
        <w:rPr>
          <w:rFonts w:hint="cs"/>
          <w:rtl/>
        </w:rPr>
        <w:t xml:space="preserve"> </w:t>
      </w:r>
      <w:r w:rsidRPr="00A22B7B">
        <w:rPr>
          <w:rFonts w:hint="cs"/>
          <w:rtl/>
        </w:rPr>
        <w:t>النساء</w:t>
      </w:r>
      <w:r w:rsidRPr="006B279F">
        <w:rPr>
          <w:vertAlign w:val="superscript"/>
          <w:rtl/>
        </w:rPr>
        <w:t>(</w:t>
      </w:r>
      <w:r w:rsidRPr="006B279F">
        <w:rPr>
          <w:rStyle w:val="FootnoteReference"/>
          <w:szCs w:val="30"/>
          <w:rtl/>
        </w:rPr>
        <w:footnoteReference w:id="279"/>
      </w:r>
      <w:r w:rsidRPr="006B279F">
        <w:rPr>
          <w:vertAlign w:val="superscript"/>
          <w:rtl/>
        </w:rPr>
        <w:t>)</w:t>
      </w:r>
      <w:r w:rsidRPr="00A22B7B">
        <w:rPr>
          <w:rFonts w:hint="cs"/>
          <w:rtl/>
        </w:rPr>
        <w:t>.</w:t>
      </w:r>
      <w:r>
        <w:rPr>
          <w:rtl/>
        </w:rPr>
        <w:t xml:space="preserve"> </w:t>
      </w:r>
      <w:r w:rsidRPr="00A22B7B">
        <w:rPr>
          <w:rFonts w:hint="cs"/>
          <w:rtl/>
        </w:rPr>
        <w:t>وبالإضافة</w:t>
      </w:r>
      <w:r>
        <w:rPr>
          <w:rFonts w:hint="cs"/>
          <w:rtl/>
        </w:rPr>
        <w:t xml:space="preserve"> </w:t>
      </w:r>
      <w:r w:rsidRPr="00A22B7B">
        <w:rPr>
          <w:rFonts w:hint="cs"/>
          <w:rtl/>
        </w:rPr>
        <w:t>إلى</w:t>
      </w:r>
      <w:r>
        <w:rPr>
          <w:rFonts w:hint="cs"/>
          <w:rtl/>
        </w:rPr>
        <w:t xml:space="preserve"> </w:t>
      </w:r>
      <w:r w:rsidRPr="00A22B7B">
        <w:rPr>
          <w:rFonts w:hint="cs"/>
          <w:rtl/>
        </w:rPr>
        <w:t>ذلك</w:t>
      </w:r>
      <w:r>
        <w:rPr>
          <w:rFonts w:hint="cs"/>
          <w:rtl/>
        </w:rPr>
        <w:t xml:space="preserve"> </w:t>
      </w:r>
      <w:r w:rsidRPr="00A22B7B">
        <w:rPr>
          <w:rFonts w:hint="cs"/>
          <w:rtl/>
        </w:rPr>
        <w:t>قدمت</w:t>
      </w:r>
      <w:r>
        <w:rPr>
          <w:rFonts w:hint="cs"/>
          <w:rtl/>
        </w:rPr>
        <w:t xml:space="preserve"> </w:t>
      </w:r>
      <w:r w:rsidRPr="00A22B7B">
        <w:rPr>
          <w:rFonts w:hint="cs"/>
          <w:rtl/>
        </w:rPr>
        <w:t>وزارة</w:t>
      </w:r>
      <w:r>
        <w:rPr>
          <w:rFonts w:hint="cs"/>
          <w:rtl/>
        </w:rPr>
        <w:t xml:space="preserve"> </w:t>
      </w:r>
      <w:r w:rsidRPr="00A22B7B">
        <w:rPr>
          <w:rFonts w:hint="cs"/>
          <w:rtl/>
        </w:rPr>
        <w:t>الدولة</w:t>
      </w:r>
      <w:r>
        <w:rPr>
          <w:rFonts w:hint="cs"/>
          <w:rtl/>
        </w:rPr>
        <w:t xml:space="preserve"> </w:t>
      </w:r>
      <w:r w:rsidRPr="00A22B7B">
        <w:rPr>
          <w:rFonts w:hint="cs"/>
          <w:rtl/>
        </w:rPr>
        <w:t>للتنمية</w:t>
      </w:r>
      <w:r>
        <w:rPr>
          <w:rFonts w:hint="cs"/>
          <w:rtl/>
        </w:rPr>
        <w:t xml:space="preserve"> </w:t>
      </w:r>
      <w:r w:rsidRPr="00A22B7B">
        <w:rPr>
          <w:rFonts w:hint="cs"/>
          <w:rtl/>
        </w:rPr>
        <w:t>الاقتصادية</w:t>
      </w:r>
      <w:r>
        <w:rPr>
          <w:rFonts w:hint="cs"/>
          <w:rtl/>
        </w:rPr>
        <w:t xml:space="preserve"> </w:t>
      </w:r>
      <w:r w:rsidRPr="00A22B7B">
        <w:rPr>
          <w:rFonts w:hint="cs"/>
          <w:rtl/>
        </w:rPr>
        <w:t>الخدمات</w:t>
      </w:r>
      <w:r>
        <w:rPr>
          <w:rFonts w:hint="cs"/>
          <w:rtl/>
        </w:rPr>
        <w:t xml:space="preserve"> </w:t>
      </w:r>
      <w:r w:rsidRPr="00A22B7B">
        <w:rPr>
          <w:rFonts w:hint="cs"/>
          <w:rtl/>
        </w:rPr>
        <w:t>الاستشارية</w:t>
      </w:r>
      <w:r>
        <w:rPr>
          <w:rFonts w:hint="cs"/>
          <w:rtl/>
        </w:rPr>
        <w:t xml:space="preserve"> </w:t>
      </w:r>
      <w:r w:rsidRPr="00A22B7B">
        <w:rPr>
          <w:rFonts w:hint="cs"/>
          <w:rtl/>
        </w:rPr>
        <w:t>لأعضاء</w:t>
      </w:r>
      <w:r>
        <w:rPr>
          <w:rFonts w:hint="cs"/>
          <w:rtl/>
        </w:rPr>
        <w:t xml:space="preserve"> </w:t>
      </w:r>
      <w:r w:rsidRPr="00A22B7B">
        <w:rPr>
          <w:rFonts w:hint="cs"/>
          <w:rtl/>
        </w:rPr>
        <w:t>المجموعات</w:t>
      </w:r>
      <w:r>
        <w:rPr>
          <w:rFonts w:hint="cs"/>
          <w:rtl/>
        </w:rPr>
        <w:t xml:space="preserve"> </w:t>
      </w:r>
      <w:r w:rsidRPr="00A22B7B">
        <w:rPr>
          <w:rFonts w:hint="cs"/>
          <w:rtl/>
        </w:rPr>
        <w:t>التعاونية</w:t>
      </w:r>
      <w:r>
        <w:rPr>
          <w:rFonts w:hint="cs"/>
          <w:rtl/>
        </w:rPr>
        <w:t xml:space="preserve"> </w:t>
      </w:r>
      <w:r w:rsidRPr="00A22B7B">
        <w:rPr>
          <w:rFonts w:hint="cs"/>
          <w:rtl/>
        </w:rPr>
        <w:t>ودرّبت</w:t>
      </w:r>
      <w:r>
        <w:rPr>
          <w:rFonts w:hint="cs"/>
          <w:rtl/>
        </w:rPr>
        <w:t xml:space="preserve"> 059 3 </w:t>
      </w:r>
      <w:r w:rsidRPr="00A22B7B">
        <w:rPr>
          <w:rFonts w:hint="cs"/>
          <w:rtl/>
        </w:rPr>
        <w:t>مشاركة</w:t>
      </w:r>
      <w:r>
        <w:rPr>
          <w:rFonts w:hint="cs"/>
          <w:rtl/>
        </w:rPr>
        <w:t xml:space="preserve"> </w:t>
      </w:r>
      <w:r w:rsidRPr="00A22B7B">
        <w:rPr>
          <w:rFonts w:hint="cs"/>
          <w:rtl/>
        </w:rPr>
        <w:t>في</w:t>
      </w:r>
      <w:r>
        <w:rPr>
          <w:rFonts w:hint="cs"/>
          <w:rtl/>
        </w:rPr>
        <w:t xml:space="preserve"> </w:t>
      </w:r>
      <w:r w:rsidRPr="00A22B7B">
        <w:rPr>
          <w:rFonts w:hint="cs"/>
          <w:rtl/>
        </w:rPr>
        <w:t>المناطق</w:t>
      </w:r>
      <w:r>
        <w:rPr>
          <w:rFonts w:hint="cs"/>
          <w:rtl/>
        </w:rPr>
        <w:t xml:space="preserve"> </w:t>
      </w:r>
      <w:r w:rsidRPr="00A22B7B">
        <w:rPr>
          <w:rFonts w:hint="cs"/>
          <w:rtl/>
        </w:rPr>
        <w:t>الريفية</w:t>
      </w:r>
      <w:r w:rsidRPr="006B279F">
        <w:rPr>
          <w:vertAlign w:val="superscript"/>
          <w:rtl/>
        </w:rPr>
        <w:t>(</w:t>
      </w:r>
      <w:r w:rsidRPr="006B279F">
        <w:rPr>
          <w:rStyle w:val="FootnoteReference"/>
          <w:szCs w:val="30"/>
          <w:rtl/>
        </w:rPr>
        <w:footnoteReference w:id="280"/>
      </w:r>
      <w:r w:rsidRPr="006B279F">
        <w:rPr>
          <w:vertAlign w:val="superscript"/>
          <w:rtl/>
        </w:rPr>
        <w:t>)</w:t>
      </w:r>
      <w:r w:rsidRPr="00A22B7B">
        <w:rPr>
          <w:rFonts w:hint="cs"/>
          <w:rtl/>
        </w:rPr>
        <w:t>.</w:t>
      </w:r>
    </w:p>
    <w:p w:rsidR="009943B2" w:rsidRPr="00A22B7B" w:rsidRDefault="009943B2" w:rsidP="009943B2">
      <w:pPr>
        <w:pStyle w:val="SingleTxt"/>
        <w:rPr>
          <w:rFonts w:hint="cs"/>
        </w:rPr>
      </w:pPr>
      <w:r>
        <w:rPr>
          <w:rFonts w:hint="cs"/>
          <w:rtl/>
        </w:rPr>
        <w:t xml:space="preserve">320 - </w:t>
      </w:r>
      <w:r w:rsidRPr="00A22B7B">
        <w:rPr>
          <w:rFonts w:hint="cs"/>
          <w:rtl/>
        </w:rPr>
        <w:t>وطورت</w:t>
      </w:r>
      <w:r>
        <w:rPr>
          <w:rFonts w:hint="cs"/>
          <w:rtl/>
        </w:rPr>
        <w:t xml:space="preserve"> </w:t>
      </w:r>
      <w:r w:rsidRPr="00A22B7B">
        <w:rPr>
          <w:rtl/>
        </w:rPr>
        <w:t>وزارة</w:t>
      </w:r>
      <w:r>
        <w:rPr>
          <w:rtl/>
        </w:rPr>
        <w:t xml:space="preserve"> </w:t>
      </w:r>
      <w:r w:rsidRPr="00A22B7B">
        <w:rPr>
          <w:rFonts w:hint="cs"/>
          <w:rtl/>
        </w:rPr>
        <w:t>ا</w:t>
      </w:r>
      <w:r w:rsidRPr="00A22B7B">
        <w:rPr>
          <w:rtl/>
        </w:rPr>
        <w:t>لتنمية</w:t>
      </w:r>
      <w:r>
        <w:rPr>
          <w:rFonts w:hint="cs"/>
          <w:rtl/>
        </w:rPr>
        <w:t xml:space="preserve"> </w:t>
      </w:r>
      <w:r w:rsidRPr="00A22B7B">
        <w:rPr>
          <w:rFonts w:hint="cs"/>
          <w:rtl/>
        </w:rPr>
        <w:t>الاقتصادية</w:t>
      </w:r>
      <w:r>
        <w:rPr>
          <w:rFonts w:hint="cs"/>
          <w:rtl/>
        </w:rPr>
        <w:t xml:space="preserve"> </w:t>
      </w:r>
      <w:r w:rsidRPr="00A22B7B">
        <w:rPr>
          <w:rFonts w:hint="cs"/>
          <w:rtl/>
        </w:rPr>
        <w:t>السابقة</w:t>
      </w:r>
      <w:r>
        <w:rPr>
          <w:rFonts w:hint="cs"/>
          <w:rtl/>
        </w:rPr>
        <w:t xml:space="preserve"> </w:t>
      </w:r>
      <w:r w:rsidRPr="00A22B7B">
        <w:rPr>
          <w:rFonts w:hint="cs"/>
          <w:rtl/>
        </w:rPr>
        <w:t>ومنظمة</w:t>
      </w:r>
      <w:r>
        <w:rPr>
          <w:rFonts w:hint="cs"/>
          <w:rtl/>
        </w:rPr>
        <w:t xml:space="preserve"> </w:t>
      </w:r>
      <w:r w:rsidRPr="00A22B7B">
        <w:rPr>
          <w:rFonts w:hint="cs"/>
          <w:rtl/>
        </w:rPr>
        <w:t>العمل</w:t>
      </w:r>
      <w:r>
        <w:rPr>
          <w:rFonts w:hint="cs"/>
          <w:rtl/>
        </w:rPr>
        <w:t xml:space="preserve"> </w:t>
      </w:r>
      <w:r w:rsidRPr="00A22B7B">
        <w:rPr>
          <w:rFonts w:hint="cs"/>
          <w:rtl/>
        </w:rPr>
        <w:t>الدولية</w:t>
      </w:r>
      <w:r>
        <w:rPr>
          <w:rFonts w:hint="cs"/>
          <w:rtl/>
        </w:rPr>
        <w:t xml:space="preserve"> </w:t>
      </w:r>
      <w:r w:rsidRPr="00A22B7B">
        <w:rPr>
          <w:rFonts w:hint="cs"/>
          <w:rtl/>
        </w:rPr>
        <w:t>معًا</w:t>
      </w:r>
      <w:r>
        <w:rPr>
          <w:rFonts w:hint="cs"/>
          <w:rtl/>
        </w:rPr>
        <w:t xml:space="preserve"> </w:t>
      </w:r>
      <w:r w:rsidRPr="00A22B7B">
        <w:rPr>
          <w:rFonts w:hint="cs"/>
          <w:rtl/>
        </w:rPr>
        <w:t>أنشطة</w:t>
      </w:r>
      <w:r>
        <w:rPr>
          <w:rFonts w:hint="cs"/>
          <w:rtl/>
        </w:rPr>
        <w:t xml:space="preserve"> </w:t>
      </w:r>
      <w:r w:rsidRPr="00A22B7B">
        <w:rPr>
          <w:rFonts w:hint="cs"/>
          <w:rtl/>
        </w:rPr>
        <w:t>من</w:t>
      </w:r>
      <w:r>
        <w:rPr>
          <w:rFonts w:hint="eastAsia"/>
          <w:rtl/>
        </w:rPr>
        <w:t> </w:t>
      </w:r>
      <w:r w:rsidRPr="00A22B7B">
        <w:rPr>
          <w:rFonts w:hint="cs"/>
          <w:rtl/>
        </w:rPr>
        <w:t>قبيل</w:t>
      </w:r>
      <w:r>
        <w:rPr>
          <w:rFonts w:hint="cs"/>
          <w:rtl/>
        </w:rPr>
        <w:t xml:space="preserve"> </w:t>
      </w:r>
      <w:r w:rsidRPr="00A22B7B">
        <w:rPr>
          <w:rFonts w:hint="cs"/>
          <w:rtl/>
        </w:rPr>
        <w:t>معارض</w:t>
      </w:r>
      <w:r>
        <w:rPr>
          <w:rFonts w:hint="cs"/>
          <w:rtl/>
        </w:rPr>
        <w:t xml:space="preserve"> </w:t>
      </w:r>
      <w:r w:rsidRPr="00A22B7B">
        <w:rPr>
          <w:rFonts w:hint="cs"/>
          <w:rtl/>
        </w:rPr>
        <w:t>المنتجات</w:t>
      </w:r>
      <w:r>
        <w:rPr>
          <w:rFonts w:hint="cs"/>
          <w:rtl/>
        </w:rPr>
        <w:t xml:space="preserve"> </w:t>
      </w:r>
      <w:r w:rsidRPr="00A22B7B">
        <w:rPr>
          <w:rFonts w:hint="cs"/>
          <w:rtl/>
        </w:rPr>
        <w:t>المحلية</w:t>
      </w:r>
      <w:r>
        <w:rPr>
          <w:rFonts w:hint="cs"/>
          <w:rtl/>
        </w:rPr>
        <w:t xml:space="preserve"> </w:t>
      </w:r>
      <w:r w:rsidRPr="00A22B7B">
        <w:rPr>
          <w:rFonts w:hint="cs"/>
          <w:rtl/>
        </w:rPr>
        <w:t>التي</w:t>
      </w:r>
      <w:r>
        <w:rPr>
          <w:rFonts w:hint="cs"/>
          <w:rtl/>
        </w:rPr>
        <w:t xml:space="preserve"> </w:t>
      </w:r>
      <w:r w:rsidRPr="00A22B7B">
        <w:rPr>
          <w:rFonts w:hint="cs"/>
          <w:rtl/>
        </w:rPr>
        <w:t>نُظّم</w:t>
      </w:r>
      <w:r>
        <w:rPr>
          <w:rFonts w:hint="cs"/>
          <w:rtl/>
        </w:rPr>
        <w:t xml:space="preserve"> </w:t>
      </w:r>
      <w:r w:rsidRPr="00A22B7B">
        <w:rPr>
          <w:rFonts w:hint="cs"/>
          <w:rtl/>
        </w:rPr>
        <w:t>أوّلها</w:t>
      </w:r>
      <w:r>
        <w:rPr>
          <w:rFonts w:hint="cs"/>
          <w:rtl/>
        </w:rPr>
        <w:t xml:space="preserve"> </w:t>
      </w:r>
      <w:r w:rsidRPr="00A22B7B">
        <w:rPr>
          <w:rFonts w:hint="cs"/>
          <w:rtl/>
        </w:rPr>
        <w:t>عام</w:t>
      </w:r>
      <w:r>
        <w:rPr>
          <w:rFonts w:hint="cs"/>
          <w:rtl/>
        </w:rPr>
        <w:t xml:space="preserve"> </w:t>
      </w:r>
      <w:r w:rsidRPr="00A22B7B">
        <w:rPr>
          <w:rFonts w:hint="cs"/>
          <w:rtl/>
        </w:rPr>
        <w:t>2008</w:t>
      </w:r>
      <w:r>
        <w:rPr>
          <w:rFonts w:hint="cs"/>
          <w:rtl/>
        </w:rPr>
        <w:t xml:space="preserve"> </w:t>
      </w:r>
      <w:r w:rsidRPr="00A22B7B">
        <w:rPr>
          <w:rFonts w:hint="cs"/>
          <w:rtl/>
        </w:rPr>
        <w:t>وضمّ</w:t>
      </w:r>
      <w:r>
        <w:rPr>
          <w:rFonts w:hint="cs"/>
          <w:rtl/>
        </w:rPr>
        <w:t xml:space="preserve"> </w:t>
      </w:r>
      <w:r w:rsidRPr="00A22B7B">
        <w:rPr>
          <w:rFonts w:hint="cs"/>
          <w:rtl/>
        </w:rPr>
        <w:t>51</w:t>
      </w:r>
      <w:r>
        <w:rPr>
          <w:rFonts w:hint="cs"/>
          <w:rtl/>
        </w:rPr>
        <w:t xml:space="preserve"> </w:t>
      </w:r>
      <w:r w:rsidRPr="00A22B7B">
        <w:rPr>
          <w:rFonts w:hint="cs"/>
          <w:rtl/>
        </w:rPr>
        <w:t>عارضًة،</w:t>
      </w:r>
      <w:r>
        <w:rPr>
          <w:rFonts w:hint="cs"/>
          <w:rtl/>
        </w:rPr>
        <w:t xml:space="preserve"> </w:t>
      </w:r>
      <w:r w:rsidRPr="00A22B7B">
        <w:rPr>
          <w:rFonts w:hint="cs"/>
          <w:rtl/>
        </w:rPr>
        <w:t>جلّهن</w:t>
      </w:r>
      <w:r>
        <w:rPr>
          <w:rFonts w:hint="cs"/>
          <w:rtl/>
        </w:rPr>
        <w:t xml:space="preserve"> </w:t>
      </w:r>
      <w:r w:rsidRPr="00A22B7B">
        <w:rPr>
          <w:rFonts w:hint="cs"/>
          <w:rtl/>
        </w:rPr>
        <w:t>من</w:t>
      </w:r>
      <w:r>
        <w:rPr>
          <w:rFonts w:hint="eastAsia"/>
          <w:rtl/>
        </w:rPr>
        <w:t> </w:t>
      </w:r>
      <w:r w:rsidRPr="00A22B7B">
        <w:rPr>
          <w:rFonts w:hint="cs"/>
          <w:rtl/>
        </w:rPr>
        <w:t>النساء</w:t>
      </w:r>
      <w:r>
        <w:rPr>
          <w:rFonts w:hint="cs"/>
          <w:rtl/>
        </w:rPr>
        <w:t xml:space="preserve"> </w:t>
      </w:r>
      <w:r w:rsidRPr="00A22B7B">
        <w:rPr>
          <w:rFonts w:hint="cs"/>
          <w:rtl/>
        </w:rPr>
        <w:t>الريفيات.</w:t>
      </w:r>
      <w:r>
        <w:rPr>
          <w:rFonts w:hint="cs"/>
          <w:rtl/>
        </w:rPr>
        <w:t xml:space="preserve"> </w:t>
      </w:r>
      <w:r w:rsidRPr="00A22B7B">
        <w:rPr>
          <w:rFonts w:hint="cs"/>
          <w:rtl/>
        </w:rPr>
        <w:t>وارتفعت</w:t>
      </w:r>
      <w:r>
        <w:rPr>
          <w:rFonts w:hint="cs"/>
          <w:rtl/>
        </w:rPr>
        <w:t xml:space="preserve"> </w:t>
      </w:r>
      <w:r w:rsidRPr="00A22B7B">
        <w:rPr>
          <w:rFonts w:hint="cs"/>
          <w:rtl/>
        </w:rPr>
        <w:t>الإيرادات</w:t>
      </w:r>
      <w:r>
        <w:rPr>
          <w:rFonts w:hint="cs"/>
          <w:rtl/>
        </w:rPr>
        <w:t xml:space="preserve"> </w:t>
      </w:r>
      <w:r w:rsidRPr="00A22B7B">
        <w:rPr>
          <w:rFonts w:hint="cs"/>
          <w:rtl/>
        </w:rPr>
        <w:t>تدريجيًا</w:t>
      </w:r>
      <w:r>
        <w:rPr>
          <w:rFonts w:hint="cs"/>
          <w:rtl/>
        </w:rPr>
        <w:t xml:space="preserve"> </w:t>
      </w:r>
      <w:r w:rsidRPr="00A22B7B">
        <w:rPr>
          <w:rFonts w:hint="cs"/>
          <w:rtl/>
        </w:rPr>
        <w:t>من</w:t>
      </w:r>
      <w:r>
        <w:rPr>
          <w:rFonts w:hint="cs"/>
          <w:rtl/>
        </w:rPr>
        <w:t xml:space="preserve"> </w:t>
      </w:r>
      <w:r w:rsidRPr="00A22B7B">
        <w:rPr>
          <w:rFonts w:hint="cs"/>
          <w:rtl/>
        </w:rPr>
        <w:t>161</w:t>
      </w:r>
      <w:r>
        <w:rPr>
          <w:rFonts w:hint="cs"/>
          <w:rtl/>
        </w:rPr>
        <w:t xml:space="preserve"> </w:t>
      </w:r>
      <w:r w:rsidRPr="00A22B7B">
        <w:rPr>
          <w:rFonts w:hint="cs"/>
          <w:rtl/>
        </w:rPr>
        <w:t>24</w:t>
      </w:r>
      <w:r>
        <w:rPr>
          <w:rFonts w:hint="cs"/>
          <w:rtl/>
        </w:rPr>
        <w:t xml:space="preserve"> </w:t>
      </w:r>
      <w:r w:rsidRPr="00A22B7B">
        <w:rPr>
          <w:rFonts w:hint="cs"/>
          <w:rtl/>
        </w:rPr>
        <w:t>دولار</w:t>
      </w:r>
      <w:r>
        <w:rPr>
          <w:rFonts w:hint="cs"/>
          <w:rtl/>
        </w:rPr>
        <w:t xml:space="preserve"> </w:t>
      </w:r>
      <w:r w:rsidRPr="00A22B7B">
        <w:rPr>
          <w:rFonts w:hint="cs"/>
          <w:rtl/>
        </w:rPr>
        <w:t>عام</w:t>
      </w:r>
      <w:r>
        <w:rPr>
          <w:rFonts w:hint="cs"/>
          <w:rtl/>
        </w:rPr>
        <w:t xml:space="preserve"> </w:t>
      </w:r>
      <w:r w:rsidRPr="00A22B7B">
        <w:rPr>
          <w:rFonts w:hint="cs"/>
          <w:rtl/>
        </w:rPr>
        <w:t>2008</w:t>
      </w:r>
      <w:r>
        <w:rPr>
          <w:rFonts w:hint="cs"/>
          <w:rtl/>
        </w:rPr>
        <w:t xml:space="preserve"> </w:t>
      </w:r>
      <w:r w:rsidRPr="00A22B7B">
        <w:rPr>
          <w:rFonts w:hint="cs"/>
          <w:rtl/>
        </w:rPr>
        <w:t>إلى</w:t>
      </w:r>
      <w:r>
        <w:rPr>
          <w:rFonts w:hint="cs"/>
          <w:rtl/>
        </w:rPr>
        <w:t xml:space="preserve"> </w:t>
      </w:r>
      <w:r w:rsidRPr="00A22B7B">
        <w:rPr>
          <w:rFonts w:hint="cs"/>
          <w:rtl/>
        </w:rPr>
        <w:t>245</w:t>
      </w:r>
      <w:r>
        <w:rPr>
          <w:rFonts w:hint="eastAsia"/>
          <w:rtl/>
        </w:rPr>
        <w:t> </w:t>
      </w:r>
      <w:r w:rsidRPr="00A22B7B">
        <w:rPr>
          <w:rFonts w:hint="cs"/>
          <w:rtl/>
        </w:rPr>
        <w:t>30</w:t>
      </w:r>
      <w:r>
        <w:rPr>
          <w:rFonts w:hint="cs"/>
          <w:rtl/>
        </w:rPr>
        <w:t xml:space="preserve"> </w:t>
      </w:r>
      <w:r w:rsidRPr="00A22B7B">
        <w:rPr>
          <w:rFonts w:hint="cs"/>
          <w:rtl/>
        </w:rPr>
        <w:t>دولار</w:t>
      </w:r>
      <w:r>
        <w:rPr>
          <w:rFonts w:hint="cs"/>
          <w:rtl/>
        </w:rPr>
        <w:t xml:space="preserve"> </w:t>
      </w:r>
      <w:r w:rsidRPr="00A22B7B">
        <w:rPr>
          <w:rFonts w:hint="cs"/>
          <w:rtl/>
        </w:rPr>
        <w:t>عام</w:t>
      </w:r>
      <w:r>
        <w:rPr>
          <w:rFonts w:hint="cs"/>
          <w:rtl/>
        </w:rPr>
        <w:t xml:space="preserve"> </w:t>
      </w:r>
      <w:r w:rsidRPr="00A22B7B">
        <w:rPr>
          <w:rFonts w:hint="cs"/>
          <w:rtl/>
        </w:rPr>
        <w:t>2012.</w:t>
      </w:r>
      <w:r>
        <w:rPr>
          <w:rFonts w:hint="cs"/>
          <w:rtl/>
        </w:rPr>
        <w:t xml:space="preserve"> </w:t>
      </w:r>
      <w:r w:rsidRPr="00A22B7B">
        <w:rPr>
          <w:rFonts w:hint="cs"/>
          <w:rtl/>
        </w:rPr>
        <w:t>وموّلت</w:t>
      </w:r>
      <w:r>
        <w:rPr>
          <w:rFonts w:hint="cs"/>
          <w:rtl/>
        </w:rPr>
        <w:t xml:space="preserve"> </w:t>
      </w:r>
      <w:r w:rsidRPr="00A22B7B">
        <w:rPr>
          <w:rtl/>
        </w:rPr>
        <w:t>وزارة</w:t>
      </w:r>
      <w:r>
        <w:rPr>
          <w:rtl/>
        </w:rPr>
        <w:t xml:space="preserve"> </w:t>
      </w:r>
      <w:r w:rsidRPr="00A22B7B">
        <w:rPr>
          <w:rFonts w:hint="cs"/>
          <w:rtl/>
        </w:rPr>
        <w:t>ا</w:t>
      </w:r>
      <w:r w:rsidRPr="00A22B7B">
        <w:rPr>
          <w:rtl/>
        </w:rPr>
        <w:t>لتنمية</w:t>
      </w:r>
      <w:r>
        <w:rPr>
          <w:rFonts w:hint="cs"/>
          <w:rtl/>
        </w:rPr>
        <w:t xml:space="preserve"> </w:t>
      </w:r>
      <w:r w:rsidRPr="00A22B7B">
        <w:rPr>
          <w:rFonts w:hint="cs"/>
          <w:rtl/>
        </w:rPr>
        <w:t>الاقتصادية</w:t>
      </w:r>
      <w:r>
        <w:rPr>
          <w:rFonts w:hint="cs"/>
          <w:rtl/>
        </w:rPr>
        <w:t xml:space="preserve"> </w:t>
      </w:r>
      <w:r w:rsidRPr="00A22B7B">
        <w:rPr>
          <w:rFonts w:hint="cs"/>
          <w:rtl/>
        </w:rPr>
        <w:t>السابقة</w:t>
      </w:r>
      <w:r>
        <w:rPr>
          <w:rFonts w:hint="cs"/>
          <w:rtl/>
        </w:rPr>
        <w:t xml:space="preserve"> </w:t>
      </w:r>
      <w:r w:rsidRPr="00A22B7B">
        <w:rPr>
          <w:rFonts w:hint="cs"/>
          <w:rtl/>
        </w:rPr>
        <w:t>أيضًا</w:t>
      </w:r>
      <w:r>
        <w:rPr>
          <w:rFonts w:hint="cs"/>
          <w:rtl/>
        </w:rPr>
        <w:t xml:space="preserve"> </w:t>
      </w:r>
      <w:r w:rsidRPr="00A22B7B">
        <w:rPr>
          <w:rFonts w:hint="cs"/>
          <w:rtl/>
        </w:rPr>
        <w:t>منظمات</w:t>
      </w:r>
      <w:r>
        <w:rPr>
          <w:rFonts w:hint="cs"/>
          <w:rtl/>
        </w:rPr>
        <w:t xml:space="preserve"> </w:t>
      </w:r>
      <w:r w:rsidRPr="00A22B7B">
        <w:rPr>
          <w:rFonts w:hint="cs"/>
          <w:rtl/>
        </w:rPr>
        <w:t>نسائية</w:t>
      </w:r>
      <w:r>
        <w:rPr>
          <w:rFonts w:hint="cs"/>
          <w:rtl/>
        </w:rPr>
        <w:t xml:space="preserve"> </w:t>
      </w:r>
      <w:r w:rsidRPr="00A22B7B">
        <w:rPr>
          <w:rFonts w:hint="cs"/>
          <w:rtl/>
        </w:rPr>
        <w:t>بمبلغ</w:t>
      </w:r>
      <w:r>
        <w:rPr>
          <w:rFonts w:hint="cs"/>
          <w:rtl/>
        </w:rPr>
        <w:t xml:space="preserve"> </w:t>
      </w:r>
      <w:r w:rsidRPr="00A22B7B">
        <w:rPr>
          <w:rFonts w:hint="cs"/>
          <w:rtl/>
        </w:rPr>
        <w:t>يناهز</w:t>
      </w:r>
      <w:r>
        <w:rPr>
          <w:rFonts w:hint="cs"/>
          <w:rtl/>
        </w:rPr>
        <w:t xml:space="preserve"> </w:t>
      </w:r>
      <w:r w:rsidRPr="00A22B7B">
        <w:rPr>
          <w:rFonts w:hint="cs"/>
          <w:rtl/>
        </w:rPr>
        <w:t>000</w:t>
      </w:r>
      <w:r>
        <w:rPr>
          <w:rFonts w:hint="cs"/>
          <w:rtl/>
        </w:rPr>
        <w:t xml:space="preserve"> </w:t>
      </w:r>
      <w:r w:rsidRPr="00A22B7B">
        <w:rPr>
          <w:rFonts w:hint="cs"/>
          <w:rtl/>
        </w:rPr>
        <w:t>30</w:t>
      </w:r>
      <w:r>
        <w:rPr>
          <w:rFonts w:hint="cs"/>
          <w:rtl/>
        </w:rPr>
        <w:t xml:space="preserve"> </w:t>
      </w:r>
      <w:r w:rsidRPr="00A22B7B">
        <w:rPr>
          <w:rFonts w:hint="cs"/>
          <w:rtl/>
        </w:rPr>
        <w:t>دولار</w:t>
      </w:r>
      <w:r>
        <w:rPr>
          <w:rFonts w:hint="cs"/>
          <w:rtl/>
        </w:rPr>
        <w:t xml:space="preserve"> </w:t>
      </w:r>
      <w:r w:rsidRPr="00A22B7B">
        <w:rPr>
          <w:rFonts w:hint="cs"/>
          <w:rtl/>
        </w:rPr>
        <w:t>خُصّص</w:t>
      </w:r>
      <w:r>
        <w:rPr>
          <w:rFonts w:hint="cs"/>
          <w:rtl/>
        </w:rPr>
        <w:t xml:space="preserve"> </w:t>
      </w:r>
      <w:r w:rsidRPr="00A22B7B">
        <w:rPr>
          <w:rFonts w:hint="cs"/>
          <w:rtl/>
        </w:rPr>
        <w:t>للنساء</w:t>
      </w:r>
      <w:r>
        <w:rPr>
          <w:rFonts w:hint="cs"/>
          <w:rtl/>
        </w:rPr>
        <w:t xml:space="preserve"> </w:t>
      </w:r>
      <w:r w:rsidRPr="00A22B7B">
        <w:rPr>
          <w:rFonts w:hint="cs"/>
          <w:rtl/>
        </w:rPr>
        <w:t>بنسبة</w:t>
      </w:r>
      <w:r>
        <w:rPr>
          <w:rFonts w:hint="cs"/>
          <w:rtl/>
        </w:rPr>
        <w:t xml:space="preserve"> </w:t>
      </w:r>
      <w:r w:rsidRPr="00A22B7B">
        <w:rPr>
          <w:rFonts w:hint="cs"/>
          <w:rtl/>
        </w:rPr>
        <w:t>100</w:t>
      </w:r>
      <w:r>
        <w:rPr>
          <w:rFonts w:hint="cs"/>
          <w:rtl/>
        </w:rPr>
        <w:t xml:space="preserve"> </w:t>
      </w:r>
      <w:r w:rsidRPr="00A22B7B">
        <w:rPr>
          <w:rFonts w:hint="cs"/>
          <w:rtl/>
        </w:rPr>
        <w:t>في</w:t>
      </w:r>
      <w:r>
        <w:rPr>
          <w:rFonts w:hint="cs"/>
          <w:rtl/>
        </w:rPr>
        <w:t xml:space="preserve"> </w:t>
      </w:r>
      <w:r w:rsidRPr="00A22B7B">
        <w:rPr>
          <w:rFonts w:hint="cs"/>
          <w:rtl/>
        </w:rPr>
        <w:t>المائة.</w:t>
      </w:r>
      <w:r>
        <w:rPr>
          <w:rFonts w:hint="cs"/>
          <w:rtl/>
        </w:rPr>
        <w:t xml:space="preserve"> </w:t>
      </w:r>
      <w:r w:rsidRPr="00A22B7B">
        <w:rPr>
          <w:rFonts w:hint="cs"/>
          <w:rtl/>
        </w:rPr>
        <w:t>وإضافة</w:t>
      </w:r>
      <w:r>
        <w:rPr>
          <w:rFonts w:hint="cs"/>
          <w:rtl/>
        </w:rPr>
        <w:t xml:space="preserve"> </w:t>
      </w:r>
      <w:r w:rsidRPr="00A22B7B">
        <w:rPr>
          <w:rFonts w:hint="cs"/>
          <w:rtl/>
        </w:rPr>
        <w:t>إلى</w:t>
      </w:r>
      <w:r>
        <w:rPr>
          <w:rFonts w:hint="cs"/>
          <w:rtl/>
        </w:rPr>
        <w:t xml:space="preserve"> </w:t>
      </w:r>
      <w:r w:rsidRPr="00A22B7B">
        <w:rPr>
          <w:rFonts w:hint="cs"/>
          <w:rtl/>
        </w:rPr>
        <w:t>ذلك،</w:t>
      </w:r>
      <w:r>
        <w:rPr>
          <w:rFonts w:hint="cs"/>
          <w:rtl/>
        </w:rPr>
        <w:t xml:space="preserve"> </w:t>
      </w:r>
      <w:r w:rsidRPr="00A22B7B">
        <w:rPr>
          <w:rFonts w:hint="cs"/>
          <w:rtl/>
        </w:rPr>
        <w:t>تعاونت</w:t>
      </w:r>
      <w:r>
        <w:rPr>
          <w:rFonts w:hint="cs"/>
          <w:rtl/>
        </w:rPr>
        <w:t xml:space="preserve"> </w:t>
      </w:r>
      <w:r w:rsidRPr="00A22B7B">
        <w:rPr>
          <w:rtl/>
        </w:rPr>
        <w:t>وزارة</w:t>
      </w:r>
      <w:r>
        <w:rPr>
          <w:rtl/>
        </w:rPr>
        <w:t xml:space="preserve"> </w:t>
      </w:r>
      <w:r w:rsidRPr="00A22B7B">
        <w:rPr>
          <w:rFonts w:hint="cs"/>
          <w:rtl/>
        </w:rPr>
        <w:t>ا</w:t>
      </w:r>
      <w:r w:rsidRPr="00A22B7B">
        <w:rPr>
          <w:rtl/>
        </w:rPr>
        <w:t>لتنمية</w:t>
      </w:r>
      <w:r>
        <w:rPr>
          <w:rFonts w:hint="cs"/>
          <w:rtl/>
        </w:rPr>
        <w:t xml:space="preserve"> </w:t>
      </w:r>
      <w:r w:rsidRPr="00A22B7B">
        <w:rPr>
          <w:rFonts w:hint="cs"/>
          <w:rtl/>
        </w:rPr>
        <w:t>الاقتصادية</w:t>
      </w:r>
      <w:r>
        <w:rPr>
          <w:rFonts w:hint="cs"/>
          <w:rtl/>
        </w:rPr>
        <w:t xml:space="preserve"> </w:t>
      </w:r>
      <w:r w:rsidRPr="00A22B7B">
        <w:rPr>
          <w:rFonts w:hint="cs"/>
          <w:rtl/>
        </w:rPr>
        <w:t>السابقة</w:t>
      </w:r>
      <w:r>
        <w:rPr>
          <w:rFonts w:hint="cs"/>
          <w:rtl/>
        </w:rPr>
        <w:t xml:space="preserve"> </w:t>
      </w:r>
      <w:r w:rsidRPr="00A22B7B">
        <w:rPr>
          <w:rFonts w:hint="cs"/>
          <w:rtl/>
        </w:rPr>
        <w:t>مع</w:t>
      </w:r>
      <w:r>
        <w:rPr>
          <w:rFonts w:hint="cs"/>
          <w:rtl/>
        </w:rPr>
        <w:t xml:space="preserve"> </w:t>
      </w:r>
      <w:r w:rsidRPr="00A22B7B">
        <w:rPr>
          <w:rFonts w:hint="cs"/>
          <w:rtl/>
        </w:rPr>
        <w:t>منظّمة</w:t>
      </w:r>
      <w:r>
        <w:rPr>
          <w:rFonts w:hint="cs"/>
          <w:rtl/>
        </w:rPr>
        <w:t xml:space="preserve"> </w:t>
      </w:r>
      <w:r w:rsidRPr="00A22B7B">
        <w:rPr>
          <w:rFonts w:hint="cs"/>
          <w:rtl/>
        </w:rPr>
        <w:t>العمل</w:t>
      </w:r>
      <w:r>
        <w:rPr>
          <w:rFonts w:hint="cs"/>
          <w:rtl/>
        </w:rPr>
        <w:t xml:space="preserve"> </w:t>
      </w:r>
      <w:r w:rsidRPr="00A22B7B">
        <w:rPr>
          <w:rFonts w:hint="cs"/>
          <w:rtl/>
        </w:rPr>
        <w:t>الدولية</w:t>
      </w:r>
      <w:r>
        <w:rPr>
          <w:rFonts w:hint="cs"/>
          <w:rtl/>
        </w:rPr>
        <w:t xml:space="preserve"> </w:t>
      </w:r>
      <w:r w:rsidRPr="00A22B7B">
        <w:rPr>
          <w:rFonts w:hint="cs"/>
          <w:rtl/>
        </w:rPr>
        <w:t>لوضع</w:t>
      </w:r>
      <w:r>
        <w:rPr>
          <w:rFonts w:hint="cs"/>
          <w:rtl/>
        </w:rPr>
        <w:t xml:space="preserve"> </w:t>
      </w:r>
      <w:r w:rsidRPr="00A22B7B">
        <w:rPr>
          <w:rFonts w:hint="cs"/>
          <w:rtl/>
        </w:rPr>
        <w:t>برنامج</w:t>
      </w:r>
      <w:r>
        <w:rPr>
          <w:rFonts w:hint="cs"/>
          <w:rtl/>
        </w:rPr>
        <w:t xml:space="preserve"> </w:t>
      </w:r>
      <w:r w:rsidRPr="00A22B7B">
        <w:rPr>
          <w:rFonts w:hint="cs"/>
          <w:rtl/>
        </w:rPr>
        <w:t>تدريبي</w:t>
      </w:r>
      <w:r>
        <w:rPr>
          <w:rFonts w:hint="cs"/>
          <w:rtl/>
        </w:rPr>
        <w:t xml:space="preserve"> </w:t>
      </w:r>
      <w:r w:rsidRPr="00A22B7B">
        <w:rPr>
          <w:rFonts w:hint="cs"/>
          <w:rtl/>
        </w:rPr>
        <w:t>لنحو</w:t>
      </w:r>
      <w:r>
        <w:rPr>
          <w:rFonts w:hint="cs"/>
          <w:rtl/>
        </w:rPr>
        <w:t xml:space="preserve"> </w:t>
      </w:r>
      <w:r w:rsidRPr="00A22B7B">
        <w:rPr>
          <w:rFonts w:hint="cs"/>
          <w:rtl/>
        </w:rPr>
        <w:t>500</w:t>
      </w:r>
      <w:r>
        <w:rPr>
          <w:rFonts w:hint="cs"/>
          <w:rtl/>
        </w:rPr>
        <w:t xml:space="preserve"> </w:t>
      </w:r>
      <w:r w:rsidRPr="00A22B7B">
        <w:rPr>
          <w:rFonts w:hint="cs"/>
          <w:rtl/>
        </w:rPr>
        <w:t>مقاول،</w:t>
      </w:r>
      <w:r>
        <w:rPr>
          <w:rFonts w:hint="cs"/>
          <w:rtl/>
        </w:rPr>
        <w:t xml:space="preserve"> </w:t>
      </w:r>
      <w:r w:rsidRPr="00A22B7B">
        <w:rPr>
          <w:rFonts w:hint="cs"/>
          <w:rtl/>
        </w:rPr>
        <w:t>200</w:t>
      </w:r>
      <w:r>
        <w:rPr>
          <w:rFonts w:hint="cs"/>
          <w:rtl/>
        </w:rPr>
        <w:t xml:space="preserve"> </w:t>
      </w:r>
      <w:r w:rsidRPr="00A22B7B">
        <w:rPr>
          <w:rFonts w:hint="cs"/>
          <w:rtl/>
        </w:rPr>
        <w:t>منهم</w:t>
      </w:r>
      <w:r>
        <w:rPr>
          <w:rFonts w:hint="cs"/>
          <w:rtl/>
        </w:rPr>
        <w:t xml:space="preserve"> </w:t>
      </w:r>
      <w:r w:rsidRPr="00A22B7B">
        <w:rPr>
          <w:rFonts w:hint="cs"/>
          <w:rtl/>
        </w:rPr>
        <w:t>من</w:t>
      </w:r>
      <w:r>
        <w:rPr>
          <w:rFonts w:hint="cs"/>
          <w:rtl/>
        </w:rPr>
        <w:t xml:space="preserve"> </w:t>
      </w:r>
      <w:r w:rsidRPr="00A22B7B">
        <w:rPr>
          <w:rFonts w:hint="cs"/>
          <w:rtl/>
        </w:rPr>
        <w:t>النساء</w:t>
      </w:r>
      <w:r>
        <w:rPr>
          <w:rFonts w:hint="cs"/>
          <w:rtl/>
        </w:rPr>
        <w:t xml:space="preserve"> </w:t>
      </w:r>
      <w:r w:rsidRPr="00A22B7B">
        <w:rPr>
          <w:rFonts w:hint="cs"/>
          <w:rtl/>
        </w:rPr>
        <w:t>يتنافسون</w:t>
      </w:r>
      <w:r>
        <w:rPr>
          <w:rFonts w:hint="cs"/>
          <w:rtl/>
        </w:rPr>
        <w:t xml:space="preserve"> </w:t>
      </w:r>
      <w:r w:rsidRPr="00A22B7B">
        <w:rPr>
          <w:rFonts w:hint="cs"/>
          <w:rtl/>
        </w:rPr>
        <w:t>في</w:t>
      </w:r>
      <w:r>
        <w:rPr>
          <w:rFonts w:hint="cs"/>
          <w:rtl/>
        </w:rPr>
        <w:t xml:space="preserve"> </w:t>
      </w:r>
      <w:r w:rsidRPr="00A22B7B">
        <w:rPr>
          <w:rFonts w:hint="cs"/>
          <w:rtl/>
        </w:rPr>
        <w:t>عمليات</w:t>
      </w:r>
      <w:r>
        <w:rPr>
          <w:rFonts w:hint="cs"/>
          <w:rtl/>
        </w:rPr>
        <w:t xml:space="preserve"> </w:t>
      </w:r>
      <w:r w:rsidRPr="00A22B7B">
        <w:rPr>
          <w:rFonts w:hint="cs"/>
          <w:rtl/>
        </w:rPr>
        <w:t>العطاءات</w:t>
      </w:r>
      <w:r>
        <w:rPr>
          <w:rFonts w:hint="cs"/>
          <w:rtl/>
        </w:rPr>
        <w:t xml:space="preserve"> </w:t>
      </w:r>
      <w:r w:rsidRPr="00A22B7B">
        <w:rPr>
          <w:rFonts w:hint="cs"/>
          <w:rtl/>
        </w:rPr>
        <w:t>وبرنامج</w:t>
      </w:r>
      <w:r>
        <w:rPr>
          <w:rFonts w:hint="cs"/>
          <w:rtl/>
        </w:rPr>
        <w:t xml:space="preserve"> </w:t>
      </w:r>
      <w:r w:rsidRPr="00A22B7B">
        <w:rPr>
          <w:rFonts w:hint="cs"/>
          <w:rtl/>
        </w:rPr>
        <w:t>تدريبي</w:t>
      </w:r>
      <w:r>
        <w:rPr>
          <w:rFonts w:hint="cs"/>
          <w:rtl/>
        </w:rPr>
        <w:t xml:space="preserve"> </w:t>
      </w:r>
      <w:r w:rsidRPr="00A22B7B">
        <w:rPr>
          <w:rFonts w:hint="cs"/>
          <w:rtl/>
        </w:rPr>
        <w:t>آخر</w:t>
      </w:r>
      <w:r>
        <w:rPr>
          <w:rFonts w:hint="cs"/>
          <w:rtl/>
        </w:rPr>
        <w:t xml:space="preserve"> </w:t>
      </w:r>
      <w:r w:rsidRPr="00A22B7B">
        <w:rPr>
          <w:rFonts w:hint="cs"/>
          <w:rtl/>
        </w:rPr>
        <w:t>لنحو</w:t>
      </w:r>
      <w:r>
        <w:rPr>
          <w:rFonts w:hint="cs"/>
          <w:rtl/>
        </w:rPr>
        <w:t xml:space="preserve"> </w:t>
      </w:r>
      <w:r w:rsidRPr="00A22B7B">
        <w:rPr>
          <w:rFonts w:hint="cs"/>
          <w:rtl/>
        </w:rPr>
        <w:t>60</w:t>
      </w:r>
      <w:r>
        <w:rPr>
          <w:rFonts w:hint="cs"/>
          <w:rtl/>
        </w:rPr>
        <w:t xml:space="preserve"> </w:t>
      </w:r>
      <w:r w:rsidRPr="00A22B7B">
        <w:rPr>
          <w:rFonts w:hint="cs"/>
          <w:rtl/>
        </w:rPr>
        <w:t>متدرّبًا</w:t>
      </w:r>
      <w:r>
        <w:rPr>
          <w:rFonts w:hint="cs"/>
          <w:rtl/>
        </w:rPr>
        <w:t xml:space="preserve"> </w:t>
      </w:r>
      <w:r w:rsidRPr="00A22B7B">
        <w:rPr>
          <w:rFonts w:hint="cs"/>
          <w:rtl/>
        </w:rPr>
        <w:t>من</w:t>
      </w:r>
      <w:r>
        <w:rPr>
          <w:rFonts w:hint="cs"/>
          <w:rtl/>
        </w:rPr>
        <w:t xml:space="preserve"> </w:t>
      </w:r>
      <w:r w:rsidRPr="00A22B7B">
        <w:rPr>
          <w:rFonts w:hint="cs"/>
          <w:rtl/>
        </w:rPr>
        <w:t>أصحاب</w:t>
      </w:r>
      <w:r>
        <w:rPr>
          <w:rFonts w:hint="cs"/>
          <w:rtl/>
        </w:rPr>
        <w:t xml:space="preserve"> </w:t>
      </w:r>
      <w:r w:rsidRPr="00A22B7B">
        <w:rPr>
          <w:rFonts w:hint="cs"/>
          <w:rtl/>
        </w:rPr>
        <w:t>الأعمال</w:t>
      </w:r>
      <w:r>
        <w:rPr>
          <w:rFonts w:hint="cs"/>
          <w:rtl/>
        </w:rPr>
        <w:t xml:space="preserve"> </w:t>
      </w:r>
      <w:r w:rsidRPr="00A22B7B">
        <w:rPr>
          <w:rFonts w:hint="cs"/>
          <w:rtl/>
        </w:rPr>
        <w:t>الحرّة،</w:t>
      </w:r>
      <w:r>
        <w:rPr>
          <w:rFonts w:hint="cs"/>
          <w:rtl/>
        </w:rPr>
        <w:t xml:space="preserve"> </w:t>
      </w:r>
      <w:r w:rsidRPr="00A22B7B">
        <w:rPr>
          <w:rFonts w:hint="cs"/>
          <w:rtl/>
        </w:rPr>
        <w:t>15</w:t>
      </w:r>
      <w:r>
        <w:rPr>
          <w:rFonts w:hint="cs"/>
          <w:rtl/>
        </w:rPr>
        <w:t xml:space="preserve"> </w:t>
      </w:r>
      <w:r w:rsidRPr="00A22B7B">
        <w:rPr>
          <w:rFonts w:hint="cs"/>
          <w:rtl/>
        </w:rPr>
        <w:t>امرأة</w:t>
      </w:r>
      <w:r>
        <w:rPr>
          <w:rFonts w:hint="cs"/>
          <w:rtl/>
        </w:rPr>
        <w:t xml:space="preserve"> </w:t>
      </w:r>
      <w:r w:rsidRPr="00A22B7B">
        <w:rPr>
          <w:rFonts w:hint="cs"/>
          <w:rtl/>
        </w:rPr>
        <w:t>و</w:t>
      </w:r>
      <w:r>
        <w:rPr>
          <w:rFonts w:hint="cs"/>
          <w:rtl/>
        </w:rPr>
        <w:t xml:space="preserve"> </w:t>
      </w:r>
      <w:r w:rsidRPr="00A22B7B">
        <w:rPr>
          <w:rFonts w:hint="cs"/>
          <w:rtl/>
        </w:rPr>
        <w:t>45</w:t>
      </w:r>
      <w:r>
        <w:rPr>
          <w:rFonts w:hint="cs"/>
          <w:rtl/>
        </w:rPr>
        <w:t xml:space="preserve"> </w:t>
      </w:r>
      <w:r w:rsidRPr="00A22B7B">
        <w:rPr>
          <w:rFonts w:hint="cs"/>
          <w:rtl/>
        </w:rPr>
        <w:t>رجلاً</w:t>
      </w:r>
      <w:r w:rsidRPr="006B279F">
        <w:rPr>
          <w:vertAlign w:val="superscript"/>
          <w:rtl/>
        </w:rPr>
        <w:t>(</w:t>
      </w:r>
      <w:r w:rsidRPr="006B279F">
        <w:rPr>
          <w:rStyle w:val="FootnoteReference"/>
          <w:szCs w:val="30"/>
          <w:rtl/>
        </w:rPr>
        <w:footnoteReference w:id="281"/>
      </w:r>
      <w:r w:rsidRPr="006B279F">
        <w:rPr>
          <w:vertAlign w:val="superscript"/>
          <w:rtl/>
        </w:rPr>
        <w:t>)</w:t>
      </w:r>
      <w:r w:rsidRPr="00A22B7B">
        <w:rPr>
          <w:rFonts w:hint="cs"/>
          <w:rtl/>
        </w:rPr>
        <w:t>.</w:t>
      </w:r>
    </w:p>
    <w:p w:rsidR="009943B2" w:rsidRPr="00A22B7B" w:rsidRDefault="009943B2" w:rsidP="009943B2">
      <w:pPr>
        <w:pStyle w:val="SingleTxt"/>
        <w:rPr>
          <w:rFonts w:hint="cs"/>
        </w:rPr>
      </w:pPr>
      <w:r>
        <w:rPr>
          <w:rFonts w:hint="cs"/>
          <w:rtl/>
        </w:rPr>
        <w:t xml:space="preserve">321 - </w:t>
      </w:r>
      <w:r w:rsidRPr="00A22B7B">
        <w:rPr>
          <w:rFonts w:hint="cs"/>
          <w:rtl/>
        </w:rPr>
        <w:t>و</w:t>
      </w:r>
      <w:r w:rsidRPr="00A22B7B">
        <w:rPr>
          <w:rtl/>
        </w:rPr>
        <w:t>بناء</w:t>
      </w:r>
      <w:r>
        <w:rPr>
          <w:rtl/>
        </w:rPr>
        <w:t xml:space="preserve"> </w:t>
      </w:r>
      <w:r w:rsidRPr="00A22B7B">
        <w:rPr>
          <w:rtl/>
        </w:rPr>
        <w:t>على</w:t>
      </w:r>
      <w:r>
        <w:rPr>
          <w:rtl/>
        </w:rPr>
        <w:t xml:space="preserve"> </w:t>
      </w:r>
      <w:r w:rsidRPr="00A22B7B">
        <w:rPr>
          <w:rtl/>
        </w:rPr>
        <w:t>معلومات</w:t>
      </w:r>
      <w:r>
        <w:rPr>
          <w:rFonts w:hint="cs"/>
          <w:rtl/>
        </w:rPr>
        <w:t xml:space="preserve"> </w:t>
      </w:r>
      <w:r w:rsidRPr="00A22B7B">
        <w:rPr>
          <w:rFonts w:hint="cs"/>
          <w:rtl/>
        </w:rPr>
        <w:t>مستمدة</w:t>
      </w:r>
      <w:r>
        <w:rPr>
          <w:rtl/>
        </w:rPr>
        <w:t xml:space="preserve"> </w:t>
      </w:r>
      <w:r w:rsidRPr="00A22B7B">
        <w:rPr>
          <w:rtl/>
        </w:rPr>
        <w:t>من</w:t>
      </w:r>
      <w:r>
        <w:rPr>
          <w:rFonts w:hint="cs"/>
          <w:rtl/>
        </w:rPr>
        <w:t xml:space="preserve"> </w:t>
      </w:r>
      <w:r w:rsidRPr="00A22B7B">
        <w:rPr>
          <w:rFonts w:hint="cs"/>
          <w:rtl/>
        </w:rPr>
        <w:t>زيارات</w:t>
      </w:r>
      <w:r>
        <w:rPr>
          <w:rFonts w:hint="cs"/>
          <w:rtl/>
        </w:rPr>
        <w:t xml:space="preserve"> </w:t>
      </w:r>
      <w:r w:rsidRPr="00A22B7B">
        <w:rPr>
          <w:rFonts w:hint="cs"/>
          <w:rtl/>
        </w:rPr>
        <w:t>وزارة</w:t>
      </w:r>
      <w:r>
        <w:rPr>
          <w:rFonts w:hint="cs"/>
          <w:rtl/>
        </w:rPr>
        <w:t xml:space="preserve"> </w:t>
      </w:r>
      <w:r w:rsidRPr="00A22B7B">
        <w:rPr>
          <w:rFonts w:hint="cs"/>
          <w:rtl/>
        </w:rPr>
        <w:t>الدولة</w:t>
      </w:r>
      <w:r>
        <w:rPr>
          <w:rFonts w:hint="cs"/>
          <w:rtl/>
        </w:rPr>
        <w:t xml:space="preserve"> </w:t>
      </w:r>
      <w:r w:rsidRPr="00A22B7B">
        <w:rPr>
          <w:rFonts w:hint="cs"/>
          <w:rtl/>
        </w:rPr>
        <w:t>للمساواة</w:t>
      </w:r>
      <w:r>
        <w:rPr>
          <w:rFonts w:hint="cs"/>
          <w:rtl/>
        </w:rPr>
        <w:t xml:space="preserve"> </w:t>
      </w:r>
      <w:r w:rsidRPr="00A22B7B">
        <w:rPr>
          <w:rFonts w:hint="cs"/>
          <w:rtl/>
        </w:rPr>
        <w:t>بين</w:t>
      </w:r>
      <w:r>
        <w:rPr>
          <w:rFonts w:hint="cs"/>
          <w:rtl/>
        </w:rPr>
        <w:t xml:space="preserve"> </w:t>
      </w:r>
      <w:r w:rsidRPr="00A22B7B">
        <w:rPr>
          <w:rFonts w:hint="cs"/>
          <w:rtl/>
        </w:rPr>
        <w:t>الجنسين</w:t>
      </w:r>
      <w:r>
        <w:rPr>
          <w:rFonts w:hint="cs"/>
          <w:rtl/>
        </w:rPr>
        <w:t xml:space="preserve"> </w:t>
      </w:r>
      <w:r w:rsidRPr="00A22B7B">
        <w:rPr>
          <w:rFonts w:hint="cs"/>
          <w:rtl/>
        </w:rPr>
        <w:t>إلى</w:t>
      </w:r>
      <w:r>
        <w:rPr>
          <w:rFonts w:hint="cs"/>
          <w:rtl/>
        </w:rPr>
        <w:t xml:space="preserve"> </w:t>
      </w:r>
      <w:r w:rsidRPr="00A22B7B">
        <w:rPr>
          <w:rFonts w:hint="cs"/>
          <w:rtl/>
        </w:rPr>
        <w:t>المقاطعات</w:t>
      </w:r>
      <w:r>
        <w:rPr>
          <w:rFonts w:hint="cs"/>
          <w:rtl/>
        </w:rPr>
        <w:t xml:space="preserve"> </w:t>
      </w:r>
      <w:r w:rsidRPr="00A22B7B">
        <w:rPr>
          <w:rFonts w:hint="cs"/>
          <w:rtl/>
        </w:rPr>
        <w:t>بين</w:t>
      </w:r>
      <w:r>
        <w:rPr>
          <w:rFonts w:hint="cs"/>
          <w:rtl/>
        </w:rPr>
        <w:t xml:space="preserve"> </w:t>
      </w:r>
      <w:r w:rsidRPr="00A22B7B">
        <w:rPr>
          <w:rFonts w:hint="cs"/>
          <w:rtl/>
        </w:rPr>
        <w:t>عامي</w:t>
      </w:r>
      <w:r>
        <w:rPr>
          <w:rFonts w:hint="cs"/>
          <w:rtl/>
        </w:rPr>
        <w:t xml:space="preserve"> </w:t>
      </w:r>
      <w:r w:rsidRPr="00A22B7B">
        <w:rPr>
          <w:rFonts w:hint="cs"/>
          <w:rtl/>
        </w:rPr>
        <w:t>2009</w:t>
      </w:r>
      <w:r>
        <w:rPr>
          <w:rFonts w:hint="cs"/>
          <w:rtl/>
        </w:rPr>
        <w:t xml:space="preserve"> </w:t>
      </w:r>
      <w:r w:rsidRPr="00A22B7B">
        <w:rPr>
          <w:rFonts w:hint="cs"/>
          <w:rtl/>
        </w:rPr>
        <w:t>و</w:t>
      </w:r>
      <w:r>
        <w:rPr>
          <w:rFonts w:hint="cs"/>
          <w:rtl/>
        </w:rPr>
        <w:t xml:space="preserve"> </w:t>
      </w:r>
      <w:r w:rsidRPr="00A22B7B">
        <w:rPr>
          <w:rFonts w:hint="cs"/>
          <w:rtl/>
        </w:rPr>
        <w:t>2012،</w:t>
      </w:r>
      <w:r>
        <w:rPr>
          <w:rFonts w:hint="cs"/>
          <w:rtl/>
        </w:rPr>
        <w:t xml:space="preserve"> </w:t>
      </w:r>
      <w:r w:rsidRPr="00A22B7B">
        <w:rPr>
          <w:rFonts w:hint="cs"/>
          <w:rtl/>
        </w:rPr>
        <w:t>شاركت</w:t>
      </w:r>
      <w:r>
        <w:rPr>
          <w:rFonts w:hint="cs"/>
          <w:rtl/>
        </w:rPr>
        <w:t xml:space="preserve"> </w:t>
      </w:r>
      <w:r w:rsidRPr="00A22B7B">
        <w:rPr>
          <w:rFonts w:hint="cs"/>
          <w:rtl/>
        </w:rPr>
        <w:t>النساء</w:t>
      </w:r>
      <w:r>
        <w:rPr>
          <w:rFonts w:hint="cs"/>
          <w:rtl/>
        </w:rPr>
        <w:t xml:space="preserve"> </w:t>
      </w:r>
      <w:r w:rsidRPr="00A22B7B">
        <w:rPr>
          <w:rFonts w:hint="cs"/>
          <w:rtl/>
        </w:rPr>
        <w:t>في</w:t>
      </w:r>
      <w:r>
        <w:rPr>
          <w:rFonts w:hint="cs"/>
          <w:rtl/>
        </w:rPr>
        <w:t xml:space="preserve"> </w:t>
      </w:r>
      <w:r w:rsidRPr="00A22B7B">
        <w:rPr>
          <w:rtl/>
        </w:rPr>
        <w:t>التعاونيات</w:t>
      </w:r>
      <w:r>
        <w:rPr>
          <w:rtl/>
        </w:rPr>
        <w:t xml:space="preserve"> </w:t>
      </w:r>
      <w:r w:rsidRPr="00A22B7B">
        <w:rPr>
          <w:rtl/>
        </w:rPr>
        <w:t>و</w:t>
      </w:r>
      <w:r w:rsidRPr="00A22B7B">
        <w:rPr>
          <w:rFonts w:hint="cs"/>
          <w:rtl/>
        </w:rPr>
        <w:t>في</w:t>
      </w:r>
      <w:r>
        <w:rPr>
          <w:rFonts w:hint="cs"/>
          <w:rtl/>
        </w:rPr>
        <w:t xml:space="preserve"> </w:t>
      </w:r>
      <w:r w:rsidRPr="00A22B7B">
        <w:rPr>
          <w:rtl/>
        </w:rPr>
        <w:t>مجموعات</w:t>
      </w:r>
      <w:r>
        <w:rPr>
          <w:rtl/>
        </w:rPr>
        <w:t xml:space="preserve"> </w:t>
      </w:r>
      <w:r w:rsidRPr="00A22B7B">
        <w:rPr>
          <w:rtl/>
        </w:rPr>
        <w:t>صغيرة</w:t>
      </w:r>
      <w:r>
        <w:rPr>
          <w:rtl/>
        </w:rPr>
        <w:t xml:space="preserve"> </w:t>
      </w:r>
      <w:r w:rsidRPr="00A22B7B">
        <w:rPr>
          <w:rFonts w:hint="cs"/>
          <w:rtl/>
        </w:rPr>
        <w:t>لتربية</w:t>
      </w:r>
      <w:r>
        <w:rPr>
          <w:rtl/>
        </w:rPr>
        <w:t xml:space="preserve"> </w:t>
      </w:r>
      <w:r w:rsidRPr="00A22B7B">
        <w:rPr>
          <w:rtl/>
        </w:rPr>
        <w:t>الحيوانات،</w:t>
      </w:r>
      <w:r>
        <w:rPr>
          <w:rtl/>
        </w:rPr>
        <w:t xml:space="preserve"> </w:t>
      </w:r>
      <w:r w:rsidRPr="00A22B7B">
        <w:rPr>
          <w:rtl/>
        </w:rPr>
        <w:t>و</w:t>
      </w:r>
      <w:r w:rsidRPr="00A22B7B">
        <w:rPr>
          <w:rFonts w:hint="cs"/>
          <w:rtl/>
        </w:rPr>
        <w:t>ال</w:t>
      </w:r>
      <w:r w:rsidRPr="00A22B7B">
        <w:rPr>
          <w:rtl/>
        </w:rPr>
        <w:t>خياطة،</w:t>
      </w:r>
      <w:r>
        <w:rPr>
          <w:rtl/>
        </w:rPr>
        <w:t xml:space="preserve"> </w:t>
      </w:r>
      <w:r w:rsidRPr="00A22B7B">
        <w:rPr>
          <w:rFonts w:hint="cs"/>
          <w:rtl/>
        </w:rPr>
        <w:t>والزراعة</w:t>
      </w:r>
      <w:r w:rsidRPr="00A22B7B">
        <w:rPr>
          <w:rtl/>
        </w:rPr>
        <w:t>،</w:t>
      </w:r>
      <w:r>
        <w:rPr>
          <w:rtl/>
        </w:rPr>
        <w:t xml:space="preserve"> </w:t>
      </w:r>
      <w:r w:rsidRPr="00A22B7B">
        <w:rPr>
          <w:rtl/>
        </w:rPr>
        <w:t>وتقديم</w:t>
      </w:r>
      <w:r>
        <w:rPr>
          <w:rtl/>
        </w:rPr>
        <w:t xml:space="preserve"> </w:t>
      </w:r>
      <w:r w:rsidRPr="00A22B7B">
        <w:rPr>
          <w:rtl/>
        </w:rPr>
        <w:t>القروض</w:t>
      </w:r>
      <w:r w:rsidRPr="00A22B7B">
        <w:rPr>
          <w:rFonts w:hint="cs"/>
          <w:rtl/>
        </w:rPr>
        <w:t>،</w:t>
      </w:r>
      <w:r>
        <w:rPr>
          <w:rtl/>
        </w:rPr>
        <w:t xml:space="preserve"> </w:t>
      </w:r>
      <w:r w:rsidRPr="00A22B7B">
        <w:rPr>
          <w:rtl/>
        </w:rPr>
        <w:t>والادخار،</w:t>
      </w:r>
      <w:r>
        <w:rPr>
          <w:rtl/>
        </w:rPr>
        <w:t xml:space="preserve"> </w:t>
      </w:r>
      <w:r w:rsidRPr="00A22B7B">
        <w:rPr>
          <w:rtl/>
        </w:rPr>
        <w:t>وذلك</w:t>
      </w:r>
      <w:r>
        <w:rPr>
          <w:rtl/>
        </w:rPr>
        <w:t xml:space="preserve"> </w:t>
      </w:r>
      <w:r w:rsidRPr="00A22B7B">
        <w:rPr>
          <w:rtl/>
        </w:rPr>
        <w:t>باستخدام</w:t>
      </w:r>
      <w:r>
        <w:rPr>
          <w:rtl/>
        </w:rPr>
        <w:t xml:space="preserve"> </w:t>
      </w:r>
      <w:r w:rsidRPr="00A22B7B">
        <w:rPr>
          <w:rFonts w:hint="cs"/>
          <w:rtl/>
        </w:rPr>
        <w:t>رأس</w:t>
      </w:r>
      <w:r>
        <w:rPr>
          <w:rFonts w:hint="cs"/>
          <w:rtl/>
        </w:rPr>
        <w:t xml:space="preserve"> </w:t>
      </w:r>
      <w:r w:rsidRPr="00A22B7B">
        <w:rPr>
          <w:rFonts w:hint="cs"/>
          <w:rtl/>
        </w:rPr>
        <w:t>مالهنّ</w:t>
      </w:r>
      <w:r>
        <w:rPr>
          <w:rFonts w:hint="cs"/>
          <w:rtl/>
        </w:rPr>
        <w:t xml:space="preserve"> </w:t>
      </w:r>
      <w:r w:rsidRPr="00A22B7B">
        <w:rPr>
          <w:rFonts w:hint="cs"/>
          <w:rtl/>
        </w:rPr>
        <w:t>الخاص</w:t>
      </w:r>
      <w:r>
        <w:rPr>
          <w:rFonts w:hint="cs"/>
          <w:rtl/>
        </w:rPr>
        <w:t xml:space="preserve"> </w:t>
      </w:r>
      <w:r w:rsidRPr="00A22B7B">
        <w:rPr>
          <w:rFonts w:hint="cs"/>
          <w:rtl/>
        </w:rPr>
        <w:t>و</w:t>
      </w:r>
      <w:r w:rsidRPr="00A22B7B">
        <w:rPr>
          <w:rtl/>
        </w:rPr>
        <w:t>بدعم</w:t>
      </w:r>
      <w:r>
        <w:rPr>
          <w:rtl/>
        </w:rPr>
        <w:t xml:space="preserve"> </w:t>
      </w:r>
      <w:r w:rsidRPr="00A22B7B">
        <w:rPr>
          <w:rFonts w:hint="cs"/>
          <w:rtl/>
        </w:rPr>
        <w:t>م</w:t>
      </w:r>
      <w:r w:rsidRPr="00A22B7B">
        <w:rPr>
          <w:rtl/>
        </w:rPr>
        <w:t>ن</w:t>
      </w:r>
      <w:r>
        <w:rPr>
          <w:rtl/>
        </w:rPr>
        <w:t xml:space="preserve"> </w:t>
      </w:r>
      <w:r w:rsidRPr="00A22B7B">
        <w:rPr>
          <w:rtl/>
        </w:rPr>
        <w:t>المنظمات</w:t>
      </w:r>
      <w:r>
        <w:rPr>
          <w:rtl/>
        </w:rPr>
        <w:t xml:space="preserve"> </w:t>
      </w:r>
      <w:r w:rsidRPr="00A22B7B">
        <w:rPr>
          <w:rtl/>
        </w:rPr>
        <w:t>غير</w:t>
      </w:r>
      <w:r>
        <w:rPr>
          <w:rtl/>
        </w:rPr>
        <w:t xml:space="preserve"> </w:t>
      </w:r>
      <w:r w:rsidRPr="00A22B7B">
        <w:rPr>
          <w:rtl/>
        </w:rPr>
        <w:t>الحكومية</w:t>
      </w:r>
      <w:r>
        <w:rPr>
          <w:rtl/>
        </w:rPr>
        <w:t xml:space="preserve"> </w:t>
      </w:r>
      <w:r w:rsidRPr="00A22B7B">
        <w:rPr>
          <w:rtl/>
        </w:rPr>
        <w:t>المحلية</w:t>
      </w:r>
      <w:r>
        <w:rPr>
          <w:rtl/>
        </w:rPr>
        <w:t xml:space="preserve"> </w:t>
      </w:r>
      <w:r w:rsidRPr="00A22B7B">
        <w:rPr>
          <w:rtl/>
        </w:rPr>
        <w:t>و</w:t>
      </w:r>
      <w:r w:rsidRPr="00A22B7B">
        <w:rPr>
          <w:rFonts w:hint="cs"/>
          <w:rtl/>
        </w:rPr>
        <w:t>وزارة</w:t>
      </w:r>
      <w:r>
        <w:rPr>
          <w:rFonts w:hint="cs"/>
          <w:rtl/>
        </w:rPr>
        <w:t xml:space="preserve"> </w:t>
      </w:r>
      <w:r w:rsidRPr="00A22B7B">
        <w:rPr>
          <w:rFonts w:hint="cs"/>
          <w:rtl/>
        </w:rPr>
        <w:t>الدولة</w:t>
      </w:r>
      <w:r>
        <w:rPr>
          <w:rFonts w:hint="cs"/>
          <w:rtl/>
        </w:rPr>
        <w:t xml:space="preserve"> </w:t>
      </w:r>
      <w:r w:rsidRPr="00A22B7B">
        <w:rPr>
          <w:rFonts w:hint="cs"/>
          <w:rtl/>
        </w:rPr>
        <w:t>للمساواة</w:t>
      </w:r>
      <w:r>
        <w:rPr>
          <w:rFonts w:hint="cs"/>
          <w:rtl/>
        </w:rPr>
        <w:t xml:space="preserve"> </w:t>
      </w:r>
      <w:r w:rsidRPr="00A22B7B">
        <w:rPr>
          <w:rFonts w:hint="cs"/>
          <w:rtl/>
        </w:rPr>
        <w:t>بين</w:t>
      </w:r>
      <w:r>
        <w:rPr>
          <w:rFonts w:hint="cs"/>
          <w:rtl/>
        </w:rPr>
        <w:t xml:space="preserve"> </w:t>
      </w:r>
      <w:r w:rsidRPr="00A22B7B">
        <w:rPr>
          <w:rFonts w:hint="cs"/>
          <w:rtl/>
        </w:rPr>
        <w:t>الجنسين</w:t>
      </w:r>
      <w:r w:rsidRPr="006B279F">
        <w:rPr>
          <w:vertAlign w:val="superscript"/>
          <w:rtl/>
        </w:rPr>
        <w:t>(</w:t>
      </w:r>
      <w:r w:rsidRPr="006B279F">
        <w:rPr>
          <w:rStyle w:val="FootnoteReference"/>
          <w:szCs w:val="30"/>
          <w:rtl/>
        </w:rPr>
        <w:footnoteReference w:id="282"/>
      </w:r>
      <w:r w:rsidRPr="006B279F">
        <w:rPr>
          <w:vertAlign w:val="superscript"/>
          <w:rtl/>
        </w:rPr>
        <w:t>)</w:t>
      </w:r>
      <w:r w:rsidRPr="00A22B7B">
        <w:rPr>
          <w:rFonts w:hint="cs"/>
          <w:rtl/>
        </w:rPr>
        <w:t>.</w:t>
      </w:r>
      <w:r>
        <w:rPr>
          <w:rFonts w:hint="cs"/>
          <w:rtl/>
        </w:rPr>
        <w:t xml:space="preserve"> </w:t>
      </w:r>
      <w:r w:rsidRPr="00A22B7B">
        <w:rPr>
          <w:rFonts w:hint="cs"/>
          <w:rtl/>
        </w:rPr>
        <w:t>(انظر</w:t>
      </w:r>
      <w:r>
        <w:rPr>
          <w:rFonts w:hint="cs"/>
          <w:rtl/>
        </w:rPr>
        <w:t xml:space="preserve"> </w:t>
      </w:r>
      <w:r w:rsidRPr="00A22B7B">
        <w:rPr>
          <w:rFonts w:hint="cs"/>
          <w:rtl/>
        </w:rPr>
        <w:t>الفرع</w:t>
      </w:r>
      <w:r>
        <w:rPr>
          <w:rFonts w:hint="cs"/>
          <w:rtl/>
        </w:rPr>
        <w:t xml:space="preserve"> </w:t>
      </w:r>
      <w:r w:rsidRPr="00A22B7B">
        <w:rPr>
          <w:rFonts w:hint="cs"/>
          <w:rtl/>
        </w:rPr>
        <w:t>المتعلّق</w:t>
      </w:r>
      <w:r>
        <w:rPr>
          <w:rFonts w:hint="cs"/>
          <w:rtl/>
        </w:rPr>
        <w:t xml:space="preserve"> </w:t>
      </w:r>
      <w:r w:rsidRPr="00A22B7B">
        <w:rPr>
          <w:rFonts w:hint="cs"/>
          <w:rtl/>
        </w:rPr>
        <w:t>بالتحويلات</w:t>
      </w:r>
      <w:r>
        <w:rPr>
          <w:rFonts w:hint="cs"/>
          <w:rtl/>
        </w:rPr>
        <w:t xml:space="preserve"> </w:t>
      </w:r>
      <w:r w:rsidRPr="00A22B7B">
        <w:rPr>
          <w:rFonts w:hint="cs"/>
          <w:rtl/>
        </w:rPr>
        <w:t>النقدية</w:t>
      </w:r>
      <w:r>
        <w:rPr>
          <w:rFonts w:hint="cs"/>
          <w:rtl/>
        </w:rPr>
        <w:t xml:space="preserve"> </w:t>
      </w:r>
      <w:r w:rsidRPr="00A22B7B">
        <w:rPr>
          <w:rFonts w:hint="cs"/>
          <w:rtl/>
        </w:rPr>
        <w:t>في</w:t>
      </w:r>
      <w:r>
        <w:rPr>
          <w:rFonts w:hint="cs"/>
          <w:rtl/>
        </w:rPr>
        <w:t xml:space="preserve"> </w:t>
      </w:r>
      <w:r w:rsidRPr="00A22B7B">
        <w:rPr>
          <w:rFonts w:hint="cs"/>
          <w:rtl/>
        </w:rPr>
        <w:t>هذا</w:t>
      </w:r>
      <w:r>
        <w:rPr>
          <w:rFonts w:hint="cs"/>
          <w:rtl/>
        </w:rPr>
        <w:t xml:space="preserve"> </w:t>
      </w:r>
      <w:r w:rsidRPr="00A22B7B">
        <w:rPr>
          <w:rFonts w:hint="cs"/>
          <w:rtl/>
        </w:rPr>
        <w:t>التقرير).</w:t>
      </w:r>
    </w:p>
    <w:p w:rsidR="009943B2" w:rsidRPr="006B279F"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Pr="006B279F">
        <w:rPr>
          <w:rFonts w:hint="cs"/>
          <w:rtl/>
        </w:rPr>
        <w:t>برنامج التحويلات النقدية ل</w:t>
      </w:r>
      <w:r w:rsidRPr="006B279F">
        <w:rPr>
          <w:rtl/>
        </w:rPr>
        <w:t>وزارة الزراعة ومصائد الأسماك</w:t>
      </w:r>
    </w:p>
    <w:p w:rsidR="009943B2" w:rsidRPr="00A22B7B" w:rsidRDefault="009943B2" w:rsidP="009943B2">
      <w:pPr>
        <w:pStyle w:val="SingleTxt"/>
        <w:rPr>
          <w:rFonts w:hint="cs"/>
        </w:rPr>
      </w:pPr>
      <w:r>
        <w:rPr>
          <w:rFonts w:hint="cs"/>
          <w:rtl/>
        </w:rPr>
        <w:t xml:space="preserve">322 - </w:t>
      </w:r>
      <w:r w:rsidRPr="00A22B7B">
        <w:rPr>
          <w:rFonts w:hint="cs"/>
          <w:rtl/>
        </w:rPr>
        <w:t>أنشأت</w:t>
      </w:r>
      <w:r>
        <w:rPr>
          <w:rtl/>
        </w:rPr>
        <w:t xml:space="preserve"> </w:t>
      </w:r>
      <w:r w:rsidRPr="00A22B7B">
        <w:rPr>
          <w:rtl/>
        </w:rPr>
        <w:t>الحكومة</w:t>
      </w:r>
      <w:r>
        <w:rPr>
          <w:rtl/>
        </w:rPr>
        <w:t xml:space="preserve"> </w:t>
      </w:r>
      <w:r w:rsidRPr="00A22B7B">
        <w:rPr>
          <w:rtl/>
        </w:rPr>
        <w:t>عام</w:t>
      </w:r>
      <w:r>
        <w:rPr>
          <w:rFonts w:hint="cs"/>
          <w:rtl/>
        </w:rPr>
        <w:t xml:space="preserve"> </w:t>
      </w:r>
      <w:r w:rsidRPr="00A22B7B">
        <w:rPr>
          <w:rtl/>
        </w:rPr>
        <w:t>2008</w:t>
      </w:r>
      <w:r>
        <w:rPr>
          <w:rFonts w:hint="cs"/>
          <w:rtl/>
        </w:rPr>
        <w:t xml:space="preserve"> </w:t>
      </w:r>
      <w:r>
        <w:rPr>
          <w:rFonts w:hint="eastAsia"/>
          <w:rtl/>
        </w:rPr>
        <w:t>”</w:t>
      </w:r>
      <w:r w:rsidRPr="00A22B7B">
        <w:rPr>
          <w:rtl/>
        </w:rPr>
        <w:t>صندوق</w:t>
      </w:r>
      <w:r>
        <w:rPr>
          <w:rtl/>
        </w:rPr>
        <w:t xml:space="preserve"> </w:t>
      </w:r>
      <w:r w:rsidRPr="00A22B7B">
        <w:rPr>
          <w:rFonts w:hint="cs"/>
          <w:rtl/>
        </w:rPr>
        <w:t>ال</w:t>
      </w:r>
      <w:r w:rsidRPr="00A22B7B">
        <w:rPr>
          <w:rtl/>
        </w:rPr>
        <w:t>تنمية</w:t>
      </w:r>
      <w:r>
        <w:rPr>
          <w:rtl/>
        </w:rPr>
        <w:t xml:space="preserve"> </w:t>
      </w:r>
      <w:r w:rsidRPr="00A22B7B">
        <w:rPr>
          <w:rtl/>
        </w:rPr>
        <w:t>المجتمع</w:t>
      </w:r>
      <w:r w:rsidRPr="00A22B7B">
        <w:rPr>
          <w:rFonts w:hint="cs"/>
          <w:rtl/>
        </w:rPr>
        <w:t>ية</w:t>
      </w:r>
      <w:r>
        <w:rPr>
          <w:rtl/>
        </w:rPr>
        <w:t xml:space="preserve"> </w:t>
      </w:r>
      <w:r w:rsidRPr="00A22B7B">
        <w:rPr>
          <w:rtl/>
        </w:rPr>
        <w:t>للزراعة</w:t>
      </w:r>
      <w:r>
        <w:rPr>
          <w:rFonts w:hint="cs"/>
          <w:rtl/>
        </w:rPr>
        <w:t>“</w:t>
      </w:r>
      <w:r w:rsidRPr="00A22B7B">
        <w:rPr>
          <w:rFonts w:hint="cs"/>
          <w:rtl/>
        </w:rPr>
        <w:t>،</w:t>
      </w:r>
      <w:r>
        <w:rPr>
          <w:rtl/>
        </w:rPr>
        <w:t xml:space="preserve"> </w:t>
      </w:r>
      <w:r w:rsidRPr="00A22B7B">
        <w:rPr>
          <w:rFonts w:hint="cs"/>
          <w:rtl/>
        </w:rPr>
        <w:t>وأشرفت</w:t>
      </w:r>
      <w:r>
        <w:rPr>
          <w:rFonts w:hint="cs"/>
          <w:rtl/>
        </w:rPr>
        <w:t xml:space="preserve"> </w:t>
      </w:r>
      <w:r w:rsidRPr="00A22B7B">
        <w:rPr>
          <w:rtl/>
        </w:rPr>
        <w:t>وزارة</w:t>
      </w:r>
      <w:r>
        <w:rPr>
          <w:rtl/>
        </w:rPr>
        <w:t xml:space="preserve"> </w:t>
      </w:r>
      <w:r w:rsidRPr="00A22B7B">
        <w:rPr>
          <w:rtl/>
        </w:rPr>
        <w:t>الزراعة</w:t>
      </w:r>
      <w:r>
        <w:rPr>
          <w:rtl/>
        </w:rPr>
        <w:t xml:space="preserve"> </w:t>
      </w:r>
      <w:r w:rsidRPr="00A22B7B">
        <w:rPr>
          <w:rtl/>
        </w:rPr>
        <w:t>ومصائد</w:t>
      </w:r>
      <w:r>
        <w:rPr>
          <w:rtl/>
        </w:rPr>
        <w:t xml:space="preserve"> </w:t>
      </w:r>
      <w:r w:rsidRPr="00A22B7B">
        <w:rPr>
          <w:rtl/>
        </w:rPr>
        <w:t>الأسماك</w:t>
      </w:r>
      <w:r>
        <w:rPr>
          <w:rtl/>
        </w:rPr>
        <w:t xml:space="preserve"> </w:t>
      </w:r>
      <w:r w:rsidRPr="00A22B7B">
        <w:rPr>
          <w:rFonts w:hint="cs"/>
          <w:rtl/>
        </w:rPr>
        <w:t>على</w:t>
      </w:r>
      <w:r>
        <w:rPr>
          <w:rFonts w:hint="cs"/>
          <w:rtl/>
        </w:rPr>
        <w:t xml:space="preserve"> </w:t>
      </w:r>
      <w:r w:rsidRPr="00A22B7B">
        <w:rPr>
          <w:rFonts w:hint="cs"/>
          <w:rtl/>
        </w:rPr>
        <w:t>تنفيذه</w:t>
      </w:r>
      <w:r>
        <w:rPr>
          <w:rFonts w:hint="cs"/>
          <w:rtl/>
        </w:rPr>
        <w:t xml:space="preserve"> </w:t>
      </w:r>
      <w:r w:rsidRPr="00A22B7B">
        <w:rPr>
          <w:rFonts w:hint="cs"/>
          <w:rtl/>
        </w:rPr>
        <w:t>بالتركيز</w:t>
      </w:r>
      <w:r>
        <w:rPr>
          <w:rFonts w:hint="cs"/>
          <w:rtl/>
        </w:rPr>
        <w:t xml:space="preserve"> </w:t>
      </w:r>
      <w:r w:rsidRPr="00A22B7B">
        <w:rPr>
          <w:rFonts w:hint="cs"/>
          <w:rtl/>
        </w:rPr>
        <w:t>على</w:t>
      </w:r>
      <w:r>
        <w:rPr>
          <w:rFonts w:hint="cs"/>
          <w:rtl/>
        </w:rPr>
        <w:t xml:space="preserve"> </w:t>
      </w:r>
      <w:r w:rsidRPr="00A22B7B">
        <w:rPr>
          <w:rFonts w:hint="cs"/>
          <w:rtl/>
        </w:rPr>
        <w:t>تنمية</w:t>
      </w:r>
      <w:r>
        <w:rPr>
          <w:rFonts w:hint="cs"/>
          <w:rtl/>
        </w:rPr>
        <w:t xml:space="preserve"> </w:t>
      </w:r>
      <w:r w:rsidRPr="00A22B7B">
        <w:rPr>
          <w:rFonts w:hint="cs"/>
          <w:rtl/>
        </w:rPr>
        <w:t>الأنشطة</w:t>
      </w:r>
      <w:r>
        <w:rPr>
          <w:rFonts w:hint="cs"/>
          <w:rtl/>
        </w:rPr>
        <w:t xml:space="preserve"> </w:t>
      </w:r>
      <w:r w:rsidRPr="00A22B7B">
        <w:rPr>
          <w:rFonts w:hint="cs"/>
          <w:rtl/>
        </w:rPr>
        <w:t>الزراعية</w:t>
      </w:r>
      <w:r>
        <w:rPr>
          <w:rFonts w:hint="cs"/>
          <w:rtl/>
        </w:rPr>
        <w:t xml:space="preserve"> </w:t>
      </w:r>
      <w:r w:rsidRPr="00A22B7B">
        <w:rPr>
          <w:rFonts w:hint="cs"/>
          <w:rtl/>
        </w:rPr>
        <w:t>للمجموعات</w:t>
      </w:r>
      <w:r>
        <w:rPr>
          <w:rFonts w:hint="cs"/>
          <w:rtl/>
        </w:rPr>
        <w:t xml:space="preserve"> </w:t>
      </w:r>
      <w:r w:rsidRPr="00A22B7B">
        <w:rPr>
          <w:rFonts w:hint="cs"/>
          <w:rtl/>
        </w:rPr>
        <w:t>النسائية،</w:t>
      </w:r>
      <w:r>
        <w:rPr>
          <w:rFonts w:hint="cs"/>
          <w:rtl/>
        </w:rPr>
        <w:t xml:space="preserve"> </w:t>
      </w:r>
      <w:r w:rsidRPr="00A22B7B">
        <w:rPr>
          <w:rtl/>
        </w:rPr>
        <w:t>م</w:t>
      </w:r>
      <w:r w:rsidRPr="00A22B7B">
        <w:rPr>
          <w:rFonts w:hint="cs"/>
          <w:rtl/>
        </w:rPr>
        <w:t>ن</w:t>
      </w:r>
      <w:r>
        <w:rPr>
          <w:rFonts w:hint="cs"/>
          <w:rtl/>
        </w:rPr>
        <w:t xml:space="preserve"> </w:t>
      </w:r>
      <w:r w:rsidRPr="00A22B7B">
        <w:rPr>
          <w:rFonts w:hint="cs"/>
          <w:rtl/>
        </w:rPr>
        <w:t>قبيل</w:t>
      </w:r>
      <w:r>
        <w:rPr>
          <w:rtl/>
        </w:rPr>
        <w:t xml:space="preserve"> </w:t>
      </w:r>
      <w:r w:rsidRPr="00A22B7B">
        <w:rPr>
          <w:rtl/>
        </w:rPr>
        <w:t>تربية</w:t>
      </w:r>
      <w:r>
        <w:rPr>
          <w:rtl/>
        </w:rPr>
        <w:t xml:space="preserve"> </w:t>
      </w:r>
      <w:r w:rsidRPr="00A22B7B">
        <w:rPr>
          <w:rtl/>
        </w:rPr>
        <w:t>الحيوانات</w:t>
      </w:r>
      <w:r>
        <w:rPr>
          <w:rtl/>
        </w:rPr>
        <w:t xml:space="preserve"> </w:t>
      </w:r>
      <w:r w:rsidRPr="00A22B7B">
        <w:rPr>
          <w:rtl/>
        </w:rPr>
        <w:t>(الأبقار</w:t>
      </w:r>
      <w:r>
        <w:rPr>
          <w:rtl/>
        </w:rPr>
        <w:t xml:space="preserve"> </w:t>
      </w:r>
      <w:r w:rsidRPr="00A22B7B">
        <w:rPr>
          <w:rFonts w:hint="cs"/>
          <w:rtl/>
        </w:rPr>
        <w:t>والجواميس</w:t>
      </w:r>
      <w:r>
        <w:rPr>
          <w:rtl/>
        </w:rPr>
        <w:t xml:space="preserve"> </w:t>
      </w:r>
      <w:r w:rsidRPr="00A22B7B">
        <w:rPr>
          <w:rtl/>
        </w:rPr>
        <w:t>والماعز</w:t>
      </w:r>
      <w:r>
        <w:rPr>
          <w:rtl/>
        </w:rPr>
        <w:t xml:space="preserve"> </w:t>
      </w:r>
      <w:r w:rsidRPr="00A22B7B">
        <w:rPr>
          <w:rtl/>
        </w:rPr>
        <w:t>والخنازير</w:t>
      </w:r>
      <w:r>
        <w:rPr>
          <w:rtl/>
        </w:rPr>
        <w:t xml:space="preserve"> </w:t>
      </w:r>
      <w:r w:rsidRPr="00A22B7B">
        <w:rPr>
          <w:rtl/>
        </w:rPr>
        <w:t>والدواجن)،</w:t>
      </w:r>
      <w:r>
        <w:rPr>
          <w:rtl/>
        </w:rPr>
        <w:t xml:space="preserve"> </w:t>
      </w:r>
      <w:r w:rsidRPr="00A22B7B">
        <w:rPr>
          <w:rFonts w:hint="cs"/>
          <w:rtl/>
        </w:rPr>
        <w:t>و</w:t>
      </w:r>
      <w:r w:rsidRPr="00A22B7B">
        <w:rPr>
          <w:rtl/>
        </w:rPr>
        <w:t>مشاريع</w:t>
      </w:r>
      <w:r>
        <w:rPr>
          <w:rtl/>
        </w:rPr>
        <w:t xml:space="preserve"> </w:t>
      </w:r>
      <w:r w:rsidRPr="00A22B7B">
        <w:rPr>
          <w:rtl/>
        </w:rPr>
        <w:t>إعادة</w:t>
      </w:r>
      <w:r>
        <w:rPr>
          <w:rtl/>
        </w:rPr>
        <w:t xml:space="preserve"> </w:t>
      </w:r>
      <w:r w:rsidRPr="00A22B7B">
        <w:rPr>
          <w:rFonts w:hint="cs"/>
          <w:rtl/>
        </w:rPr>
        <w:t>ال</w:t>
      </w:r>
      <w:r w:rsidRPr="00A22B7B">
        <w:rPr>
          <w:rtl/>
        </w:rPr>
        <w:t>تحريج</w:t>
      </w:r>
      <w:r w:rsidRPr="00A22B7B">
        <w:rPr>
          <w:rFonts w:hint="cs"/>
          <w:rtl/>
        </w:rPr>
        <w:t>،</w:t>
      </w:r>
      <w:r>
        <w:rPr>
          <w:rFonts w:hint="cs"/>
          <w:rtl/>
        </w:rPr>
        <w:t xml:space="preserve"> </w:t>
      </w:r>
      <w:r w:rsidRPr="00A22B7B">
        <w:rPr>
          <w:rFonts w:hint="cs"/>
          <w:rtl/>
        </w:rPr>
        <w:t>بما</w:t>
      </w:r>
      <w:r>
        <w:rPr>
          <w:rFonts w:hint="cs"/>
          <w:rtl/>
        </w:rPr>
        <w:t xml:space="preserve"> </w:t>
      </w:r>
      <w:r w:rsidRPr="00A22B7B">
        <w:rPr>
          <w:rFonts w:hint="cs"/>
          <w:rtl/>
        </w:rPr>
        <w:t>في</w:t>
      </w:r>
      <w:r>
        <w:rPr>
          <w:rFonts w:hint="cs"/>
          <w:rtl/>
        </w:rPr>
        <w:t xml:space="preserve"> </w:t>
      </w:r>
      <w:r w:rsidRPr="00A22B7B">
        <w:rPr>
          <w:rFonts w:hint="cs"/>
          <w:rtl/>
        </w:rPr>
        <w:t>ذلك</w:t>
      </w:r>
      <w:r>
        <w:rPr>
          <w:rtl/>
        </w:rPr>
        <w:t xml:space="preserve"> </w:t>
      </w:r>
      <w:r w:rsidRPr="00A22B7B">
        <w:rPr>
          <w:rtl/>
        </w:rPr>
        <w:t>أشجار</w:t>
      </w:r>
      <w:r>
        <w:rPr>
          <w:rtl/>
        </w:rPr>
        <w:t xml:space="preserve"> </w:t>
      </w:r>
      <w:r w:rsidRPr="00A22B7B">
        <w:rPr>
          <w:rtl/>
        </w:rPr>
        <w:t>جوز</w:t>
      </w:r>
      <w:r>
        <w:rPr>
          <w:rtl/>
        </w:rPr>
        <w:t xml:space="preserve"> </w:t>
      </w:r>
      <w:r w:rsidRPr="00A22B7B">
        <w:rPr>
          <w:rtl/>
        </w:rPr>
        <w:t>الهند،</w:t>
      </w:r>
      <w:r>
        <w:rPr>
          <w:rtl/>
        </w:rPr>
        <w:t xml:space="preserve"> </w:t>
      </w:r>
      <w:r w:rsidRPr="00A22B7B">
        <w:rPr>
          <w:rFonts w:hint="cs"/>
          <w:rtl/>
        </w:rPr>
        <w:t>واستنبات</w:t>
      </w:r>
      <w:r>
        <w:rPr>
          <w:rtl/>
        </w:rPr>
        <w:t xml:space="preserve"> </w:t>
      </w:r>
      <w:r w:rsidRPr="00A22B7B">
        <w:rPr>
          <w:rtl/>
        </w:rPr>
        <w:t>الشتلات</w:t>
      </w:r>
      <w:r>
        <w:rPr>
          <w:rtl/>
        </w:rPr>
        <w:t xml:space="preserve"> </w:t>
      </w:r>
      <w:r w:rsidRPr="00A22B7B">
        <w:rPr>
          <w:rtl/>
        </w:rPr>
        <w:t>الزراعية،</w:t>
      </w:r>
      <w:r>
        <w:rPr>
          <w:rtl/>
        </w:rPr>
        <w:t xml:space="preserve"> </w:t>
      </w:r>
      <w:r w:rsidRPr="00A22B7B">
        <w:rPr>
          <w:rtl/>
        </w:rPr>
        <w:t>ومشاريع</w:t>
      </w:r>
      <w:r>
        <w:rPr>
          <w:rtl/>
        </w:rPr>
        <w:t xml:space="preserve"> </w:t>
      </w:r>
      <w:r w:rsidRPr="00A22B7B">
        <w:rPr>
          <w:rtl/>
        </w:rPr>
        <w:t>برك</w:t>
      </w:r>
      <w:r>
        <w:rPr>
          <w:rFonts w:hint="cs"/>
          <w:rtl/>
        </w:rPr>
        <w:t xml:space="preserve"> </w:t>
      </w:r>
      <w:r w:rsidRPr="00A22B7B">
        <w:rPr>
          <w:rFonts w:hint="cs"/>
          <w:rtl/>
        </w:rPr>
        <w:t>تربية</w:t>
      </w:r>
      <w:r>
        <w:rPr>
          <w:rFonts w:hint="cs"/>
          <w:rtl/>
        </w:rPr>
        <w:t xml:space="preserve"> </w:t>
      </w:r>
      <w:r w:rsidRPr="00A22B7B">
        <w:rPr>
          <w:rFonts w:hint="cs"/>
          <w:rtl/>
        </w:rPr>
        <w:t>الأسماك</w:t>
      </w:r>
      <w:r w:rsidRPr="00A22B7B">
        <w:rPr>
          <w:rtl/>
        </w:rPr>
        <w:t>.</w:t>
      </w:r>
      <w:r>
        <w:rPr>
          <w:rtl/>
        </w:rPr>
        <w:t xml:space="preserve"> </w:t>
      </w:r>
      <w:r w:rsidRPr="00A22B7B">
        <w:rPr>
          <w:rFonts w:hint="cs"/>
          <w:rtl/>
        </w:rPr>
        <w:t>وبلغت</w:t>
      </w:r>
      <w:r>
        <w:rPr>
          <w:rFonts w:hint="cs"/>
          <w:rtl/>
        </w:rPr>
        <w:t xml:space="preserve"> </w:t>
      </w:r>
      <w:r w:rsidRPr="00A22B7B">
        <w:rPr>
          <w:rtl/>
        </w:rPr>
        <w:t>أقصى</w:t>
      </w:r>
      <w:r>
        <w:rPr>
          <w:rFonts w:hint="cs"/>
          <w:rtl/>
        </w:rPr>
        <w:t xml:space="preserve"> </w:t>
      </w:r>
      <w:r w:rsidRPr="00A22B7B">
        <w:rPr>
          <w:rFonts w:hint="cs"/>
          <w:rtl/>
        </w:rPr>
        <w:t>ميزانية</w:t>
      </w:r>
      <w:r>
        <w:rPr>
          <w:rFonts w:hint="cs"/>
          <w:rtl/>
        </w:rPr>
        <w:t xml:space="preserve"> </w:t>
      </w:r>
      <w:r w:rsidRPr="00A22B7B">
        <w:rPr>
          <w:rtl/>
        </w:rPr>
        <w:t>مخصص</w:t>
      </w:r>
      <w:r w:rsidRPr="00A22B7B">
        <w:rPr>
          <w:rFonts w:hint="cs"/>
          <w:rtl/>
        </w:rPr>
        <w:t>ة</w:t>
      </w:r>
      <w:r>
        <w:rPr>
          <w:rtl/>
        </w:rPr>
        <w:t xml:space="preserve"> </w:t>
      </w:r>
      <w:r w:rsidRPr="00A22B7B">
        <w:rPr>
          <w:rtl/>
        </w:rPr>
        <w:t>لكل</w:t>
      </w:r>
      <w:r>
        <w:rPr>
          <w:rtl/>
        </w:rPr>
        <w:t xml:space="preserve"> </w:t>
      </w:r>
      <w:r w:rsidRPr="00A22B7B">
        <w:rPr>
          <w:rtl/>
        </w:rPr>
        <w:t>نشاط</w:t>
      </w:r>
      <w:r>
        <w:rPr>
          <w:rtl/>
        </w:rPr>
        <w:t xml:space="preserve"> </w:t>
      </w:r>
      <w:r w:rsidRPr="00A22B7B">
        <w:rPr>
          <w:rFonts w:hint="cs"/>
          <w:rtl/>
        </w:rPr>
        <w:t>000</w:t>
      </w:r>
      <w:r>
        <w:rPr>
          <w:rFonts w:hint="cs"/>
          <w:rtl/>
        </w:rPr>
        <w:t xml:space="preserve"> </w:t>
      </w:r>
      <w:r w:rsidRPr="00A22B7B">
        <w:rPr>
          <w:rFonts w:hint="cs"/>
          <w:rtl/>
        </w:rPr>
        <w:t>5</w:t>
      </w:r>
      <w:r>
        <w:rPr>
          <w:rFonts w:hint="cs"/>
          <w:rtl/>
        </w:rPr>
        <w:t xml:space="preserve"> </w:t>
      </w:r>
      <w:r w:rsidRPr="00A22B7B">
        <w:rPr>
          <w:rFonts w:hint="cs"/>
          <w:rtl/>
        </w:rPr>
        <w:t>دولار</w:t>
      </w:r>
      <w:r w:rsidRPr="00A22B7B">
        <w:rPr>
          <w:rtl/>
        </w:rPr>
        <w:t>.</w:t>
      </w:r>
      <w:r>
        <w:rPr>
          <w:rtl/>
        </w:rPr>
        <w:t xml:space="preserve"> </w:t>
      </w:r>
      <w:r w:rsidRPr="00A22B7B">
        <w:rPr>
          <w:rFonts w:hint="cs"/>
          <w:rtl/>
        </w:rPr>
        <w:t>و</w:t>
      </w:r>
      <w:r w:rsidRPr="00A22B7B">
        <w:rPr>
          <w:rtl/>
        </w:rPr>
        <w:t>في</w:t>
      </w:r>
      <w:r>
        <w:rPr>
          <w:rtl/>
        </w:rPr>
        <w:t xml:space="preserve"> </w:t>
      </w:r>
      <w:r w:rsidRPr="00A22B7B">
        <w:rPr>
          <w:rtl/>
        </w:rPr>
        <w:t>عام</w:t>
      </w:r>
      <w:r>
        <w:rPr>
          <w:rtl/>
        </w:rPr>
        <w:t xml:space="preserve"> </w:t>
      </w:r>
      <w:r w:rsidRPr="00A22B7B">
        <w:rPr>
          <w:rtl/>
        </w:rPr>
        <w:t>2011،</w:t>
      </w:r>
      <w:r>
        <w:rPr>
          <w:rtl/>
        </w:rPr>
        <w:t xml:space="preserve"> </w:t>
      </w:r>
      <w:r w:rsidRPr="00A22B7B">
        <w:rPr>
          <w:rFonts w:hint="cs"/>
          <w:rtl/>
        </w:rPr>
        <w:t>بلغ</w:t>
      </w:r>
      <w:r>
        <w:rPr>
          <w:rFonts w:hint="cs"/>
          <w:rtl/>
        </w:rPr>
        <w:t xml:space="preserve"> </w:t>
      </w:r>
      <w:r w:rsidRPr="00A22B7B">
        <w:rPr>
          <w:rFonts w:hint="cs"/>
          <w:rtl/>
        </w:rPr>
        <w:t>عدد</w:t>
      </w:r>
      <w:r>
        <w:rPr>
          <w:rFonts w:hint="cs"/>
          <w:rtl/>
        </w:rPr>
        <w:t xml:space="preserve"> </w:t>
      </w:r>
      <w:r w:rsidRPr="00A22B7B">
        <w:rPr>
          <w:rFonts w:hint="cs"/>
          <w:rtl/>
        </w:rPr>
        <w:t>مجموعات</w:t>
      </w:r>
      <w:r>
        <w:rPr>
          <w:rFonts w:hint="cs"/>
          <w:rtl/>
        </w:rPr>
        <w:t xml:space="preserve"> </w:t>
      </w:r>
      <w:r w:rsidRPr="00A22B7B">
        <w:rPr>
          <w:rFonts w:hint="cs"/>
          <w:rtl/>
        </w:rPr>
        <w:t>النساء</w:t>
      </w:r>
      <w:r>
        <w:rPr>
          <w:rFonts w:hint="cs"/>
          <w:rtl/>
        </w:rPr>
        <w:t xml:space="preserve"> </w:t>
      </w:r>
      <w:r w:rsidRPr="00A22B7B">
        <w:rPr>
          <w:rFonts w:hint="cs"/>
          <w:rtl/>
        </w:rPr>
        <w:t>الريفيات</w:t>
      </w:r>
      <w:r>
        <w:rPr>
          <w:rFonts w:hint="cs"/>
          <w:rtl/>
        </w:rPr>
        <w:t xml:space="preserve"> </w:t>
      </w:r>
      <w:r w:rsidRPr="00A22B7B">
        <w:rPr>
          <w:rFonts w:hint="cs"/>
          <w:rtl/>
        </w:rPr>
        <w:t>التي</w:t>
      </w:r>
      <w:r>
        <w:rPr>
          <w:rFonts w:hint="cs"/>
          <w:rtl/>
        </w:rPr>
        <w:t xml:space="preserve"> </w:t>
      </w:r>
      <w:r w:rsidRPr="00A22B7B">
        <w:rPr>
          <w:rtl/>
        </w:rPr>
        <w:t>استفاد</w:t>
      </w:r>
      <w:r w:rsidRPr="00A22B7B">
        <w:rPr>
          <w:rFonts w:hint="cs"/>
          <w:rtl/>
        </w:rPr>
        <w:t>ت</w:t>
      </w:r>
      <w:r>
        <w:rPr>
          <w:rFonts w:hint="cs"/>
          <w:rtl/>
        </w:rPr>
        <w:t xml:space="preserve"> </w:t>
      </w:r>
      <w:r w:rsidRPr="00A22B7B">
        <w:rPr>
          <w:rFonts w:hint="cs"/>
          <w:rtl/>
        </w:rPr>
        <w:t>من</w:t>
      </w:r>
      <w:r>
        <w:rPr>
          <w:rFonts w:hint="cs"/>
          <w:rtl/>
        </w:rPr>
        <w:t xml:space="preserve"> </w:t>
      </w:r>
      <w:r w:rsidRPr="00A22B7B">
        <w:rPr>
          <w:rFonts w:hint="cs"/>
          <w:rtl/>
        </w:rPr>
        <w:t>البرنامج</w:t>
      </w:r>
      <w:r>
        <w:rPr>
          <w:rtl/>
        </w:rPr>
        <w:t xml:space="preserve"> </w:t>
      </w:r>
      <w:r w:rsidRPr="00A22B7B">
        <w:rPr>
          <w:rtl/>
        </w:rPr>
        <w:t>79</w:t>
      </w:r>
      <w:r>
        <w:rPr>
          <w:rtl/>
        </w:rPr>
        <w:t xml:space="preserve"> </w:t>
      </w:r>
      <w:r w:rsidRPr="00A22B7B">
        <w:rPr>
          <w:rFonts w:hint="cs"/>
          <w:rtl/>
        </w:rPr>
        <w:t>مجموعة،</w:t>
      </w:r>
      <w:r>
        <w:rPr>
          <w:rFonts w:hint="cs"/>
          <w:rtl/>
        </w:rPr>
        <w:t xml:space="preserve"> </w:t>
      </w:r>
      <w:r w:rsidRPr="00A22B7B">
        <w:rPr>
          <w:rFonts w:hint="cs"/>
          <w:rtl/>
        </w:rPr>
        <w:t>أي</w:t>
      </w:r>
      <w:r>
        <w:rPr>
          <w:rFonts w:hint="cs"/>
          <w:rtl/>
        </w:rPr>
        <w:t xml:space="preserve"> </w:t>
      </w:r>
      <w:r w:rsidRPr="00A22B7B">
        <w:rPr>
          <w:rFonts w:hint="cs"/>
          <w:rtl/>
        </w:rPr>
        <w:t>ما</w:t>
      </w:r>
      <w:r>
        <w:rPr>
          <w:rFonts w:hint="cs"/>
          <w:rtl/>
        </w:rPr>
        <w:t xml:space="preserve"> </w:t>
      </w:r>
      <w:r w:rsidRPr="00A22B7B">
        <w:rPr>
          <w:rFonts w:hint="cs"/>
          <w:rtl/>
        </w:rPr>
        <w:t>يزيد</w:t>
      </w:r>
      <w:r>
        <w:rPr>
          <w:rFonts w:hint="cs"/>
          <w:rtl/>
        </w:rPr>
        <w:t xml:space="preserve"> </w:t>
      </w:r>
      <w:r w:rsidRPr="00A22B7B">
        <w:rPr>
          <w:rFonts w:hint="cs"/>
          <w:rtl/>
        </w:rPr>
        <w:t>عن</w:t>
      </w:r>
      <w:r>
        <w:rPr>
          <w:rFonts w:hint="cs"/>
          <w:rtl/>
        </w:rPr>
        <w:t xml:space="preserve"> </w:t>
      </w:r>
      <w:r w:rsidRPr="00A22B7B">
        <w:rPr>
          <w:rFonts w:hint="cs"/>
          <w:rtl/>
        </w:rPr>
        <w:t>950</w:t>
      </w:r>
      <w:r>
        <w:rPr>
          <w:rFonts w:hint="cs"/>
          <w:rtl/>
        </w:rPr>
        <w:t xml:space="preserve"> </w:t>
      </w:r>
      <w:r w:rsidRPr="00A22B7B">
        <w:rPr>
          <w:rFonts w:hint="cs"/>
          <w:rtl/>
        </w:rPr>
        <w:t>امرأة</w:t>
      </w:r>
      <w:r>
        <w:rPr>
          <w:rFonts w:hint="cs"/>
          <w:rtl/>
        </w:rPr>
        <w:t xml:space="preserve"> </w:t>
      </w:r>
      <w:r w:rsidRPr="00A22B7B">
        <w:rPr>
          <w:rFonts w:hint="cs"/>
          <w:rtl/>
        </w:rPr>
        <w:t>بمتوسط</w:t>
      </w:r>
      <w:r>
        <w:rPr>
          <w:rFonts w:hint="cs"/>
          <w:rtl/>
        </w:rPr>
        <w:t xml:space="preserve"> </w:t>
      </w:r>
      <w:r w:rsidRPr="00A22B7B">
        <w:rPr>
          <w:rFonts w:hint="cs"/>
          <w:rtl/>
        </w:rPr>
        <w:t>850</w:t>
      </w:r>
      <w:r>
        <w:rPr>
          <w:rFonts w:hint="cs"/>
          <w:rtl/>
        </w:rPr>
        <w:t xml:space="preserve"> </w:t>
      </w:r>
      <w:r w:rsidRPr="00A22B7B">
        <w:rPr>
          <w:rFonts w:hint="cs"/>
          <w:rtl/>
        </w:rPr>
        <w:t>دولار</w:t>
      </w:r>
      <w:r>
        <w:rPr>
          <w:rFonts w:hint="cs"/>
          <w:rtl/>
        </w:rPr>
        <w:t xml:space="preserve"> </w:t>
      </w:r>
      <w:r w:rsidRPr="00A22B7B">
        <w:rPr>
          <w:rFonts w:hint="cs"/>
          <w:rtl/>
        </w:rPr>
        <w:t>لكل</w:t>
      </w:r>
      <w:r>
        <w:rPr>
          <w:rFonts w:hint="cs"/>
          <w:rtl/>
        </w:rPr>
        <w:t xml:space="preserve"> </w:t>
      </w:r>
      <w:r w:rsidRPr="00A22B7B">
        <w:rPr>
          <w:rFonts w:hint="cs"/>
          <w:rtl/>
        </w:rPr>
        <w:t>مجموعة.</w:t>
      </w:r>
    </w:p>
    <w:p w:rsidR="009943B2" w:rsidRPr="00A22B7B" w:rsidRDefault="009943B2" w:rsidP="009943B2">
      <w:pPr>
        <w:pStyle w:val="SingleTxt"/>
        <w:rPr>
          <w:rFonts w:hint="cs"/>
        </w:rPr>
      </w:pPr>
      <w:r>
        <w:rPr>
          <w:rFonts w:hint="cs"/>
          <w:rtl/>
        </w:rPr>
        <w:t xml:space="preserve">323 - </w:t>
      </w:r>
      <w:r w:rsidRPr="00A22B7B">
        <w:rPr>
          <w:rFonts w:hint="cs"/>
          <w:rtl/>
        </w:rPr>
        <w:t>وتيسّر</w:t>
      </w:r>
      <w:r>
        <w:rPr>
          <w:rFonts w:hint="cs"/>
          <w:rtl/>
        </w:rPr>
        <w:t xml:space="preserve"> </w:t>
      </w:r>
      <w:r w:rsidRPr="00A22B7B">
        <w:rPr>
          <w:rtl/>
        </w:rPr>
        <w:t>وزارة</w:t>
      </w:r>
      <w:r>
        <w:rPr>
          <w:rtl/>
        </w:rPr>
        <w:t xml:space="preserve"> </w:t>
      </w:r>
      <w:r w:rsidRPr="00A22B7B">
        <w:rPr>
          <w:rtl/>
        </w:rPr>
        <w:t>الزراعة</w:t>
      </w:r>
      <w:r>
        <w:rPr>
          <w:rtl/>
        </w:rPr>
        <w:t xml:space="preserve"> </w:t>
      </w:r>
      <w:r w:rsidRPr="00A22B7B">
        <w:rPr>
          <w:rtl/>
        </w:rPr>
        <w:t>ومصائد</w:t>
      </w:r>
      <w:r>
        <w:rPr>
          <w:rtl/>
        </w:rPr>
        <w:t xml:space="preserve"> </w:t>
      </w:r>
      <w:r w:rsidRPr="00A22B7B">
        <w:rPr>
          <w:rtl/>
        </w:rPr>
        <w:t>الأسماك</w:t>
      </w:r>
      <w:r>
        <w:rPr>
          <w:rFonts w:hint="cs"/>
          <w:rtl/>
        </w:rPr>
        <w:t xml:space="preserve"> </w:t>
      </w:r>
      <w:r w:rsidRPr="00A22B7B">
        <w:rPr>
          <w:rFonts w:hint="cs"/>
          <w:rtl/>
        </w:rPr>
        <w:t>إمكانية</w:t>
      </w:r>
      <w:r>
        <w:rPr>
          <w:rFonts w:hint="cs"/>
          <w:rtl/>
        </w:rPr>
        <w:t xml:space="preserve"> </w:t>
      </w:r>
      <w:r w:rsidRPr="00A22B7B">
        <w:rPr>
          <w:rFonts w:hint="cs"/>
          <w:rtl/>
        </w:rPr>
        <w:t>الوصول</w:t>
      </w:r>
      <w:r>
        <w:rPr>
          <w:rFonts w:hint="cs"/>
          <w:rtl/>
        </w:rPr>
        <w:t xml:space="preserve"> </w:t>
      </w:r>
      <w:r w:rsidRPr="00A22B7B">
        <w:rPr>
          <w:rFonts w:hint="cs"/>
          <w:rtl/>
        </w:rPr>
        <w:t>إلى</w:t>
      </w:r>
      <w:r>
        <w:rPr>
          <w:rFonts w:hint="cs"/>
          <w:rtl/>
        </w:rPr>
        <w:t xml:space="preserve"> </w:t>
      </w:r>
      <w:r w:rsidRPr="00A22B7B">
        <w:rPr>
          <w:rFonts w:hint="cs"/>
          <w:rtl/>
        </w:rPr>
        <w:t>التكنولوجيا</w:t>
      </w:r>
      <w:r>
        <w:rPr>
          <w:rFonts w:hint="cs"/>
          <w:rtl/>
        </w:rPr>
        <w:t xml:space="preserve"> </w:t>
      </w:r>
      <w:r w:rsidRPr="00A22B7B">
        <w:rPr>
          <w:rFonts w:hint="cs"/>
          <w:rtl/>
        </w:rPr>
        <w:t>من</w:t>
      </w:r>
      <w:r>
        <w:rPr>
          <w:rFonts w:hint="cs"/>
          <w:rtl/>
        </w:rPr>
        <w:t xml:space="preserve"> </w:t>
      </w:r>
      <w:r w:rsidRPr="00A22B7B">
        <w:rPr>
          <w:rFonts w:hint="cs"/>
          <w:rtl/>
        </w:rPr>
        <w:t>خلال</w:t>
      </w:r>
      <w:r>
        <w:rPr>
          <w:rFonts w:hint="cs"/>
          <w:rtl/>
        </w:rPr>
        <w:t xml:space="preserve"> </w:t>
      </w:r>
      <w:r w:rsidRPr="00A22B7B">
        <w:rPr>
          <w:rFonts w:hint="cs"/>
          <w:rtl/>
        </w:rPr>
        <w:t>تأمين</w:t>
      </w:r>
      <w:r>
        <w:rPr>
          <w:rFonts w:hint="cs"/>
          <w:rtl/>
        </w:rPr>
        <w:t xml:space="preserve"> </w:t>
      </w:r>
      <w:r w:rsidRPr="00A22B7B">
        <w:rPr>
          <w:rFonts w:hint="cs"/>
          <w:rtl/>
        </w:rPr>
        <w:t>المساعدة</w:t>
      </w:r>
      <w:r>
        <w:rPr>
          <w:rFonts w:hint="cs"/>
          <w:rtl/>
        </w:rPr>
        <w:t xml:space="preserve"> </w:t>
      </w:r>
      <w:r w:rsidRPr="00A22B7B">
        <w:rPr>
          <w:rFonts w:hint="cs"/>
          <w:rtl/>
        </w:rPr>
        <w:t>العينية</w:t>
      </w:r>
      <w:r>
        <w:rPr>
          <w:rFonts w:hint="cs"/>
          <w:rtl/>
        </w:rPr>
        <w:t xml:space="preserve"> </w:t>
      </w:r>
      <w:r w:rsidRPr="00A22B7B">
        <w:rPr>
          <w:rFonts w:hint="cs"/>
          <w:rtl/>
        </w:rPr>
        <w:t>للمناطق</w:t>
      </w:r>
      <w:r>
        <w:rPr>
          <w:rFonts w:hint="cs"/>
          <w:rtl/>
        </w:rPr>
        <w:t xml:space="preserve"> </w:t>
      </w:r>
      <w:r w:rsidRPr="00A22B7B">
        <w:rPr>
          <w:rFonts w:hint="cs"/>
          <w:rtl/>
        </w:rPr>
        <w:t>الريفية</w:t>
      </w:r>
      <w:r>
        <w:rPr>
          <w:rFonts w:hint="cs"/>
          <w:rtl/>
        </w:rPr>
        <w:t xml:space="preserve"> </w:t>
      </w:r>
      <w:r w:rsidRPr="00A22B7B">
        <w:rPr>
          <w:rFonts w:hint="cs"/>
          <w:rtl/>
        </w:rPr>
        <w:t>(الجرارات</w:t>
      </w:r>
      <w:r>
        <w:rPr>
          <w:rFonts w:hint="cs"/>
          <w:rtl/>
        </w:rPr>
        <w:t xml:space="preserve"> </w:t>
      </w:r>
      <w:r w:rsidRPr="00A22B7B">
        <w:rPr>
          <w:rFonts w:hint="cs"/>
          <w:rtl/>
        </w:rPr>
        <w:t>أو</w:t>
      </w:r>
      <w:r>
        <w:rPr>
          <w:rFonts w:hint="cs"/>
          <w:rtl/>
        </w:rPr>
        <w:t xml:space="preserve"> </w:t>
      </w:r>
      <w:r w:rsidRPr="00A22B7B">
        <w:rPr>
          <w:rFonts w:hint="cs"/>
          <w:rtl/>
        </w:rPr>
        <w:t>الجرارات</w:t>
      </w:r>
      <w:r>
        <w:rPr>
          <w:rFonts w:hint="cs"/>
          <w:rtl/>
        </w:rPr>
        <w:t xml:space="preserve"> </w:t>
      </w:r>
      <w:r w:rsidRPr="00A22B7B">
        <w:rPr>
          <w:rFonts w:hint="cs"/>
          <w:rtl/>
        </w:rPr>
        <w:t>اليدوية)،</w:t>
      </w:r>
      <w:r>
        <w:rPr>
          <w:rFonts w:hint="cs"/>
          <w:rtl/>
        </w:rPr>
        <w:t xml:space="preserve"> </w:t>
      </w:r>
      <w:r w:rsidRPr="00A22B7B">
        <w:rPr>
          <w:rFonts w:hint="cs"/>
          <w:rtl/>
        </w:rPr>
        <w:t>واستفادت</w:t>
      </w:r>
      <w:r>
        <w:rPr>
          <w:rFonts w:hint="cs"/>
          <w:rtl/>
        </w:rPr>
        <w:t xml:space="preserve"> </w:t>
      </w:r>
      <w:r w:rsidRPr="00A22B7B">
        <w:rPr>
          <w:rFonts w:hint="cs"/>
          <w:rtl/>
        </w:rPr>
        <w:t>النساء</w:t>
      </w:r>
      <w:r>
        <w:rPr>
          <w:rFonts w:hint="cs"/>
          <w:rtl/>
        </w:rPr>
        <w:t xml:space="preserve"> </w:t>
      </w:r>
      <w:r w:rsidRPr="00A22B7B">
        <w:rPr>
          <w:rFonts w:hint="cs"/>
          <w:rtl/>
        </w:rPr>
        <w:t>أيضًا</w:t>
      </w:r>
      <w:r>
        <w:rPr>
          <w:rFonts w:hint="cs"/>
          <w:rtl/>
        </w:rPr>
        <w:t xml:space="preserve"> </w:t>
      </w:r>
      <w:r w:rsidRPr="00A22B7B">
        <w:rPr>
          <w:rFonts w:hint="cs"/>
          <w:rtl/>
        </w:rPr>
        <w:t>من</w:t>
      </w:r>
      <w:r>
        <w:rPr>
          <w:rFonts w:hint="cs"/>
          <w:rtl/>
        </w:rPr>
        <w:t xml:space="preserve"> </w:t>
      </w:r>
      <w:r w:rsidRPr="00A22B7B">
        <w:rPr>
          <w:rFonts w:hint="cs"/>
          <w:rtl/>
        </w:rPr>
        <w:t>ذلك</w:t>
      </w:r>
      <w:r>
        <w:rPr>
          <w:rFonts w:hint="cs"/>
          <w:rtl/>
        </w:rPr>
        <w:t xml:space="preserve"> </w:t>
      </w:r>
      <w:r w:rsidRPr="00A22B7B">
        <w:rPr>
          <w:rFonts w:hint="cs"/>
          <w:rtl/>
        </w:rPr>
        <w:t>(8</w:t>
      </w:r>
      <w:r>
        <w:rPr>
          <w:rFonts w:hint="cs"/>
          <w:rtl/>
        </w:rPr>
        <w:t xml:space="preserve"> </w:t>
      </w:r>
      <w:r w:rsidRPr="00A22B7B">
        <w:rPr>
          <w:rFonts w:hint="cs"/>
          <w:rtl/>
        </w:rPr>
        <w:t>مجموعات</w:t>
      </w:r>
      <w:r>
        <w:rPr>
          <w:rFonts w:hint="cs"/>
          <w:rtl/>
        </w:rPr>
        <w:t xml:space="preserve"> </w:t>
      </w:r>
      <w:r w:rsidRPr="00A22B7B">
        <w:rPr>
          <w:rFonts w:hint="cs"/>
          <w:rtl/>
        </w:rPr>
        <w:t>في</w:t>
      </w:r>
      <w:r>
        <w:rPr>
          <w:rFonts w:hint="cs"/>
          <w:rtl/>
        </w:rPr>
        <w:t xml:space="preserve"> </w:t>
      </w:r>
      <w:r w:rsidRPr="00A22B7B">
        <w:rPr>
          <w:rFonts w:hint="cs"/>
          <w:rtl/>
        </w:rPr>
        <w:t>5</w:t>
      </w:r>
      <w:r>
        <w:rPr>
          <w:rFonts w:hint="cs"/>
          <w:rtl/>
        </w:rPr>
        <w:t xml:space="preserve"> </w:t>
      </w:r>
      <w:r w:rsidRPr="00A22B7B">
        <w:rPr>
          <w:rFonts w:hint="cs"/>
          <w:rtl/>
        </w:rPr>
        <w:t>مقاطعات).</w:t>
      </w:r>
      <w:r>
        <w:rPr>
          <w:rFonts w:hint="cs"/>
          <w:rtl/>
        </w:rPr>
        <w:t xml:space="preserve"> </w:t>
      </w:r>
      <w:r w:rsidRPr="00A22B7B">
        <w:rPr>
          <w:rFonts w:hint="cs"/>
          <w:rtl/>
        </w:rPr>
        <w:t>ويشمل</w:t>
      </w:r>
      <w:r>
        <w:rPr>
          <w:rFonts w:hint="cs"/>
          <w:rtl/>
        </w:rPr>
        <w:t xml:space="preserve"> </w:t>
      </w:r>
      <w:r w:rsidRPr="00A22B7B">
        <w:rPr>
          <w:rFonts w:hint="cs"/>
          <w:rtl/>
        </w:rPr>
        <w:t>البرنامج</w:t>
      </w:r>
      <w:r>
        <w:rPr>
          <w:rFonts w:hint="cs"/>
          <w:rtl/>
        </w:rPr>
        <w:t xml:space="preserve"> </w:t>
      </w:r>
      <w:r w:rsidRPr="00A22B7B">
        <w:rPr>
          <w:rFonts w:hint="cs"/>
          <w:rtl/>
        </w:rPr>
        <w:t>أيضًا</w:t>
      </w:r>
      <w:r>
        <w:rPr>
          <w:rFonts w:hint="cs"/>
          <w:rtl/>
        </w:rPr>
        <w:t xml:space="preserve"> </w:t>
      </w:r>
      <w:r w:rsidRPr="00A22B7B">
        <w:rPr>
          <w:rFonts w:hint="cs"/>
          <w:rtl/>
        </w:rPr>
        <w:t>دورات</w:t>
      </w:r>
      <w:r>
        <w:rPr>
          <w:rFonts w:hint="cs"/>
          <w:rtl/>
        </w:rPr>
        <w:t xml:space="preserve"> </w:t>
      </w:r>
      <w:r w:rsidRPr="00A22B7B">
        <w:rPr>
          <w:rFonts w:hint="cs"/>
          <w:rtl/>
        </w:rPr>
        <w:t>تدريبية،</w:t>
      </w:r>
      <w:r>
        <w:rPr>
          <w:rFonts w:hint="cs"/>
          <w:rtl/>
        </w:rPr>
        <w:t xml:space="preserve"> </w:t>
      </w:r>
      <w:r w:rsidRPr="00A22B7B">
        <w:rPr>
          <w:rFonts w:hint="cs"/>
          <w:rtl/>
        </w:rPr>
        <w:t>و</w:t>
      </w:r>
      <w:r>
        <w:rPr>
          <w:rFonts w:hint="cs"/>
          <w:rtl/>
        </w:rPr>
        <w:t xml:space="preserve">لا سيما </w:t>
      </w:r>
      <w:r w:rsidRPr="00A22B7B">
        <w:rPr>
          <w:rFonts w:hint="cs"/>
          <w:rtl/>
        </w:rPr>
        <w:t>في</w:t>
      </w:r>
      <w:r>
        <w:rPr>
          <w:rFonts w:hint="cs"/>
          <w:rtl/>
        </w:rPr>
        <w:t xml:space="preserve"> </w:t>
      </w:r>
      <w:r w:rsidRPr="00A22B7B">
        <w:rPr>
          <w:rFonts w:hint="cs"/>
          <w:rtl/>
        </w:rPr>
        <w:t>ما</w:t>
      </w:r>
      <w:r>
        <w:rPr>
          <w:rFonts w:hint="cs"/>
          <w:rtl/>
        </w:rPr>
        <w:t xml:space="preserve"> </w:t>
      </w:r>
      <w:r w:rsidRPr="00A22B7B">
        <w:rPr>
          <w:rFonts w:hint="cs"/>
          <w:rtl/>
        </w:rPr>
        <w:t>يتعلّق</w:t>
      </w:r>
      <w:r>
        <w:rPr>
          <w:rFonts w:hint="cs"/>
          <w:rtl/>
        </w:rPr>
        <w:t xml:space="preserve"> </w:t>
      </w:r>
      <w:r w:rsidRPr="00A22B7B">
        <w:rPr>
          <w:rFonts w:hint="cs"/>
          <w:rtl/>
        </w:rPr>
        <w:t>بالمنتجات</w:t>
      </w:r>
      <w:r>
        <w:rPr>
          <w:rFonts w:hint="cs"/>
          <w:rtl/>
        </w:rPr>
        <w:t xml:space="preserve"> </w:t>
      </w:r>
      <w:r w:rsidRPr="00A22B7B">
        <w:rPr>
          <w:rFonts w:hint="cs"/>
          <w:rtl/>
        </w:rPr>
        <w:t>الزراعية</w:t>
      </w:r>
      <w:r>
        <w:rPr>
          <w:rFonts w:hint="cs"/>
          <w:rtl/>
        </w:rPr>
        <w:t xml:space="preserve"> </w:t>
      </w:r>
      <w:r w:rsidRPr="00A22B7B">
        <w:rPr>
          <w:rFonts w:hint="cs"/>
          <w:rtl/>
        </w:rPr>
        <w:t>ذات</w:t>
      </w:r>
      <w:r>
        <w:rPr>
          <w:rFonts w:hint="cs"/>
          <w:rtl/>
        </w:rPr>
        <w:t xml:space="preserve"> </w:t>
      </w:r>
      <w:r w:rsidRPr="00A22B7B">
        <w:rPr>
          <w:rFonts w:hint="cs"/>
          <w:rtl/>
        </w:rPr>
        <w:t>القيمة</w:t>
      </w:r>
      <w:r>
        <w:rPr>
          <w:rFonts w:hint="cs"/>
          <w:rtl/>
        </w:rPr>
        <w:t xml:space="preserve"> </w:t>
      </w:r>
      <w:r w:rsidRPr="00A22B7B">
        <w:rPr>
          <w:rFonts w:hint="cs"/>
          <w:rtl/>
        </w:rPr>
        <w:t>المضافة</w:t>
      </w:r>
      <w:r w:rsidRPr="00F80C43">
        <w:rPr>
          <w:vertAlign w:val="superscript"/>
          <w:rtl/>
        </w:rPr>
        <w:t>(</w:t>
      </w:r>
      <w:r w:rsidRPr="00F80C43">
        <w:rPr>
          <w:rStyle w:val="FootnoteReference"/>
          <w:szCs w:val="30"/>
          <w:rtl/>
        </w:rPr>
        <w:footnoteReference w:id="283"/>
      </w:r>
      <w:r w:rsidRPr="00F80C43">
        <w:rPr>
          <w:vertAlign w:val="superscript"/>
          <w:rtl/>
        </w:rPr>
        <w:t>)</w:t>
      </w:r>
      <w:r w:rsidRPr="00A22B7B">
        <w:rPr>
          <w:rFonts w:hint="cs"/>
          <w:rtl/>
        </w:rPr>
        <w:t>.</w:t>
      </w:r>
    </w:p>
    <w:p w:rsidR="009943B2" w:rsidRPr="00F80C43" w:rsidRDefault="009943B2" w:rsidP="009943B2">
      <w:pPr>
        <w:pStyle w:val="SingleTxt"/>
        <w:spacing w:after="0" w:line="120" w:lineRule="exact"/>
        <w:rPr>
          <w:rFonts w:hint="cs"/>
          <w:sz w:val="10"/>
          <w:rtl/>
        </w:rPr>
      </w:pPr>
    </w:p>
    <w:p w:rsidR="009943B2" w:rsidRPr="00A22B7B" w:rsidRDefault="009943B2" w:rsidP="009943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Pr="00A22B7B">
        <w:rPr>
          <w:rFonts w:hint="cs"/>
          <w:rtl/>
        </w:rPr>
        <w:t>المادة</w:t>
      </w:r>
      <w:r>
        <w:rPr>
          <w:rFonts w:hint="cs"/>
          <w:rtl/>
        </w:rPr>
        <w:t xml:space="preserve"> </w:t>
      </w:r>
      <w:r w:rsidRPr="00A22B7B">
        <w:rPr>
          <w:rFonts w:hint="cs"/>
          <w:rtl/>
        </w:rPr>
        <w:t>15:</w:t>
      </w:r>
      <w:r>
        <w:rPr>
          <w:rFonts w:hint="cs"/>
          <w:rtl/>
        </w:rPr>
        <w:t xml:space="preserve"> </w:t>
      </w:r>
      <w:r w:rsidRPr="00A22B7B">
        <w:rPr>
          <w:rFonts w:hint="cs"/>
          <w:rtl/>
        </w:rPr>
        <w:t>المساواة</w:t>
      </w:r>
      <w:r>
        <w:rPr>
          <w:rFonts w:hint="cs"/>
          <w:rtl/>
        </w:rPr>
        <w:t xml:space="preserve"> </w:t>
      </w:r>
      <w:r w:rsidRPr="00A22B7B">
        <w:rPr>
          <w:rFonts w:hint="cs"/>
          <w:rtl/>
        </w:rPr>
        <w:t>أمام</w:t>
      </w:r>
      <w:r>
        <w:rPr>
          <w:rFonts w:hint="cs"/>
          <w:rtl/>
        </w:rPr>
        <w:t xml:space="preserve"> </w:t>
      </w:r>
      <w:r w:rsidRPr="00A22B7B">
        <w:rPr>
          <w:rFonts w:hint="cs"/>
          <w:rtl/>
        </w:rPr>
        <w:t>القانون</w:t>
      </w:r>
    </w:p>
    <w:p w:rsidR="009943B2" w:rsidRPr="00A22B7B" w:rsidRDefault="009943B2" w:rsidP="009943B2">
      <w:pPr>
        <w:pStyle w:val="SingleTxt"/>
        <w:rPr>
          <w:rFonts w:hint="cs"/>
        </w:rPr>
      </w:pPr>
      <w:r>
        <w:rPr>
          <w:rFonts w:hint="cs"/>
          <w:rtl/>
        </w:rPr>
        <w:t xml:space="preserve">324 - </w:t>
      </w:r>
      <w:r w:rsidRPr="00A22B7B">
        <w:rPr>
          <w:rFonts w:hint="cs"/>
          <w:rtl/>
        </w:rPr>
        <w:t>على</w:t>
      </w:r>
      <w:r>
        <w:rPr>
          <w:rFonts w:hint="cs"/>
          <w:rtl/>
        </w:rPr>
        <w:t xml:space="preserve"> </w:t>
      </w:r>
      <w:r w:rsidRPr="00A22B7B">
        <w:rPr>
          <w:rFonts w:hint="cs"/>
          <w:rtl/>
        </w:rPr>
        <w:t>الرغم</w:t>
      </w:r>
      <w:r>
        <w:rPr>
          <w:rFonts w:hint="cs"/>
          <w:rtl/>
        </w:rPr>
        <w:t xml:space="preserve"> </w:t>
      </w:r>
      <w:r w:rsidRPr="00A22B7B">
        <w:rPr>
          <w:rFonts w:hint="cs"/>
          <w:rtl/>
        </w:rPr>
        <w:t>من</w:t>
      </w:r>
      <w:r>
        <w:rPr>
          <w:rFonts w:hint="cs"/>
          <w:rtl/>
        </w:rPr>
        <w:t xml:space="preserve"> </w:t>
      </w:r>
      <w:r w:rsidRPr="00A22B7B">
        <w:rPr>
          <w:rFonts w:hint="cs"/>
          <w:rtl/>
        </w:rPr>
        <w:t>المادتين</w:t>
      </w:r>
      <w:r>
        <w:rPr>
          <w:rFonts w:hint="cs"/>
          <w:rtl/>
        </w:rPr>
        <w:t xml:space="preserve"> </w:t>
      </w:r>
      <w:r w:rsidRPr="00A22B7B">
        <w:rPr>
          <w:rFonts w:hint="cs"/>
          <w:rtl/>
        </w:rPr>
        <w:t>16</w:t>
      </w:r>
      <w:r>
        <w:rPr>
          <w:rFonts w:hint="cs"/>
          <w:rtl/>
        </w:rPr>
        <w:t xml:space="preserve"> </w:t>
      </w:r>
      <w:r w:rsidRPr="00A22B7B">
        <w:rPr>
          <w:rFonts w:hint="cs"/>
          <w:rtl/>
        </w:rPr>
        <w:t>و</w:t>
      </w:r>
      <w:r>
        <w:rPr>
          <w:rFonts w:hint="cs"/>
          <w:rtl/>
        </w:rPr>
        <w:t xml:space="preserve"> </w:t>
      </w:r>
      <w:r w:rsidRPr="00A22B7B">
        <w:rPr>
          <w:rFonts w:hint="cs"/>
          <w:rtl/>
        </w:rPr>
        <w:t>17</w:t>
      </w:r>
      <w:r>
        <w:rPr>
          <w:rFonts w:hint="cs"/>
          <w:rtl/>
        </w:rPr>
        <w:t xml:space="preserve"> </w:t>
      </w:r>
      <w:r w:rsidRPr="00A22B7B">
        <w:rPr>
          <w:rFonts w:hint="cs"/>
          <w:rtl/>
        </w:rPr>
        <w:t>من</w:t>
      </w:r>
      <w:r>
        <w:rPr>
          <w:rFonts w:hint="cs"/>
          <w:rtl/>
        </w:rPr>
        <w:t xml:space="preserve"> </w:t>
      </w:r>
      <w:r w:rsidRPr="00A22B7B">
        <w:rPr>
          <w:rFonts w:hint="cs"/>
          <w:rtl/>
        </w:rPr>
        <w:t>الدستور</w:t>
      </w:r>
      <w:r>
        <w:rPr>
          <w:rFonts w:hint="cs"/>
          <w:rtl/>
        </w:rPr>
        <w:t xml:space="preserve"> </w:t>
      </w:r>
      <w:r w:rsidRPr="00A22B7B">
        <w:rPr>
          <w:rFonts w:hint="cs"/>
          <w:rtl/>
        </w:rPr>
        <w:t>الوطني</w:t>
      </w:r>
      <w:r>
        <w:rPr>
          <w:rFonts w:hint="cs"/>
          <w:rtl/>
        </w:rPr>
        <w:t xml:space="preserve"> </w:t>
      </w:r>
      <w:r w:rsidRPr="00A22B7B">
        <w:rPr>
          <w:rFonts w:hint="cs"/>
          <w:rtl/>
        </w:rPr>
        <w:t>اللتين</w:t>
      </w:r>
      <w:r>
        <w:rPr>
          <w:rFonts w:hint="cs"/>
          <w:rtl/>
        </w:rPr>
        <w:t xml:space="preserve"> </w:t>
      </w:r>
      <w:r w:rsidRPr="00A22B7B">
        <w:rPr>
          <w:rFonts w:hint="cs"/>
          <w:rtl/>
        </w:rPr>
        <w:t>تنصّان</w:t>
      </w:r>
      <w:r>
        <w:rPr>
          <w:rFonts w:hint="cs"/>
          <w:rtl/>
        </w:rPr>
        <w:t xml:space="preserve"> </w:t>
      </w:r>
      <w:r w:rsidRPr="00A22B7B">
        <w:rPr>
          <w:rFonts w:hint="cs"/>
          <w:rtl/>
        </w:rPr>
        <w:t>على</w:t>
      </w:r>
      <w:r>
        <w:rPr>
          <w:rFonts w:hint="cs"/>
          <w:rtl/>
        </w:rPr>
        <w:t xml:space="preserve"> </w:t>
      </w:r>
      <w:r>
        <w:rPr>
          <w:rFonts w:hint="eastAsia"/>
          <w:rtl/>
        </w:rPr>
        <w:t>”</w:t>
      </w:r>
      <w:r w:rsidRPr="00A22B7B">
        <w:rPr>
          <w:rFonts w:hint="cs"/>
          <w:rtl/>
        </w:rPr>
        <w:t>الشمولية</w:t>
      </w:r>
      <w:r>
        <w:rPr>
          <w:rFonts w:hint="cs"/>
          <w:rtl/>
        </w:rPr>
        <w:t xml:space="preserve"> </w:t>
      </w:r>
      <w:r w:rsidRPr="00A22B7B">
        <w:rPr>
          <w:rFonts w:hint="cs"/>
          <w:rtl/>
        </w:rPr>
        <w:t>والمساواة</w:t>
      </w:r>
      <w:r>
        <w:rPr>
          <w:rFonts w:hint="eastAsia"/>
          <w:rtl/>
        </w:rPr>
        <w:t>“</w:t>
      </w:r>
      <w:r>
        <w:rPr>
          <w:rFonts w:hint="cs"/>
          <w:rtl/>
        </w:rPr>
        <w:t xml:space="preserve"> </w:t>
      </w:r>
      <w:r w:rsidRPr="00A22B7B">
        <w:rPr>
          <w:rFonts w:hint="cs"/>
          <w:rtl/>
        </w:rPr>
        <w:t>وعلى</w:t>
      </w:r>
      <w:r>
        <w:rPr>
          <w:rFonts w:hint="cs"/>
          <w:rtl/>
        </w:rPr>
        <w:t xml:space="preserve"> </w:t>
      </w:r>
      <w:r>
        <w:rPr>
          <w:rFonts w:hint="eastAsia"/>
          <w:rtl/>
        </w:rPr>
        <w:t>”</w:t>
      </w:r>
      <w:r w:rsidRPr="00A22B7B">
        <w:rPr>
          <w:rFonts w:hint="cs"/>
          <w:rtl/>
        </w:rPr>
        <w:t>المساواة</w:t>
      </w:r>
      <w:r>
        <w:rPr>
          <w:rFonts w:hint="cs"/>
          <w:rtl/>
        </w:rPr>
        <w:t xml:space="preserve"> </w:t>
      </w:r>
      <w:r w:rsidRPr="00A22B7B">
        <w:rPr>
          <w:rFonts w:hint="cs"/>
          <w:rtl/>
        </w:rPr>
        <w:t>بين</w:t>
      </w:r>
      <w:r>
        <w:rPr>
          <w:rFonts w:hint="cs"/>
          <w:rtl/>
        </w:rPr>
        <w:t xml:space="preserve"> </w:t>
      </w:r>
      <w:r w:rsidRPr="00A22B7B">
        <w:rPr>
          <w:rFonts w:hint="cs"/>
          <w:rtl/>
        </w:rPr>
        <w:t>المرأة</w:t>
      </w:r>
      <w:r>
        <w:rPr>
          <w:rFonts w:hint="cs"/>
          <w:rtl/>
        </w:rPr>
        <w:t xml:space="preserve"> </w:t>
      </w:r>
      <w:r w:rsidRPr="00A22B7B">
        <w:rPr>
          <w:rFonts w:hint="cs"/>
          <w:rtl/>
        </w:rPr>
        <w:t>والرجل</w:t>
      </w:r>
      <w:r>
        <w:rPr>
          <w:rFonts w:hint="eastAsia"/>
          <w:rtl/>
        </w:rPr>
        <w:t>“</w:t>
      </w:r>
      <w:r w:rsidRPr="00A22B7B">
        <w:rPr>
          <w:rFonts w:hint="cs"/>
          <w:rtl/>
        </w:rPr>
        <w:t>،</w:t>
      </w:r>
      <w:r>
        <w:rPr>
          <w:rFonts w:hint="cs"/>
          <w:rtl/>
        </w:rPr>
        <w:t xml:space="preserve"> </w:t>
      </w:r>
      <w:r w:rsidRPr="00A22B7B">
        <w:rPr>
          <w:rFonts w:hint="cs"/>
          <w:rtl/>
        </w:rPr>
        <w:t>ثمّة</w:t>
      </w:r>
      <w:r>
        <w:rPr>
          <w:rFonts w:hint="cs"/>
          <w:rtl/>
        </w:rPr>
        <w:t xml:space="preserve"> </w:t>
      </w:r>
      <w:r w:rsidRPr="00A22B7B">
        <w:rPr>
          <w:rFonts w:hint="cs"/>
          <w:rtl/>
        </w:rPr>
        <w:t>ظروف</w:t>
      </w:r>
      <w:r>
        <w:rPr>
          <w:rFonts w:hint="cs"/>
          <w:rtl/>
        </w:rPr>
        <w:t xml:space="preserve"> </w:t>
      </w:r>
      <w:r w:rsidRPr="00A22B7B">
        <w:rPr>
          <w:rFonts w:hint="cs"/>
          <w:rtl/>
        </w:rPr>
        <w:t>عدّة</w:t>
      </w:r>
      <w:r>
        <w:rPr>
          <w:rFonts w:hint="cs"/>
          <w:rtl/>
        </w:rPr>
        <w:t xml:space="preserve"> </w:t>
      </w:r>
      <w:r w:rsidRPr="00A22B7B">
        <w:rPr>
          <w:rFonts w:hint="cs"/>
          <w:rtl/>
        </w:rPr>
        <w:t>تحدّ</w:t>
      </w:r>
      <w:r>
        <w:rPr>
          <w:rFonts w:hint="cs"/>
          <w:rtl/>
        </w:rPr>
        <w:t xml:space="preserve"> </w:t>
      </w:r>
      <w:r w:rsidRPr="00A22B7B">
        <w:rPr>
          <w:rFonts w:hint="cs"/>
          <w:rtl/>
        </w:rPr>
        <w:t>من</w:t>
      </w:r>
      <w:r>
        <w:rPr>
          <w:rFonts w:hint="cs"/>
          <w:rtl/>
        </w:rPr>
        <w:t xml:space="preserve"> </w:t>
      </w:r>
      <w:r w:rsidRPr="00A22B7B">
        <w:rPr>
          <w:rFonts w:hint="cs"/>
          <w:rtl/>
        </w:rPr>
        <w:t>مشاركة</w:t>
      </w:r>
      <w:r>
        <w:rPr>
          <w:rFonts w:hint="cs"/>
          <w:rtl/>
        </w:rPr>
        <w:t xml:space="preserve"> </w:t>
      </w:r>
      <w:r w:rsidRPr="00A22B7B">
        <w:rPr>
          <w:rFonts w:hint="cs"/>
          <w:rtl/>
        </w:rPr>
        <w:t>المرأة</w:t>
      </w:r>
      <w:r>
        <w:rPr>
          <w:rFonts w:hint="cs"/>
          <w:rtl/>
        </w:rPr>
        <w:t xml:space="preserve"> </w:t>
      </w:r>
      <w:r w:rsidRPr="00A22B7B">
        <w:rPr>
          <w:rFonts w:hint="cs"/>
          <w:rtl/>
        </w:rPr>
        <w:t>واستفادتها</w:t>
      </w:r>
      <w:r>
        <w:rPr>
          <w:rFonts w:hint="cs"/>
          <w:rtl/>
        </w:rPr>
        <w:t xml:space="preserve"> </w:t>
      </w:r>
      <w:r w:rsidRPr="00A22B7B">
        <w:rPr>
          <w:rFonts w:hint="cs"/>
          <w:rtl/>
        </w:rPr>
        <w:t>من</w:t>
      </w:r>
      <w:r>
        <w:rPr>
          <w:rFonts w:hint="cs"/>
          <w:rtl/>
        </w:rPr>
        <w:t xml:space="preserve"> </w:t>
      </w:r>
      <w:r w:rsidRPr="00A22B7B">
        <w:rPr>
          <w:rFonts w:hint="cs"/>
          <w:rtl/>
        </w:rPr>
        <w:t>أجهزة</w:t>
      </w:r>
      <w:r>
        <w:rPr>
          <w:rFonts w:hint="cs"/>
          <w:rtl/>
        </w:rPr>
        <w:t xml:space="preserve"> </w:t>
      </w:r>
      <w:r w:rsidRPr="00A22B7B">
        <w:rPr>
          <w:rFonts w:hint="cs"/>
          <w:rtl/>
        </w:rPr>
        <w:t>القضاء</w:t>
      </w:r>
      <w:r>
        <w:rPr>
          <w:rFonts w:hint="cs"/>
          <w:rtl/>
        </w:rPr>
        <w:t xml:space="preserve"> </w:t>
      </w:r>
      <w:r w:rsidRPr="00A22B7B">
        <w:rPr>
          <w:rFonts w:hint="cs"/>
          <w:rtl/>
        </w:rPr>
        <w:t>الرسمية</w:t>
      </w:r>
      <w:r>
        <w:rPr>
          <w:rFonts w:hint="cs"/>
          <w:rtl/>
        </w:rPr>
        <w:t xml:space="preserve"> </w:t>
      </w:r>
      <w:r w:rsidRPr="00A22B7B">
        <w:rPr>
          <w:rFonts w:hint="cs"/>
          <w:rtl/>
        </w:rPr>
        <w:t>(ومن</w:t>
      </w:r>
      <w:r>
        <w:rPr>
          <w:rFonts w:hint="cs"/>
          <w:rtl/>
        </w:rPr>
        <w:t xml:space="preserve"> </w:t>
      </w:r>
      <w:r w:rsidRPr="00A22B7B">
        <w:rPr>
          <w:rFonts w:hint="cs"/>
          <w:rtl/>
        </w:rPr>
        <w:t>آليات</w:t>
      </w:r>
      <w:r>
        <w:rPr>
          <w:rFonts w:hint="cs"/>
          <w:rtl/>
        </w:rPr>
        <w:t xml:space="preserve"> </w:t>
      </w:r>
      <w:r w:rsidRPr="00A22B7B">
        <w:rPr>
          <w:rFonts w:hint="cs"/>
          <w:rtl/>
        </w:rPr>
        <w:t>القضاء</w:t>
      </w:r>
      <w:r>
        <w:rPr>
          <w:rFonts w:hint="cs"/>
          <w:rtl/>
        </w:rPr>
        <w:t xml:space="preserve"> </w:t>
      </w:r>
      <w:r w:rsidRPr="00A22B7B">
        <w:rPr>
          <w:rFonts w:hint="cs"/>
          <w:rtl/>
        </w:rPr>
        <w:t>التقليدية</w:t>
      </w:r>
      <w:r>
        <w:rPr>
          <w:rFonts w:hint="cs"/>
          <w:rtl/>
        </w:rPr>
        <w:t xml:space="preserve"> </w:t>
      </w:r>
      <w:r w:rsidRPr="00A22B7B">
        <w:rPr>
          <w:rFonts w:hint="cs"/>
          <w:rtl/>
        </w:rPr>
        <w:t>كذلك).</w:t>
      </w:r>
      <w:r>
        <w:rPr>
          <w:rFonts w:hint="cs"/>
          <w:rtl/>
        </w:rPr>
        <w:t xml:space="preserve"> </w:t>
      </w:r>
      <w:r w:rsidRPr="00A22B7B">
        <w:rPr>
          <w:rFonts w:hint="cs"/>
          <w:rtl/>
        </w:rPr>
        <w:t>ونظرا</w:t>
      </w:r>
      <w:r>
        <w:rPr>
          <w:rFonts w:hint="cs"/>
          <w:rtl/>
        </w:rPr>
        <w:t xml:space="preserve"> </w:t>
      </w:r>
      <w:r w:rsidRPr="00A22B7B">
        <w:rPr>
          <w:rFonts w:hint="cs"/>
          <w:rtl/>
        </w:rPr>
        <w:t>لأن</w:t>
      </w:r>
      <w:r>
        <w:rPr>
          <w:rFonts w:hint="cs"/>
          <w:rtl/>
        </w:rPr>
        <w:t xml:space="preserve"> </w:t>
      </w:r>
      <w:r w:rsidRPr="00A22B7B">
        <w:rPr>
          <w:rFonts w:hint="cs"/>
          <w:rtl/>
        </w:rPr>
        <w:t>أغلبية</w:t>
      </w:r>
      <w:r>
        <w:rPr>
          <w:rFonts w:hint="cs"/>
          <w:rtl/>
        </w:rPr>
        <w:t xml:space="preserve"> </w:t>
      </w:r>
      <w:r w:rsidRPr="00A22B7B">
        <w:rPr>
          <w:rFonts w:hint="cs"/>
          <w:rtl/>
        </w:rPr>
        <w:t>القضايا</w:t>
      </w:r>
      <w:r>
        <w:rPr>
          <w:rFonts w:hint="cs"/>
          <w:rtl/>
        </w:rPr>
        <w:t xml:space="preserve"> </w:t>
      </w:r>
      <w:r w:rsidRPr="00A22B7B">
        <w:rPr>
          <w:rFonts w:hint="cs"/>
          <w:rtl/>
        </w:rPr>
        <w:t>التي</w:t>
      </w:r>
      <w:r>
        <w:rPr>
          <w:rFonts w:hint="cs"/>
          <w:rtl/>
        </w:rPr>
        <w:t xml:space="preserve"> </w:t>
      </w:r>
      <w:r w:rsidRPr="00A22B7B">
        <w:rPr>
          <w:rFonts w:hint="cs"/>
          <w:rtl/>
        </w:rPr>
        <w:t>تعرضها</w:t>
      </w:r>
      <w:r>
        <w:rPr>
          <w:rFonts w:hint="cs"/>
          <w:rtl/>
        </w:rPr>
        <w:t xml:space="preserve"> </w:t>
      </w:r>
      <w:r w:rsidRPr="00A22B7B">
        <w:rPr>
          <w:rFonts w:hint="cs"/>
          <w:rtl/>
        </w:rPr>
        <w:t>النساء</w:t>
      </w:r>
      <w:r>
        <w:rPr>
          <w:rFonts w:hint="cs"/>
          <w:rtl/>
        </w:rPr>
        <w:t xml:space="preserve"> </w:t>
      </w:r>
      <w:r w:rsidRPr="00A22B7B">
        <w:rPr>
          <w:rFonts w:hint="cs"/>
          <w:rtl/>
        </w:rPr>
        <w:t>أمام</w:t>
      </w:r>
      <w:r>
        <w:rPr>
          <w:rFonts w:hint="cs"/>
          <w:rtl/>
        </w:rPr>
        <w:t xml:space="preserve"> </w:t>
      </w:r>
      <w:r w:rsidRPr="00A22B7B">
        <w:rPr>
          <w:rFonts w:hint="cs"/>
          <w:rtl/>
        </w:rPr>
        <w:t>المحاكم</w:t>
      </w:r>
      <w:r>
        <w:rPr>
          <w:rFonts w:hint="cs"/>
          <w:rtl/>
        </w:rPr>
        <w:t xml:space="preserve"> </w:t>
      </w:r>
      <w:r w:rsidRPr="00A22B7B">
        <w:rPr>
          <w:rFonts w:hint="cs"/>
          <w:rtl/>
        </w:rPr>
        <w:t>ترتبط</w:t>
      </w:r>
      <w:r>
        <w:rPr>
          <w:rFonts w:hint="cs"/>
          <w:rtl/>
        </w:rPr>
        <w:t xml:space="preserve"> </w:t>
      </w:r>
      <w:r w:rsidRPr="00A22B7B">
        <w:rPr>
          <w:rFonts w:hint="cs"/>
          <w:rtl/>
        </w:rPr>
        <w:t>بالعنف</w:t>
      </w:r>
      <w:r>
        <w:rPr>
          <w:rFonts w:hint="cs"/>
          <w:rtl/>
        </w:rPr>
        <w:t xml:space="preserve"> </w:t>
      </w:r>
      <w:r w:rsidRPr="00A22B7B">
        <w:rPr>
          <w:rFonts w:hint="cs"/>
          <w:rtl/>
        </w:rPr>
        <w:t>الجسدي،</w:t>
      </w:r>
      <w:r>
        <w:rPr>
          <w:rFonts w:hint="cs"/>
          <w:rtl/>
        </w:rPr>
        <w:t xml:space="preserve"> </w:t>
      </w:r>
      <w:r w:rsidRPr="00A22B7B">
        <w:rPr>
          <w:rFonts w:hint="cs"/>
          <w:rtl/>
        </w:rPr>
        <w:t>يُرجى</w:t>
      </w:r>
      <w:r>
        <w:rPr>
          <w:rFonts w:hint="cs"/>
          <w:rtl/>
        </w:rPr>
        <w:t xml:space="preserve"> </w:t>
      </w:r>
      <w:r w:rsidRPr="00A22B7B">
        <w:rPr>
          <w:rFonts w:hint="cs"/>
          <w:rtl/>
        </w:rPr>
        <w:t>الاطلاع</w:t>
      </w:r>
      <w:r>
        <w:rPr>
          <w:rFonts w:hint="cs"/>
          <w:rtl/>
        </w:rPr>
        <w:t xml:space="preserve"> </w:t>
      </w:r>
      <w:r w:rsidRPr="00A22B7B">
        <w:rPr>
          <w:rFonts w:hint="cs"/>
          <w:rtl/>
        </w:rPr>
        <w:t>على</w:t>
      </w:r>
      <w:r>
        <w:rPr>
          <w:rFonts w:hint="cs"/>
          <w:rtl/>
        </w:rPr>
        <w:t xml:space="preserve"> </w:t>
      </w:r>
      <w:r w:rsidRPr="00A22B7B">
        <w:rPr>
          <w:rFonts w:hint="cs"/>
          <w:rtl/>
        </w:rPr>
        <w:t>الجزء</w:t>
      </w:r>
      <w:r>
        <w:rPr>
          <w:rFonts w:hint="cs"/>
          <w:rtl/>
        </w:rPr>
        <w:t xml:space="preserve"> </w:t>
      </w:r>
      <w:r w:rsidRPr="00A22B7B">
        <w:rPr>
          <w:rFonts w:hint="cs"/>
          <w:rtl/>
        </w:rPr>
        <w:t>المتعلّق</w:t>
      </w:r>
      <w:r>
        <w:rPr>
          <w:rFonts w:hint="cs"/>
          <w:rtl/>
        </w:rPr>
        <w:t xml:space="preserve"> </w:t>
      </w:r>
      <w:r w:rsidRPr="00A22B7B">
        <w:rPr>
          <w:rFonts w:hint="cs"/>
          <w:rtl/>
        </w:rPr>
        <w:t>بالعنف</w:t>
      </w:r>
      <w:r>
        <w:rPr>
          <w:rFonts w:hint="cs"/>
          <w:rtl/>
        </w:rPr>
        <w:t xml:space="preserve"> </w:t>
      </w:r>
      <w:r w:rsidRPr="00A22B7B">
        <w:rPr>
          <w:rFonts w:hint="cs"/>
          <w:rtl/>
        </w:rPr>
        <w:t>الجنساني</w:t>
      </w:r>
      <w:r>
        <w:rPr>
          <w:rFonts w:hint="cs"/>
          <w:rtl/>
        </w:rPr>
        <w:t xml:space="preserve"> </w:t>
      </w:r>
      <w:r w:rsidRPr="00A22B7B">
        <w:rPr>
          <w:rFonts w:hint="cs"/>
          <w:rtl/>
        </w:rPr>
        <w:t>من</w:t>
      </w:r>
      <w:r>
        <w:rPr>
          <w:rFonts w:hint="cs"/>
          <w:rtl/>
        </w:rPr>
        <w:t xml:space="preserve"> </w:t>
      </w:r>
      <w:r w:rsidRPr="00A22B7B">
        <w:rPr>
          <w:rFonts w:hint="cs"/>
          <w:rtl/>
        </w:rPr>
        <w:t>هذا</w:t>
      </w:r>
      <w:r>
        <w:rPr>
          <w:rFonts w:hint="cs"/>
          <w:rtl/>
        </w:rPr>
        <w:t xml:space="preserve"> </w:t>
      </w:r>
      <w:r w:rsidRPr="00A22B7B">
        <w:rPr>
          <w:rFonts w:hint="cs"/>
          <w:rtl/>
        </w:rPr>
        <w:t>التقرير.</w:t>
      </w:r>
      <w:r>
        <w:rPr>
          <w:rFonts w:hint="cs"/>
          <w:rtl/>
        </w:rPr>
        <w:t xml:space="preserve"> </w:t>
      </w:r>
    </w:p>
    <w:p w:rsidR="009943B2" w:rsidRPr="00A22B7B" w:rsidRDefault="009943B2" w:rsidP="009943B2">
      <w:pPr>
        <w:pStyle w:val="SingleTxt"/>
        <w:rPr>
          <w:rFonts w:hint="cs"/>
        </w:rPr>
      </w:pPr>
      <w:r>
        <w:rPr>
          <w:rFonts w:hint="cs"/>
          <w:rtl/>
        </w:rPr>
        <w:t xml:space="preserve">325 - </w:t>
      </w:r>
      <w:r w:rsidRPr="00A22B7B">
        <w:rPr>
          <w:rFonts w:hint="cs"/>
          <w:rtl/>
        </w:rPr>
        <w:t>وفي</w:t>
      </w:r>
      <w:r>
        <w:rPr>
          <w:rFonts w:hint="cs"/>
          <w:rtl/>
        </w:rPr>
        <w:t xml:space="preserve"> </w:t>
      </w:r>
      <w:r w:rsidRPr="00A22B7B">
        <w:rPr>
          <w:rFonts w:hint="cs"/>
          <w:rtl/>
        </w:rPr>
        <w:t>ما</w:t>
      </w:r>
      <w:r>
        <w:rPr>
          <w:rFonts w:hint="cs"/>
          <w:rtl/>
        </w:rPr>
        <w:t xml:space="preserve"> </w:t>
      </w:r>
      <w:r w:rsidRPr="00A22B7B">
        <w:rPr>
          <w:rFonts w:hint="cs"/>
          <w:rtl/>
        </w:rPr>
        <w:t>يتعلّق</w:t>
      </w:r>
      <w:r>
        <w:rPr>
          <w:rFonts w:hint="cs"/>
          <w:rtl/>
        </w:rPr>
        <w:t xml:space="preserve"> </w:t>
      </w:r>
      <w:r w:rsidRPr="00A22B7B">
        <w:rPr>
          <w:rFonts w:hint="cs"/>
          <w:rtl/>
        </w:rPr>
        <w:t>بتمتّع</w:t>
      </w:r>
      <w:r>
        <w:rPr>
          <w:rFonts w:hint="cs"/>
          <w:rtl/>
        </w:rPr>
        <w:t xml:space="preserve"> </w:t>
      </w:r>
      <w:r w:rsidRPr="00A22B7B">
        <w:rPr>
          <w:rFonts w:hint="cs"/>
          <w:rtl/>
        </w:rPr>
        <w:t>ضحايا</w:t>
      </w:r>
      <w:r>
        <w:rPr>
          <w:rFonts w:hint="cs"/>
          <w:rtl/>
        </w:rPr>
        <w:t xml:space="preserve"> </w:t>
      </w:r>
      <w:r w:rsidRPr="00A22B7B">
        <w:rPr>
          <w:rFonts w:hint="cs"/>
          <w:rtl/>
        </w:rPr>
        <w:t>العنف</w:t>
      </w:r>
      <w:r>
        <w:rPr>
          <w:rFonts w:hint="cs"/>
          <w:rtl/>
        </w:rPr>
        <w:t xml:space="preserve"> </w:t>
      </w:r>
      <w:r w:rsidRPr="00A22B7B">
        <w:rPr>
          <w:rFonts w:hint="cs"/>
          <w:rtl/>
        </w:rPr>
        <w:t>العائلي</w:t>
      </w:r>
      <w:r>
        <w:rPr>
          <w:rFonts w:hint="cs"/>
          <w:rtl/>
        </w:rPr>
        <w:t xml:space="preserve"> </w:t>
      </w:r>
      <w:r w:rsidRPr="00A22B7B">
        <w:rPr>
          <w:rFonts w:hint="cs"/>
          <w:rtl/>
        </w:rPr>
        <w:t>من</w:t>
      </w:r>
      <w:r>
        <w:rPr>
          <w:rFonts w:hint="cs"/>
          <w:rtl/>
        </w:rPr>
        <w:t xml:space="preserve"> </w:t>
      </w:r>
      <w:r w:rsidRPr="00A22B7B">
        <w:rPr>
          <w:rFonts w:hint="cs"/>
          <w:rtl/>
        </w:rPr>
        <w:t>النساء</w:t>
      </w:r>
      <w:r>
        <w:rPr>
          <w:rFonts w:hint="cs"/>
          <w:rtl/>
        </w:rPr>
        <w:t xml:space="preserve"> </w:t>
      </w:r>
      <w:r w:rsidRPr="00A22B7B">
        <w:rPr>
          <w:rFonts w:hint="cs"/>
          <w:rtl/>
        </w:rPr>
        <w:t>بالعدالة،</w:t>
      </w:r>
      <w:r>
        <w:rPr>
          <w:rFonts w:hint="cs"/>
          <w:rtl/>
        </w:rPr>
        <w:t xml:space="preserve"> </w:t>
      </w:r>
      <w:r w:rsidRPr="00A22B7B">
        <w:rPr>
          <w:rFonts w:hint="cs"/>
          <w:rtl/>
        </w:rPr>
        <w:t>بيّنت</w:t>
      </w:r>
      <w:r>
        <w:rPr>
          <w:rFonts w:hint="cs"/>
          <w:rtl/>
        </w:rPr>
        <w:t xml:space="preserve"> </w:t>
      </w:r>
      <w:r w:rsidRPr="00A22B7B">
        <w:rPr>
          <w:rFonts w:hint="cs"/>
          <w:rtl/>
        </w:rPr>
        <w:t>دراسة</w:t>
      </w:r>
      <w:r>
        <w:rPr>
          <w:rFonts w:hint="cs"/>
          <w:rtl/>
        </w:rPr>
        <w:t xml:space="preserve"> </w:t>
      </w:r>
      <w:r w:rsidRPr="00A22B7B">
        <w:rPr>
          <w:rFonts w:hint="cs"/>
          <w:rtl/>
        </w:rPr>
        <w:t>حديثة</w:t>
      </w:r>
      <w:r>
        <w:rPr>
          <w:rFonts w:hint="cs"/>
          <w:rtl/>
        </w:rPr>
        <w:t xml:space="preserve"> </w:t>
      </w:r>
      <w:r w:rsidRPr="00A22B7B">
        <w:rPr>
          <w:rFonts w:hint="cs"/>
          <w:rtl/>
        </w:rPr>
        <w:t>أجرتها</w:t>
      </w:r>
      <w:r>
        <w:rPr>
          <w:rFonts w:hint="cs"/>
          <w:rtl/>
        </w:rPr>
        <w:t xml:space="preserve"> </w:t>
      </w:r>
      <w:r w:rsidRPr="00A22B7B">
        <w:rPr>
          <w:rFonts w:hint="cs"/>
          <w:rtl/>
        </w:rPr>
        <w:t>منظّمة</w:t>
      </w:r>
      <w:r>
        <w:rPr>
          <w:rFonts w:hint="cs"/>
          <w:rtl/>
        </w:rPr>
        <w:t xml:space="preserve"> </w:t>
      </w:r>
      <w:r w:rsidRPr="00A22B7B">
        <w:rPr>
          <w:rFonts w:hint="cs"/>
          <w:rtl/>
        </w:rPr>
        <w:t>فوكوبرز</w:t>
      </w:r>
      <w:r>
        <w:rPr>
          <w:rFonts w:hint="cs"/>
          <w:rtl/>
        </w:rPr>
        <w:t xml:space="preserve"> ’</w:t>
      </w:r>
      <w:r w:rsidRPr="00A22B7B">
        <w:t>Fokupers</w:t>
      </w:r>
      <w:r>
        <w:rPr>
          <w:rFonts w:hint="cs"/>
          <w:rtl/>
        </w:rPr>
        <w:t xml:space="preserve">‘ </w:t>
      </w:r>
      <w:r w:rsidRPr="00A22B7B">
        <w:rPr>
          <w:rFonts w:hint="cs"/>
          <w:rtl/>
        </w:rPr>
        <w:t>غير</w:t>
      </w:r>
      <w:r>
        <w:rPr>
          <w:rFonts w:hint="cs"/>
          <w:rtl/>
        </w:rPr>
        <w:t xml:space="preserve"> </w:t>
      </w:r>
      <w:r w:rsidRPr="00A22B7B">
        <w:rPr>
          <w:rFonts w:hint="cs"/>
          <w:rtl/>
        </w:rPr>
        <w:t>الحكومية</w:t>
      </w:r>
      <w:r>
        <w:rPr>
          <w:rFonts w:hint="cs"/>
          <w:rtl/>
        </w:rPr>
        <w:t xml:space="preserve"> </w:t>
      </w:r>
      <w:r w:rsidRPr="00A22B7B">
        <w:rPr>
          <w:rFonts w:hint="cs"/>
          <w:rtl/>
        </w:rPr>
        <w:t>السبب</w:t>
      </w:r>
      <w:r>
        <w:rPr>
          <w:rFonts w:hint="cs"/>
          <w:rtl/>
        </w:rPr>
        <w:t xml:space="preserve"> </w:t>
      </w:r>
      <w:r w:rsidRPr="00A22B7B">
        <w:rPr>
          <w:rFonts w:hint="cs"/>
          <w:rtl/>
        </w:rPr>
        <w:t>الذي</w:t>
      </w:r>
      <w:r>
        <w:rPr>
          <w:rFonts w:hint="cs"/>
          <w:rtl/>
        </w:rPr>
        <w:t xml:space="preserve"> </w:t>
      </w:r>
      <w:r w:rsidRPr="00A22B7B">
        <w:rPr>
          <w:rFonts w:hint="cs"/>
          <w:rtl/>
        </w:rPr>
        <w:t>قدّمه</w:t>
      </w:r>
      <w:r>
        <w:rPr>
          <w:rFonts w:hint="cs"/>
          <w:rtl/>
        </w:rPr>
        <w:t xml:space="preserve"> </w:t>
      </w:r>
      <w:r w:rsidRPr="00A22B7B">
        <w:rPr>
          <w:rFonts w:hint="cs"/>
          <w:rtl/>
        </w:rPr>
        <w:t>العديد</w:t>
      </w:r>
      <w:r>
        <w:rPr>
          <w:rFonts w:hint="cs"/>
          <w:rtl/>
        </w:rPr>
        <w:t xml:space="preserve"> </w:t>
      </w:r>
      <w:r w:rsidRPr="00A22B7B">
        <w:rPr>
          <w:rFonts w:hint="cs"/>
          <w:rtl/>
        </w:rPr>
        <w:t>من</w:t>
      </w:r>
      <w:r>
        <w:rPr>
          <w:rFonts w:hint="cs"/>
          <w:rtl/>
        </w:rPr>
        <w:t xml:space="preserve"> </w:t>
      </w:r>
      <w:r w:rsidRPr="00A22B7B">
        <w:rPr>
          <w:rFonts w:hint="cs"/>
          <w:rtl/>
        </w:rPr>
        <w:t>الأشخاص</w:t>
      </w:r>
      <w:r>
        <w:rPr>
          <w:rFonts w:hint="cs"/>
          <w:rtl/>
        </w:rPr>
        <w:t xml:space="preserve"> </w:t>
      </w:r>
      <w:r w:rsidRPr="00A22B7B">
        <w:rPr>
          <w:rFonts w:hint="cs"/>
          <w:rtl/>
        </w:rPr>
        <w:t>لتبرير</w:t>
      </w:r>
      <w:r>
        <w:rPr>
          <w:rFonts w:hint="cs"/>
          <w:rtl/>
        </w:rPr>
        <w:t xml:space="preserve"> </w:t>
      </w:r>
      <w:r w:rsidRPr="00A22B7B">
        <w:rPr>
          <w:rFonts w:hint="cs"/>
          <w:rtl/>
        </w:rPr>
        <w:t>عدم</w:t>
      </w:r>
      <w:r>
        <w:rPr>
          <w:rFonts w:hint="cs"/>
          <w:rtl/>
        </w:rPr>
        <w:t xml:space="preserve"> </w:t>
      </w:r>
      <w:r w:rsidRPr="00A22B7B">
        <w:rPr>
          <w:rFonts w:hint="cs"/>
          <w:rtl/>
        </w:rPr>
        <w:t>الاتصال</w:t>
      </w:r>
      <w:r>
        <w:rPr>
          <w:rFonts w:hint="cs"/>
          <w:rtl/>
        </w:rPr>
        <w:t xml:space="preserve"> </w:t>
      </w:r>
      <w:r w:rsidRPr="00A22B7B">
        <w:rPr>
          <w:rFonts w:hint="cs"/>
          <w:rtl/>
        </w:rPr>
        <w:t>بالشرطة</w:t>
      </w:r>
      <w:r>
        <w:rPr>
          <w:rFonts w:hint="cs"/>
          <w:rtl/>
        </w:rPr>
        <w:t xml:space="preserve"> </w:t>
      </w:r>
      <w:r w:rsidRPr="00A22B7B">
        <w:rPr>
          <w:rFonts w:hint="cs"/>
          <w:rtl/>
        </w:rPr>
        <w:t>واللجوء</w:t>
      </w:r>
      <w:r>
        <w:rPr>
          <w:rFonts w:hint="cs"/>
          <w:rtl/>
        </w:rPr>
        <w:t xml:space="preserve"> </w:t>
      </w:r>
      <w:r w:rsidRPr="00A22B7B">
        <w:rPr>
          <w:rFonts w:hint="cs"/>
          <w:rtl/>
        </w:rPr>
        <w:t>إلى</w:t>
      </w:r>
      <w:r>
        <w:rPr>
          <w:rFonts w:hint="cs"/>
          <w:rtl/>
        </w:rPr>
        <w:t xml:space="preserve"> </w:t>
      </w:r>
      <w:r w:rsidRPr="00A22B7B">
        <w:rPr>
          <w:rFonts w:hint="cs"/>
          <w:rtl/>
        </w:rPr>
        <w:t>الإجراءات</w:t>
      </w:r>
      <w:r>
        <w:rPr>
          <w:rFonts w:hint="cs"/>
          <w:rtl/>
        </w:rPr>
        <w:t xml:space="preserve"> </w:t>
      </w:r>
      <w:r w:rsidRPr="00A22B7B">
        <w:rPr>
          <w:rFonts w:hint="cs"/>
          <w:rtl/>
        </w:rPr>
        <w:t>القضائية</w:t>
      </w:r>
      <w:r>
        <w:rPr>
          <w:rFonts w:hint="cs"/>
          <w:rtl/>
        </w:rPr>
        <w:t xml:space="preserve"> </w:t>
      </w:r>
      <w:r w:rsidRPr="00A22B7B">
        <w:rPr>
          <w:rFonts w:hint="cs"/>
          <w:rtl/>
        </w:rPr>
        <w:t>الرسمية</w:t>
      </w:r>
      <w:r>
        <w:rPr>
          <w:rFonts w:hint="cs"/>
          <w:rtl/>
        </w:rPr>
        <w:t xml:space="preserve"> </w:t>
      </w:r>
      <w:r w:rsidRPr="00A22B7B">
        <w:rPr>
          <w:rFonts w:hint="cs"/>
          <w:rtl/>
        </w:rPr>
        <w:t>وهو</w:t>
      </w:r>
      <w:r>
        <w:rPr>
          <w:rFonts w:hint="cs"/>
          <w:rtl/>
        </w:rPr>
        <w:t xml:space="preserve"> </w:t>
      </w:r>
      <w:r w:rsidRPr="00A22B7B">
        <w:rPr>
          <w:rFonts w:hint="cs"/>
          <w:rtl/>
        </w:rPr>
        <w:t>الخوف</w:t>
      </w:r>
      <w:r>
        <w:rPr>
          <w:rFonts w:hint="cs"/>
          <w:rtl/>
        </w:rPr>
        <w:t xml:space="preserve"> </w:t>
      </w:r>
      <w:r w:rsidRPr="00A22B7B">
        <w:rPr>
          <w:rFonts w:hint="cs"/>
          <w:rtl/>
        </w:rPr>
        <w:t>من</w:t>
      </w:r>
      <w:r>
        <w:rPr>
          <w:rFonts w:hint="cs"/>
          <w:rtl/>
        </w:rPr>
        <w:t xml:space="preserve"> </w:t>
      </w:r>
      <w:r w:rsidRPr="00A22B7B">
        <w:rPr>
          <w:rFonts w:hint="cs"/>
          <w:rtl/>
        </w:rPr>
        <w:t>أن</w:t>
      </w:r>
      <w:r>
        <w:rPr>
          <w:rFonts w:hint="cs"/>
          <w:rtl/>
        </w:rPr>
        <w:t xml:space="preserve"> </w:t>
      </w:r>
      <w:r w:rsidRPr="00A22B7B">
        <w:rPr>
          <w:rFonts w:hint="cs"/>
          <w:rtl/>
        </w:rPr>
        <w:t>يؤدّي</w:t>
      </w:r>
      <w:r>
        <w:rPr>
          <w:rFonts w:hint="cs"/>
          <w:rtl/>
        </w:rPr>
        <w:t xml:space="preserve"> </w:t>
      </w:r>
      <w:r w:rsidRPr="00A22B7B">
        <w:rPr>
          <w:rFonts w:hint="cs"/>
          <w:rtl/>
        </w:rPr>
        <w:t>القانون</w:t>
      </w:r>
      <w:r>
        <w:rPr>
          <w:rFonts w:hint="cs"/>
          <w:rtl/>
        </w:rPr>
        <w:t xml:space="preserve"> </w:t>
      </w:r>
      <w:r w:rsidRPr="00A22B7B">
        <w:rPr>
          <w:rFonts w:hint="cs"/>
          <w:rtl/>
        </w:rPr>
        <w:t>إلى</w:t>
      </w:r>
      <w:r>
        <w:rPr>
          <w:rFonts w:hint="cs"/>
          <w:rtl/>
        </w:rPr>
        <w:t xml:space="preserve"> </w:t>
      </w:r>
      <w:r w:rsidRPr="00A22B7B">
        <w:rPr>
          <w:rFonts w:hint="cs"/>
          <w:rtl/>
        </w:rPr>
        <w:t>انفصال</w:t>
      </w:r>
      <w:r>
        <w:rPr>
          <w:rFonts w:hint="cs"/>
          <w:rtl/>
        </w:rPr>
        <w:t xml:space="preserve"> </w:t>
      </w:r>
      <w:r w:rsidRPr="00A22B7B">
        <w:rPr>
          <w:rFonts w:hint="cs"/>
          <w:rtl/>
        </w:rPr>
        <w:t>الزوجين.</w:t>
      </w:r>
      <w:r>
        <w:rPr>
          <w:rFonts w:hint="cs"/>
          <w:rtl/>
        </w:rPr>
        <w:t xml:space="preserve"> </w:t>
      </w:r>
      <w:r w:rsidRPr="00A22B7B">
        <w:rPr>
          <w:rFonts w:hint="cs"/>
          <w:rtl/>
        </w:rPr>
        <w:t>فالنساء</w:t>
      </w:r>
      <w:r>
        <w:rPr>
          <w:rFonts w:hint="cs"/>
          <w:rtl/>
        </w:rPr>
        <w:t xml:space="preserve"> </w:t>
      </w:r>
      <w:r w:rsidRPr="00A22B7B">
        <w:rPr>
          <w:rFonts w:hint="cs"/>
          <w:rtl/>
        </w:rPr>
        <w:t>تصرّحن</w:t>
      </w:r>
      <w:r>
        <w:rPr>
          <w:rFonts w:hint="cs"/>
          <w:rtl/>
        </w:rPr>
        <w:t xml:space="preserve"> </w:t>
      </w:r>
      <w:r w:rsidRPr="00A22B7B">
        <w:rPr>
          <w:rFonts w:hint="cs"/>
          <w:rtl/>
        </w:rPr>
        <w:t>باستمرار</w:t>
      </w:r>
      <w:r>
        <w:rPr>
          <w:rFonts w:hint="cs"/>
          <w:rtl/>
        </w:rPr>
        <w:t xml:space="preserve"> </w:t>
      </w:r>
      <w:r w:rsidRPr="00A22B7B">
        <w:rPr>
          <w:rFonts w:hint="cs"/>
          <w:rtl/>
        </w:rPr>
        <w:t>أنهن</w:t>
      </w:r>
      <w:r>
        <w:rPr>
          <w:rFonts w:hint="cs"/>
          <w:rtl/>
        </w:rPr>
        <w:t xml:space="preserve"> </w:t>
      </w:r>
      <w:r w:rsidRPr="00A22B7B">
        <w:rPr>
          <w:rFonts w:hint="cs"/>
          <w:rtl/>
        </w:rPr>
        <w:t>لا</w:t>
      </w:r>
      <w:r>
        <w:rPr>
          <w:rFonts w:hint="cs"/>
          <w:rtl/>
        </w:rPr>
        <w:t xml:space="preserve"> </w:t>
      </w:r>
      <w:r w:rsidRPr="00A22B7B">
        <w:rPr>
          <w:rFonts w:hint="cs"/>
          <w:rtl/>
        </w:rPr>
        <w:t>يردن</w:t>
      </w:r>
      <w:r>
        <w:rPr>
          <w:rFonts w:hint="cs"/>
          <w:rtl/>
        </w:rPr>
        <w:t xml:space="preserve"> </w:t>
      </w:r>
      <w:r w:rsidRPr="00A22B7B">
        <w:rPr>
          <w:rFonts w:hint="cs"/>
          <w:rtl/>
        </w:rPr>
        <w:t>السجن</w:t>
      </w:r>
      <w:r>
        <w:rPr>
          <w:rFonts w:hint="cs"/>
          <w:rtl/>
        </w:rPr>
        <w:t xml:space="preserve"> </w:t>
      </w:r>
      <w:r w:rsidRPr="00A22B7B">
        <w:rPr>
          <w:rFonts w:hint="cs"/>
          <w:rtl/>
        </w:rPr>
        <w:t>لأزواجهن</w:t>
      </w:r>
      <w:r>
        <w:rPr>
          <w:rFonts w:hint="cs"/>
          <w:rtl/>
        </w:rPr>
        <w:t xml:space="preserve"> </w:t>
      </w:r>
      <w:r w:rsidRPr="00A22B7B">
        <w:rPr>
          <w:rFonts w:hint="cs"/>
          <w:rtl/>
        </w:rPr>
        <w:t>ومن</w:t>
      </w:r>
      <w:r>
        <w:rPr>
          <w:rFonts w:hint="cs"/>
          <w:rtl/>
        </w:rPr>
        <w:t xml:space="preserve"> </w:t>
      </w:r>
      <w:r w:rsidRPr="00A22B7B">
        <w:rPr>
          <w:rFonts w:hint="cs"/>
          <w:rtl/>
        </w:rPr>
        <w:t>الضروري</w:t>
      </w:r>
      <w:r>
        <w:rPr>
          <w:rFonts w:hint="cs"/>
          <w:rtl/>
        </w:rPr>
        <w:t xml:space="preserve"> </w:t>
      </w:r>
      <w:r w:rsidRPr="00A22B7B">
        <w:rPr>
          <w:rFonts w:hint="cs"/>
          <w:rtl/>
        </w:rPr>
        <w:t>أن</w:t>
      </w:r>
      <w:r>
        <w:rPr>
          <w:rFonts w:hint="cs"/>
          <w:rtl/>
        </w:rPr>
        <w:t xml:space="preserve"> </w:t>
      </w:r>
      <w:r w:rsidRPr="00A22B7B">
        <w:rPr>
          <w:rFonts w:hint="cs"/>
          <w:rtl/>
        </w:rPr>
        <w:t>توضح</w:t>
      </w:r>
      <w:r>
        <w:rPr>
          <w:rFonts w:hint="cs"/>
          <w:rtl/>
        </w:rPr>
        <w:t xml:space="preserve"> </w:t>
      </w:r>
      <w:r w:rsidRPr="00A22B7B">
        <w:rPr>
          <w:rFonts w:hint="cs"/>
          <w:rtl/>
        </w:rPr>
        <w:t>التوعية</w:t>
      </w:r>
      <w:r>
        <w:rPr>
          <w:rFonts w:hint="cs"/>
          <w:rtl/>
        </w:rPr>
        <w:t xml:space="preserve"> </w:t>
      </w:r>
      <w:r w:rsidRPr="00A22B7B">
        <w:rPr>
          <w:rFonts w:hint="cs"/>
          <w:rtl/>
        </w:rPr>
        <w:t>الاجتماعية</w:t>
      </w:r>
      <w:r>
        <w:rPr>
          <w:rFonts w:hint="cs"/>
          <w:rtl/>
        </w:rPr>
        <w:t xml:space="preserve"> </w:t>
      </w:r>
      <w:r w:rsidRPr="00A22B7B">
        <w:rPr>
          <w:rFonts w:hint="cs"/>
          <w:rtl/>
        </w:rPr>
        <w:t>أن</w:t>
      </w:r>
      <w:r>
        <w:rPr>
          <w:rFonts w:hint="cs"/>
          <w:rtl/>
        </w:rPr>
        <w:t xml:space="preserve"> </w:t>
      </w:r>
      <w:r w:rsidRPr="00A22B7B">
        <w:rPr>
          <w:rFonts w:hint="cs"/>
          <w:rtl/>
        </w:rPr>
        <w:t>هذا</w:t>
      </w:r>
      <w:r>
        <w:rPr>
          <w:rFonts w:hint="cs"/>
          <w:rtl/>
        </w:rPr>
        <w:t xml:space="preserve"> </w:t>
      </w:r>
      <w:r w:rsidRPr="00A22B7B">
        <w:rPr>
          <w:rFonts w:hint="cs"/>
          <w:rtl/>
        </w:rPr>
        <w:t>الأمر</w:t>
      </w:r>
      <w:r>
        <w:rPr>
          <w:rFonts w:hint="cs"/>
          <w:rtl/>
        </w:rPr>
        <w:t xml:space="preserve"> </w:t>
      </w:r>
      <w:r w:rsidRPr="00A22B7B">
        <w:rPr>
          <w:rFonts w:hint="cs"/>
          <w:rtl/>
        </w:rPr>
        <w:t>لن</w:t>
      </w:r>
      <w:r>
        <w:rPr>
          <w:rFonts w:hint="cs"/>
          <w:rtl/>
        </w:rPr>
        <w:t xml:space="preserve"> </w:t>
      </w:r>
      <w:r w:rsidRPr="00A22B7B">
        <w:rPr>
          <w:rFonts w:hint="cs"/>
          <w:rtl/>
        </w:rPr>
        <w:t>يكون</w:t>
      </w:r>
      <w:r>
        <w:rPr>
          <w:rFonts w:hint="cs"/>
          <w:rtl/>
        </w:rPr>
        <w:t xml:space="preserve"> </w:t>
      </w:r>
      <w:r w:rsidRPr="00A22B7B">
        <w:rPr>
          <w:rFonts w:hint="cs"/>
          <w:rtl/>
        </w:rPr>
        <w:t>نتيجة</w:t>
      </w:r>
      <w:r>
        <w:rPr>
          <w:rFonts w:hint="cs"/>
          <w:rtl/>
        </w:rPr>
        <w:t xml:space="preserve"> </w:t>
      </w:r>
      <w:r w:rsidRPr="00A22B7B">
        <w:rPr>
          <w:rFonts w:hint="cs"/>
          <w:rtl/>
        </w:rPr>
        <w:t>حتمية</w:t>
      </w:r>
      <w:r>
        <w:rPr>
          <w:rFonts w:hint="cs"/>
          <w:rtl/>
        </w:rPr>
        <w:t xml:space="preserve"> </w:t>
      </w:r>
      <w:r w:rsidRPr="00A22B7B">
        <w:rPr>
          <w:rFonts w:hint="cs"/>
          <w:rtl/>
        </w:rPr>
        <w:t>لاستدعاء</w:t>
      </w:r>
      <w:r>
        <w:rPr>
          <w:rFonts w:hint="cs"/>
          <w:rtl/>
        </w:rPr>
        <w:t xml:space="preserve"> </w:t>
      </w:r>
      <w:r w:rsidRPr="00A22B7B">
        <w:rPr>
          <w:rFonts w:hint="cs"/>
          <w:rtl/>
        </w:rPr>
        <w:t>الشرطة</w:t>
      </w:r>
      <w:r w:rsidRPr="00F80C43">
        <w:rPr>
          <w:vertAlign w:val="superscript"/>
          <w:rtl/>
        </w:rPr>
        <w:t>(</w:t>
      </w:r>
      <w:r w:rsidRPr="00F80C43">
        <w:rPr>
          <w:rStyle w:val="FootnoteReference"/>
          <w:szCs w:val="30"/>
          <w:rtl/>
        </w:rPr>
        <w:footnoteReference w:id="284"/>
      </w:r>
      <w:r w:rsidRPr="00F80C43">
        <w:rPr>
          <w:vertAlign w:val="superscript"/>
          <w:rtl/>
        </w:rPr>
        <w:t>)</w:t>
      </w:r>
      <w:r w:rsidRPr="00A22B7B">
        <w:rPr>
          <w:rFonts w:hint="cs"/>
          <w:rtl/>
        </w:rPr>
        <w:t>.</w:t>
      </w:r>
    </w:p>
    <w:p w:rsidR="009943B2" w:rsidRPr="00A22B7B" w:rsidRDefault="009943B2" w:rsidP="009943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Pr="00A22B7B">
        <w:rPr>
          <w:rFonts w:hint="cs"/>
          <w:rtl/>
        </w:rPr>
        <w:t>الأهلية</w:t>
      </w:r>
      <w:r>
        <w:rPr>
          <w:rFonts w:hint="cs"/>
          <w:rtl/>
        </w:rPr>
        <w:t xml:space="preserve"> </w:t>
      </w:r>
      <w:r w:rsidRPr="00A22B7B">
        <w:rPr>
          <w:rFonts w:hint="cs"/>
          <w:rtl/>
        </w:rPr>
        <w:t>القانونية</w:t>
      </w:r>
    </w:p>
    <w:p w:rsidR="009943B2" w:rsidRPr="00A22B7B" w:rsidRDefault="009943B2" w:rsidP="009943B2">
      <w:pPr>
        <w:pStyle w:val="SingleTxt"/>
        <w:rPr>
          <w:rFonts w:hint="cs"/>
        </w:rPr>
      </w:pPr>
      <w:r>
        <w:rPr>
          <w:rFonts w:hint="cs"/>
          <w:rtl/>
        </w:rPr>
        <w:t xml:space="preserve">326 - </w:t>
      </w:r>
      <w:r w:rsidRPr="00A22B7B">
        <w:rPr>
          <w:rFonts w:hint="cs"/>
          <w:rtl/>
        </w:rPr>
        <w:t>يعتبر</w:t>
      </w:r>
      <w:r>
        <w:rPr>
          <w:rFonts w:hint="cs"/>
          <w:rtl/>
        </w:rPr>
        <w:t xml:space="preserve"> </w:t>
      </w:r>
      <w:r w:rsidRPr="00A22B7B">
        <w:rPr>
          <w:rtl/>
        </w:rPr>
        <w:t>س</w:t>
      </w:r>
      <w:r w:rsidRPr="00A22B7B">
        <w:rPr>
          <w:rFonts w:hint="cs"/>
          <w:rtl/>
        </w:rPr>
        <w:t>َ</w:t>
      </w:r>
      <w:r w:rsidRPr="00A22B7B">
        <w:rPr>
          <w:rtl/>
        </w:rPr>
        <w:t>ن</w:t>
      </w:r>
      <w:r w:rsidRPr="00A22B7B">
        <w:rPr>
          <w:rFonts w:hint="cs"/>
          <w:rtl/>
        </w:rPr>
        <w:t>ُّ</w:t>
      </w:r>
      <w:r>
        <w:rPr>
          <w:rtl/>
        </w:rPr>
        <w:t xml:space="preserve"> </w:t>
      </w:r>
      <w:r w:rsidRPr="00A22B7B">
        <w:rPr>
          <w:rtl/>
        </w:rPr>
        <w:t>القانون</w:t>
      </w:r>
      <w:r>
        <w:rPr>
          <w:rtl/>
        </w:rPr>
        <w:t xml:space="preserve"> </w:t>
      </w:r>
      <w:r w:rsidRPr="00A22B7B">
        <w:rPr>
          <w:rtl/>
        </w:rPr>
        <w:t>المدني</w:t>
      </w:r>
      <w:r>
        <w:rPr>
          <w:rtl/>
        </w:rPr>
        <w:t xml:space="preserve"> </w:t>
      </w:r>
      <w:r w:rsidRPr="00A22B7B">
        <w:rPr>
          <w:rtl/>
        </w:rPr>
        <w:t>عام</w:t>
      </w:r>
      <w:r>
        <w:rPr>
          <w:rtl/>
        </w:rPr>
        <w:t xml:space="preserve"> </w:t>
      </w:r>
      <w:r w:rsidRPr="00A22B7B">
        <w:rPr>
          <w:rtl/>
        </w:rPr>
        <w:t>2011</w:t>
      </w:r>
      <w:r>
        <w:rPr>
          <w:rtl/>
        </w:rPr>
        <w:t xml:space="preserve"> </w:t>
      </w:r>
      <w:r w:rsidRPr="00A22B7B">
        <w:rPr>
          <w:rFonts w:hint="cs"/>
          <w:rtl/>
        </w:rPr>
        <w:t>أهم</w:t>
      </w:r>
      <w:r>
        <w:rPr>
          <w:rFonts w:hint="cs"/>
          <w:rtl/>
        </w:rPr>
        <w:t xml:space="preserve"> </w:t>
      </w:r>
      <w:r w:rsidRPr="00A22B7B">
        <w:rPr>
          <w:rtl/>
        </w:rPr>
        <w:t>تحديث</w:t>
      </w:r>
      <w:r>
        <w:rPr>
          <w:rtl/>
        </w:rPr>
        <w:t xml:space="preserve"> </w:t>
      </w:r>
      <w:r w:rsidRPr="00A22B7B">
        <w:rPr>
          <w:rtl/>
        </w:rPr>
        <w:t>في</w:t>
      </w:r>
      <w:r>
        <w:rPr>
          <w:rtl/>
        </w:rPr>
        <w:t xml:space="preserve"> </w:t>
      </w:r>
      <w:r w:rsidRPr="00A22B7B">
        <w:rPr>
          <w:rtl/>
        </w:rPr>
        <w:t>ما</w:t>
      </w:r>
      <w:r>
        <w:rPr>
          <w:rtl/>
        </w:rPr>
        <w:t xml:space="preserve"> </w:t>
      </w:r>
      <w:r w:rsidRPr="00A22B7B">
        <w:rPr>
          <w:rtl/>
        </w:rPr>
        <w:t>يخص</w:t>
      </w:r>
      <w:r>
        <w:rPr>
          <w:rtl/>
        </w:rPr>
        <w:t xml:space="preserve"> </w:t>
      </w:r>
      <w:r w:rsidRPr="00A22B7B">
        <w:rPr>
          <w:rtl/>
        </w:rPr>
        <w:t>المساواة</w:t>
      </w:r>
      <w:r>
        <w:rPr>
          <w:rtl/>
        </w:rPr>
        <w:t xml:space="preserve"> </w:t>
      </w:r>
      <w:r w:rsidRPr="00A22B7B">
        <w:rPr>
          <w:rtl/>
        </w:rPr>
        <w:t>أمام</w:t>
      </w:r>
      <w:r>
        <w:rPr>
          <w:rtl/>
        </w:rPr>
        <w:t xml:space="preserve"> </w:t>
      </w:r>
      <w:r w:rsidRPr="00A22B7B">
        <w:rPr>
          <w:rtl/>
        </w:rPr>
        <w:t>القانون</w:t>
      </w:r>
      <w:r>
        <w:rPr>
          <w:rtl/>
        </w:rPr>
        <w:t xml:space="preserve"> </w:t>
      </w:r>
      <w:r w:rsidRPr="00A22B7B">
        <w:rPr>
          <w:rtl/>
        </w:rPr>
        <w:t>في</w:t>
      </w:r>
      <w:r>
        <w:rPr>
          <w:rtl/>
        </w:rPr>
        <w:t xml:space="preserve"> </w:t>
      </w:r>
      <w:r w:rsidRPr="00A22B7B">
        <w:rPr>
          <w:rtl/>
        </w:rPr>
        <w:t>المسائل</w:t>
      </w:r>
      <w:r>
        <w:rPr>
          <w:rtl/>
        </w:rPr>
        <w:t xml:space="preserve"> </w:t>
      </w:r>
      <w:r w:rsidRPr="00A22B7B">
        <w:rPr>
          <w:rtl/>
        </w:rPr>
        <w:t>المدنية</w:t>
      </w:r>
      <w:r w:rsidRPr="00A22B7B">
        <w:rPr>
          <w:rFonts w:hint="cs"/>
          <w:rtl/>
        </w:rPr>
        <w:t>،</w:t>
      </w:r>
      <w:r>
        <w:rPr>
          <w:rtl/>
        </w:rPr>
        <w:t xml:space="preserve"> </w:t>
      </w:r>
      <w:r w:rsidRPr="00A22B7B">
        <w:rPr>
          <w:rFonts w:hint="cs"/>
          <w:rtl/>
        </w:rPr>
        <w:t>ويختلف</w:t>
      </w:r>
      <w:r>
        <w:rPr>
          <w:rFonts w:hint="cs"/>
          <w:rtl/>
        </w:rPr>
        <w:t xml:space="preserve"> </w:t>
      </w:r>
      <w:r w:rsidRPr="00A22B7B">
        <w:rPr>
          <w:rFonts w:hint="cs"/>
          <w:rtl/>
        </w:rPr>
        <w:t>هذا</w:t>
      </w:r>
      <w:r>
        <w:rPr>
          <w:rFonts w:hint="cs"/>
          <w:rtl/>
        </w:rPr>
        <w:t xml:space="preserve"> </w:t>
      </w:r>
      <w:r w:rsidRPr="00A22B7B">
        <w:rPr>
          <w:rFonts w:hint="cs"/>
          <w:rtl/>
        </w:rPr>
        <w:t>القانون</w:t>
      </w:r>
      <w:r>
        <w:rPr>
          <w:rFonts w:hint="cs"/>
          <w:rtl/>
        </w:rPr>
        <w:t xml:space="preserve"> </w:t>
      </w:r>
      <w:r w:rsidRPr="00A22B7B">
        <w:rPr>
          <w:rFonts w:hint="cs"/>
          <w:rtl/>
        </w:rPr>
        <w:t>اختلافًا</w:t>
      </w:r>
      <w:r>
        <w:rPr>
          <w:rFonts w:hint="cs"/>
          <w:rtl/>
        </w:rPr>
        <w:t xml:space="preserve"> </w:t>
      </w:r>
      <w:r w:rsidRPr="00A22B7B">
        <w:rPr>
          <w:rFonts w:hint="cs"/>
          <w:rtl/>
        </w:rPr>
        <w:t>كبيرا</w:t>
      </w:r>
      <w:r>
        <w:rPr>
          <w:rtl/>
        </w:rPr>
        <w:t xml:space="preserve"> </w:t>
      </w:r>
      <w:r w:rsidRPr="00A22B7B">
        <w:rPr>
          <w:rFonts w:hint="cs"/>
          <w:rtl/>
        </w:rPr>
        <w:t>ع</w:t>
      </w:r>
      <w:r w:rsidRPr="00A22B7B">
        <w:rPr>
          <w:rtl/>
        </w:rPr>
        <w:t>ن</w:t>
      </w:r>
      <w:r>
        <w:rPr>
          <w:rtl/>
        </w:rPr>
        <w:t xml:space="preserve"> </w:t>
      </w:r>
      <w:r w:rsidRPr="00A22B7B">
        <w:rPr>
          <w:rtl/>
        </w:rPr>
        <w:t>القانون</w:t>
      </w:r>
      <w:r>
        <w:rPr>
          <w:rtl/>
        </w:rPr>
        <w:t xml:space="preserve"> </w:t>
      </w:r>
      <w:r w:rsidRPr="00A22B7B">
        <w:rPr>
          <w:rtl/>
        </w:rPr>
        <w:t>المدني</w:t>
      </w:r>
      <w:r>
        <w:rPr>
          <w:rtl/>
        </w:rPr>
        <w:t xml:space="preserve"> </w:t>
      </w:r>
      <w:r w:rsidRPr="00A22B7B">
        <w:rPr>
          <w:rtl/>
        </w:rPr>
        <w:t>الإندونيسي</w:t>
      </w:r>
      <w:r>
        <w:rPr>
          <w:rtl/>
        </w:rPr>
        <w:t xml:space="preserve"> </w:t>
      </w:r>
      <w:r w:rsidRPr="00A22B7B">
        <w:rPr>
          <w:rFonts w:hint="cs"/>
          <w:rtl/>
        </w:rPr>
        <w:t>الذي</w:t>
      </w:r>
      <w:r>
        <w:rPr>
          <w:rFonts w:hint="cs"/>
          <w:rtl/>
        </w:rPr>
        <w:t xml:space="preserve"> </w:t>
      </w:r>
      <w:r w:rsidRPr="00A22B7B">
        <w:rPr>
          <w:rFonts w:hint="cs"/>
          <w:rtl/>
        </w:rPr>
        <w:t>كان</w:t>
      </w:r>
      <w:r>
        <w:rPr>
          <w:rFonts w:hint="cs"/>
          <w:rtl/>
        </w:rPr>
        <w:t xml:space="preserve"> </w:t>
      </w:r>
      <w:r w:rsidRPr="00A22B7B">
        <w:rPr>
          <w:rFonts w:hint="cs"/>
          <w:rtl/>
        </w:rPr>
        <w:t>ساريًا</w:t>
      </w:r>
      <w:r>
        <w:rPr>
          <w:rFonts w:hint="cs"/>
          <w:rtl/>
        </w:rPr>
        <w:t xml:space="preserve"> </w:t>
      </w:r>
      <w:r w:rsidRPr="00A22B7B">
        <w:rPr>
          <w:rFonts w:hint="cs"/>
          <w:rtl/>
        </w:rPr>
        <w:t>قبل</w:t>
      </w:r>
      <w:r>
        <w:rPr>
          <w:rFonts w:hint="cs"/>
          <w:rtl/>
        </w:rPr>
        <w:t xml:space="preserve"> </w:t>
      </w:r>
      <w:r w:rsidRPr="00A22B7B">
        <w:rPr>
          <w:rFonts w:hint="cs"/>
          <w:rtl/>
        </w:rPr>
        <w:t>ذلك.</w:t>
      </w:r>
      <w:r>
        <w:rPr>
          <w:rFonts w:hint="cs"/>
          <w:rtl/>
        </w:rPr>
        <w:t xml:space="preserve"> </w:t>
      </w:r>
      <w:r w:rsidRPr="00A22B7B">
        <w:rPr>
          <w:rFonts w:hint="cs"/>
          <w:rtl/>
        </w:rPr>
        <w:t>فبالإضافة</w:t>
      </w:r>
      <w:r>
        <w:rPr>
          <w:rFonts w:hint="cs"/>
          <w:rtl/>
        </w:rPr>
        <w:t xml:space="preserve"> </w:t>
      </w:r>
      <w:r w:rsidRPr="00A22B7B">
        <w:rPr>
          <w:rFonts w:hint="cs"/>
          <w:rtl/>
        </w:rPr>
        <w:t>إلى</w:t>
      </w:r>
      <w:r>
        <w:rPr>
          <w:rFonts w:hint="cs"/>
          <w:rtl/>
        </w:rPr>
        <w:t xml:space="preserve"> </w:t>
      </w:r>
      <w:r w:rsidRPr="00A22B7B">
        <w:rPr>
          <w:rFonts w:hint="cs"/>
          <w:rtl/>
        </w:rPr>
        <w:t>إرساء</w:t>
      </w:r>
      <w:r>
        <w:rPr>
          <w:rFonts w:hint="cs"/>
          <w:rtl/>
        </w:rPr>
        <w:t xml:space="preserve"> </w:t>
      </w:r>
      <w:r w:rsidRPr="00A22B7B">
        <w:rPr>
          <w:rtl/>
        </w:rPr>
        <w:t>المساواة</w:t>
      </w:r>
      <w:r>
        <w:rPr>
          <w:rtl/>
        </w:rPr>
        <w:t xml:space="preserve"> </w:t>
      </w:r>
      <w:r w:rsidRPr="00A22B7B">
        <w:rPr>
          <w:rtl/>
        </w:rPr>
        <w:t>بين</w:t>
      </w:r>
      <w:r>
        <w:rPr>
          <w:rtl/>
        </w:rPr>
        <w:t xml:space="preserve"> </w:t>
      </w:r>
      <w:r w:rsidRPr="00A22B7B">
        <w:rPr>
          <w:rtl/>
        </w:rPr>
        <w:t>الزوجين</w:t>
      </w:r>
      <w:r>
        <w:rPr>
          <w:rtl/>
        </w:rPr>
        <w:t xml:space="preserve"> </w:t>
      </w:r>
      <w:r w:rsidRPr="00A22B7B">
        <w:rPr>
          <w:rtl/>
        </w:rPr>
        <w:t>(المادة</w:t>
      </w:r>
      <w:r>
        <w:rPr>
          <w:rtl/>
        </w:rPr>
        <w:t xml:space="preserve"> </w:t>
      </w:r>
      <w:r w:rsidRPr="00A22B7B">
        <w:rPr>
          <w:rtl/>
        </w:rPr>
        <w:t>1559)</w:t>
      </w:r>
      <w:r>
        <w:rPr>
          <w:rtl/>
        </w:rPr>
        <w:t xml:space="preserve"> </w:t>
      </w:r>
      <w:r w:rsidRPr="00A22B7B">
        <w:rPr>
          <w:rFonts w:hint="cs"/>
          <w:rtl/>
        </w:rPr>
        <w:t>وتحديد</w:t>
      </w:r>
      <w:r>
        <w:rPr>
          <w:rFonts w:hint="cs"/>
          <w:rtl/>
        </w:rPr>
        <w:t xml:space="preserve"> </w:t>
      </w:r>
      <w:r w:rsidRPr="00A22B7B">
        <w:rPr>
          <w:rFonts w:hint="cs"/>
          <w:rtl/>
        </w:rPr>
        <w:t>السن</w:t>
      </w:r>
      <w:r>
        <w:rPr>
          <w:rFonts w:hint="cs"/>
          <w:rtl/>
        </w:rPr>
        <w:t xml:space="preserve"> </w:t>
      </w:r>
      <w:r w:rsidRPr="00A22B7B">
        <w:rPr>
          <w:rFonts w:hint="cs"/>
          <w:rtl/>
        </w:rPr>
        <w:t>الأدنى</w:t>
      </w:r>
      <w:r>
        <w:rPr>
          <w:rFonts w:hint="cs"/>
          <w:rtl/>
        </w:rPr>
        <w:t xml:space="preserve"> </w:t>
      </w:r>
      <w:r w:rsidRPr="00A22B7B">
        <w:rPr>
          <w:rFonts w:hint="cs"/>
          <w:rtl/>
        </w:rPr>
        <w:t>ل</w:t>
      </w:r>
      <w:r w:rsidRPr="00A22B7B">
        <w:rPr>
          <w:rtl/>
        </w:rPr>
        <w:t>لزواج</w:t>
      </w:r>
      <w:r>
        <w:rPr>
          <w:rtl/>
        </w:rPr>
        <w:t xml:space="preserve"> </w:t>
      </w:r>
      <w:r w:rsidRPr="00A22B7B">
        <w:rPr>
          <w:rFonts w:hint="cs"/>
          <w:rtl/>
        </w:rPr>
        <w:t>عند</w:t>
      </w:r>
      <w:r>
        <w:rPr>
          <w:rFonts w:hint="cs"/>
          <w:rtl/>
        </w:rPr>
        <w:t xml:space="preserve"> </w:t>
      </w:r>
      <w:r w:rsidRPr="00A22B7B">
        <w:rPr>
          <w:rFonts w:hint="cs"/>
          <w:rtl/>
        </w:rPr>
        <w:t>17</w:t>
      </w:r>
      <w:r>
        <w:rPr>
          <w:rFonts w:hint="cs"/>
          <w:rtl/>
        </w:rPr>
        <w:t xml:space="preserve"> </w:t>
      </w:r>
      <w:r w:rsidRPr="00A22B7B">
        <w:rPr>
          <w:rFonts w:hint="cs"/>
          <w:rtl/>
        </w:rPr>
        <w:t>سنة</w:t>
      </w:r>
      <w:r>
        <w:rPr>
          <w:rFonts w:hint="cs"/>
          <w:rtl/>
        </w:rPr>
        <w:t xml:space="preserve"> </w:t>
      </w:r>
      <w:r w:rsidRPr="00A22B7B">
        <w:rPr>
          <w:rtl/>
        </w:rPr>
        <w:t>للرجال</w:t>
      </w:r>
      <w:r>
        <w:rPr>
          <w:rtl/>
        </w:rPr>
        <w:t xml:space="preserve"> </w:t>
      </w:r>
      <w:r w:rsidRPr="00A22B7B">
        <w:rPr>
          <w:rtl/>
        </w:rPr>
        <w:t>والنساء</w:t>
      </w:r>
      <w:r>
        <w:rPr>
          <w:rtl/>
        </w:rPr>
        <w:t xml:space="preserve"> </w:t>
      </w:r>
      <w:r w:rsidRPr="00A22B7B">
        <w:rPr>
          <w:rtl/>
        </w:rPr>
        <w:t>على</w:t>
      </w:r>
      <w:r>
        <w:rPr>
          <w:rtl/>
        </w:rPr>
        <w:t xml:space="preserve"> </w:t>
      </w:r>
      <w:r w:rsidRPr="00A22B7B">
        <w:rPr>
          <w:rtl/>
        </w:rPr>
        <w:t>حد</w:t>
      </w:r>
      <w:r>
        <w:rPr>
          <w:rtl/>
        </w:rPr>
        <w:t xml:space="preserve"> </w:t>
      </w:r>
      <w:r w:rsidRPr="00A22B7B">
        <w:rPr>
          <w:rtl/>
        </w:rPr>
        <w:t>سواء</w:t>
      </w:r>
      <w:r>
        <w:rPr>
          <w:rtl/>
        </w:rPr>
        <w:t xml:space="preserve"> </w:t>
      </w:r>
      <w:r w:rsidRPr="00A22B7B">
        <w:rPr>
          <w:rtl/>
        </w:rPr>
        <w:t>(</w:t>
      </w:r>
      <w:r w:rsidRPr="00A22B7B">
        <w:rPr>
          <w:rFonts w:hint="cs"/>
          <w:rtl/>
        </w:rPr>
        <w:t>المواد</w:t>
      </w:r>
      <w:r>
        <w:rPr>
          <w:rtl/>
        </w:rPr>
        <w:t xml:space="preserve"> </w:t>
      </w:r>
      <w:r w:rsidRPr="00F80C43">
        <w:rPr>
          <w:rtl/>
        </w:rPr>
        <w:t>118/154</w:t>
      </w:r>
      <w:r w:rsidRPr="00A22B7B">
        <w:rPr>
          <w:rtl/>
        </w:rPr>
        <w:t>8-1486/1490)،</w:t>
      </w:r>
      <w:r>
        <w:rPr>
          <w:rtl/>
        </w:rPr>
        <w:t xml:space="preserve"> </w:t>
      </w:r>
      <w:r w:rsidRPr="00A22B7B">
        <w:rPr>
          <w:rFonts w:hint="cs"/>
          <w:rtl/>
        </w:rPr>
        <w:t>لا</w:t>
      </w:r>
      <w:r>
        <w:rPr>
          <w:rFonts w:hint="cs"/>
          <w:rtl/>
        </w:rPr>
        <w:t xml:space="preserve"> </w:t>
      </w:r>
      <w:r w:rsidRPr="00A22B7B">
        <w:rPr>
          <w:rFonts w:hint="cs"/>
          <w:rtl/>
        </w:rPr>
        <w:t>يفرّق</w:t>
      </w:r>
      <w:r>
        <w:rPr>
          <w:rFonts w:hint="cs"/>
          <w:rtl/>
        </w:rPr>
        <w:t xml:space="preserve"> </w:t>
      </w:r>
      <w:r w:rsidRPr="00A22B7B">
        <w:rPr>
          <w:rtl/>
        </w:rPr>
        <w:t>القانون</w:t>
      </w:r>
      <w:r>
        <w:rPr>
          <w:rtl/>
        </w:rPr>
        <w:t xml:space="preserve"> </w:t>
      </w:r>
      <w:r w:rsidRPr="00A22B7B">
        <w:rPr>
          <w:rtl/>
        </w:rPr>
        <w:t>المدني</w:t>
      </w:r>
      <w:r>
        <w:rPr>
          <w:rtl/>
        </w:rPr>
        <w:t xml:space="preserve"> </w:t>
      </w:r>
      <w:r w:rsidRPr="00A22B7B">
        <w:rPr>
          <w:rtl/>
        </w:rPr>
        <w:t>الجديد</w:t>
      </w:r>
      <w:r>
        <w:rPr>
          <w:rtl/>
        </w:rPr>
        <w:t xml:space="preserve"> </w:t>
      </w:r>
      <w:r w:rsidRPr="00A22B7B">
        <w:rPr>
          <w:rtl/>
        </w:rPr>
        <w:t>بين</w:t>
      </w:r>
      <w:r>
        <w:rPr>
          <w:rtl/>
        </w:rPr>
        <w:t xml:space="preserve"> </w:t>
      </w:r>
      <w:r w:rsidRPr="00A22B7B">
        <w:rPr>
          <w:rtl/>
        </w:rPr>
        <w:t>الرجل</w:t>
      </w:r>
      <w:r>
        <w:rPr>
          <w:rtl/>
        </w:rPr>
        <w:t xml:space="preserve"> </w:t>
      </w:r>
      <w:r w:rsidRPr="00A22B7B">
        <w:rPr>
          <w:rtl/>
        </w:rPr>
        <w:t>والمرأة</w:t>
      </w:r>
      <w:r>
        <w:rPr>
          <w:rtl/>
        </w:rPr>
        <w:t xml:space="preserve"> </w:t>
      </w:r>
      <w:r w:rsidRPr="00A22B7B">
        <w:rPr>
          <w:rtl/>
        </w:rPr>
        <w:t>فيما</w:t>
      </w:r>
      <w:r>
        <w:rPr>
          <w:rtl/>
        </w:rPr>
        <w:t xml:space="preserve"> </w:t>
      </w:r>
      <w:r w:rsidRPr="00A22B7B">
        <w:rPr>
          <w:rtl/>
        </w:rPr>
        <w:t>يتعلق</w:t>
      </w:r>
      <w:r>
        <w:rPr>
          <w:rtl/>
        </w:rPr>
        <w:t xml:space="preserve"> </w:t>
      </w:r>
      <w:r w:rsidRPr="00A22B7B">
        <w:rPr>
          <w:rtl/>
        </w:rPr>
        <w:t>ب</w:t>
      </w:r>
      <w:r w:rsidRPr="00A22B7B">
        <w:rPr>
          <w:rFonts w:hint="cs"/>
          <w:rtl/>
        </w:rPr>
        <w:t>أهليتهما</w:t>
      </w:r>
      <w:r>
        <w:rPr>
          <w:rFonts w:hint="cs"/>
          <w:rtl/>
        </w:rPr>
        <w:t xml:space="preserve"> </w:t>
      </w:r>
      <w:r w:rsidRPr="00A22B7B">
        <w:rPr>
          <w:rtl/>
        </w:rPr>
        <w:t>القانونية</w:t>
      </w:r>
      <w:r>
        <w:rPr>
          <w:rtl/>
        </w:rPr>
        <w:t xml:space="preserve"> </w:t>
      </w:r>
      <w:r w:rsidRPr="00A22B7B">
        <w:rPr>
          <w:rtl/>
        </w:rPr>
        <w:t>،</w:t>
      </w:r>
      <w:r>
        <w:rPr>
          <w:rtl/>
        </w:rPr>
        <w:t xml:space="preserve"> </w:t>
      </w:r>
      <w:r w:rsidRPr="00A22B7B">
        <w:rPr>
          <w:rFonts w:hint="cs"/>
          <w:rtl/>
        </w:rPr>
        <w:t>وبحقهما</w:t>
      </w:r>
      <w:r>
        <w:rPr>
          <w:rtl/>
        </w:rPr>
        <w:t xml:space="preserve"> </w:t>
      </w:r>
      <w:r w:rsidRPr="00A22B7B">
        <w:rPr>
          <w:rtl/>
        </w:rPr>
        <w:t>في</w:t>
      </w:r>
      <w:r>
        <w:rPr>
          <w:rtl/>
        </w:rPr>
        <w:t xml:space="preserve"> </w:t>
      </w:r>
      <w:r w:rsidRPr="00A22B7B">
        <w:rPr>
          <w:rtl/>
        </w:rPr>
        <w:t>إبرام</w:t>
      </w:r>
      <w:r>
        <w:rPr>
          <w:rtl/>
        </w:rPr>
        <w:t xml:space="preserve"> </w:t>
      </w:r>
      <w:r w:rsidRPr="00A22B7B">
        <w:rPr>
          <w:rtl/>
        </w:rPr>
        <w:t>العقود،</w:t>
      </w:r>
      <w:r>
        <w:rPr>
          <w:rtl/>
        </w:rPr>
        <w:t xml:space="preserve"> </w:t>
      </w:r>
      <w:r w:rsidRPr="00A22B7B">
        <w:rPr>
          <w:rtl/>
        </w:rPr>
        <w:t>ولا</w:t>
      </w:r>
      <w:r>
        <w:rPr>
          <w:rtl/>
        </w:rPr>
        <w:t xml:space="preserve"> </w:t>
      </w:r>
      <w:r w:rsidRPr="00A22B7B">
        <w:rPr>
          <w:rFonts w:hint="cs"/>
          <w:rtl/>
        </w:rPr>
        <w:t>يجيز</w:t>
      </w:r>
      <w:r>
        <w:rPr>
          <w:rFonts w:hint="cs"/>
          <w:rtl/>
        </w:rPr>
        <w:t xml:space="preserve"> </w:t>
      </w:r>
      <w:r w:rsidRPr="00A22B7B">
        <w:rPr>
          <w:rFonts w:hint="cs"/>
          <w:rtl/>
        </w:rPr>
        <w:t>لأي</w:t>
      </w:r>
      <w:r>
        <w:rPr>
          <w:rFonts w:hint="cs"/>
          <w:rtl/>
        </w:rPr>
        <w:t xml:space="preserve"> </w:t>
      </w:r>
      <w:r w:rsidRPr="00A22B7B">
        <w:rPr>
          <w:rFonts w:hint="cs"/>
          <w:rtl/>
        </w:rPr>
        <w:t>منهما</w:t>
      </w:r>
      <w:r>
        <w:rPr>
          <w:rFonts w:hint="cs"/>
          <w:rtl/>
        </w:rPr>
        <w:t xml:space="preserve"> </w:t>
      </w:r>
      <w:r w:rsidRPr="00A22B7B">
        <w:rPr>
          <w:rtl/>
        </w:rPr>
        <w:t>التنازل،</w:t>
      </w:r>
      <w:r>
        <w:rPr>
          <w:rtl/>
        </w:rPr>
        <w:t xml:space="preserve"> </w:t>
      </w:r>
      <w:r w:rsidRPr="00A22B7B">
        <w:rPr>
          <w:rtl/>
        </w:rPr>
        <w:t>كلي</w:t>
      </w:r>
      <w:r w:rsidRPr="00A22B7B">
        <w:rPr>
          <w:rFonts w:hint="cs"/>
          <w:rtl/>
        </w:rPr>
        <w:t>ً</w:t>
      </w:r>
      <w:r w:rsidRPr="00A22B7B">
        <w:rPr>
          <w:rtl/>
        </w:rPr>
        <w:t>ا</w:t>
      </w:r>
      <w:r>
        <w:rPr>
          <w:rtl/>
        </w:rPr>
        <w:t xml:space="preserve"> </w:t>
      </w:r>
      <w:r w:rsidRPr="00A22B7B">
        <w:rPr>
          <w:rtl/>
        </w:rPr>
        <w:t>أو</w:t>
      </w:r>
      <w:r>
        <w:rPr>
          <w:rtl/>
        </w:rPr>
        <w:t xml:space="preserve"> </w:t>
      </w:r>
      <w:r w:rsidRPr="00A22B7B">
        <w:rPr>
          <w:rtl/>
        </w:rPr>
        <w:t>جزئي</w:t>
      </w:r>
      <w:r w:rsidRPr="00A22B7B">
        <w:rPr>
          <w:rFonts w:hint="cs"/>
          <w:rtl/>
        </w:rPr>
        <w:t>ً</w:t>
      </w:r>
      <w:r w:rsidRPr="00A22B7B">
        <w:rPr>
          <w:rtl/>
        </w:rPr>
        <w:t>ا،</w:t>
      </w:r>
      <w:r>
        <w:rPr>
          <w:rtl/>
        </w:rPr>
        <w:t xml:space="preserve"> </w:t>
      </w:r>
      <w:r w:rsidRPr="00A22B7B">
        <w:rPr>
          <w:rFonts w:hint="cs"/>
          <w:rtl/>
        </w:rPr>
        <w:t>عن</w:t>
      </w:r>
      <w:r>
        <w:rPr>
          <w:rtl/>
        </w:rPr>
        <w:t xml:space="preserve"> </w:t>
      </w:r>
      <w:r w:rsidRPr="00A22B7B">
        <w:rPr>
          <w:rtl/>
        </w:rPr>
        <w:t>أهلي</w:t>
      </w:r>
      <w:r w:rsidRPr="00A22B7B">
        <w:rPr>
          <w:rFonts w:hint="cs"/>
          <w:rtl/>
        </w:rPr>
        <w:t>ته</w:t>
      </w:r>
      <w:r>
        <w:rPr>
          <w:rtl/>
        </w:rPr>
        <w:t xml:space="preserve"> </w:t>
      </w:r>
      <w:r w:rsidRPr="00A22B7B">
        <w:rPr>
          <w:rtl/>
        </w:rPr>
        <w:t>القانونية</w:t>
      </w:r>
      <w:r>
        <w:rPr>
          <w:rtl/>
        </w:rPr>
        <w:t xml:space="preserve"> </w:t>
      </w:r>
      <w:r w:rsidRPr="00A22B7B">
        <w:rPr>
          <w:rtl/>
        </w:rPr>
        <w:t>(المادة</w:t>
      </w:r>
      <w:r>
        <w:rPr>
          <w:rtl/>
        </w:rPr>
        <w:t xml:space="preserve"> </w:t>
      </w:r>
      <w:r w:rsidRPr="00A22B7B">
        <w:rPr>
          <w:rtl/>
        </w:rPr>
        <w:t>66).</w:t>
      </w:r>
      <w:r>
        <w:rPr>
          <w:rtl/>
        </w:rPr>
        <w:t xml:space="preserve"> </w:t>
      </w:r>
      <w:r w:rsidRPr="00A22B7B">
        <w:rPr>
          <w:rFonts w:hint="cs"/>
          <w:rtl/>
        </w:rPr>
        <w:t>وتؤكّد</w:t>
      </w:r>
      <w:r>
        <w:rPr>
          <w:rFonts w:hint="cs"/>
          <w:rtl/>
        </w:rPr>
        <w:t xml:space="preserve"> </w:t>
      </w:r>
      <w:r w:rsidRPr="00A22B7B">
        <w:rPr>
          <w:rFonts w:hint="cs"/>
          <w:rtl/>
        </w:rPr>
        <w:t>المادة</w:t>
      </w:r>
      <w:r>
        <w:rPr>
          <w:rFonts w:hint="cs"/>
          <w:rtl/>
        </w:rPr>
        <w:t xml:space="preserve"> </w:t>
      </w:r>
      <w:r w:rsidRPr="00A22B7B">
        <w:rPr>
          <w:rtl/>
        </w:rPr>
        <w:t>78</w:t>
      </w:r>
      <w:r>
        <w:rPr>
          <w:rtl/>
        </w:rPr>
        <w:t xml:space="preserve"> </w:t>
      </w:r>
      <w:r w:rsidRPr="00A22B7B">
        <w:rPr>
          <w:rFonts w:hint="cs"/>
          <w:rtl/>
        </w:rPr>
        <w:t>حكم</w:t>
      </w:r>
      <w:r>
        <w:rPr>
          <w:rFonts w:hint="cs"/>
          <w:rtl/>
        </w:rPr>
        <w:t xml:space="preserve"> </w:t>
      </w:r>
      <w:r w:rsidRPr="00A22B7B">
        <w:rPr>
          <w:rFonts w:hint="cs"/>
          <w:rtl/>
        </w:rPr>
        <w:t>المادة</w:t>
      </w:r>
      <w:r>
        <w:rPr>
          <w:rFonts w:hint="cs"/>
          <w:rtl/>
        </w:rPr>
        <w:t xml:space="preserve"> </w:t>
      </w:r>
      <w:r w:rsidRPr="00A22B7B">
        <w:rPr>
          <w:rtl/>
        </w:rPr>
        <w:t>66</w:t>
      </w:r>
      <w:r>
        <w:rPr>
          <w:rtl/>
        </w:rPr>
        <w:t xml:space="preserve"> </w:t>
      </w:r>
      <w:r w:rsidRPr="00A22B7B">
        <w:rPr>
          <w:rFonts w:hint="cs"/>
          <w:rtl/>
        </w:rPr>
        <w:t>التي</w:t>
      </w:r>
      <w:r>
        <w:rPr>
          <w:rFonts w:hint="cs"/>
          <w:rtl/>
        </w:rPr>
        <w:t xml:space="preserve"> </w:t>
      </w:r>
      <w:r w:rsidRPr="00A22B7B">
        <w:rPr>
          <w:rFonts w:hint="cs"/>
          <w:rtl/>
        </w:rPr>
        <w:t>ت</w:t>
      </w:r>
      <w:r w:rsidRPr="00A22B7B">
        <w:rPr>
          <w:rtl/>
        </w:rPr>
        <w:t>حظر</w:t>
      </w:r>
      <w:r>
        <w:rPr>
          <w:rtl/>
        </w:rPr>
        <w:t xml:space="preserve"> </w:t>
      </w:r>
      <w:r w:rsidRPr="00A22B7B">
        <w:rPr>
          <w:rtl/>
        </w:rPr>
        <w:t>التقييد</w:t>
      </w:r>
      <w:r>
        <w:rPr>
          <w:rtl/>
        </w:rPr>
        <w:t xml:space="preserve"> </w:t>
      </w:r>
      <w:r w:rsidRPr="00A22B7B">
        <w:rPr>
          <w:rtl/>
        </w:rPr>
        <w:t>الطوعي</w:t>
      </w:r>
      <w:r>
        <w:rPr>
          <w:rtl/>
        </w:rPr>
        <w:t xml:space="preserve"> </w:t>
      </w:r>
      <w:r w:rsidRPr="00A22B7B">
        <w:rPr>
          <w:rtl/>
        </w:rPr>
        <w:t>للحقوق</w:t>
      </w:r>
      <w:r>
        <w:rPr>
          <w:rFonts w:hint="cs"/>
          <w:rtl/>
        </w:rPr>
        <w:t> </w:t>
      </w:r>
      <w:r w:rsidRPr="00A22B7B">
        <w:rPr>
          <w:rtl/>
        </w:rPr>
        <w:t>الشخصية.</w:t>
      </w:r>
    </w:p>
    <w:p w:rsidR="009943B2" w:rsidRPr="00A22B7B" w:rsidRDefault="009943B2" w:rsidP="009943B2">
      <w:pPr>
        <w:pStyle w:val="SingleTxt"/>
        <w:rPr>
          <w:rFonts w:hint="cs"/>
        </w:rPr>
      </w:pPr>
      <w:r>
        <w:rPr>
          <w:rFonts w:hint="cs"/>
          <w:rtl/>
        </w:rPr>
        <w:t xml:space="preserve">327 - </w:t>
      </w:r>
      <w:r w:rsidRPr="00A22B7B">
        <w:rPr>
          <w:rFonts w:hint="cs"/>
          <w:rtl/>
        </w:rPr>
        <w:t>ويترتب</w:t>
      </w:r>
      <w:r>
        <w:rPr>
          <w:rFonts w:hint="cs"/>
          <w:rtl/>
        </w:rPr>
        <w:t xml:space="preserve"> </w:t>
      </w:r>
      <w:r w:rsidRPr="00A22B7B">
        <w:rPr>
          <w:rFonts w:hint="cs"/>
          <w:rtl/>
        </w:rPr>
        <w:t>على</w:t>
      </w:r>
      <w:r>
        <w:rPr>
          <w:rFonts w:hint="cs"/>
          <w:rtl/>
        </w:rPr>
        <w:t xml:space="preserve"> </w:t>
      </w:r>
      <w:r w:rsidRPr="00A22B7B">
        <w:rPr>
          <w:rFonts w:hint="cs"/>
          <w:rtl/>
        </w:rPr>
        <w:t>عدم</w:t>
      </w:r>
      <w:r>
        <w:rPr>
          <w:rFonts w:hint="cs"/>
          <w:rtl/>
        </w:rPr>
        <w:t xml:space="preserve"> </w:t>
      </w:r>
      <w:r w:rsidRPr="00A22B7B">
        <w:rPr>
          <w:rFonts w:hint="cs"/>
          <w:rtl/>
        </w:rPr>
        <w:t>وجود</w:t>
      </w:r>
      <w:r>
        <w:rPr>
          <w:rtl/>
        </w:rPr>
        <w:t xml:space="preserve"> </w:t>
      </w:r>
      <w:r w:rsidRPr="00A22B7B">
        <w:rPr>
          <w:rtl/>
        </w:rPr>
        <w:t>اختلاف</w:t>
      </w:r>
      <w:r>
        <w:rPr>
          <w:rtl/>
        </w:rPr>
        <w:t xml:space="preserve"> </w:t>
      </w:r>
      <w:r w:rsidRPr="00A22B7B">
        <w:rPr>
          <w:rtl/>
        </w:rPr>
        <w:t>في</w:t>
      </w:r>
      <w:r>
        <w:rPr>
          <w:rtl/>
        </w:rPr>
        <w:t xml:space="preserve"> </w:t>
      </w:r>
      <w:r w:rsidRPr="00A22B7B">
        <w:rPr>
          <w:rtl/>
        </w:rPr>
        <w:t>نظام</w:t>
      </w:r>
      <w:r>
        <w:rPr>
          <w:rtl/>
        </w:rPr>
        <w:t xml:space="preserve"> </w:t>
      </w:r>
      <w:r w:rsidRPr="00A22B7B">
        <w:rPr>
          <w:rtl/>
        </w:rPr>
        <w:t>الأهلية</w:t>
      </w:r>
      <w:r>
        <w:rPr>
          <w:rtl/>
        </w:rPr>
        <w:t xml:space="preserve"> </w:t>
      </w:r>
      <w:r w:rsidRPr="00A22B7B">
        <w:rPr>
          <w:rtl/>
        </w:rPr>
        <w:t>القانونية</w:t>
      </w:r>
      <w:r>
        <w:rPr>
          <w:rtl/>
        </w:rPr>
        <w:t xml:space="preserve"> </w:t>
      </w:r>
      <w:r w:rsidRPr="00A22B7B">
        <w:rPr>
          <w:rtl/>
        </w:rPr>
        <w:t>بين</w:t>
      </w:r>
      <w:r>
        <w:rPr>
          <w:rtl/>
        </w:rPr>
        <w:t xml:space="preserve"> </w:t>
      </w:r>
      <w:r w:rsidRPr="00A22B7B">
        <w:rPr>
          <w:rFonts w:hint="cs"/>
          <w:rtl/>
        </w:rPr>
        <w:t>المرأة</w:t>
      </w:r>
      <w:r>
        <w:rPr>
          <w:rtl/>
        </w:rPr>
        <w:t xml:space="preserve"> </w:t>
      </w:r>
      <w:r w:rsidRPr="00A22B7B">
        <w:rPr>
          <w:rtl/>
        </w:rPr>
        <w:t>والرجل</w:t>
      </w:r>
      <w:r>
        <w:rPr>
          <w:rtl/>
        </w:rPr>
        <w:t xml:space="preserve"> </w:t>
      </w:r>
      <w:r w:rsidRPr="00A22B7B">
        <w:rPr>
          <w:rFonts w:hint="cs"/>
          <w:rtl/>
        </w:rPr>
        <w:t>تمتعهما</w:t>
      </w:r>
      <w:r>
        <w:rPr>
          <w:rFonts w:hint="cs"/>
          <w:rtl/>
        </w:rPr>
        <w:t xml:space="preserve"> </w:t>
      </w:r>
      <w:r w:rsidRPr="00A22B7B">
        <w:rPr>
          <w:rFonts w:hint="cs"/>
          <w:rtl/>
        </w:rPr>
        <w:t>بمركز</w:t>
      </w:r>
      <w:r>
        <w:rPr>
          <w:rFonts w:hint="cs"/>
          <w:rtl/>
        </w:rPr>
        <w:t xml:space="preserve"> </w:t>
      </w:r>
      <w:r w:rsidRPr="00A22B7B">
        <w:rPr>
          <w:rFonts w:hint="cs"/>
          <w:rtl/>
        </w:rPr>
        <w:t>المساواة</w:t>
      </w:r>
      <w:r>
        <w:rPr>
          <w:rFonts w:hint="cs"/>
          <w:rtl/>
        </w:rPr>
        <w:t xml:space="preserve"> </w:t>
      </w:r>
      <w:r w:rsidRPr="00A22B7B">
        <w:rPr>
          <w:rFonts w:hint="cs"/>
          <w:rtl/>
        </w:rPr>
        <w:t>ال</w:t>
      </w:r>
      <w:r w:rsidRPr="00A22B7B">
        <w:rPr>
          <w:rtl/>
        </w:rPr>
        <w:t>مطلقة،</w:t>
      </w:r>
      <w:r>
        <w:rPr>
          <w:rtl/>
        </w:rPr>
        <w:t xml:space="preserve"> </w:t>
      </w:r>
      <w:r w:rsidRPr="00A22B7B">
        <w:rPr>
          <w:rFonts w:hint="cs"/>
          <w:rtl/>
        </w:rPr>
        <w:t>سواء</w:t>
      </w:r>
      <w:r>
        <w:rPr>
          <w:rFonts w:hint="cs"/>
          <w:rtl/>
        </w:rPr>
        <w:t xml:space="preserve"> </w:t>
      </w:r>
      <w:r w:rsidRPr="00A22B7B">
        <w:rPr>
          <w:rtl/>
        </w:rPr>
        <w:t>في</w:t>
      </w:r>
      <w:r>
        <w:rPr>
          <w:rtl/>
        </w:rPr>
        <w:t xml:space="preserve"> </w:t>
      </w:r>
      <w:r w:rsidRPr="00A22B7B">
        <w:rPr>
          <w:rtl/>
        </w:rPr>
        <w:t>ممارسة</w:t>
      </w:r>
      <w:r>
        <w:rPr>
          <w:rtl/>
        </w:rPr>
        <w:t xml:space="preserve"> </w:t>
      </w:r>
      <w:r w:rsidRPr="00A22B7B">
        <w:rPr>
          <w:rtl/>
        </w:rPr>
        <w:t>حقوق</w:t>
      </w:r>
      <w:r w:rsidRPr="00A22B7B">
        <w:rPr>
          <w:rFonts w:hint="cs"/>
          <w:rtl/>
        </w:rPr>
        <w:t>هما</w:t>
      </w:r>
      <w:r>
        <w:rPr>
          <w:rtl/>
        </w:rPr>
        <w:t xml:space="preserve"> </w:t>
      </w:r>
      <w:r w:rsidRPr="00A22B7B">
        <w:rPr>
          <w:rtl/>
        </w:rPr>
        <w:t>أو</w:t>
      </w:r>
      <w:r>
        <w:rPr>
          <w:rtl/>
        </w:rPr>
        <w:t xml:space="preserve"> </w:t>
      </w:r>
      <w:r w:rsidRPr="00A22B7B">
        <w:rPr>
          <w:rFonts w:hint="cs"/>
          <w:rtl/>
        </w:rPr>
        <w:t>تنفيذ</w:t>
      </w:r>
      <w:r>
        <w:rPr>
          <w:rFonts w:hint="cs"/>
          <w:rtl/>
        </w:rPr>
        <w:t xml:space="preserve"> </w:t>
      </w:r>
      <w:r w:rsidRPr="00A22B7B">
        <w:rPr>
          <w:rtl/>
        </w:rPr>
        <w:t>التزامات</w:t>
      </w:r>
      <w:r w:rsidRPr="00A22B7B">
        <w:rPr>
          <w:rFonts w:hint="cs"/>
          <w:rtl/>
        </w:rPr>
        <w:t>هما</w:t>
      </w:r>
      <w:r>
        <w:rPr>
          <w:rtl/>
        </w:rPr>
        <w:t xml:space="preserve"> </w:t>
      </w:r>
      <w:r w:rsidRPr="00A22B7B">
        <w:rPr>
          <w:rtl/>
        </w:rPr>
        <w:t>المتعلقة</w:t>
      </w:r>
      <w:r>
        <w:rPr>
          <w:rtl/>
        </w:rPr>
        <w:t xml:space="preserve"> </w:t>
      </w:r>
      <w:r w:rsidRPr="00A22B7B">
        <w:rPr>
          <w:rFonts w:hint="cs"/>
          <w:rtl/>
        </w:rPr>
        <w:t>بامتلاك</w:t>
      </w:r>
      <w:r>
        <w:rPr>
          <w:rtl/>
        </w:rPr>
        <w:t xml:space="preserve"> </w:t>
      </w:r>
      <w:r w:rsidRPr="00A22B7B">
        <w:rPr>
          <w:rtl/>
        </w:rPr>
        <w:t>الممتلكات</w:t>
      </w:r>
      <w:r>
        <w:rPr>
          <w:rtl/>
        </w:rPr>
        <w:t xml:space="preserve"> </w:t>
      </w:r>
      <w:r w:rsidRPr="00A22B7B">
        <w:rPr>
          <w:rtl/>
        </w:rPr>
        <w:t>والميراث</w:t>
      </w:r>
      <w:r>
        <w:rPr>
          <w:rtl/>
        </w:rPr>
        <w:t xml:space="preserve"> </w:t>
      </w:r>
      <w:r w:rsidRPr="00A22B7B">
        <w:rPr>
          <w:rtl/>
        </w:rPr>
        <w:t>و</w:t>
      </w:r>
      <w:r w:rsidRPr="00A22B7B">
        <w:rPr>
          <w:rFonts w:hint="cs"/>
          <w:rtl/>
        </w:rPr>
        <w:t>ال</w:t>
      </w:r>
      <w:r w:rsidRPr="00A22B7B">
        <w:rPr>
          <w:rtl/>
        </w:rPr>
        <w:t>حقوق</w:t>
      </w:r>
      <w:r>
        <w:rPr>
          <w:rtl/>
        </w:rPr>
        <w:t xml:space="preserve"> </w:t>
      </w:r>
      <w:r w:rsidRPr="00A22B7B">
        <w:rPr>
          <w:rtl/>
        </w:rPr>
        <w:t>و</w:t>
      </w:r>
      <w:r w:rsidRPr="00A22B7B">
        <w:rPr>
          <w:rFonts w:hint="cs"/>
          <w:rtl/>
        </w:rPr>
        <w:t>ال</w:t>
      </w:r>
      <w:r w:rsidRPr="00A22B7B">
        <w:rPr>
          <w:rtl/>
        </w:rPr>
        <w:t>واجبات</w:t>
      </w:r>
      <w:r>
        <w:rPr>
          <w:rtl/>
        </w:rPr>
        <w:t xml:space="preserve"> </w:t>
      </w:r>
      <w:r w:rsidRPr="00A22B7B">
        <w:rPr>
          <w:rFonts w:hint="cs"/>
          <w:rtl/>
        </w:rPr>
        <w:t>بصفتهما</w:t>
      </w:r>
      <w:r>
        <w:rPr>
          <w:rFonts w:hint="cs"/>
          <w:rtl/>
        </w:rPr>
        <w:t xml:space="preserve"> </w:t>
      </w:r>
      <w:r w:rsidRPr="00A22B7B">
        <w:rPr>
          <w:rtl/>
        </w:rPr>
        <w:t>زوج</w:t>
      </w:r>
      <w:r w:rsidRPr="00A22B7B">
        <w:rPr>
          <w:rFonts w:hint="cs"/>
          <w:rtl/>
        </w:rPr>
        <w:t>ين</w:t>
      </w:r>
      <w:r>
        <w:rPr>
          <w:rtl/>
        </w:rPr>
        <w:t xml:space="preserve"> </w:t>
      </w:r>
      <w:r w:rsidRPr="00A22B7B">
        <w:rPr>
          <w:rtl/>
        </w:rPr>
        <w:t>أو</w:t>
      </w:r>
      <w:r>
        <w:rPr>
          <w:rtl/>
        </w:rPr>
        <w:t xml:space="preserve"> </w:t>
      </w:r>
      <w:r w:rsidRPr="00A22B7B">
        <w:rPr>
          <w:rFonts w:hint="cs"/>
          <w:rtl/>
        </w:rPr>
        <w:t>والدين</w:t>
      </w:r>
      <w:r w:rsidRPr="00A22B7B">
        <w:rPr>
          <w:rtl/>
        </w:rPr>
        <w:t>.</w:t>
      </w:r>
      <w:r>
        <w:rPr>
          <w:rtl/>
        </w:rPr>
        <w:t xml:space="preserve"> </w:t>
      </w:r>
      <w:r w:rsidRPr="00A22B7B">
        <w:rPr>
          <w:rFonts w:hint="cs"/>
          <w:rtl/>
        </w:rPr>
        <w:t>و</w:t>
      </w:r>
      <w:r w:rsidRPr="00A22B7B">
        <w:rPr>
          <w:rtl/>
        </w:rPr>
        <w:t>يتعامل</w:t>
      </w:r>
      <w:r>
        <w:rPr>
          <w:rtl/>
        </w:rPr>
        <w:t xml:space="preserve"> </w:t>
      </w:r>
      <w:r w:rsidRPr="00A22B7B">
        <w:rPr>
          <w:rtl/>
        </w:rPr>
        <w:t>القانون</w:t>
      </w:r>
      <w:r>
        <w:rPr>
          <w:rtl/>
        </w:rPr>
        <w:t xml:space="preserve"> </w:t>
      </w:r>
      <w:r w:rsidRPr="00A22B7B">
        <w:rPr>
          <w:rtl/>
        </w:rPr>
        <w:t>المدني</w:t>
      </w:r>
      <w:r>
        <w:rPr>
          <w:rtl/>
        </w:rPr>
        <w:t xml:space="preserve"> </w:t>
      </w:r>
      <w:r w:rsidRPr="00A22B7B">
        <w:rPr>
          <w:rtl/>
        </w:rPr>
        <w:t>مع</w:t>
      </w:r>
      <w:r>
        <w:rPr>
          <w:rtl/>
        </w:rPr>
        <w:t xml:space="preserve"> </w:t>
      </w:r>
      <w:r w:rsidRPr="00A22B7B">
        <w:rPr>
          <w:rFonts w:hint="cs"/>
          <w:rtl/>
        </w:rPr>
        <w:t>المرأة</w:t>
      </w:r>
      <w:r>
        <w:rPr>
          <w:rtl/>
        </w:rPr>
        <w:t xml:space="preserve"> </w:t>
      </w:r>
      <w:r w:rsidRPr="00A22B7B">
        <w:rPr>
          <w:rtl/>
        </w:rPr>
        <w:t>والرجل</w:t>
      </w:r>
      <w:r>
        <w:rPr>
          <w:rtl/>
        </w:rPr>
        <w:t xml:space="preserve"> </w:t>
      </w:r>
      <w:r w:rsidRPr="00A22B7B">
        <w:rPr>
          <w:rFonts w:hint="cs"/>
          <w:rtl/>
        </w:rPr>
        <w:t>كشخصين</w:t>
      </w:r>
      <w:r>
        <w:rPr>
          <w:rFonts w:hint="cs"/>
          <w:rtl/>
        </w:rPr>
        <w:t xml:space="preserve"> </w:t>
      </w:r>
      <w:r w:rsidRPr="00A22B7B">
        <w:rPr>
          <w:rFonts w:hint="cs"/>
          <w:rtl/>
        </w:rPr>
        <w:t>خاضعين</w:t>
      </w:r>
      <w:r>
        <w:rPr>
          <w:rFonts w:hint="cs"/>
          <w:rtl/>
        </w:rPr>
        <w:t xml:space="preserve"> </w:t>
      </w:r>
      <w:r w:rsidRPr="00A22B7B">
        <w:rPr>
          <w:rFonts w:hint="cs"/>
          <w:rtl/>
        </w:rPr>
        <w:t>ل</w:t>
      </w:r>
      <w:r w:rsidRPr="00A22B7B">
        <w:rPr>
          <w:rtl/>
        </w:rPr>
        <w:t>لعلاقات</w:t>
      </w:r>
      <w:r>
        <w:rPr>
          <w:rtl/>
        </w:rPr>
        <w:t xml:space="preserve"> </w:t>
      </w:r>
      <w:r w:rsidRPr="00A22B7B">
        <w:rPr>
          <w:rtl/>
        </w:rPr>
        <w:t>القانونية،</w:t>
      </w:r>
      <w:r>
        <w:rPr>
          <w:rtl/>
        </w:rPr>
        <w:t xml:space="preserve"> </w:t>
      </w:r>
      <w:r w:rsidRPr="00A22B7B">
        <w:rPr>
          <w:rFonts w:hint="cs"/>
          <w:rtl/>
        </w:rPr>
        <w:t>وهما</w:t>
      </w:r>
      <w:r>
        <w:rPr>
          <w:rtl/>
        </w:rPr>
        <w:t xml:space="preserve"> </w:t>
      </w:r>
      <w:r w:rsidRPr="00A22B7B">
        <w:rPr>
          <w:rFonts w:hint="cs"/>
          <w:rtl/>
        </w:rPr>
        <w:t>سواء</w:t>
      </w:r>
      <w:r>
        <w:rPr>
          <w:rFonts w:hint="cs"/>
          <w:rtl/>
        </w:rPr>
        <w:t xml:space="preserve"> </w:t>
      </w:r>
      <w:r w:rsidRPr="00A22B7B">
        <w:rPr>
          <w:rFonts w:hint="cs"/>
          <w:rtl/>
        </w:rPr>
        <w:t>من</w:t>
      </w:r>
      <w:r>
        <w:rPr>
          <w:rFonts w:hint="cs"/>
          <w:rtl/>
        </w:rPr>
        <w:t xml:space="preserve"> </w:t>
      </w:r>
      <w:r w:rsidRPr="00A22B7B">
        <w:rPr>
          <w:rFonts w:hint="cs"/>
          <w:rtl/>
        </w:rPr>
        <w:t>حيث</w:t>
      </w:r>
      <w:r>
        <w:rPr>
          <w:rFonts w:hint="cs"/>
          <w:rtl/>
        </w:rPr>
        <w:t xml:space="preserve"> </w:t>
      </w:r>
      <w:r w:rsidRPr="00A22B7B">
        <w:rPr>
          <w:rtl/>
        </w:rPr>
        <w:t>الأهلية</w:t>
      </w:r>
      <w:r>
        <w:rPr>
          <w:rtl/>
        </w:rPr>
        <w:t xml:space="preserve"> </w:t>
      </w:r>
      <w:r w:rsidRPr="00A22B7B">
        <w:rPr>
          <w:rtl/>
        </w:rPr>
        <w:t>القانونية</w:t>
      </w:r>
      <w:r>
        <w:rPr>
          <w:rtl/>
        </w:rPr>
        <w:t xml:space="preserve"> </w:t>
      </w:r>
      <w:r w:rsidRPr="00A22B7B">
        <w:rPr>
          <w:rtl/>
        </w:rPr>
        <w:t>وممارسة</w:t>
      </w:r>
      <w:r>
        <w:rPr>
          <w:rtl/>
        </w:rPr>
        <w:t xml:space="preserve"> </w:t>
      </w:r>
      <w:r w:rsidRPr="00A22B7B">
        <w:rPr>
          <w:rtl/>
        </w:rPr>
        <w:t>الحقوق</w:t>
      </w:r>
      <w:r w:rsidRPr="00F80C43">
        <w:rPr>
          <w:vertAlign w:val="superscript"/>
          <w:rtl/>
        </w:rPr>
        <w:t>(</w:t>
      </w:r>
      <w:r w:rsidRPr="00F80C43">
        <w:rPr>
          <w:rStyle w:val="FootnoteReference"/>
          <w:szCs w:val="30"/>
          <w:rtl/>
        </w:rPr>
        <w:footnoteReference w:id="285"/>
      </w:r>
      <w:r w:rsidRPr="00F80C43">
        <w:rPr>
          <w:vertAlign w:val="superscript"/>
          <w:rtl/>
        </w:rPr>
        <w:t>)</w:t>
      </w:r>
      <w:r w:rsidRPr="00A22B7B">
        <w:rPr>
          <w:rFonts w:hint="cs"/>
          <w:rtl/>
        </w:rPr>
        <w:t>.</w:t>
      </w:r>
    </w:p>
    <w:p w:rsidR="009943B2" w:rsidRPr="00F80C43" w:rsidRDefault="009943B2" w:rsidP="009943B2">
      <w:pPr>
        <w:pStyle w:val="SingleTxt"/>
        <w:spacing w:after="0" w:line="120" w:lineRule="exact"/>
        <w:rPr>
          <w:rFonts w:hint="cs"/>
          <w:i/>
          <w:iCs/>
          <w:sz w:val="10"/>
          <w:u w:val="single"/>
          <w:rtl/>
        </w:rPr>
      </w:pPr>
    </w:p>
    <w:p w:rsidR="009943B2" w:rsidRPr="00F80C43"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Pr="00F80C43">
        <w:rPr>
          <w:rFonts w:hint="cs"/>
          <w:rtl/>
        </w:rPr>
        <w:t>إدارة الملكية الزوجية</w:t>
      </w:r>
    </w:p>
    <w:p w:rsidR="009943B2" w:rsidRPr="00A22B7B" w:rsidRDefault="009943B2" w:rsidP="009943B2">
      <w:pPr>
        <w:pStyle w:val="SingleTxt"/>
        <w:rPr>
          <w:rFonts w:hint="cs"/>
        </w:rPr>
      </w:pPr>
      <w:r>
        <w:rPr>
          <w:rFonts w:hint="cs"/>
          <w:rtl/>
        </w:rPr>
        <w:t xml:space="preserve">328 - </w:t>
      </w:r>
      <w:r w:rsidRPr="00A22B7B">
        <w:rPr>
          <w:rFonts w:hint="cs"/>
          <w:rtl/>
        </w:rPr>
        <w:t>ينصّ</w:t>
      </w:r>
      <w:r>
        <w:rPr>
          <w:rFonts w:hint="cs"/>
          <w:rtl/>
        </w:rPr>
        <w:t xml:space="preserve"> </w:t>
      </w:r>
      <w:r w:rsidRPr="00A22B7B">
        <w:rPr>
          <w:rFonts w:hint="cs"/>
          <w:rtl/>
        </w:rPr>
        <w:t>القانون</w:t>
      </w:r>
      <w:r>
        <w:rPr>
          <w:rFonts w:hint="cs"/>
          <w:rtl/>
        </w:rPr>
        <w:t xml:space="preserve"> </w:t>
      </w:r>
      <w:r w:rsidRPr="00A22B7B">
        <w:rPr>
          <w:rFonts w:hint="cs"/>
          <w:rtl/>
        </w:rPr>
        <w:t>المدني</w:t>
      </w:r>
      <w:r>
        <w:rPr>
          <w:rFonts w:hint="cs"/>
          <w:rtl/>
        </w:rPr>
        <w:t xml:space="preserve"> </w:t>
      </w:r>
      <w:r w:rsidRPr="00A22B7B">
        <w:rPr>
          <w:rFonts w:hint="cs"/>
          <w:rtl/>
        </w:rPr>
        <w:t>لعام</w:t>
      </w:r>
      <w:r>
        <w:rPr>
          <w:rFonts w:hint="cs"/>
          <w:rtl/>
        </w:rPr>
        <w:t xml:space="preserve"> </w:t>
      </w:r>
      <w:r w:rsidRPr="00A22B7B">
        <w:rPr>
          <w:rFonts w:hint="cs"/>
          <w:rtl/>
        </w:rPr>
        <w:t>2011</w:t>
      </w:r>
      <w:r>
        <w:rPr>
          <w:rFonts w:hint="cs"/>
          <w:rtl/>
        </w:rPr>
        <w:t xml:space="preserve"> </w:t>
      </w:r>
      <w:r w:rsidRPr="00A22B7B">
        <w:rPr>
          <w:rFonts w:hint="cs"/>
          <w:rtl/>
        </w:rPr>
        <w:t>أيضًا،</w:t>
      </w:r>
      <w:r>
        <w:rPr>
          <w:rFonts w:hint="cs"/>
          <w:rtl/>
        </w:rPr>
        <w:t xml:space="preserve"> </w:t>
      </w:r>
      <w:r w:rsidRPr="00A22B7B">
        <w:rPr>
          <w:rFonts w:hint="cs"/>
          <w:rtl/>
        </w:rPr>
        <w:t>في</w:t>
      </w:r>
      <w:r>
        <w:rPr>
          <w:rFonts w:hint="cs"/>
          <w:rtl/>
        </w:rPr>
        <w:t xml:space="preserve"> </w:t>
      </w:r>
      <w:r w:rsidRPr="00A22B7B">
        <w:rPr>
          <w:rFonts w:hint="cs"/>
          <w:rtl/>
        </w:rPr>
        <w:t>المادّة</w:t>
      </w:r>
      <w:r>
        <w:rPr>
          <w:rFonts w:hint="cs"/>
          <w:rtl/>
        </w:rPr>
        <w:t xml:space="preserve"> </w:t>
      </w:r>
      <w:r w:rsidRPr="00A22B7B">
        <w:rPr>
          <w:rFonts w:hint="cs"/>
          <w:rtl/>
        </w:rPr>
        <w:t>1570،</w:t>
      </w:r>
      <w:r>
        <w:rPr>
          <w:rFonts w:hint="cs"/>
          <w:rtl/>
        </w:rPr>
        <w:t xml:space="preserve"> </w:t>
      </w:r>
      <w:r w:rsidRPr="00A22B7B">
        <w:rPr>
          <w:rFonts w:hint="cs"/>
          <w:rtl/>
        </w:rPr>
        <w:t>على</w:t>
      </w:r>
      <w:r>
        <w:rPr>
          <w:rFonts w:hint="cs"/>
          <w:rtl/>
        </w:rPr>
        <w:t xml:space="preserve"> </w:t>
      </w:r>
      <w:r w:rsidRPr="00A22B7B">
        <w:rPr>
          <w:rFonts w:hint="cs"/>
          <w:rtl/>
        </w:rPr>
        <w:t>حق</w:t>
      </w:r>
      <w:r>
        <w:rPr>
          <w:rFonts w:hint="cs"/>
          <w:rtl/>
        </w:rPr>
        <w:t xml:space="preserve"> </w:t>
      </w:r>
      <w:r w:rsidRPr="00A22B7B">
        <w:rPr>
          <w:rFonts w:hint="cs"/>
          <w:rtl/>
        </w:rPr>
        <w:t>أي</w:t>
      </w:r>
      <w:r>
        <w:rPr>
          <w:rFonts w:hint="cs"/>
          <w:rtl/>
        </w:rPr>
        <w:t xml:space="preserve"> </w:t>
      </w:r>
      <w:r w:rsidRPr="00A22B7B">
        <w:rPr>
          <w:rFonts w:hint="cs"/>
          <w:rtl/>
        </w:rPr>
        <w:t>من</w:t>
      </w:r>
      <w:r>
        <w:rPr>
          <w:rFonts w:hint="cs"/>
          <w:rtl/>
        </w:rPr>
        <w:t xml:space="preserve"> </w:t>
      </w:r>
      <w:r w:rsidRPr="00A22B7B">
        <w:rPr>
          <w:rFonts w:hint="cs"/>
          <w:rtl/>
        </w:rPr>
        <w:t>الزوجين</w:t>
      </w:r>
      <w:r>
        <w:rPr>
          <w:rFonts w:hint="cs"/>
          <w:rtl/>
        </w:rPr>
        <w:t xml:space="preserve"> </w:t>
      </w:r>
      <w:r w:rsidRPr="00A22B7B">
        <w:rPr>
          <w:rFonts w:hint="cs"/>
          <w:rtl/>
        </w:rPr>
        <w:t>في</w:t>
      </w:r>
      <w:r>
        <w:rPr>
          <w:rFonts w:hint="cs"/>
          <w:rtl/>
        </w:rPr>
        <w:t xml:space="preserve"> </w:t>
      </w:r>
      <w:r w:rsidRPr="00A22B7B">
        <w:rPr>
          <w:rFonts w:hint="cs"/>
          <w:rtl/>
        </w:rPr>
        <w:t>التصرّف</w:t>
      </w:r>
      <w:r>
        <w:rPr>
          <w:rFonts w:hint="cs"/>
          <w:rtl/>
        </w:rPr>
        <w:t xml:space="preserve"> </w:t>
      </w:r>
      <w:r w:rsidRPr="00A22B7B">
        <w:rPr>
          <w:rFonts w:hint="cs"/>
          <w:rtl/>
        </w:rPr>
        <w:t>بممتلكاته،</w:t>
      </w:r>
      <w:r>
        <w:rPr>
          <w:rFonts w:hint="cs"/>
          <w:rtl/>
        </w:rPr>
        <w:t xml:space="preserve"> </w:t>
      </w:r>
      <w:r w:rsidRPr="00A22B7B">
        <w:rPr>
          <w:rFonts w:hint="cs"/>
          <w:rtl/>
        </w:rPr>
        <w:t>وله</w:t>
      </w:r>
      <w:r>
        <w:rPr>
          <w:rFonts w:hint="cs"/>
          <w:rtl/>
        </w:rPr>
        <w:t xml:space="preserve"> </w:t>
      </w:r>
      <w:r w:rsidRPr="00A22B7B">
        <w:rPr>
          <w:rFonts w:hint="cs"/>
          <w:rtl/>
        </w:rPr>
        <w:t>الحق</w:t>
      </w:r>
      <w:r>
        <w:rPr>
          <w:rFonts w:hint="cs"/>
          <w:rtl/>
        </w:rPr>
        <w:t xml:space="preserve"> </w:t>
      </w:r>
      <w:r w:rsidRPr="00A22B7B">
        <w:rPr>
          <w:rFonts w:hint="cs"/>
          <w:rtl/>
        </w:rPr>
        <w:t>أيضًا</w:t>
      </w:r>
      <w:r>
        <w:rPr>
          <w:rFonts w:hint="cs"/>
          <w:rtl/>
        </w:rPr>
        <w:t xml:space="preserve"> </w:t>
      </w:r>
      <w:r w:rsidRPr="00A22B7B">
        <w:rPr>
          <w:rFonts w:hint="cs"/>
          <w:rtl/>
        </w:rPr>
        <w:t>في</w:t>
      </w:r>
      <w:r>
        <w:rPr>
          <w:rFonts w:hint="cs"/>
          <w:rtl/>
        </w:rPr>
        <w:t xml:space="preserve"> </w:t>
      </w:r>
      <w:r w:rsidRPr="00A22B7B">
        <w:rPr>
          <w:rFonts w:hint="cs"/>
          <w:rtl/>
        </w:rPr>
        <w:t>القيام</w:t>
      </w:r>
      <w:r>
        <w:rPr>
          <w:rFonts w:hint="cs"/>
          <w:rtl/>
        </w:rPr>
        <w:t xml:space="preserve"> </w:t>
      </w:r>
      <w:r w:rsidRPr="00A22B7B">
        <w:rPr>
          <w:rFonts w:hint="cs"/>
          <w:rtl/>
        </w:rPr>
        <w:t>بأعمال</w:t>
      </w:r>
      <w:r>
        <w:rPr>
          <w:rFonts w:hint="cs"/>
          <w:rtl/>
        </w:rPr>
        <w:t xml:space="preserve"> </w:t>
      </w:r>
      <w:r w:rsidRPr="00A22B7B">
        <w:rPr>
          <w:rFonts w:hint="cs"/>
          <w:rtl/>
        </w:rPr>
        <w:t>الإدارة</w:t>
      </w:r>
      <w:r>
        <w:rPr>
          <w:rFonts w:hint="cs"/>
          <w:rtl/>
        </w:rPr>
        <w:t xml:space="preserve"> </w:t>
      </w:r>
      <w:r w:rsidRPr="00A22B7B">
        <w:rPr>
          <w:rFonts w:hint="cs"/>
          <w:rtl/>
        </w:rPr>
        <w:t>العادية</w:t>
      </w:r>
      <w:r>
        <w:rPr>
          <w:rFonts w:hint="cs"/>
          <w:rtl/>
        </w:rPr>
        <w:t xml:space="preserve"> </w:t>
      </w:r>
      <w:r w:rsidRPr="00A22B7B">
        <w:rPr>
          <w:rFonts w:hint="cs"/>
          <w:rtl/>
        </w:rPr>
        <w:t>لحوائجه</w:t>
      </w:r>
      <w:r>
        <w:rPr>
          <w:rFonts w:hint="cs"/>
          <w:rtl/>
        </w:rPr>
        <w:t xml:space="preserve"> </w:t>
      </w:r>
      <w:r w:rsidRPr="00A22B7B">
        <w:rPr>
          <w:rFonts w:hint="cs"/>
          <w:rtl/>
        </w:rPr>
        <w:t>وحوائج</w:t>
      </w:r>
      <w:r>
        <w:rPr>
          <w:rFonts w:hint="cs"/>
          <w:rtl/>
        </w:rPr>
        <w:t xml:space="preserve"> </w:t>
      </w:r>
      <w:r w:rsidRPr="00A22B7B">
        <w:rPr>
          <w:rFonts w:hint="cs"/>
          <w:rtl/>
        </w:rPr>
        <w:t>زوجه،</w:t>
      </w:r>
      <w:r>
        <w:rPr>
          <w:rFonts w:hint="cs"/>
          <w:rtl/>
        </w:rPr>
        <w:t xml:space="preserve"> </w:t>
      </w:r>
      <w:r w:rsidRPr="00A22B7B">
        <w:rPr>
          <w:rFonts w:hint="cs"/>
          <w:rtl/>
        </w:rPr>
        <w:t>أما</w:t>
      </w:r>
      <w:r>
        <w:rPr>
          <w:rFonts w:hint="cs"/>
          <w:rtl/>
        </w:rPr>
        <w:t xml:space="preserve"> </w:t>
      </w:r>
      <w:r w:rsidRPr="00A22B7B">
        <w:rPr>
          <w:rFonts w:hint="cs"/>
          <w:rtl/>
        </w:rPr>
        <w:t>أعمال</w:t>
      </w:r>
      <w:r>
        <w:rPr>
          <w:rFonts w:hint="cs"/>
          <w:rtl/>
        </w:rPr>
        <w:t xml:space="preserve"> </w:t>
      </w:r>
      <w:r w:rsidRPr="00A22B7B">
        <w:rPr>
          <w:rFonts w:hint="cs"/>
          <w:rtl/>
        </w:rPr>
        <w:t>الإدارة</w:t>
      </w:r>
      <w:r>
        <w:rPr>
          <w:rFonts w:hint="cs"/>
          <w:rtl/>
        </w:rPr>
        <w:t xml:space="preserve"> </w:t>
      </w:r>
      <w:r w:rsidRPr="00A22B7B">
        <w:rPr>
          <w:rFonts w:hint="cs"/>
          <w:rtl/>
        </w:rPr>
        <w:t>الباقية</w:t>
      </w:r>
      <w:r>
        <w:rPr>
          <w:rFonts w:hint="cs"/>
          <w:rtl/>
        </w:rPr>
        <w:t xml:space="preserve"> </w:t>
      </w:r>
      <w:r w:rsidRPr="00A22B7B">
        <w:rPr>
          <w:rFonts w:hint="cs"/>
          <w:rtl/>
        </w:rPr>
        <w:t>فتُمارس</w:t>
      </w:r>
      <w:r>
        <w:rPr>
          <w:rFonts w:hint="cs"/>
          <w:rtl/>
        </w:rPr>
        <w:t xml:space="preserve"> </w:t>
      </w:r>
      <w:r w:rsidRPr="00A22B7B">
        <w:rPr>
          <w:rFonts w:hint="cs"/>
          <w:rtl/>
        </w:rPr>
        <w:t>بموافقة</w:t>
      </w:r>
      <w:r>
        <w:rPr>
          <w:rFonts w:hint="cs"/>
          <w:rtl/>
        </w:rPr>
        <w:t xml:space="preserve"> </w:t>
      </w:r>
      <w:r w:rsidRPr="00A22B7B">
        <w:rPr>
          <w:rFonts w:hint="cs"/>
          <w:rtl/>
        </w:rPr>
        <w:t>الزوجين</w:t>
      </w:r>
      <w:r>
        <w:rPr>
          <w:rFonts w:hint="cs"/>
          <w:rtl/>
        </w:rPr>
        <w:t xml:space="preserve"> </w:t>
      </w:r>
      <w:r w:rsidRPr="00A22B7B">
        <w:rPr>
          <w:rFonts w:hint="cs"/>
          <w:rtl/>
        </w:rPr>
        <w:t>معًا.</w:t>
      </w:r>
    </w:p>
    <w:p w:rsidR="009943B2" w:rsidRPr="00A22B7B" w:rsidRDefault="009943B2" w:rsidP="009943B2">
      <w:pPr>
        <w:pStyle w:val="SingleTxt"/>
        <w:rPr>
          <w:rFonts w:hint="cs"/>
        </w:rPr>
      </w:pPr>
      <w:r>
        <w:rPr>
          <w:rFonts w:hint="cs"/>
          <w:rtl/>
        </w:rPr>
        <w:t xml:space="preserve">329 - </w:t>
      </w:r>
      <w:r w:rsidRPr="00A22B7B">
        <w:rPr>
          <w:rFonts w:hint="cs"/>
          <w:rtl/>
        </w:rPr>
        <w:t>وتنص</w:t>
      </w:r>
      <w:r>
        <w:rPr>
          <w:rFonts w:hint="cs"/>
          <w:rtl/>
        </w:rPr>
        <w:t xml:space="preserve"> </w:t>
      </w:r>
      <w:r w:rsidRPr="00A22B7B">
        <w:rPr>
          <w:rFonts w:hint="cs"/>
          <w:rtl/>
        </w:rPr>
        <w:t>المادة</w:t>
      </w:r>
      <w:r>
        <w:rPr>
          <w:rFonts w:hint="cs"/>
          <w:rtl/>
        </w:rPr>
        <w:t xml:space="preserve"> </w:t>
      </w:r>
      <w:r w:rsidRPr="00A22B7B">
        <w:rPr>
          <w:rFonts w:hint="cs"/>
          <w:rtl/>
        </w:rPr>
        <w:t>1574</w:t>
      </w:r>
      <w:r>
        <w:rPr>
          <w:rFonts w:hint="cs"/>
          <w:rtl/>
        </w:rPr>
        <w:t xml:space="preserve"> </w:t>
      </w:r>
      <w:r w:rsidRPr="00A22B7B">
        <w:rPr>
          <w:rFonts w:hint="cs"/>
          <w:rtl/>
        </w:rPr>
        <w:t>على</w:t>
      </w:r>
      <w:r>
        <w:rPr>
          <w:rFonts w:hint="cs"/>
          <w:rtl/>
        </w:rPr>
        <w:t xml:space="preserve"> </w:t>
      </w:r>
      <w:r w:rsidRPr="00A22B7B">
        <w:rPr>
          <w:rFonts w:hint="cs"/>
          <w:rtl/>
        </w:rPr>
        <w:t>أن</w:t>
      </w:r>
      <w:r>
        <w:rPr>
          <w:rFonts w:hint="cs"/>
          <w:rtl/>
        </w:rPr>
        <w:t xml:space="preserve"> </w:t>
      </w:r>
      <w:r w:rsidRPr="00A22B7B">
        <w:rPr>
          <w:rFonts w:hint="cs"/>
          <w:rtl/>
        </w:rPr>
        <w:t>التصرّف</w:t>
      </w:r>
      <w:r>
        <w:rPr>
          <w:rFonts w:hint="cs"/>
          <w:rtl/>
        </w:rPr>
        <w:t xml:space="preserve"> </w:t>
      </w:r>
      <w:r w:rsidRPr="00A22B7B">
        <w:rPr>
          <w:rFonts w:hint="cs"/>
          <w:rtl/>
        </w:rPr>
        <w:t>أو</w:t>
      </w:r>
      <w:r>
        <w:rPr>
          <w:rFonts w:hint="cs"/>
          <w:rtl/>
        </w:rPr>
        <w:t xml:space="preserve"> </w:t>
      </w:r>
      <w:r w:rsidRPr="00A22B7B">
        <w:rPr>
          <w:rFonts w:hint="cs"/>
          <w:rtl/>
        </w:rPr>
        <w:t>التكليف</w:t>
      </w:r>
      <w:r>
        <w:rPr>
          <w:rFonts w:hint="cs"/>
          <w:rtl/>
        </w:rPr>
        <w:t xml:space="preserve"> </w:t>
      </w:r>
      <w:r w:rsidRPr="00A22B7B">
        <w:rPr>
          <w:rFonts w:hint="cs"/>
          <w:rtl/>
        </w:rPr>
        <w:t>بالملكية</w:t>
      </w:r>
      <w:r>
        <w:rPr>
          <w:rFonts w:hint="cs"/>
          <w:rtl/>
        </w:rPr>
        <w:t xml:space="preserve"> </w:t>
      </w:r>
      <w:r w:rsidRPr="00A22B7B">
        <w:rPr>
          <w:rFonts w:hint="cs"/>
          <w:rtl/>
        </w:rPr>
        <w:t>المشتركة</w:t>
      </w:r>
      <w:r>
        <w:rPr>
          <w:rFonts w:hint="cs"/>
          <w:rtl/>
        </w:rPr>
        <w:t xml:space="preserve"> </w:t>
      </w:r>
      <w:r w:rsidRPr="00A22B7B">
        <w:rPr>
          <w:rFonts w:hint="cs"/>
          <w:rtl/>
        </w:rPr>
        <w:t>التي</w:t>
      </w:r>
      <w:r>
        <w:rPr>
          <w:rFonts w:hint="cs"/>
          <w:rtl/>
        </w:rPr>
        <w:t xml:space="preserve"> </w:t>
      </w:r>
      <w:r w:rsidRPr="00A22B7B">
        <w:rPr>
          <w:rFonts w:hint="cs"/>
          <w:rtl/>
        </w:rPr>
        <w:t>يقع</w:t>
      </w:r>
      <w:r>
        <w:rPr>
          <w:rFonts w:hint="cs"/>
          <w:rtl/>
        </w:rPr>
        <w:t xml:space="preserve"> </w:t>
      </w:r>
      <w:r w:rsidRPr="00A22B7B">
        <w:rPr>
          <w:rFonts w:hint="cs"/>
          <w:rtl/>
        </w:rPr>
        <w:t>عاتق</w:t>
      </w:r>
      <w:r>
        <w:rPr>
          <w:rFonts w:hint="cs"/>
          <w:rtl/>
        </w:rPr>
        <w:t xml:space="preserve"> </w:t>
      </w:r>
      <w:r w:rsidRPr="00A22B7B">
        <w:rPr>
          <w:rFonts w:hint="cs"/>
          <w:rtl/>
        </w:rPr>
        <w:t>إدارتها</w:t>
      </w:r>
      <w:r>
        <w:rPr>
          <w:rFonts w:hint="cs"/>
          <w:rtl/>
        </w:rPr>
        <w:t xml:space="preserve"> </w:t>
      </w:r>
      <w:r w:rsidRPr="00A22B7B">
        <w:rPr>
          <w:rFonts w:hint="cs"/>
          <w:rtl/>
        </w:rPr>
        <w:t>على</w:t>
      </w:r>
      <w:r>
        <w:rPr>
          <w:rFonts w:hint="cs"/>
          <w:rtl/>
        </w:rPr>
        <w:t xml:space="preserve"> </w:t>
      </w:r>
      <w:r w:rsidRPr="00A22B7B">
        <w:rPr>
          <w:rFonts w:hint="cs"/>
          <w:rtl/>
        </w:rPr>
        <w:t>الزوجين</w:t>
      </w:r>
      <w:r>
        <w:rPr>
          <w:rFonts w:hint="cs"/>
          <w:rtl/>
        </w:rPr>
        <w:t xml:space="preserve"> </w:t>
      </w:r>
      <w:r w:rsidRPr="00A22B7B">
        <w:rPr>
          <w:rFonts w:hint="cs"/>
          <w:rtl/>
        </w:rPr>
        <w:t>يتطلّب</w:t>
      </w:r>
      <w:r>
        <w:rPr>
          <w:rFonts w:hint="cs"/>
          <w:rtl/>
        </w:rPr>
        <w:t xml:space="preserve"> </w:t>
      </w:r>
      <w:r w:rsidRPr="00A22B7B">
        <w:rPr>
          <w:rFonts w:hint="cs"/>
          <w:rtl/>
        </w:rPr>
        <w:t>موافقتهما</w:t>
      </w:r>
      <w:r>
        <w:rPr>
          <w:rFonts w:hint="cs"/>
          <w:rtl/>
        </w:rPr>
        <w:t xml:space="preserve"> </w:t>
      </w:r>
      <w:r w:rsidRPr="00A22B7B">
        <w:rPr>
          <w:rFonts w:hint="cs"/>
          <w:rtl/>
        </w:rPr>
        <w:t>إلا</w:t>
      </w:r>
      <w:r>
        <w:rPr>
          <w:rFonts w:hint="cs"/>
          <w:rtl/>
        </w:rPr>
        <w:t xml:space="preserve"> </w:t>
      </w:r>
      <w:r w:rsidRPr="00A22B7B">
        <w:rPr>
          <w:rFonts w:hint="cs"/>
          <w:rtl/>
        </w:rPr>
        <w:t>فيما</w:t>
      </w:r>
      <w:r>
        <w:rPr>
          <w:rFonts w:hint="cs"/>
          <w:rtl/>
        </w:rPr>
        <w:t xml:space="preserve"> </w:t>
      </w:r>
      <w:r w:rsidRPr="00A22B7B">
        <w:rPr>
          <w:rFonts w:hint="cs"/>
          <w:rtl/>
        </w:rPr>
        <w:t>يتعلّق</w:t>
      </w:r>
      <w:r>
        <w:rPr>
          <w:rFonts w:hint="cs"/>
          <w:rtl/>
        </w:rPr>
        <w:t xml:space="preserve"> </w:t>
      </w:r>
      <w:r w:rsidRPr="00A22B7B">
        <w:rPr>
          <w:rFonts w:hint="cs"/>
          <w:rtl/>
        </w:rPr>
        <w:t>بأعمال</w:t>
      </w:r>
      <w:r>
        <w:rPr>
          <w:rFonts w:hint="cs"/>
          <w:rtl/>
        </w:rPr>
        <w:t xml:space="preserve"> </w:t>
      </w:r>
      <w:r w:rsidRPr="00A22B7B">
        <w:rPr>
          <w:rFonts w:hint="cs"/>
          <w:rtl/>
        </w:rPr>
        <w:t>الإدارة</w:t>
      </w:r>
      <w:r>
        <w:rPr>
          <w:rFonts w:hint="cs"/>
          <w:rtl/>
        </w:rPr>
        <w:t xml:space="preserve"> </w:t>
      </w:r>
      <w:r w:rsidRPr="00A22B7B">
        <w:rPr>
          <w:rFonts w:hint="cs"/>
          <w:rtl/>
        </w:rPr>
        <w:t>العادية.</w:t>
      </w:r>
    </w:p>
    <w:p w:rsidR="009943B2" w:rsidRPr="00A22B7B" w:rsidRDefault="009943B2" w:rsidP="009943B2">
      <w:pPr>
        <w:pStyle w:val="SingleTxt"/>
        <w:rPr>
          <w:rFonts w:hint="cs"/>
        </w:rPr>
      </w:pPr>
      <w:r>
        <w:rPr>
          <w:rFonts w:hint="cs"/>
          <w:rtl/>
        </w:rPr>
        <w:t xml:space="preserve">330 - </w:t>
      </w:r>
      <w:r w:rsidRPr="00A22B7B">
        <w:rPr>
          <w:rFonts w:hint="cs"/>
          <w:rtl/>
        </w:rPr>
        <w:t>وقد</w:t>
      </w:r>
      <w:r>
        <w:rPr>
          <w:rFonts w:hint="cs"/>
          <w:rtl/>
        </w:rPr>
        <w:t xml:space="preserve"> </w:t>
      </w:r>
      <w:r w:rsidRPr="00A22B7B">
        <w:rPr>
          <w:rFonts w:hint="cs"/>
          <w:rtl/>
        </w:rPr>
        <w:t>أتاح</w:t>
      </w:r>
      <w:r>
        <w:rPr>
          <w:rFonts w:hint="cs"/>
          <w:rtl/>
        </w:rPr>
        <w:t xml:space="preserve"> </w:t>
      </w:r>
      <w:r w:rsidRPr="00A22B7B">
        <w:rPr>
          <w:rFonts w:hint="cs"/>
          <w:rtl/>
        </w:rPr>
        <w:t>الاستقصاء</w:t>
      </w:r>
      <w:r>
        <w:rPr>
          <w:rFonts w:hint="cs"/>
          <w:rtl/>
        </w:rPr>
        <w:t xml:space="preserve"> </w:t>
      </w:r>
      <w:r w:rsidRPr="00A22B7B">
        <w:rPr>
          <w:rFonts w:hint="cs"/>
          <w:rtl/>
        </w:rPr>
        <w:t>الديمغرافي</w:t>
      </w:r>
      <w:r>
        <w:rPr>
          <w:rFonts w:hint="cs"/>
          <w:rtl/>
        </w:rPr>
        <w:t xml:space="preserve"> </w:t>
      </w:r>
      <w:r w:rsidRPr="00A22B7B">
        <w:rPr>
          <w:rFonts w:hint="cs"/>
          <w:rtl/>
        </w:rPr>
        <w:t>والصحي</w:t>
      </w:r>
      <w:r>
        <w:rPr>
          <w:rFonts w:hint="cs"/>
          <w:rtl/>
        </w:rPr>
        <w:t xml:space="preserve"> </w:t>
      </w:r>
      <w:r w:rsidRPr="00A22B7B">
        <w:rPr>
          <w:rFonts w:hint="cs"/>
          <w:rtl/>
        </w:rPr>
        <w:t>للفترة</w:t>
      </w:r>
      <w:r>
        <w:rPr>
          <w:rFonts w:hint="cs"/>
          <w:rtl/>
        </w:rPr>
        <w:t xml:space="preserve"> </w:t>
      </w:r>
      <w:r w:rsidRPr="00A22B7B">
        <w:rPr>
          <w:rFonts w:hint="cs"/>
          <w:rtl/>
        </w:rPr>
        <w:t>2009-2010</w:t>
      </w:r>
      <w:r>
        <w:rPr>
          <w:rFonts w:hint="cs"/>
          <w:rtl/>
        </w:rPr>
        <w:t xml:space="preserve"> </w:t>
      </w:r>
      <w:r w:rsidRPr="00A22B7B">
        <w:rPr>
          <w:rFonts w:hint="cs"/>
          <w:rtl/>
        </w:rPr>
        <w:t>جمع</w:t>
      </w:r>
      <w:r>
        <w:rPr>
          <w:rFonts w:hint="cs"/>
          <w:rtl/>
        </w:rPr>
        <w:t xml:space="preserve"> </w:t>
      </w:r>
      <w:r w:rsidRPr="00A22B7B">
        <w:rPr>
          <w:rFonts w:hint="cs"/>
          <w:rtl/>
        </w:rPr>
        <w:t>بيانات</w:t>
      </w:r>
      <w:r>
        <w:rPr>
          <w:rFonts w:hint="cs"/>
          <w:rtl/>
        </w:rPr>
        <w:t xml:space="preserve"> </w:t>
      </w:r>
      <w:r w:rsidRPr="00A22B7B">
        <w:rPr>
          <w:rFonts w:hint="cs"/>
          <w:rtl/>
        </w:rPr>
        <w:t>عن</w:t>
      </w:r>
      <w:r>
        <w:rPr>
          <w:rFonts w:hint="cs"/>
          <w:rtl/>
        </w:rPr>
        <w:t xml:space="preserve"> </w:t>
      </w:r>
      <w:r w:rsidRPr="00A22B7B">
        <w:rPr>
          <w:rFonts w:hint="cs"/>
          <w:rtl/>
        </w:rPr>
        <w:t>مشاركة</w:t>
      </w:r>
      <w:r>
        <w:rPr>
          <w:rFonts w:hint="cs"/>
          <w:rtl/>
        </w:rPr>
        <w:t xml:space="preserve"> </w:t>
      </w:r>
      <w:r w:rsidRPr="00A22B7B">
        <w:rPr>
          <w:rFonts w:hint="cs"/>
          <w:rtl/>
        </w:rPr>
        <w:t>النساء</w:t>
      </w:r>
      <w:r>
        <w:rPr>
          <w:rFonts w:hint="cs"/>
          <w:rtl/>
        </w:rPr>
        <w:t xml:space="preserve"> </w:t>
      </w:r>
      <w:r w:rsidRPr="00A22B7B">
        <w:rPr>
          <w:rFonts w:hint="cs"/>
          <w:rtl/>
        </w:rPr>
        <w:t>في</w:t>
      </w:r>
      <w:r>
        <w:rPr>
          <w:rFonts w:hint="cs"/>
          <w:rtl/>
        </w:rPr>
        <w:t xml:space="preserve"> </w:t>
      </w:r>
      <w:r w:rsidRPr="00A22B7B">
        <w:rPr>
          <w:rFonts w:hint="cs"/>
          <w:rtl/>
        </w:rPr>
        <w:t>اتخاذ</w:t>
      </w:r>
      <w:r>
        <w:rPr>
          <w:rFonts w:hint="cs"/>
          <w:rtl/>
        </w:rPr>
        <w:t xml:space="preserve"> </w:t>
      </w:r>
      <w:r w:rsidRPr="00A22B7B">
        <w:rPr>
          <w:rFonts w:hint="cs"/>
          <w:rtl/>
        </w:rPr>
        <w:t>القرار</w:t>
      </w:r>
      <w:r>
        <w:rPr>
          <w:rFonts w:hint="cs"/>
          <w:rtl/>
        </w:rPr>
        <w:t xml:space="preserve"> </w:t>
      </w:r>
      <w:r w:rsidRPr="00A22B7B">
        <w:rPr>
          <w:rFonts w:hint="cs"/>
          <w:rtl/>
        </w:rPr>
        <w:t>في</w:t>
      </w:r>
      <w:r>
        <w:rPr>
          <w:rFonts w:hint="cs"/>
          <w:rtl/>
        </w:rPr>
        <w:t xml:space="preserve"> </w:t>
      </w:r>
      <w:r w:rsidRPr="00A22B7B">
        <w:rPr>
          <w:rFonts w:hint="cs"/>
          <w:rtl/>
        </w:rPr>
        <w:t>الأسرة،</w:t>
      </w:r>
      <w:r>
        <w:rPr>
          <w:rFonts w:hint="cs"/>
          <w:rtl/>
        </w:rPr>
        <w:t xml:space="preserve"> </w:t>
      </w:r>
      <w:r w:rsidRPr="00A22B7B">
        <w:rPr>
          <w:rFonts w:hint="cs"/>
          <w:rtl/>
        </w:rPr>
        <w:t>وأكد</w:t>
      </w:r>
      <w:r>
        <w:rPr>
          <w:rFonts w:hint="cs"/>
          <w:rtl/>
        </w:rPr>
        <w:t xml:space="preserve"> </w:t>
      </w:r>
      <w:r w:rsidRPr="00A22B7B">
        <w:rPr>
          <w:rFonts w:hint="cs"/>
          <w:rtl/>
        </w:rPr>
        <w:t>أن</w:t>
      </w:r>
      <w:r>
        <w:rPr>
          <w:rFonts w:hint="cs"/>
          <w:rtl/>
        </w:rPr>
        <w:t xml:space="preserve"> </w:t>
      </w:r>
      <w:r w:rsidRPr="00A22B7B">
        <w:rPr>
          <w:rFonts w:hint="cs"/>
          <w:rtl/>
        </w:rPr>
        <w:t>غالبية</w:t>
      </w:r>
      <w:r>
        <w:rPr>
          <w:rFonts w:hint="cs"/>
          <w:rtl/>
        </w:rPr>
        <w:t xml:space="preserve"> </w:t>
      </w:r>
      <w:r w:rsidRPr="00A22B7B">
        <w:rPr>
          <w:rFonts w:hint="cs"/>
          <w:rtl/>
        </w:rPr>
        <w:t>القرارات</w:t>
      </w:r>
      <w:r>
        <w:rPr>
          <w:rFonts w:hint="cs"/>
          <w:rtl/>
        </w:rPr>
        <w:t xml:space="preserve"> </w:t>
      </w:r>
      <w:r w:rsidRPr="00A22B7B">
        <w:rPr>
          <w:rFonts w:hint="cs"/>
          <w:rtl/>
        </w:rPr>
        <w:t>المتعلّقة</w:t>
      </w:r>
      <w:r>
        <w:rPr>
          <w:rFonts w:hint="cs"/>
          <w:rtl/>
        </w:rPr>
        <w:t xml:space="preserve"> </w:t>
      </w:r>
      <w:r w:rsidRPr="00A22B7B">
        <w:rPr>
          <w:rFonts w:hint="cs"/>
          <w:rtl/>
        </w:rPr>
        <w:t>بالملكية</w:t>
      </w:r>
      <w:r>
        <w:rPr>
          <w:rFonts w:hint="cs"/>
          <w:rtl/>
        </w:rPr>
        <w:t xml:space="preserve"> </w:t>
      </w:r>
      <w:r w:rsidRPr="00A22B7B">
        <w:rPr>
          <w:rFonts w:hint="cs"/>
          <w:rtl/>
        </w:rPr>
        <w:t>الزوجية</w:t>
      </w:r>
      <w:r>
        <w:rPr>
          <w:rFonts w:hint="cs"/>
          <w:rtl/>
        </w:rPr>
        <w:t xml:space="preserve"> </w:t>
      </w:r>
      <w:r w:rsidRPr="00A22B7B">
        <w:rPr>
          <w:rFonts w:hint="cs"/>
          <w:rtl/>
        </w:rPr>
        <w:t>وشراء</w:t>
      </w:r>
      <w:r>
        <w:rPr>
          <w:rFonts w:hint="cs"/>
          <w:rtl/>
        </w:rPr>
        <w:t xml:space="preserve"> </w:t>
      </w:r>
      <w:r w:rsidRPr="00A22B7B">
        <w:rPr>
          <w:rFonts w:hint="cs"/>
          <w:rtl/>
        </w:rPr>
        <w:t>الاحتياجات</w:t>
      </w:r>
      <w:r>
        <w:rPr>
          <w:rFonts w:hint="cs"/>
          <w:rtl/>
        </w:rPr>
        <w:t xml:space="preserve"> </w:t>
      </w:r>
      <w:r w:rsidRPr="00A22B7B">
        <w:rPr>
          <w:rFonts w:hint="cs"/>
          <w:rtl/>
        </w:rPr>
        <w:t>اليومية</w:t>
      </w:r>
      <w:r>
        <w:rPr>
          <w:rFonts w:hint="cs"/>
          <w:rtl/>
        </w:rPr>
        <w:t xml:space="preserve"> </w:t>
      </w:r>
      <w:r w:rsidRPr="00A22B7B">
        <w:rPr>
          <w:rFonts w:hint="cs"/>
          <w:rtl/>
        </w:rPr>
        <w:t>والاحتياجات</w:t>
      </w:r>
      <w:r>
        <w:rPr>
          <w:rFonts w:hint="cs"/>
          <w:rtl/>
        </w:rPr>
        <w:t xml:space="preserve"> </w:t>
      </w:r>
      <w:r w:rsidRPr="00A22B7B">
        <w:rPr>
          <w:rFonts w:hint="cs"/>
          <w:rtl/>
        </w:rPr>
        <w:t>الأساسية</w:t>
      </w:r>
      <w:r>
        <w:rPr>
          <w:rFonts w:hint="cs"/>
          <w:rtl/>
        </w:rPr>
        <w:t xml:space="preserve"> </w:t>
      </w:r>
      <w:r w:rsidRPr="00A22B7B">
        <w:rPr>
          <w:rFonts w:hint="cs"/>
          <w:rtl/>
        </w:rPr>
        <w:t>يتّخذها</w:t>
      </w:r>
      <w:r>
        <w:rPr>
          <w:rFonts w:hint="cs"/>
          <w:rtl/>
        </w:rPr>
        <w:t xml:space="preserve"> </w:t>
      </w:r>
      <w:r w:rsidRPr="00A22B7B">
        <w:rPr>
          <w:rFonts w:hint="cs"/>
          <w:rtl/>
        </w:rPr>
        <w:t>الزوجان</w:t>
      </w:r>
      <w:r>
        <w:rPr>
          <w:rFonts w:hint="cs"/>
          <w:rtl/>
        </w:rPr>
        <w:t xml:space="preserve"> </w:t>
      </w:r>
      <w:r w:rsidRPr="00A22B7B">
        <w:rPr>
          <w:rFonts w:hint="cs"/>
          <w:rtl/>
        </w:rPr>
        <w:t>معًا</w:t>
      </w:r>
      <w:r w:rsidRPr="00F80C43">
        <w:rPr>
          <w:vertAlign w:val="superscript"/>
          <w:rtl/>
        </w:rPr>
        <w:t>(</w:t>
      </w:r>
      <w:r w:rsidRPr="00F80C43">
        <w:rPr>
          <w:rStyle w:val="FootnoteReference"/>
          <w:szCs w:val="30"/>
          <w:rtl/>
        </w:rPr>
        <w:footnoteReference w:id="286"/>
      </w:r>
      <w:r w:rsidRPr="00F80C43">
        <w:rPr>
          <w:vertAlign w:val="superscript"/>
          <w:rtl/>
        </w:rPr>
        <w:t>)</w:t>
      </w:r>
      <w:r w:rsidRPr="00A22B7B">
        <w:rPr>
          <w:rFonts w:hint="cs"/>
          <w:rtl/>
        </w:rPr>
        <w:t>.</w:t>
      </w:r>
    </w:p>
    <w:p w:rsidR="009943B2" w:rsidRPr="00F80C43" w:rsidRDefault="009943B2" w:rsidP="009943B2">
      <w:pPr>
        <w:pStyle w:val="SingleTxt"/>
        <w:spacing w:after="0" w:line="120" w:lineRule="exact"/>
        <w:rPr>
          <w:rFonts w:hint="cs"/>
          <w:i/>
          <w:iCs/>
          <w:sz w:val="10"/>
          <w:u w:val="single"/>
          <w:rtl/>
        </w:rPr>
      </w:pPr>
    </w:p>
    <w:p w:rsidR="009943B2" w:rsidRPr="00F80C43"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Pr="00F80C43">
        <w:rPr>
          <w:rFonts w:hint="cs"/>
          <w:rtl/>
        </w:rPr>
        <w:t>السكن العائلي</w:t>
      </w:r>
    </w:p>
    <w:p w:rsidR="009943B2" w:rsidRPr="00A22B7B" w:rsidRDefault="009943B2" w:rsidP="009943B2">
      <w:pPr>
        <w:pStyle w:val="SingleTxt"/>
        <w:rPr>
          <w:rFonts w:hint="cs"/>
        </w:rPr>
      </w:pPr>
      <w:r>
        <w:rPr>
          <w:rFonts w:hint="cs"/>
          <w:rtl/>
        </w:rPr>
        <w:t xml:space="preserve">331 - </w:t>
      </w:r>
      <w:r w:rsidRPr="00A22B7B">
        <w:rPr>
          <w:rFonts w:hint="cs"/>
          <w:rtl/>
        </w:rPr>
        <w:t>نصّ</w:t>
      </w:r>
      <w:r>
        <w:rPr>
          <w:rFonts w:hint="cs"/>
          <w:rtl/>
        </w:rPr>
        <w:t xml:space="preserve"> </w:t>
      </w:r>
      <w:r w:rsidRPr="00A22B7B">
        <w:rPr>
          <w:rFonts w:hint="cs"/>
          <w:rtl/>
        </w:rPr>
        <w:t>القانون</w:t>
      </w:r>
      <w:r>
        <w:rPr>
          <w:rFonts w:hint="cs"/>
          <w:rtl/>
        </w:rPr>
        <w:t xml:space="preserve"> </w:t>
      </w:r>
      <w:r w:rsidRPr="00A22B7B">
        <w:rPr>
          <w:rFonts w:hint="cs"/>
          <w:rtl/>
        </w:rPr>
        <w:t>المدني</w:t>
      </w:r>
      <w:r>
        <w:rPr>
          <w:rFonts w:hint="cs"/>
          <w:rtl/>
        </w:rPr>
        <w:t xml:space="preserve"> </w:t>
      </w:r>
      <w:r w:rsidRPr="00A22B7B">
        <w:rPr>
          <w:rFonts w:hint="cs"/>
          <w:rtl/>
        </w:rPr>
        <w:t>لعام</w:t>
      </w:r>
      <w:r>
        <w:rPr>
          <w:rFonts w:hint="cs"/>
          <w:rtl/>
        </w:rPr>
        <w:t xml:space="preserve"> </w:t>
      </w:r>
      <w:r w:rsidRPr="00A22B7B">
        <w:rPr>
          <w:rFonts w:hint="cs"/>
          <w:rtl/>
        </w:rPr>
        <w:t>2011</w:t>
      </w:r>
      <w:r>
        <w:rPr>
          <w:rFonts w:hint="cs"/>
          <w:rtl/>
        </w:rPr>
        <w:t xml:space="preserve"> </w:t>
      </w:r>
      <w:r w:rsidRPr="00A22B7B">
        <w:rPr>
          <w:rFonts w:hint="cs"/>
          <w:rtl/>
        </w:rPr>
        <w:t>على</w:t>
      </w:r>
      <w:r>
        <w:rPr>
          <w:rFonts w:hint="cs"/>
          <w:rtl/>
        </w:rPr>
        <w:t xml:space="preserve"> </w:t>
      </w:r>
      <w:r w:rsidRPr="00A22B7B">
        <w:rPr>
          <w:rFonts w:hint="cs"/>
          <w:rtl/>
        </w:rPr>
        <w:t>أنه</w:t>
      </w:r>
      <w:r>
        <w:rPr>
          <w:rFonts w:hint="cs"/>
          <w:rtl/>
        </w:rPr>
        <w:t xml:space="preserve"> </w:t>
      </w:r>
      <w:r w:rsidRPr="00A22B7B">
        <w:rPr>
          <w:rFonts w:hint="cs"/>
          <w:rtl/>
        </w:rPr>
        <w:t>ينبغي</w:t>
      </w:r>
      <w:r>
        <w:rPr>
          <w:rFonts w:hint="cs"/>
          <w:rtl/>
        </w:rPr>
        <w:t xml:space="preserve"> </w:t>
      </w:r>
      <w:r w:rsidRPr="00A22B7B">
        <w:rPr>
          <w:rFonts w:hint="cs"/>
          <w:rtl/>
        </w:rPr>
        <w:t>للزوجين</w:t>
      </w:r>
      <w:r>
        <w:rPr>
          <w:rFonts w:hint="cs"/>
          <w:rtl/>
        </w:rPr>
        <w:t xml:space="preserve"> </w:t>
      </w:r>
      <w:r w:rsidRPr="00A22B7B">
        <w:rPr>
          <w:rFonts w:hint="cs"/>
          <w:rtl/>
        </w:rPr>
        <w:t>اختيار</w:t>
      </w:r>
      <w:r>
        <w:rPr>
          <w:rFonts w:hint="cs"/>
          <w:rtl/>
        </w:rPr>
        <w:t xml:space="preserve"> </w:t>
      </w:r>
      <w:r w:rsidRPr="00A22B7B">
        <w:rPr>
          <w:rFonts w:hint="cs"/>
          <w:rtl/>
        </w:rPr>
        <w:t>سكنهما</w:t>
      </w:r>
      <w:r>
        <w:rPr>
          <w:rFonts w:hint="cs"/>
          <w:rtl/>
        </w:rPr>
        <w:t xml:space="preserve"> </w:t>
      </w:r>
      <w:r w:rsidRPr="00A22B7B">
        <w:rPr>
          <w:rFonts w:hint="cs"/>
          <w:rtl/>
        </w:rPr>
        <w:t>العائلي</w:t>
      </w:r>
      <w:r>
        <w:rPr>
          <w:rFonts w:hint="cs"/>
          <w:rtl/>
        </w:rPr>
        <w:t xml:space="preserve"> </w:t>
      </w:r>
      <w:r w:rsidRPr="00A22B7B">
        <w:rPr>
          <w:rFonts w:hint="cs"/>
          <w:rtl/>
        </w:rPr>
        <w:t>بناء</w:t>
      </w:r>
      <w:r>
        <w:rPr>
          <w:rFonts w:hint="cs"/>
          <w:rtl/>
        </w:rPr>
        <w:t xml:space="preserve"> </w:t>
      </w:r>
      <w:r w:rsidRPr="00A22B7B">
        <w:rPr>
          <w:rFonts w:hint="cs"/>
          <w:rtl/>
        </w:rPr>
        <w:t>على</w:t>
      </w:r>
      <w:r>
        <w:rPr>
          <w:rFonts w:hint="cs"/>
          <w:rtl/>
        </w:rPr>
        <w:t xml:space="preserve"> </w:t>
      </w:r>
      <w:r w:rsidRPr="00A22B7B">
        <w:rPr>
          <w:rFonts w:hint="cs"/>
          <w:rtl/>
        </w:rPr>
        <w:t>اتفاق</w:t>
      </w:r>
      <w:r>
        <w:rPr>
          <w:rFonts w:hint="cs"/>
          <w:rtl/>
        </w:rPr>
        <w:t xml:space="preserve"> </w:t>
      </w:r>
      <w:r w:rsidRPr="00A22B7B">
        <w:rPr>
          <w:rFonts w:hint="cs"/>
          <w:rtl/>
        </w:rPr>
        <w:t>مشترك</w:t>
      </w:r>
      <w:r>
        <w:rPr>
          <w:rFonts w:hint="cs"/>
          <w:rtl/>
        </w:rPr>
        <w:t xml:space="preserve"> </w:t>
      </w:r>
      <w:r w:rsidRPr="00A22B7B">
        <w:rPr>
          <w:rFonts w:hint="cs"/>
          <w:rtl/>
        </w:rPr>
        <w:t>(البند</w:t>
      </w:r>
      <w:r>
        <w:rPr>
          <w:rFonts w:hint="cs"/>
          <w:rtl/>
        </w:rPr>
        <w:t xml:space="preserve"> </w:t>
      </w:r>
      <w:r w:rsidRPr="00A22B7B">
        <w:rPr>
          <w:rFonts w:hint="cs"/>
          <w:rtl/>
        </w:rPr>
        <w:t>1</w:t>
      </w:r>
      <w:r>
        <w:rPr>
          <w:rFonts w:hint="cs"/>
          <w:rtl/>
        </w:rPr>
        <w:t xml:space="preserve"> </w:t>
      </w:r>
      <w:r w:rsidRPr="00A22B7B">
        <w:rPr>
          <w:rFonts w:hint="cs"/>
          <w:rtl/>
        </w:rPr>
        <w:t>من</w:t>
      </w:r>
      <w:r>
        <w:rPr>
          <w:rFonts w:hint="cs"/>
          <w:rtl/>
        </w:rPr>
        <w:t xml:space="preserve"> </w:t>
      </w:r>
      <w:r w:rsidRPr="00A22B7B">
        <w:rPr>
          <w:rFonts w:hint="cs"/>
          <w:rtl/>
        </w:rPr>
        <w:t>المادة</w:t>
      </w:r>
      <w:r>
        <w:rPr>
          <w:rFonts w:hint="cs"/>
          <w:rtl/>
        </w:rPr>
        <w:t xml:space="preserve"> </w:t>
      </w:r>
      <w:r w:rsidRPr="00A22B7B">
        <w:rPr>
          <w:rFonts w:hint="cs"/>
          <w:rtl/>
        </w:rPr>
        <w:t>1561).</w:t>
      </w:r>
      <w:r>
        <w:rPr>
          <w:rFonts w:hint="cs"/>
          <w:rtl/>
        </w:rPr>
        <w:t xml:space="preserve"> </w:t>
      </w:r>
      <w:r w:rsidRPr="00A22B7B">
        <w:rPr>
          <w:rFonts w:hint="cs"/>
          <w:rtl/>
        </w:rPr>
        <w:t>وفي</w:t>
      </w:r>
      <w:r>
        <w:rPr>
          <w:rFonts w:hint="cs"/>
          <w:rtl/>
        </w:rPr>
        <w:t xml:space="preserve"> </w:t>
      </w:r>
      <w:r w:rsidRPr="00A22B7B">
        <w:rPr>
          <w:rFonts w:hint="cs"/>
          <w:rtl/>
        </w:rPr>
        <w:t>حال</w:t>
      </w:r>
      <w:r>
        <w:rPr>
          <w:rFonts w:hint="cs"/>
          <w:rtl/>
        </w:rPr>
        <w:t xml:space="preserve"> </w:t>
      </w:r>
      <w:r w:rsidRPr="00A22B7B">
        <w:rPr>
          <w:rFonts w:hint="cs"/>
          <w:rtl/>
        </w:rPr>
        <w:t>حصول</w:t>
      </w:r>
      <w:r>
        <w:rPr>
          <w:rFonts w:hint="cs"/>
          <w:rtl/>
        </w:rPr>
        <w:t xml:space="preserve"> </w:t>
      </w:r>
      <w:r w:rsidRPr="00A22B7B">
        <w:rPr>
          <w:rFonts w:hint="cs"/>
          <w:rtl/>
        </w:rPr>
        <w:t>خلاف</w:t>
      </w:r>
      <w:r>
        <w:rPr>
          <w:rFonts w:hint="cs"/>
          <w:rtl/>
        </w:rPr>
        <w:t xml:space="preserve"> </w:t>
      </w:r>
      <w:r w:rsidRPr="00A22B7B">
        <w:rPr>
          <w:rFonts w:hint="cs"/>
          <w:rtl/>
        </w:rPr>
        <w:t>بين</w:t>
      </w:r>
      <w:r>
        <w:rPr>
          <w:rFonts w:hint="cs"/>
          <w:rtl/>
        </w:rPr>
        <w:t xml:space="preserve"> </w:t>
      </w:r>
      <w:r w:rsidRPr="00A22B7B">
        <w:rPr>
          <w:rFonts w:hint="cs"/>
          <w:rtl/>
        </w:rPr>
        <w:t>الزوجين</w:t>
      </w:r>
      <w:r>
        <w:rPr>
          <w:rFonts w:hint="cs"/>
          <w:rtl/>
        </w:rPr>
        <w:t xml:space="preserve"> </w:t>
      </w:r>
      <w:r w:rsidRPr="00A22B7B">
        <w:rPr>
          <w:rFonts w:hint="cs"/>
          <w:rtl/>
        </w:rPr>
        <w:t>بشأن</w:t>
      </w:r>
      <w:r>
        <w:rPr>
          <w:rFonts w:hint="cs"/>
          <w:rtl/>
        </w:rPr>
        <w:t xml:space="preserve"> </w:t>
      </w:r>
      <w:r w:rsidRPr="00A22B7B">
        <w:rPr>
          <w:rFonts w:hint="cs"/>
          <w:rtl/>
        </w:rPr>
        <w:t>إقامة</w:t>
      </w:r>
      <w:r>
        <w:rPr>
          <w:rFonts w:hint="cs"/>
          <w:rtl/>
        </w:rPr>
        <w:t xml:space="preserve"> </w:t>
      </w:r>
      <w:r w:rsidRPr="00A22B7B">
        <w:rPr>
          <w:rFonts w:hint="cs"/>
          <w:rtl/>
        </w:rPr>
        <w:t>السكن</w:t>
      </w:r>
      <w:r>
        <w:rPr>
          <w:rFonts w:hint="cs"/>
          <w:rtl/>
        </w:rPr>
        <w:t xml:space="preserve"> </w:t>
      </w:r>
      <w:r w:rsidRPr="00A22B7B">
        <w:rPr>
          <w:rFonts w:hint="cs"/>
          <w:rtl/>
        </w:rPr>
        <w:t>العائلي</w:t>
      </w:r>
      <w:r>
        <w:rPr>
          <w:rFonts w:hint="cs"/>
          <w:rtl/>
        </w:rPr>
        <w:t xml:space="preserve"> </w:t>
      </w:r>
      <w:r w:rsidRPr="00A22B7B">
        <w:rPr>
          <w:rFonts w:hint="cs"/>
          <w:rtl/>
        </w:rPr>
        <w:t>أو</w:t>
      </w:r>
      <w:r>
        <w:rPr>
          <w:rFonts w:hint="cs"/>
          <w:rtl/>
        </w:rPr>
        <w:t xml:space="preserve"> </w:t>
      </w:r>
      <w:r w:rsidRPr="00A22B7B">
        <w:rPr>
          <w:rFonts w:hint="cs"/>
          <w:rtl/>
        </w:rPr>
        <w:t>تغييره،</w:t>
      </w:r>
      <w:r>
        <w:rPr>
          <w:rFonts w:hint="cs"/>
          <w:rtl/>
        </w:rPr>
        <w:t xml:space="preserve"> </w:t>
      </w:r>
      <w:r w:rsidRPr="00A22B7B">
        <w:rPr>
          <w:rFonts w:hint="cs"/>
          <w:rtl/>
        </w:rPr>
        <w:t>تصدر</w:t>
      </w:r>
      <w:r>
        <w:rPr>
          <w:rFonts w:hint="cs"/>
          <w:rtl/>
        </w:rPr>
        <w:t xml:space="preserve"> </w:t>
      </w:r>
      <w:r w:rsidRPr="00A22B7B">
        <w:rPr>
          <w:rFonts w:hint="cs"/>
          <w:rtl/>
        </w:rPr>
        <w:t>المحكمة</w:t>
      </w:r>
      <w:r>
        <w:rPr>
          <w:rFonts w:hint="cs"/>
          <w:rtl/>
        </w:rPr>
        <w:t xml:space="preserve"> </w:t>
      </w:r>
      <w:r w:rsidRPr="00A22B7B">
        <w:rPr>
          <w:rFonts w:hint="cs"/>
          <w:rtl/>
        </w:rPr>
        <w:t>حكمًا</w:t>
      </w:r>
      <w:r>
        <w:rPr>
          <w:rFonts w:hint="cs"/>
          <w:rtl/>
        </w:rPr>
        <w:t xml:space="preserve"> </w:t>
      </w:r>
      <w:r w:rsidRPr="00A22B7B">
        <w:rPr>
          <w:rFonts w:hint="cs"/>
          <w:rtl/>
        </w:rPr>
        <w:t>بهذا</w:t>
      </w:r>
      <w:r>
        <w:rPr>
          <w:rFonts w:hint="cs"/>
          <w:rtl/>
        </w:rPr>
        <w:t xml:space="preserve"> </w:t>
      </w:r>
      <w:r w:rsidRPr="00A22B7B">
        <w:rPr>
          <w:rFonts w:hint="cs"/>
          <w:rtl/>
        </w:rPr>
        <w:t>الشأن</w:t>
      </w:r>
      <w:r>
        <w:rPr>
          <w:rFonts w:hint="cs"/>
          <w:rtl/>
        </w:rPr>
        <w:t xml:space="preserve"> </w:t>
      </w:r>
      <w:r w:rsidRPr="00A22B7B">
        <w:rPr>
          <w:rFonts w:hint="cs"/>
          <w:rtl/>
        </w:rPr>
        <w:t>(البند</w:t>
      </w:r>
      <w:r>
        <w:rPr>
          <w:rFonts w:hint="cs"/>
          <w:rtl/>
        </w:rPr>
        <w:t xml:space="preserve"> </w:t>
      </w:r>
      <w:r w:rsidRPr="00A22B7B">
        <w:rPr>
          <w:rFonts w:hint="cs"/>
          <w:rtl/>
        </w:rPr>
        <w:t>3</w:t>
      </w:r>
      <w:r>
        <w:rPr>
          <w:rFonts w:hint="cs"/>
          <w:rtl/>
        </w:rPr>
        <w:t xml:space="preserve"> </w:t>
      </w:r>
      <w:r w:rsidRPr="00A22B7B">
        <w:rPr>
          <w:rFonts w:hint="cs"/>
          <w:rtl/>
        </w:rPr>
        <w:t>من</w:t>
      </w:r>
      <w:r>
        <w:rPr>
          <w:rFonts w:hint="cs"/>
          <w:rtl/>
        </w:rPr>
        <w:t xml:space="preserve"> </w:t>
      </w:r>
      <w:r w:rsidRPr="00A22B7B">
        <w:rPr>
          <w:rFonts w:hint="cs"/>
          <w:rtl/>
        </w:rPr>
        <w:t>المادة</w:t>
      </w:r>
      <w:r>
        <w:rPr>
          <w:rFonts w:hint="cs"/>
          <w:rtl/>
        </w:rPr>
        <w:t xml:space="preserve"> </w:t>
      </w:r>
      <w:r w:rsidRPr="00A22B7B">
        <w:rPr>
          <w:rFonts w:hint="cs"/>
          <w:rtl/>
        </w:rPr>
        <w:t>1561).</w:t>
      </w:r>
    </w:p>
    <w:p w:rsidR="009943B2" w:rsidRPr="00A22B7B" w:rsidRDefault="009943B2" w:rsidP="009943B2">
      <w:pPr>
        <w:pStyle w:val="SingleTxt"/>
        <w:rPr>
          <w:rFonts w:hint="cs"/>
        </w:rPr>
      </w:pPr>
      <w:r>
        <w:rPr>
          <w:rFonts w:hint="cs"/>
          <w:rtl/>
        </w:rPr>
        <w:t xml:space="preserve">332 - </w:t>
      </w:r>
      <w:r w:rsidRPr="00A22B7B">
        <w:rPr>
          <w:rFonts w:hint="cs"/>
          <w:rtl/>
        </w:rPr>
        <w:t>بيد</w:t>
      </w:r>
      <w:r>
        <w:rPr>
          <w:rFonts w:hint="cs"/>
          <w:rtl/>
        </w:rPr>
        <w:t xml:space="preserve"> </w:t>
      </w:r>
      <w:r w:rsidRPr="00A22B7B">
        <w:rPr>
          <w:rFonts w:hint="cs"/>
          <w:rtl/>
        </w:rPr>
        <w:t>أن</w:t>
      </w:r>
      <w:r>
        <w:rPr>
          <w:rFonts w:hint="cs"/>
          <w:rtl/>
        </w:rPr>
        <w:t xml:space="preserve"> </w:t>
      </w:r>
      <w:r w:rsidRPr="00A22B7B">
        <w:rPr>
          <w:rFonts w:hint="cs"/>
          <w:rtl/>
        </w:rPr>
        <w:t>الممارسات</w:t>
      </w:r>
      <w:r>
        <w:rPr>
          <w:rFonts w:hint="cs"/>
          <w:rtl/>
        </w:rPr>
        <w:t xml:space="preserve"> </w:t>
      </w:r>
      <w:r w:rsidRPr="00A22B7B">
        <w:rPr>
          <w:rFonts w:hint="cs"/>
          <w:rtl/>
        </w:rPr>
        <w:t>العرفية</w:t>
      </w:r>
      <w:r>
        <w:rPr>
          <w:rFonts w:hint="cs"/>
          <w:rtl/>
        </w:rPr>
        <w:t xml:space="preserve"> </w:t>
      </w:r>
      <w:r w:rsidRPr="00A22B7B">
        <w:rPr>
          <w:rFonts w:hint="cs"/>
          <w:rtl/>
        </w:rPr>
        <w:t>تؤثّر</w:t>
      </w:r>
      <w:r>
        <w:rPr>
          <w:rFonts w:hint="cs"/>
          <w:rtl/>
        </w:rPr>
        <w:t xml:space="preserve"> </w:t>
      </w:r>
      <w:r w:rsidRPr="00A22B7B">
        <w:rPr>
          <w:rFonts w:hint="cs"/>
          <w:rtl/>
        </w:rPr>
        <w:t>من</w:t>
      </w:r>
      <w:r>
        <w:rPr>
          <w:rFonts w:hint="cs"/>
          <w:rtl/>
        </w:rPr>
        <w:t xml:space="preserve"> </w:t>
      </w:r>
      <w:r w:rsidRPr="00A22B7B">
        <w:rPr>
          <w:rFonts w:hint="cs"/>
          <w:rtl/>
        </w:rPr>
        <w:t>الناحية</w:t>
      </w:r>
      <w:r>
        <w:rPr>
          <w:rFonts w:hint="cs"/>
          <w:rtl/>
        </w:rPr>
        <w:t xml:space="preserve"> </w:t>
      </w:r>
      <w:r w:rsidRPr="00A22B7B">
        <w:rPr>
          <w:rFonts w:hint="cs"/>
          <w:rtl/>
        </w:rPr>
        <w:t>العملية</w:t>
      </w:r>
      <w:r>
        <w:rPr>
          <w:rFonts w:hint="cs"/>
          <w:rtl/>
        </w:rPr>
        <w:t xml:space="preserve"> </w:t>
      </w:r>
      <w:r w:rsidRPr="00A22B7B">
        <w:rPr>
          <w:rFonts w:hint="cs"/>
          <w:rtl/>
        </w:rPr>
        <w:t>في</w:t>
      </w:r>
      <w:r>
        <w:rPr>
          <w:rFonts w:hint="cs"/>
          <w:rtl/>
        </w:rPr>
        <w:t xml:space="preserve"> </w:t>
      </w:r>
      <w:r w:rsidRPr="00A22B7B">
        <w:rPr>
          <w:rFonts w:hint="cs"/>
          <w:rtl/>
        </w:rPr>
        <w:t>الحق</w:t>
      </w:r>
      <w:r>
        <w:rPr>
          <w:rFonts w:hint="cs"/>
          <w:rtl/>
        </w:rPr>
        <w:t xml:space="preserve"> </w:t>
      </w:r>
      <w:r w:rsidRPr="00A22B7B">
        <w:rPr>
          <w:rFonts w:hint="cs"/>
          <w:rtl/>
        </w:rPr>
        <w:t>في</w:t>
      </w:r>
      <w:r>
        <w:rPr>
          <w:rFonts w:hint="cs"/>
          <w:rtl/>
        </w:rPr>
        <w:t xml:space="preserve"> </w:t>
      </w:r>
      <w:r w:rsidRPr="00A22B7B">
        <w:rPr>
          <w:rFonts w:hint="cs"/>
          <w:rtl/>
        </w:rPr>
        <w:t>اختيار</w:t>
      </w:r>
      <w:r>
        <w:rPr>
          <w:rFonts w:hint="cs"/>
          <w:rtl/>
        </w:rPr>
        <w:t xml:space="preserve"> </w:t>
      </w:r>
      <w:r w:rsidRPr="00A22B7B">
        <w:rPr>
          <w:rFonts w:hint="cs"/>
          <w:rtl/>
        </w:rPr>
        <w:t>السكن</w:t>
      </w:r>
      <w:r>
        <w:rPr>
          <w:rFonts w:hint="cs"/>
          <w:rtl/>
        </w:rPr>
        <w:t xml:space="preserve"> </w:t>
      </w:r>
      <w:r w:rsidRPr="00A22B7B">
        <w:rPr>
          <w:rFonts w:hint="cs"/>
          <w:rtl/>
        </w:rPr>
        <w:t>العائلي</w:t>
      </w:r>
      <w:r>
        <w:rPr>
          <w:rFonts w:hint="cs"/>
          <w:rtl/>
        </w:rPr>
        <w:t xml:space="preserve"> </w:t>
      </w:r>
      <w:r w:rsidRPr="00A22B7B">
        <w:rPr>
          <w:rFonts w:hint="cs"/>
          <w:rtl/>
        </w:rPr>
        <w:t>بموجب</w:t>
      </w:r>
      <w:r>
        <w:rPr>
          <w:rFonts w:hint="cs"/>
          <w:rtl/>
        </w:rPr>
        <w:t xml:space="preserve"> </w:t>
      </w:r>
      <w:r w:rsidRPr="00A22B7B">
        <w:rPr>
          <w:rFonts w:hint="cs"/>
          <w:rtl/>
        </w:rPr>
        <w:t>اتفاق.</w:t>
      </w:r>
      <w:r>
        <w:rPr>
          <w:rFonts w:hint="cs"/>
          <w:rtl/>
        </w:rPr>
        <w:t xml:space="preserve"> </w:t>
      </w:r>
      <w:r w:rsidRPr="00A22B7B">
        <w:rPr>
          <w:rFonts w:hint="cs"/>
          <w:rtl/>
        </w:rPr>
        <w:t>والمعتاد</w:t>
      </w:r>
      <w:r>
        <w:rPr>
          <w:rFonts w:hint="cs"/>
          <w:rtl/>
        </w:rPr>
        <w:t xml:space="preserve"> </w:t>
      </w:r>
      <w:r w:rsidRPr="00A22B7B">
        <w:rPr>
          <w:rFonts w:hint="cs"/>
          <w:rtl/>
        </w:rPr>
        <w:t>في</w:t>
      </w:r>
      <w:r>
        <w:rPr>
          <w:rFonts w:hint="cs"/>
          <w:rtl/>
        </w:rPr>
        <w:t xml:space="preserve"> </w:t>
      </w:r>
      <w:r w:rsidRPr="00A22B7B">
        <w:rPr>
          <w:rFonts w:hint="cs"/>
          <w:rtl/>
        </w:rPr>
        <w:t>الزواج</w:t>
      </w:r>
      <w:r>
        <w:rPr>
          <w:rFonts w:hint="cs"/>
          <w:rtl/>
        </w:rPr>
        <w:t xml:space="preserve"> </w:t>
      </w:r>
      <w:r w:rsidRPr="00A22B7B">
        <w:rPr>
          <w:rFonts w:hint="cs"/>
          <w:rtl/>
        </w:rPr>
        <w:t>التقليدي،</w:t>
      </w:r>
      <w:r>
        <w:rPr>
          <w:rFonts w:hint="cs"/>
          <w:rtl/>
        </w:rPr>
        <w:t xml:space="preserve"> </w:t>
      </w:r>
      <w:r w:rsidRPr="00A22B7B">
        <w:rPr>
          <w:rFonts w:hint="cs"/>
          <w:rtl/>
        </w:rPr>
        <w:t>بكل</w:t>
      </w:r>
      <w:r>
        <w:rPr>
          <w:rFonts w:hint="cs"/>
          <w:rtl/>
        </w:rPr>
        <w:t xml:space="preserve"> </w:t>
      </w:r>
      <w:r w:rsidRPr="00A22B7B">
        <w:rPr>
          <w:rFonts w:hint="cs"/>
          <w:rtl/>
        </w:rPr>
        <w:t>من</w:t>
      </w:r>
      <w:r>
        <w:rPr>
          <w:rFonts w:hint="cs"/>
          <w:rtl/>
        </w:rPr>
        <w:t xml:space="preserve"> </w:t>
      </w:r>
      <w:r w:rsidRPr="00A22B7B">
        <w:rPr>
          <w:rFonts w:hint="cs"/>
          <w:rtl/>
        </w:rPr>
        <w:t>الثقافتين</w:t>
      </w:r>
      <w:r>
        <w:rPr>
          <w:rFonts w:hint="cs"/>
          <w:rtl/>
        </w:rPr>
        <w:t xml:space="preserve"> </w:t>
      </w:r>
      <w:r w:rsidRPr="00A22B7B">
        <w:rPr>
          <w:rFonts w:hint="cs"/>
          <w:rtl/>
        </w:rPr>
        <w:t>التي</w:t>
      </w:r>
      <w:r>
        <w:rPr>
          <w:rFonts w:hint="cs"/>
          <w:rtl/>
        </w:rPr>
        <w:t xml:space="preserve"> </w:t>
      </w:r>
      <w:r w:rsidRPr="00A22B7B">
        <w:rPr>
          <w:rFonts w:hint="cs"/>
          <w:rtl/>
        </w:rPr>
        <w:t>تكون</w:t>
      </w:r>
      <w:r>
        <w:rPr>
          <w:rFonts w:hint="cs"/>
          <w:rtl/>
        </w:rPr>
        <w:t xml:space="preserve"> </w:t>
      </w:r>
      <w:r w:rsidRPr="00A22B7B">
        <w:rPr>
          <w:rFonts w:hint="cs"/>
          <w:rtl/>
        </w:rPr>
        <w:t>الإقامة</w:t>
      </w:r>
      <w:r>
        <w:rPr>
          <w:rFonts w:hint="cs"/>
          <w:rtl/>
        </w:rPr>
        <w:t xml:space="preserve"> </w:t>
      </w:r>
      <w:r w:rsidRPr="00A22B7B">
        <w:rPr>
          <w:rFonts w:hint="cs"/>
          <w:rtl/>
        </w:rPr>
        <w:t>فيها</w:t>
      </w:r>
      <w:r>
        <w:rPr>
          <w:rFonts w:hint="cs"/>
          <w:rtl/>
        </w:rPr>
        <w:t xml:space="preserve"> </w:t>
      </w:r>
      <w:r w:rsidRPr="00A22B7B">
        <w:rPr>
          <w:rFonts w:hint="cs"/>
          <w:rtl/>
        </w:rPr>
        <w:t>في</w:t>
      </w:r>
      <w:r>
        <w:rPr>
          <w:rFonts w:hint="cs"/>
          <w:rtl/>
        </w:rPr>
        <w:t xml:space="preserve"> </w:t>
      </w:r>
      <w:r w:rsidRPr="00A22B7B">
        <w:rPr>
          <w:rFonts w:hint="cs"/>
          <w:rtl/>
        </w:rPr>
        <w:t>بيت</w:t>
      </w:r>
      <w:r>
        <w:rPr>
          <w:rFonts w:hint="cs"/>
          <w:rtl/>
        </w:rPr>
        <w:t xml:space="preserve"> </w:t>
      </w:r>
      <w:r w:rsidRPr="00A22B7B">
        <w:rPr>
          <w:rFonts w:hint="cs"/>
          <w:rtl/>
        </w:rPr>
        <w:t>الأب</w:t>
      </w:r>
      <w:r>
        <w:rPr>
          <w:rFonts w:hint="cs"/>
          <w:rtl/>
        </w:rPr>
        <w:t xml:space="preserve"> </w:t>
      </w:r>
      <w:r w:rsidRPr="00A22B7B">
        <w:rPr>
          <w:rFonts w:hint="cs"/>
          <w:rtl/>
        </w:rPr>
        <w:t>أو</w:t>
      </w:r>
      <w:r>
        <w:rPr>
          <w:rFonts w:hint="cs"/>
          <w:rtl/>
        </w:rPr>
        <w:t xml:space="preserve"> </w:t>
      </w:r>
      <w:r w:rsidRPr="00A22B7B">
        <w:rPr>
          <w:rFonts w:hint="cs"/>
          <w:rtl/>
        </w:rPr>
        <w:t>تلك</w:t>
      </w:r>
      <w:r>
        <w:rPr>
          <w:rFonts w:hint="cs"/>
          <w:rtl/>
        </w:rPr>
        <w:t xml:space="preserve"> </w:t>
      </w:r>
      <w:r w:rsidRPr="00A22B7B">
        <w:rPr>
          <w:rFonts w:hint="cs"/>
          <w:rtl/>
        </w:rPr>
        <w:t>التي</w:t>
      </w:r>
      <w:r>
        <w:rPr>
          <w:rFonts w:hint="cs"/>
          <w:rtl/>
        </w:rPr>
        <w:t xml:space="preserve"> </w:t>
      </w:r>
      <w:r w:rsidRPr="00A22B7B">
        <w:rPr>
          <w:rFonts w:hint="cs"/>
          <w:rtl/>
        </w:rPr>
        <w:t>تكون</w:t>
      </w:r>
      <w:r>
        <w:rPr>
          <w:rFonts w:hint="cs"/>
          <w:rtl/>
        </w:rPr>
        <w:t xml:space="preserve"> </w:t>
      </w:r>
      <w:r w:rsidRPr="00A22B7B">
        <w:rPr>
          <w:rFonts w:hint="cs"/>
          <w:rtl/>
        </w:rPr>
        <w:t>الإقامة</w:t>
      </w:r>
      <w:r>
        <w:rPr>
          <w:rFonts w:hint="cs"/>
          <w:rtl/>
        </w:rPr>
        <w:t xml:space="preserve"> </w:t>
      </w:r>
      <w:r w:rsidRPr="00A22B7B">
        <w:rPr>
          <w:rFonts w:hint="cs"/>
          <w:rtl/>
        </w:rPr>
        <w:t>فيها</w:t>
      </w:r>
      <w:r>
        <w:rPr>
          <w:rFonts w:hint="cs"/>
          <w:rtl/>
        </w:rPr>
        <w:t xml:space="preserve"> </w:t>
      </w:r>
      <w:r w:rsidRPr="00A22B7B">
        <w:rPr>
          <w:rFonts w:hint="cs"/>
          <w:rtl/>
        </w:rPr>
        <w:t>في</w:t>
      </w:r>
      <w:r>
        <w:rPr>
          <w:rFonts w:hint="cs"/>
          <w:rtl/>
        </w:rPr>
        <w:t xml:space="preserve"> </w:t>
      </w:r>
      <w:r w:rsidRPr="00A22B7B">
        <w:rPr>
          <w:rFonts w:hint="cs"/>
          <w:rtl/>
        </w:rPr>
        <w:t>بيت</w:t>
      </w:r>
      <w:r>
        <w:rPr>
          <w:rFonts w:hint="cs"/>
          <w:rtl/>
        </w:rPr>
        <w:t xml:space="preserve"> </w:t>
      </w:r>
      <w:r w:rsidRPr="00A22B7B">
        <w:rPr>
          <w:rFonts w:hint="cs"/>
          <w:rtl/>
        </w:rPr>
        <w:t>الأم،</w:t>
      </w:r>
      <w:r>
        <w:rPr>
          <w:rFonts w:hint="cs"/>
          <w:rtl/>
        </w:rPr>
        <w:t xml:space="preserve"> </w:t>
      </w:r>
      <w:r w:rsidRPr="00A22B7B">
        <w:rPr>
          <w:rFonts w:hint="cs"/>
          <w:rtl/>
        </w:rPr>
        <w:t>أن</w:t>
      </w:r>
      <w:r>
        <w:rPr>
          <w:rFonts w:hint="cs"/>
          <w:rtl/>
        </w:rPr>
        <w:t xml:space="preserve"> </w:t>
      </w:r>
      <w:r w:rsidRPr="00A22B7B">
        <w:rPr>
          <w:rFonts w:hint="cs"/>
          <w:rtl/>
        </w:rPr>
        <w:t>يفرض</w:t>
      </w:r>
      <w:r>
        <w:rPr>
          <w:rFonts w:hint="cs"/>
          <w:rtl/>
        </w:rPr>
        <w:t xml:space="preserve"> </w:t>
      </w:r>
      <w:r w:rsidRPr="00A22B7B">
        <w:rPr>
          <w:rFonts w:hint="cs"/>
          <w:rtl/>
        </w:rPr>
        <w:t>على</w:t>
      </w:r>
      <w:r>
        <w:rPr>
          <w:rFonts w:hint="cs"/>
          <w:rtl/>
        </w:rPr>
        <w:t xml:space="preserve"> </w:t>
      </w:r>
      <w:r w:rsidRPr="00A22B7B">
        <w:rPr>
          <w:rFonts w:hint="cs"/>
          <w:rtl/>
        </w:rPr>
        <w:t>الرجل</w:t>
      </w:r>
      <w:r>
        <w:rPr>
          <w:rFonts w:hint="cs"/>
          <w:rtl/>
        </w:rPr>
        <w:t xml:space="preserve"> </w:t>
      </w:r>
      <w:r w:rsidRPr="00A22B7B">
        <w:rPr>
          <w:rFonts w:hint="cs"/>
          <w:rtl/>
        </w:rPr>
        <w:t>أو</w:t>
      </w:r>
      <w:r>
        <w:rPr>
          <w:rFonts w:hint="cs"/>
          <w:rtl/>
        </w:rPr>
        <w:t xml:space="preserve"> </w:t>
      </w:r>
      <w:r w:rsidRPr="00A22B7B">
        <w:rPr>
          <w:rFonts w:hint="cs"/>
          <w:rtl/>
        </w:rPr>
        <w:t>المرأة</w:t>
      </w:r>
      <w:r>
        <w:rPr>
          <w:rFonts w:hint="cs"/>
          <w:rtl/>
        </w:rPr>
        <w:t xml:space="preserve"> </w:t>
      </w:r>
      <w:r w:rsidRPr="00A22B7B">
        <w:rPr>
          <w:rFonts w:hint="cs"/>
          <w:rtl/>
        </w:rPr>
        <w:t>ترك</w:t>
      </w:r>
      <w:r>
        <w:rPr>
          <w:rFonts w:hint="cs"/>
          <w:rtl/>
        </w:rPr>
        <w:t xml:space="preserve"> </w:t>
      </w:r>
      <w:r w:rsidRPr="00A22B7B">
        <w:rPr>
          <w:rFonts w:hint="cs"/>
          <w:rtl/>
        </w:rPr>
        <w:t>بيت</w:t>
      </w:r>
      <w:r>
        <w:rPr>
          <w:rFonts w:hint="cs"/>
          <w:rtl/>
        </w:rPr>
        <w:t xml:space="preserve"> </w:t>
      </w:r>
      <w:r w:rsidRPr="00A22B7B">
        <w:rPr>
          <w:rFonts w:hint="cs"/>
          <w:rtl/>
        </w:rPr>
        <w:t>الأسرة</w:t>
      </w:r>
      <w:r>
        <w:rPr>
          <w:rFonts w:hint="cs"/>
          <w:rtl/>
        </w:rPr>
        <w:t xml:space="preserve"> </w:t>
      </w:r>
      <w:r w:rsidRPr="00A22B7B">
        <w:rPr>
          <w:rFonts w:hint="cs"/>
          <w:rtl/>
        </w:rPr>
        <w:t>والالتحاق</w:t>
      </w:r>
      <w:r>
        <w:rPr>
          <w:rFonts w:hint="cs"/>
          <w:rtl/>
        </w:rPr>
        <w:t xml:space="preserve"> </w:t>
      </w:r>
      <w:r w:rsidRPr="00A22B7B">
        <w:rPr>
          <w:rFonts w:hint="cs"/>
          <w:rtl/>
        </w:rPr>
        <w:t>بأسرة</w:t>
      </w:r>
      <w:r>
        <w:rPr>
          <w:rFonts w:hint="cs"/>
          <w:rtl/>
        </w:rPr>
        <w:t xml:space="preserve"> </w:t>
      </w:r>
      <w:r w:rsidRPr="00A22B7B">
        <w:rPr>
          <w:rFonts w:hint="cs"/>
          <w:rtl/>
        </w:rPr>
        <w:t>الزوج</w:t>
      </w:r>
      <w:r w:rsidRPr="00F80C43">
        <w:rPr>
          <w:vertAlign w:val="superscript"/>
          <w:rtl/>
        </w:rPr>
        <w:t>(</w:t>
      </w:r>
      <w:r w:rsidRPr="00F80C43">
        <w:rPr>
          <w:rStyle w:val="FootnoteReference"/>
          <w:szCs w:val="30"/>
          <w:rtl/>
        </w:rPr>
        <w:footnoteReference w:id="287"/>
      </w:r>
      <w:r w:rsidRPr="00F80C43">
        <w:rPr>
          <w:vertAlign w:val="superscript"/>
          <w:rtl/>
        </w:rPr>
        <w:t>)</w:t>
      </w:r>
      <w:r w:rsidRPr="00A22B7B">
        <w:rPr>
          <w:rFonts w:hint="cs"/>
          <w:rtl/>
        </w:rPr>
        <w:t>.</w:t>
      </w:r>
      <w:r>
        <w:rPr>
          <w:rFonts w:hint="cs"/>
          <w:rtl/>
        </w:rPr>
        <w:t xml:space="preserve"> </w:t>
      </w:r>
    </w:p>
    <w:p w:rsidR="009943B2" w:rsidRPr="00F80C43" w:rsidRDefault="009943B2" w:rsidP="009943B2">
      <w:pPr>
        <w:pStyle w:val="SingleTxt"/>
        <w:spacing w:after="0" w:line="120" w:lineRule="exact"/>
        <w:rPr>
          <w:rFonts w:hint="cs"/>
          <w:sz w:val="10"/>
          <w:rtl/>
        </w:rPr>
      </w:pPr>
    </w:p>
    <w:p w:rsidR="009943B2" w:rsidRPr="00A22B7B" w:rsidRDefault="009943B2" w:rsidP="009943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Pr="00A22B7B">
        <w:rPr>
          <w:rFonts w:hint="cs"/>
          <w:rtl/>
        </w:rPr>
        <w:t>إمكانية</w:t>
      </w:r>
      <w:r>
        <w:rPr>
          <w:rFonts w:hint="cs"/>
          <w:rtl/>
        </w:rPr>
        <w:t xml:space="preserve"> </w:t>
      </w:r>
      <w:r w:rsidRPr="00A22B7B">
        <w:rPr>
          <w:rFonts w:hint="cs"/>
          <w:rtl/>
        </w:rPr>
        <w:t>اللجوء</w:t>
      </w:r>
      <w:r>
        <w:rPr>
          <w:rFonts w:hint="cs"/>
          <w:rtl/>
        </w:rPr>
        <w:t xml:space="preserve"> </w:t>
      </w:r>
      <w:r w:rsidRPr="00A22B7B">
        <w:rPr>
          <w:rFonts w:hint="cs"/>
          <w:rtl/>
        </w:rPr>
        <w:t>إلى</w:t>
      </w:r>
      <w:r>
        <w:rPr>
          <w:rFonts w:hint="cs"/>
          <w:rtl/>
        </w:rPr>
        <w:t xml:space="preserve"> </w:t>
      </w:r>
      <w:r w:rsidRPr="00A22B7B">
        <w:rPr>
          <w:rFonts w:hint="cs"/>
          <w:rtl/>
        </w:rPr>
        <w:t>القضاء</w:t>
      </w:r>
    </w:p>
    <w:p w:rsidR="009943B2" w:rsidRPr="00A22B7B" w:rsidRDefault="009943B2" w:rsidP="009943B2">
      <w:pPr>
        <w:pStyle w:val="SingleTxt"/>
        <w:rPr>
          <w:rFonts w:hint="cs"/>
        </w:rPr>
      </w:pPr>
      <w:r>
        <w:rPr>
          <w:rFonts w:hint="cs"/>
          <w:rtl/>
        </w:rPr>
        <w:t xml:space="preserve">333 - </w:t>
      </w:r>
      <w:r w:rsidRPr="00A22B7B">
        <w:rPr>
          <w:rFonts w:hint="cs"/>
          <w:rtl/>
        </w:rPr>
        <w:t>يُرجى</w:t>
      </w:r>
      <w:r>
        <w:rPr>
          <w:rFonts w:hint="cs"/>
          <w:rtl/>
        </w:rPr>
        <w:t xml:space="preserve"> </w:t>
      </w:r>
      <w:r w:rsidRPr="00A22B7B">
        <w:rPr>
          <w:rFonts w:hint="cs"/>
          <w:rtl/>
        </w:rPr>
        <w:t>الرجوع</w:t>
      </w:r>
      <w:r>
        <w:rPr>
          <w:rFonts w:hint="cs"/>
          <w:rtl/>
        </w:rPr>
        <w:t xml:space="preserve"> </w:t>
      </w:r>
      <w:r w:rsidRPr="00A22B7B">
        <w:rPr>
          <w:rFonts w:hint="cs"/>
          <w:rtl/>
        </w:rPr>
        <w:t>إلى</w:t>
      </w:r>
      <w:r>
        <w:rPr>
          <w:rFonts w:hint="cs"/>
          <w:rtl/>
        </w:rPr>
        <w:t xml:space="preserve"> </w:t>
      </w:r>
      <w:r w:rsidRPr="00A22B7B">
        <w:rPr>
          <w:rFonts w:hint="cs"/>
          <w:rtl/>
        </w:rPr>
        <w:t>الفقرة</w:t>
      </w:r>
      <w:r>
        <w:rPr>
          <w:rFonts w:hint="cs"/>
          <w:rtl/>
        </w:rPr>
        <w:t xml:space="preserve"> </w:t>
      </w:r>
      <w:r w:rsidRPr="00A22B7B">
        <w:rPr>
          <w:rFonts w:hint="cs"/>
          <w:rtl/>
        </w:rPr>
        <w:t>المتعلّقة</w:t>
      </w:r>
      <w:r>
        <w:rPr>
          <w:rFonts w:hint="cs"/>
          <w:rtl/>
        </w:rPr>
        <w:t xml:space="preserve"> </w:t>
      </w:r>
      <w:r w:rsidRPr="00A22B7B">
        <w:rPr>
          <w:rFonts w:hint="cs"/>
          <w:rtl/>
        </w:rPr>
        <w:t>بإمكانية</w:t>
      </w:r>
      <w:r>
        <w:rPr>
          <w:rFonts w:hint="cs"/>
          <w:rtl/>
        </w:rPr>
        <w:t xml:space="preserve"> </w:t>
      </w:r>
      <w:r w:rsidRPr="00A22B7B">
        <w:rPr>
          <w:rFonts w:hint="cs"/>
          <w:rtl/>
        </w:rPr>
        <w:t>اللجوء</w:t>
      </w:r>
      <w:r>
        <w:rPr>
          <w:rFonts w:hint="cs"/>
          <w:rtl/>
        </w:rPr>
        <w:t xml:space="preserve"> </w:t>
      </w:r>
      <w:r w:rsidRPr="00A22B7B">
        <w:rPr>
          <w:rFonts w:hint="cs"/>
          <w:rtl/>
        </w:rPr>
        <w:t>إلى</w:t>
      </w:r>
      <w:r>
        <w:rPr>
          <w:rFonts w:hint="cs"/>
          <w:rtl/>
        </w:rPr>
        <w:t xml:space="preserve"> </w:t>
      </w:r>
      <w:r w:rsidRPr="00A22B7B">
        <w:rPr>
          <w:rFonts w:hint="cs"/>
          <w:rtl/>
        </w:rPr>
        <w:t>القضاء</w:t>
      </w:r>
      <w:r>
        <w:rPr>
          <w:rFonts w:hint="cs"/>
          <w:rtl/>
        </w:rPr>
        <w:t xml:space="preserve"> </w:t>
      </w:r>
      <w:r w:rsidRPr="00A22B7B">
        <w:rPr>
          <w:rFonts w:hint="cs"/>
          <w:rtl/>
        </w:rPr>
        <w:t>في</w:t>
      </w:r>
      <w:r>
        <w:rPr>
          <w:rFonts w:hint="cs"/>
          <w:rtl/>
        </w:rPr>
        <w:t xml:space="preserve"> </w:t>
      </w:r>
      <w:r w:rsidRPr="00A22B7B">
        <w:rPr>
          <w:rFonts w:hint="cs"/>
          <w:rtl/>
        </w:rPr>
        <w:t>الفرع</w:t>
      </w:r>
      <w:r>
        <w:rPr>
          <w:rFonts w:hint="cs"/>
          <w:rtl/>
        </w:rPr>
        <w:t xml:space="preserve"> </w:t>
      </w:r>
      <w:r w:rsidRPr="00A22B7B">
        <w:rPr>
          <w:rFonts w:hint="cs"/>
          <w:rtl/>
        </w:rPr>
        <w:t>المتعلّق</w:t>
      </w:r>
      <w:r>
        <w:rPr>
          <w:rFonts w:hint="cs"/>
          <w:rtl/>
        </w:rPr>
        <w:t xml:space="preserve"> </w:t>
      </w:r>
      <w:r w:rsidRPr="00A22B7B">
        <w:rPr>
          <w:rFonts w:hint="cs"/>
          <w:rtl/>
        </w:rPr>
        <w:t>بالعنف</w:t>
      </w:r>
      <w:r>
        <w:rPr>
          <w:rFonts w:hint="cs"/>
          <w:rtl/>
        </w:rPr>
        <w:t xml:space="preserve"> </w:t>
      </w:r>
      <w:r w:rsidRPr="00A22B7B">
        <w:rPr>
          <w:rFonts w:hint="cs"/>
          <w:rtl/>
        </w:rPr>
        <w:t>الجنساني.</w:t>
      </w:r>
    </w:p>
    <w:p w:rsidR="009943B2" w:rsidRPr="00F80C43" w:rsidRDefault="009943B2" w:rsidP="009943B2">
      <w:pPr>
        <w:pStyle w:val="SingleTxt"/>
        <w:spacing w:after="0" w:line="120" w:lineRule="exact"/>
        <w:rPr>
          <w:rFonts w:hint="cs"/>
          <w:sz w:val="10"/>
          <w:rtl/>
        </w:rPr>
      </w:pPr>
    </w:p>
    <w:p w:rsidR="009943B2" w:rsidRPr="00A22B7B" w:rsidRDefault="009943B2" w:rsidP="009943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Pr="00A22B7B">
        <w:rPr>
          <w:rFonts w:hint="cs"/>
          <w:rtl/>
        </w:rPr>
        <w:t>المادة</w:t>
      </w:r>
      <w:r>
        <w:rPr>
          <w:rFonts w:hint="cs"/>
          <w:rtl/>
        </w:rPr>
        <w:t xml:space="preserve"> </w:t>
      </w:r>
      <w:r w:rsidRPr="00A22B7B">
        <w:rPr>
          <w:rFonts w:hint="cs"/>
          <w:rtl/>
        </w:rPr>
        <w:t>16:</w:t>
      </w:r>
      <w:r>
        <w:rPr>
          <w:rFonts w:hint="cs"/>
          <w:rtl/>
        </w:rPr>
        <w:t xml:space="preserve"> </w:t>
      </w:r>
      <w:r w:rsidRPr="00A22B7B">
        <w:rPr>
          <w:rFonts w:hint="cs"/>
          <w:rtl/>
        </w:rPr>
        <w:t>الزواج</w:t>
      </w:r>
      <w:r>
        <w:rPr>
          <w:rFonts w:hint="cs"/>
          <w:rtl/>
        </w:rPr>
        <w:t xml:space="preserve"> </w:t>
      </w:r>
      <w:r w:rsidRPr="00A22B7B">
        <w:rPr>
          <w:rFonts w:hint="cs"/>
          <w:rtl/>
        </w:rPr>
        <w:t>والحياة</w:t>
      </w:r>
      <w:r>
        <w:rPr>
          <w:rFonts w:hint="cs"/>
          <w:rtl/>
        </w:rPr>
        <w:t xml:space="preserve"> </w:t>
      </w:r>
      <w:r w:rsidRPr="00A22B7B">
        <w:rPr>
          <w:rFonts w:hint="cs"/>
          <w:rtl/>
        </w:rPr>
        <w:t>الأسرية</w:t>
      </w:r>
    </w:p>
    <w:p w:rsidR="009943B2" w:rsidRDefault="009943B2" w:rsidP="009943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A22B7B">
        <w:rPr>
          <w:rFonts w:hint="cs"/>
          <w:rtl/>
        </w:rPr>
        <w:t>الزواج</w:t>
      </w:r>
      <w:r>
        <w:rPr>
          <w:rFonts w:hint="cs"/>
          <w:rtl/>
        </w:rPr>
        <w:t xml:space="preserve"> </w:t>
      </w:r>
      <w:r w:rsidRPr="00A22B7B">
        <w:rPr>
          <w:rFonts w:hint="cs"/>
          <w:rtl/>
        </w:rPr>
        <w:t>التقليدي</w:t>
      </w:r>
      <w:r>
        <w:rPr>
          <w:rFonts w:hint="cs"/>
          <w:rtl/>
        </w:rPr>
        <w:t xml:space="preserve"> </w:t>
      </w:r>
      <w:r w:rsidRPr="00A22B7B">
        <w:rPr>
          <w:rFonts w:hint="cs"/>
          <w:rtl/>
        </w:rPr>
        <w:t>وتنظيمه</w:t>
      </w:r>
      <w:r>
        <w:rPr>
          <w:rFonts w:hint="cs"/>
          <w:rtl/>
        </w:rPr>
        <w:t xml:space="preserve"> </w:t>
      </w:r>
      <w:r w:rsidRPr="00A22B7B">
        <w:rPr>
          <w:rFonts w:hint="cs"/>
          <w:rtl/>
        </w:rPr>
        <w:t>في</w:t>
      </w:r>
      <w:r>
        <w:rPr>
          <w:rFonts w:hint="cs"/>
          <w:rtl/>
        </w:rPr>
        <w:t xml:space="preserve"> </w:t>
      </w:r>
      <w:r w:rsidRPr="00A22B7B">
        <w:rPr>
          <w:rFonts w:hint="cs"/>
          <w:rtl/>
        </w:rPr>
        <w:t>القانون</w:t>
      </w:r>
      <w:r>
        <w:rPr>
          <w:rFonts w:hint="cs"/>
          <w:rtl/>
        </w:rPr>
        <w:t xml:space="preserve"> </w:t>
      </w:r>
      <w:r w:rsidRPr="00A22B7B">
        <w:rPr>
          <w:rFonts w:hint="cs"/>
          <w:rtl/>
        </w:rPr>
        <w:t>المدني</w:t>
      </w:r>
    </w:p>
    <w:p w:rsidR="009943B2" w:rsidRPr="00A22B7B" w:rsidRDefault="009943B2" w:rsidP="009943B2">
      <w:pPr>
        <w:pStyle w:val="SingleTxt"/>
        <w:rPr>
          <w:rFonts w:hint="cs"/>
        </w:rPr>
      </w:pPr>
      <w:r>
        <w:rPr>
          <w:rFonts w:hint="cs"/>
          <w:rtl/>
        </w:rPr>
        <w:t xml:space="preserve">334 - </w:t>
      </w:r>
      <w:r w:rsidRPr="00A22B7B">
        <w:rPr>
          <w:rtl/>
        </w:rPr>
        <w:t>يعتبر</w:t>
      </w:r>
      <w:r>
        <w:rPr>
          <w:rtl/>
        </w:rPr>
        <w:t xml:space="preserve"> </w:t>
      </w:r>
      <w:r w:rsidRPr="00A22B7B">
        <w:rPr>
          <w:rtl/>
        </w:rPr>
        <w:t>الزواج</w:t>
      </w:r>
      <w:r>
        <w:rPr>
          <w:rtl/>
        </w:rPr>
        <w:t xml:space="preserve"> </w:t>
      </w:r>
      <w:r w:rsidRPr="00A22B7B">
        <w:rPr>
          <w:rtl/>
        </w:rPr>
        <w:t>مؤسسة</w:t>
      </w:r>
      <w:r>
        <w:rPr>
          <w:rtl/>
        </w:rPr>
        <w:t xml:space="preserve"> </w:t>
      </w:r>
      <w:r w:rsidRPr="00A22B7B">
        <w:rPr>
          <w:rtl/>
        </w:rPr>
        <w:t>مركزية</w:t>
      </w:r>
      <w:r>
        <w:rPr>
          <w:rtl/>
        </w:rPr>
        <w:t xml:space="preserve"> </w:t>
      </w:r>
      <w:r w:rsidRPr="00A22B7B">
        <w:rPr>
          <w:rtl/>
        </w:rPr>
        <w:t>في</w:t>
      </w:r>
      <w:r>
        <w:rPr>
          <w:rtl/>
        </w:rPr>
        <w:t xml:space="preserve"> </w:t>
      </w:r>
      <w:r w:rsidRPr="00A22B7B">
        <w:rPr>
          <w:rtl/>
        </w:rPr>
        <w:t>تيمور</w:t>
      </w:r>
      <w:r>
        <w:rPr>
          <w:rFonts w:hint="cs"/>
          <w:rtl/>
        </w:rPr>
        <w:t> </w:t>
      </w:r>
      <w:r w:rsidRPr="00A22B7B">
        <w:rPr>
          <w:rFonts w:hint="cs"/>
          <w:rtl/>
        </w:rPr>
        <w:t>-</w:t>
      </w:r>
      <w:r>
        <w:rPr>
          <w:rFonts w:hint="cs"/>
          <w:rtl/>
        </w:rPr>
        <w:t xml:space="preserve"> </w:t>
      </w:r>
      <w:r w:rsidRPr="00A22B7B">
        <w:rPr>
          <w:rFonts w:hint="cs"/>
          <w:rtl/>
        </w:rPr>
        <w:t>ليشتي</w:t>
      </w:r>
      <w:r w:rsidRPr="00A22B7B">
        <w:rPr>
          <w:rtl/>
        </w:rPr>
        <w:t>،</w:t>
      </w:r>
      <w:r>
        <w:rPr>
          <w:rtl/>
        </w:rPr>
        <w:t xml:space="preserve"> </w:t>
      </w:r>
      <w:r w:rsidRPr="00A22B7B">
        <w:rPr>
          <w:rtl/>
        </w:rPr>
        <w:t>وأساس</w:t>
      </w:r>
      <w:r>
        <w:rPr>
          <w:rtl/>
        </w:rPr>
        <w:t xml:space="preserve"> </w:t>
      </w:r>
      <w:r w:rsidRPr="00A22B7B">
        <w:rPr>
          <w:rtl/>
        </w:rPr>
        <w:t>التنظيم</w:t>
      </w:r>
      <w:r>
        <w:rPr>
          <w:rtl/>
        </w:rPr>
        <w:t xml:space="preserve"> </w:t>
      </w:r>
      <w:r w:rsidRPr="00A22B7B">
        <w:rPr>
          <w:rtl/>
        </w:rPr>
        <w:t>الاجتماعي.</w:t>
      </w:r>
      <w:r>
        <w:rPr>
          <w:rtl/>
        </w:rPr>
        <w:t xml:space="preserve"> </w:t>
      </w:r>
      <w:r w:rsidRPr="00A22B7B">
        <w:rPr>
          <w:rFonts w:hint="cs"/>
          <w:rtl/>
        </w:rPr>
        <w:t>و</w:t>
      </w:r>
      <w:r w:rsidRPr="00A22B7B">
        <w:rPr>
          <w:rtl/>
        </w:rPr>
        <w:t>في</w:t>
      </w:r>
      <w:r>
        <w:rPr>
          <w:rtl/>
        </w:rPr>
        <w:t xml:space="preserve"> </w:t>
      </w:r>
      <w:r w:rsidRPr="00A22B7B">
        <w:rPr>
          <w:rtl/>
        </w:rPr>
        <w:t>الممارسات</w:t>
      </w:r>
      <w:r>
        <w:rPr>
          <w:rtl/>
        </w:rPr>
        <w:t xml:space="preserve"> </w:t>
      </w:r>
      <w:r w:rsidRPr="00A22B7B">
        <w:rPr>
          <w:rtl/>
        </w:rPr>
        <w:t>العرفية</w:t>
      </w:r>
      <w:r>
        <w:rPr>
          <w:rtl/>
        </w:rPr>
        <w:t xml:space="preserve"> </w:t>
      </w:r>
      <w:r w:rsidRPr="00A22B7B">
        <w:rPr>
          <w:rtl/>
        </w:rPr>
        <w:t>التقليدية،</w:t>
      </w:r>
      <w:r>
        <w:rPr>
          <w:rtl/>
        </w:rPr>
        <w:t xml:space="preserve"> </w:t>
      </w:r>
      <w:r w:rsidRPr="00A22B7B">
        <w:rPr>
          <w:rtl/>
        </w:rPr>
        <w:t>ي</w:t>
      </w:r>
      <w:r w:rsidRPr="00A22B7B">
        <w:rPr>
          <w:rFonts w:hint="cs"/>
          <w:rtl/>
        </w:rPr>
        <w:t>ُ</w:t>
      </w:r>
      <w:r w:rsidRPr="00A22B7B">
        <w:rPr>
          <w:rtl/>
        </w:rPr>
        <w:t>حت</w:t>
      </w:r>
      <w:r w:rsidRPr="00A22B7B">
        <w:rPr>
          <w:rFonts w:hint="cs"/>
          <w:rtl/>
        </w:rPr>
        <w:t>َ</w:t>
      </w:r>
      <w:r w:rsidRPr="00A22B7B">
        <w:rPr>
          <w:rtl/>
        </w:rPr>
        <w:t>ف</w:t>
      </w:r>
      <w:r w:rsidRPr="00A22B7B">
        <w:rPr>
          <w:rFonts w:hint="cs"/>
          <w:rtl/>
        </w:rPr>
        <w:t>َ</w:t>
      </w:r>
      <w:r w:rsidRPr="00A22B7B">
        <w:rPr>
          <w:rtl/>
        </w:rPr>
        <w:t>ل</w:t>
      </w:r>
      <w:r>
        <w:rPr>
          <w:rtl/>
        </w:rPr>
        <w:t xml:space="preserve"> </w:t>
      </w:r>
      <w:r w:rsidRPr="00A22B7B">
        <w:rPr>
          <w:rFonts w:hint="cs"/>
          <w:rtl/>
        </w:rPr>
        <w:t>ب</w:t>
      </w:r>
      <w:r w:rsidRPr="00A22B7B">
        <w:rPr>
          <w:rtl/>
        </w:rPr>
        <w:t>الزواج</w:t>
      </w:r>
      <w:r>
        <w:rPr>
          <w:rtl/>
        </w:rPr>
        <w:t xml:space="preserve"> </w:t>
      </w:r>
      <w:r w:rsidRPr="00A22B7B">
        <w:rPr>
          <w:rFonts w:hint="cs"/>
          <w:rtl/>
        </w:rPr>
        <w:t>من</w:t>
      </w:r>
      <w:r>
        <w:rPr>
          <w:rFonts w:hint="cs"/>
          <w:rtl/>
        </w:rPr>
        <w:t xml:space="preserve"> </w:t>
      </w:r>
      <w:r w:rsidRPr="00A22B7B">
        <w:rPr>
          <w:rFonts w:hint="cs"/>
          <w:rtl/>
        </w:rPr>
        <w:t>خلال</w:t>
      </w:r>
      <w:r>
        <w:rPr>
          <w:rFonts w:hint="cs"/>
          <w:rtl/>
        </w:rPr>
        <w:t xml:space="preserve"> </w:t>
      </w:r>
      <w:r w:rsidRPr="00A22B7B">
        <w:rPr>
          <w:rFonts w:hint="cs"/>
          <w:rtl/>
        </w:rPr>
        <w:t>نظم</w:t>
      </w:r>
      <w:r>
        <w:rPr>
          <w:rFonts w:hint="cs"/>
          <w:rtl/>
        </w:rPr>
        <w:t xml:space="preserve"> </w:t>
      </w:r>
      <w:r w:rsidRPr="00A22B7B">
        <w:rPr>
          <w:rFonts w:hint="cs"/>
          <w:rtl/>
        </w:rPr>
        <w:t>عشائرية</w:t>
      </w:r>
      <w:r>
        <w:rPr>
          <w:rFonts w:hint="cs"/>
          <w:rtl/>
        </w:rPr>
        <w:t xml:space="preserve"> </w:t>
      </w:r>
      <w:r w:rsidRPr="00A22B7B">
        <w:rPr>
          <w:rtl/>
        </w:rPr>
        <w:t>أبوي</w:t>
      </w:r>
      <w:r w:rsidRPr="00A22B7B">
        <w:rPr>
          <w:rFonts w:hint="cs"/>
          <w:rtl/>
        </w:rPr>
        <w:t>ة</w:t>
      </w:r>
      <w:r>
        <w:rPr>
          <w:rtl/>
        </w:rPr>
        <w:t xml:space="preserve"> </w:t>
      </w:r>
      <w:r w:rsidRPr="00A22B7B">
        <w:rPr>
          <w:rtl/>
        </w:rPr>
        <w:t>أو</w:t>
      </w:r>
      <w:r>
        <w:rPr>
          <w:rtl/>
        </w:rPr>
        <w:t xml:space="preserve"> </w:t>
      </w:r>
      <w:r w:rsidRPr="00A22B7B">
        <w:rPr>
          <w:rtl/>
        </w:rPr>
        <w:t>أمومي</w:t>
      </w:r>
      <w:r w:rsidRPr="00A22B7B">
        <w:rPr>
          <w:rFonts w:hint="cs"/>
          <w:rtl/>
        </w:rPr>
        <w:t>ة</w:t>
      </w:r>
      <w:r w:rsidRPr="00A22B7B">
        <w:rPr>
          <w:rtl/>
        </w:rPr>
        <w:t>.</w:t>
      </w:r>
      <w:r>
        <w:rPr>
          <w:rtl/>
        </w:rPr>
        <w:t xml:space="preserve"> </w:t>
      </w:r>
      <w:r w:rsidRPr="00A22B7B">
        <w:rPr>
          <w:rFonts w:hint="cs"/>
          <w:rtl/>
        </w:rPr>
        <w:t>أما</w:t>
      </w:r>
      <w:r>
        <w:rPr>
          <w:rFonts w:hint="cs"/>
          <w:rtl/>
        </w:rPr>
        <w:t xml:space="preserve"> </w:t>
      </w:r>
      <w:r w:rsidRPr="00A22B7B">
        <w:rPr>
          <w:rtl/>
        </w:rPr>
        <w:t>الممارسة</w:t>
      </w:r>
      <w:r>
        <w:rPr>
          <w:rtl/>
        </w:rPr>
        <w:t xml:space="preserve"> </w:t>
      </w:r>
      <w:r w:rsidRPr="00A22B7B">
        <w:rPr>
          <w:rtl/>
        </w:rPr>
        <w:t>العرفية</w:t>
      </w:r>
      <w:r>
        <w:rPr>
          <w:rtl/>
        </w:rPr>
        <w:t xml:space="preserve"> </w:t>
      </w:r>
      <w:r w:rsidRPr="00A22B7B">
        <w:rPr>
          <w:rtl/>
        </w:rPr>
        <w:t>التي</w:t>
      </w:r>
      <w:r>
        <w:rPr>
          <w:rtl/>
        </w:rPr>
        <w:t xml:space="preserve"> </w:t>
      </w:r>
      <w:r w:rsidRPr="00A22B7B">
        <w:rPr>
          <w:rFonts w:hint="cs"/>
          <w:rtl/>
        </w:rPr>
        <w:t>تكرّس</w:t>
      </w:r>
      <w:r>
        <w:rPr>
          <w:rtl/>
        </w:rPr>
        <w:t xml:space="preserve"> </w:t>
      </w:r>
      <w:r w:rsidRPr="00A22B7B">
        <w:rPr>
          <w:rtl/>
        </w:rPr>
        <w:t>العلاقات</w:t>
      </w:r>
      <w:r>
        <w:rPr>
          <w:rtl/>
        </w:rPr>
        <w:t xml:space="preserve"> </w:t>
      </w:r>
      <w:r w:rsidRPr="00A22B7B">
        <w:rPr>
          <w:rtl/>
        </w:rPr>
        <w:t>بين</w:t>
      </w:r>
      <w:r>
        <w:rPr>
          <w:rtl/>
        </w:rPr>
        <w:t xml:space="preserve"> </w:t>
      </w:r>
      <w:r w:rsidRPr="00A22B7B">
        <w:rPr>
          <w:rFonts w:hint="cs"/>
          <w:rtl/>
        </w:rPr>
        <w:t>أُسرتي</w:t>
      </w:r>
      <w:r>
        <w:rPr>
          <w:rFonts w:hint="cs"/>
          <w:rtl/>
        </w:rPr>
        <w:t xml:space="preserve"> </w:t>
      </w:r>
      <w:r w:rsidRPr="00A22B7B">
        <w:rPr>
          <w:rtl/>
        </w:rPr>
        <w:t>العروس</w:t>
      </w:r>
      <w:r>
        <w:rPr>
          <w:rtl/>
        </w:rPr>
        <w:t xml:space="preserve"> </w:t>
      </w:r>
      <w:r w:rsidRPr="00A22B7B">
        <w:rPr>
          <w:rtl/>
        </w:rPr>
        <w:t>والعريس</w:t>
      </w:r>
      <w:r>
        <w:rPr>
          <w:rtl/>
        </w:rPr>
        <w:t xml:space="preserve"> </w:t>
      </w:r>
      <w:r w:rsidRPr="00A22B7B">
        <w:rPr>
          <w:rFonts w:hint="cs"/>
          <w:rtl/>
        </w:rPr>
        <w:t>فهي</w:t>
      </w:r>
      <w:r>
        <w:rPr>
          <w:rFonts w:hint="cs"/>
          <w:rtl/>
        </w:rPr>
        <w:t xml:space="preserve"> </w:t>
      </w:r>
      <w:r w:rsidRPr="00A22B7B">
        <w:rPr>
          <w:rFonts w:hint="cs"/>
          <w:rtl/>
        </w:rPr>
        <w:t>تبادل</w:t>
      </w:r>
      <w:r>
        <w:rPr>
          <w:rFonts w:hint="cs"/>
          <w:rtl/>
        </w:rPr>
        <w:t xml:space="preserve"> </w:t>
      </w:r>
      <w:r w:rsidRPr="00A22B7B">
        <w:rPr>
          <w:rFonts w:hint="cs"/>
          <w:rtl/>
        </w:rPr>
        <w:t>الهدايا</w:t>
      </w:r>
      <w:r w:rsidRPr="00A22B7B">
        <w:rPr>
          <w:rtl/>
        </w:rPr>
        <w:t>،</w:t>
      </w:r>
      <w:r>
        <w:rPr>
          <w:rtl/>
        </w:rPr>
        <w:t xml:space="preserve"> </w:t>
      </w:r>
      <w:r w:rsidRPr="00A22B7B">
        <w:rPr>
          <w:rFonts w:hint="cs"/>
          <w:rtl/>
        </w:rPr>
        <w:t>وت</w:t>
      </w:r>
      <w:r w:rsidRPr="00A22B7B">
        <w:rPr>
          <w:rtl/>
        </w:rPr>
        <w:t>سم</w:t>
      </w:r>
      <w:r w:rsidRPr="00A22B7B">
        <w:rPr>
          <w:rFonts w:hint="cs"/>
          <w:rtl/>
        </w:rPr>
        <w:t>ّ</w:t>
      </w:r>
      <w:r w:rsidRPr="00A22B7B">
        <w:rPr>
          <w:rtl/>
        </w:rPr>
        <w:t>ى</w:t>
      </w:r>
      <w:r>
        <w:rPr>
          <w:rtl/>
        </w:rPr>
        <w:t xml:space="preserve"> </w:t>
      </w:r>
      <w:r w:rsidRPr="00A22B7B">
        <w:rPr>
          <w:rFonts w:hint="cs"/>
          <w:rtl/>
        </w:rPr>
        <w:t>بارلاكي</w:t>
      </w:r>
      <w:r>
        <w:rPr>
          <w:rFonts w:hint="cs"/>
          <w:rtl/>
        </w:rPr>
        <w:t xml:space="preserve"> ’</w:t>
      </w:r>
      <w:r w:rsidRPr="00A22B7B">
        <w:rPr>
          <w:i/>
          <w:iCs/>
        </w:rPr>
        <w:t>barlake</w:t>
      </w:r>
      <w:r>
        <w:rPr>
          <w:rFonts w:hint="cs"/>
          <w:i/>
          <w:iCs/>
          <w:rtl/>
        </w:rPr>
        <w:t>‘</w:t>
      </w:r>
      <w:r w:rsidRPr="00A22B7B">
        <w:rPr>
          <w:rtl/>
        </w:rPr>
        <w:t>.</w:t>
      </w:r>
      <w:r>
        <w:rPr>
          <w:rtl/>
        </w:rPr>
        <w:t xml:space="preserve"> </w:t>
      </w:r>
      <w:r w:rsidRPr="00A22B7B">
        <w:rPr>
          <w:rFonts w:hint="cs"/>
          <w:rtl/>
        </w:rPr>
        <w:t>ويُنظَّم</w:t>
      </w:r>
      <w:r>
        <w:rPr>
          <w:rFonts w:hint="cs"/>
          <w:rtl/>
        </w:rPr>
        <w:t xml:space="preserve"> </w:t>
      </w:r>
      <w:r w:rsidRPr="00A22B7B">
        <w:rPr>
          <w:rtl/>
        </w:rPr>
        <w:t>الزواج</w:t>
      </w:r>
      <w:r>
        <w:rPr>
          <w:rtl/>
        </w:rPr>
        <w:t xml:space="preserve"> </w:t>
      </w:r>
      <w:r w:rsidRPr="00A22B7B">
        <w:rPr>
          <w:rFonts w:hint="cs"/>
          <w:rtl/>
        </w:rPr>
        <w:t>بحسب</w:t>
      </w:r>
      <w:r>
        <w:rPr>
          <w:rFonts w:hint="cs"/>
          <w:rtl/>
        </w:rPr>
        <w:t xml:space="preserve"> </w:t>
      </w:r>
      <w:r w:rsidRPr="00A22B7B">
        <w:rPr>
          <w:rFonts w:hint="cs"/>
          <w:rtl/>
        </w:rPr>
        <w:t>القواعد</w:t>
      </w:r>
      <w:r>
        <w:rPr>
          <w:rtl/>
        </w:rPr>
        <w:t xml:space="preserve"> </w:t>
      </w:r>
      <w:r w:rsidRPr="00A22B7B">
        <w:rPr>
          <w:rtl/>
        </w:rPr>
        <w:t>التقليدية</w:t>
      </w:r>
      <w:r>
        <w:rPr>
          <w:rtl/>
        </w:rPr>
        <w:t xml:space="preserve"> </w:t>
      </w:r>
      <w:r w:rsidRPr="00A22B7B">
        <w:rPr>
          <w:rFonts w:hint="cs"/>
          <w:rtl/>
        </w:rPr>
        <w:t>(</w:t>
      </w:r>
      <w:r w:rsidRPr="00A22B7B">
        <w:rPr>
          <w:rtl/>
        </w:rPr>
        <w:t>المعروفة</w:t>
      </w:r>
      <w:r>
        <w:rPr>
          <w:rtl/>
        </w:rPr>
        <w:t xml:space="preserve"> </w:t>
      </w:r>
      <w:r w:rsidRPr="00A22B7B">
        <w:rPr>
          <w:rtl/>
        </w:rPr>
        <w:t>باسم</w:t>
      </w:r>
      <w:r>
        <w:rPr>
          <w:rtl/>
        </w:rPr>
        <w:t xml:space="preserve"> </w:t>
      </w:r>
      <w:r w:rsidRPr="00A22B7B">
        <w:rPr>
          <w:rtl/>
        </w:rPr>
        <w:t>لسان</w:t>
      </w:r>
      <w:r>
        <w:rPr>
          <w:rFonts w:hint="cs"/>
          <w:rtl/>
        </w:rPr>
        <w:t xml:space="preserve"> ’</w:t>
      </w:r>
      <w:r w:rsidRPr="00A22B7B">
        <w:rPr>
          <w:i/>
        </w:rPr>
        <w:t>lisan</w:t>
      </w:r>
      <w:r>
        <w:rPr>
          <w:rFonts w:hint="cs"/>
          <w:i/>
          <w:rtl/>
        </w:rPr>
        <w:t xml:space="preserve">‘ </w:t>
      </w:r>
      <w:r>
        <w:rPr>
          <w:rFonts w:hint="cs"/>
          <w:rtl/>
        </w:rPr>
        <w:t>-</w:t>
      </w:r>
      <w:r>
        <w:rPr>
          <w:rtl/>
        </w:rPr>
        <w:t xml:space="preserve"> </w:t>
      </w:r>
      <w:r w:rsidRPr="00A22B7B">
        <w:rPr>
          <w:rFonts w:hint="cs"/>
          <w:rtl/>
        </w:rPr>
        <w:t>وهي</w:t>
      </w:r>
      <w:r>
        <w:rPr>
          <w:rFonts w:hint="cs"/>
          <w:rtl/>
        </w:rPr>
        <w:t xml:space="preserve"> </w:t>
      </w:r>
      <w:r w:rsidRPr="00A22B7B">
        <w:rPr>
          <w:rFonts w:hint="cs"/>
          <w:rtl/>
        </w:rPr>
        <w:t>مجموع</w:t>
      </w:r>
      <w:r>
        <w:rPr>
          <w:rFonts w:hint="cs"/>
          <w:rtl/>
        </w:rPr>
        <w:t xml:space="preserve"> </w:t>
      </w:r>
      <w:r w:rsidRPr="00A22B7B">
        <w:rPr>
          <w:rtl/>
        </w:rPr>
        <w:t>معتقدات</w:t>
      </w:r>
      <w:r>
        <w:rPr>
          <w:rtl/>
        </w:rPr>
        <w:t xml:space="preserve"> </w:t>
      </w:r>
      <w:r w:rsidRPr="00A22B7B">
        <w:rPr>
          <w:rtl/>
        </w:rPr>
        <w:t>وقيم</w:t>
      </w:r>
      <w:r>
        <w:rPr>
          <w:rtl/>
        </w:rPr>
        <w:t xml:space="preserve"> </w:t>
      </w:r>
      <w:r w:rsidRPr="00A22B7B">
        <w:rPr>
          <w:rtl/>
        </w:rPr>
        <w:t>كل</w:t>
      </w:r>
      <w:r>
        <w:rPr>
          <w:rtl/>
        </w:rPr>
        <w:t xml:space="preserve"> </w:t>
      </w:r>
      <w:r w:rsidRPr="00A22B7B">
        <w:rPr>
          <w:rtl/>
        </w:rPr>
        <w:t>عشيرة)</w:t>
      </w:r>
      <w:r>
        <w:rPr>
          <w:rtl/>
        </w:rPr>
        <w:t xml:space="preserve"> </w:t>
      </w:r>
      <w:r w:rsidRPr="00A22B7B">
        <w:rPr>
          <w:rtl/>
        </w:rPr>
        <w:t>معظم</w:t>
      </w:r>
      <w:r>
        <w:rPr>
          <w:rtl/>
        </w:rPr>
        <w:t xml:space="preserve"> </w:t>
      </w:r>
      <w:r w:rsidRPr="00A22B7B">
        <w:rPr>
          <w:rtl/>
        </w:rPr>
        <w:t>جوانب</w:t>
      </w:r>
      <w:r>
        <w:rPr>
          <w:rtl/>
        </w:rPr>
        <w:t xml:space="preserve"> </w:t>
      </w:r>
      <w:r w:rsidRPr="00A22B7B">
        <w:rPr>
          <w:rtl/>
        </w:rPr>
        <w:t>الحياة</w:t>
      </w:r>
      <w:r>
        <w:rPr>
          <w:rtl/>
        </w:rPr>
        <w:t xml:space="preserve"> </w:t>
      </w:r>
      <w:r w:rsidRPr="00A22B7B">
        <w:rPr>
          <w:rtl/>
        </w:rPr>
        <w:t>الأسرية،</w:t>
      </w:r>
      <w:r>
        <w:rPr>
          <w:rtl/>
        </w:rPr>
        <w:t xml:space="preserve"> </w:t>
      </w:r>
      <w:r w:rsidRPr="00A22B7B">
        <w:rPr>
          <w:rtl/>
        </w:rPr>
        <w:t>بما</w:t>
      </w:r>
      <w:r>
        <w:rPr>
          <w:rtl/>
        </w:rPr>
        <w:t xml:space="preserve"> </w:t>
      </w:r>
      <w:r w:rsidRPr="00A22B7B">
        <w:rPr>
          <w:rtl/>
        </w:rPr>
        <w:t>في</w:t>
      </w:r>
      <w:r>
        <w:rPr>
          <w:rtl/>
        </w:rPr>
        <w:t xml:space="preserve"> </w:t>
      </w:r>
      <w:r w:rsidRPr="00A22B7B">
        <w:rPr>
          <w:rtl/>
        </w:rPr>
        <w:t>ذلك</w:t>
      </w:r>
      <w:r>
        <w:rPr>
          <w:rtl/>
        </w:rPr>
        <w:t xml:space="preserve"> </w:t>
      </w:r>
      <w:r w:rsidRPr="00A22B7B">
        <w:rPr>
          <w:rtl/>
        </w:rPr>
        <w:t>ملكية</w:t>
      </w:r>
      <w:r>
        <w:rPr>
          <w:rtl/>
        </w:rPr>
        <w:t xml:space="preserve"> </w:t>
      </w:r>
      <w:r w:rsidRPr="00A22B7B">
        <w:rPr>
          <w:rtl/>
        </w:rPr>
        <w:t>الممتلكات</w:t>
      </w:r>
      <w:r>
        <w:rPr>
          <w:rtl/>
        </w:rPr>
        <w:t xml:space="preserve"> </w:t>
      </w:r>
      <w:r w:rsidRPr="00A22B7B">
        <w:rPr>
          <w:rtl/>
        </w:rPr>
        <w:t>والطقوس</w:t>
      </w:r>
      <w:r>
        <w:rPr>
          <w:rtl/>
        </w:rPr>
        <w:t xml:space="preserve"> </w:t>
      </w:r>
      <w:r w:rsidRPr="00A22B7B">
        <w:rPr>
          <w:rtl/>
        </w:rPr>
        <w:t>الجنائزية</w:t>
      </w:r>
      <w:r>
        <w:rPr>
          <w:rtl/>
        </w:rPr>
        <w:t xml:space="preserve"> </w:t>
      </w:r>
      <w:r w:rsidRPr="00A22B7B">
        <w:rPr>
          <w:rtl/>
        </w:rPr>
        <w:t>ومواقع</w:t>
      </w:r>
      <w:r>
        <w:rPr>
          <w:rtl/>
        </w:rPr>
        <w:t xml:space="preserve"> </w:t>
      </w:r>
      <w:r w:rsidRPr="00A22B7B">
        <w:rPr>
          <w:rtl/>
        </w:rPr>
        <w:t>الدفن</w:t>
      </w:r>
      <w:r>
        <w:rPr>
          <w:rtl/>
        </w:rPr>
        <w:t xml:space="preserve"> </w:t>
      </w:r>
      <w:r w:rsidRPr="00A22B7B">
        <w:rPr>
          <w:rtl/>
        </w:rPr>
        <w:t>وأدوار</w:t>
      </w:r>
      <w:r>
        <w:rPr>
          <w:rtl/>
        </w:rPr>
        <w:t xml:space="preserve"> </w:t>
      </w:r>
      <w:r w:rsidRPr="00A22B7B">
        <w:rPr>
          <w:rFonts w:hint="cs"/>
          <w:rtl/>
        </w:rPr>
        <w:t>البنين</w:t>
      </w:r>
      <w:r>
        <w:rPr>
          <w:rtl/>
        </w:rPr>
        <w:t xml:space="preserve"> </w:t>
      </w:r>
      <w:r w:rsidRPr="00A22B7B">
        <w:rPr>
          <w:rtl/>
        </w:rPr>
        <w:t>و</w:t>
      </w:r>
      <w:r w:rsidRPr="00A22B7B">
        <w:rPr>
          <w:rFonts w:hint="cs"/>
          <w:rtl/>
        </w:rPr>
        <w:t>ال</w:t>
      </w:r>
      <w:r w:rsidRPr="00A22B7B">
        <w:rPr>
          <w:rtl/>
        </w:rPr>
        <w:t>بنات</w:t>
      </w:r>
      <w:r w:rsidRPr="00F80C43">
        <w:rPr>
          <w:vertAlign w:val="superscript"/>
          <w:rtl/>
        </w:rPr>
        <w:t>(</w:t>
      </w:r>
      <w:r w:rsidRPr="00F80C43">
        <w:rPr>
          <w:rStyle w:val="FootnoteReference"/>
          <w:szCs w:val="30"/>
          <w:rtl/>
        </w:rPr>
        <w:footnoteReference w:id="288"/>
      </w:r>
      <w:r w:rsidRPr="00F80C43">
        <w:rPr>
          <w:vertAlign w:val="superscript"/>
          <w:rtl/>
        </w:rPr>
        <w:t>)</w:t>
      </w:r>
      <w:r w:rsidRPr="00A22B7B">
        <w:rPr>
          <w:rFonts w:hint="cs"/>
          <w:rtl/>
        </w:rPr>
        <w:t>.</w:t>
      </w:r>
    </w:p>
    <w:p w:rsidR="009943B2" w:rsidRPr="00A22B7B" w:rsidRDefault="009943B2" w:rsidP="009943B2">
      <w:pPr>
        <w:pStyle w:val="SingleTxt"/>
        <w:rPr>
          <w:rFonts w:hint="cs"/>
        </w:rPr>
      </w:pPr>
      <w:r>
        <w:rPr>
          <w:rFonts w:hint="cs"/>
          <w:rtl/>
        </w:rPr>
        <w:t xml:space="preserve">335 - </w:t>
      </w:r>
      <w:r w:rsidRPr="00A22B7B">
        <w:rPr>
          <w:rFonts w:hint="cs"/>
          <w:rtl/>
        </w:rPr>
        <w:t>وينظّم</w:t>
      </w:r>
      <w:r>
        <w:rPr>
          <w:rFonts w:hint="cs"/>
          <w:rtl/>
        </w:rPr>
        <w:t xml:space="preserve"> </w:t>
      </w:r>
      <w:r w:rsidRPr="00A22B7B">
        <w:rPr>
          <w:rFonts w:hint="cs"/>
          <w:rtl/>
        </w:rPr>
        <w:t>القانون</w:t>
      </w:r>
      <w:r>
        <w:rPr>
          <w:rFonts w:hint="cs"/>
          <w:rtl/>
        </w:rPr>
        <w:t xml:space="preserve"> </w:t>
      </w:r>
      <w:r w:rsidRPr="00A22B7B">
        <w:rPr>
          <w:rFonts w:hint="cs"/>
          <w:rtl/>
        </w:rPr>
        <w:t>المدني</w:t>
      </w:r>
      <w:r>
        <w:rPr>
          <w:rFonts w:hint="cs"/>
          <w:rtl/>
        </w:rPr>
        <w:t xml:space="preserve"> </w:t>
      </w:r>
      <w:r w:rsidRPr="00A22B7B">
        <w:rPr>
          <w:rFonts w:hint="cs"/>
          <w:rtl/>
        </w:rPr>
        <w:t>لعام</w:t>
      </w:r>
      <w:r>
        <w:rPr>
          <w:rFonts w:hint="cs"/>
          <w:rtl/>
        </w:rPr>
        <w:t xml:space="preserve"> </w:t>
      </w:r>
      <w:r w:rsidRPr="00A22B7B">
        <w:rPr>
          <w:rFonts w:hint="cs"/>
          <w:rtl/>
        </w:rPr>
        <w:t>2011</w:t>
      </w:r>
      <w:r>
        <w:rPr>
          <w:rFonts w:hint="cs"/>
          <w:rtl/>
        </w:rPr>
        <w:t xml:space="preserve"> </w:t>
      </w:r>
      <w:r w:rsidRPr="00A22B7B">
        <w:rPr>
          <w:rFonts w:hint="cs"/>
          <w:rtl/>
        </w:rPr>
        <w:t>الزواج</w:t>
      </w:r>
      <w:r>
        <w:rPr>
          <w:rFonts w:hint="cs"/>
          <w:rtl/>
        </w:rPr>
        <w:t xml:space="preserve"> </w:t>
      </w:r>
      <w:r w:rsidRPr="00A22B7B">
        <w:rPr>
          <w:rFonts w:hint="cs"/>
          <w:rtl/>
        </w:rPr>
        <w:t>ويصفه</w:t>
      </w:r>
      <w:r>
        <w:rPr>
          <w:rFonts w:hint="cs"/>
          <w:rtl/>
        </w:rPr>
        <w:t xml:space="preserve"> </w:t>
      </w:r>
      <w:r w:rsidRPr="00A22B7B">
        <w:rPr>
          <w:rFonts w:hint="cs"/>
          <w:rtl/>
        </w:rPr>
        <w:t>في</w:t>
      </w:r>
      <w:r>
        <w:rPr>
          <w:rFonts w:hint="cs"/>
          <w:rtl/>
        </w:rPr>
        <w:t xml:space="preserve"> </w:t>
      </w:r>
      <w:r w:rsidRPr="00A22B7B">
        <w:rPr>
          <w:rFonts w:hint="cs"/>
          <w:rtl/>
        </w:rPr>
        <w:t>المادة</w:t>
      </w:r>
      <w:r>
        <w:rPr>
          <w:rFonts w:hint="cs"/>
          <w:rtl/>
        </w:rPr>
        <w:t xml:space="preserve"> </w:t>
      </w:r>
      <w:r w:rsidRPr="00A22B7B">
        <w:rPr>
          <w:rFonts w:hint="cs"/>
          <w:rtl/>
        </w:rPr>
        <w:t>1467</w:t>
      </w:r>
      <w:r>
        <w:rPr>
          <w:rFonts w:hint="cs"/>
          <w:rtl/>
        </w:rPr>
        <w:t xml:space="preserve"> </w:t>
      </w:r>
      <w:r w:rsidRPr="00A22B7B">
        <w:rPr>
          <w:rFonts w:hint="cs"/>
          <w:rtl/>
        </w:rPr>
        <w:t>على</w:t>
      </w:r>
      <w:r>
        <w:rPr>
          <w:rFonts w:hint="cs"/>
          <w:rtl/>
        </w:rPr>
        <w:t xml:space="preserve"> </w:t>
      </w:r>
      <w:r w:rsidRPr="00A22B7B">
        <w:rPr>
          <w:rFonts w:hint="cs"/>
          <w:rtl/>
        </w:rPr>
        <w:t>أنه</w:t>
      </w:r>
      <w:r>
        <w:rPr>
          <w:rFonts w:hint="cs"/>
          <w:rtl/>
        </w:rPr>
        <w:t xml:space="preserve"> </w:t>
      </w:r>
      <w:r>
        <w:rPr>
          <w:rFonts w:hint="eastAsia"/>
          <w:rtl/>
        </w:rPr>
        <w:t>”</w:t>
      </w:r>
      <w:r w:rsidRPr="00A22B7B">
        <w:rPr>
          <w:rFonts w:hint="cs"/>
          <w:rtl/>
        </w:rPr>
        <w:t>عقدٌ</w:t>
      </w:r>
      <w:r>
        <w:rPr>
          <w:rFonts w:hint="cs"/>
          <w:rtl/>
        </w:rPr>
        <w:t xml:space="preserve"> </w:t>
      </w:r>
      <w:r w:rsidRPr="00A22B7B">
        <w:rPr>
          <w:rFonts w:hint="cs"/>
          <w:rtl/>
        </w:rPr>
        <w:t>بين</w:t>
      </w:r>
      <w:r>
        <w:rPr>
          <w:rFonts w:hint="cs"/>
          <w:rtl/>
        </w:rPr>
        <w:t xml:space="preserve"> </w:t>
      </w:r>
      <w:r w:rsidRPr="00A22B7B">
        <w:rPr>
          <w:rFonts w:hint="cs"/>
          <w:rtl/>
        </w:rPr>
        <w:t>شخصين</w:t>
      </w:r>
      <w:r>
        <w:rPr>
          <w:rFonts w:hint="cs"/>
          <w:rtl/>
        </w:rPr>
        <w:t xml:space="preserve"> </w:t>
      </w:r>
      <w:r w:rsidRPr="00A22B7B">
        <w:rPr>
          <w:rFonts w:hint="cs"/>
          <w:rtl/>
        </w:rPr>
        <w:t>من</w:t>
      </w:r>
      <w:r>
        <w:rPr>
          <w:rFonts w:hint="cs"/>
          <w:rtl/>
        </w:rPr>
        <w:t xml:space="preserve"> </w:t>
      </w:r>
      <w:r w:rsidRPr="00A22B7B">
        <w:rPr>
          <w:rFonts w:hint="cs"/>
          <w:rtl/>
        </w:rPr>
        <w:t>جنسين</w:t>
      </w:r>
      <w:r>
        <w:rPr>
          <w:rFonts w:hint="cs"/>
          <w:rtl/>
        </w:rPr>
        <w:t xml:space="preserve"> </w:t>
      </w:r>
      <w:r w:rsidRPr="00A22B7B">
        <w:rPr>
          <w:rFonts w:hint="cs"/>
          <w:rtl/>
        </w:rPr>
        <w:t>مختلفين</w:t>
      </w:r>
      <w:r>
        <w:rPr>
          <w:rFonts w:hint="cs"/>
          <w:rtl/>
        </w:rPr>
        <w:t xml:space="preserve"> </w:t>
      </w:r>
      <w:r w:rsidRPr="00A22B7B">
        <w:rPr>
          <w:rFonts w:hint="cs"/>
          <w:rtl/>
        </w:rPr>
        <w:t>ينويان</w:t>
      </w:r>
      <w:r>
        <w:rPr>
          <w:rFonts w:hint="cs"/>
          <w:rtl/>
        </w:rPr>
        <w:t xml:space="preserve"> </w:t>
      </w:r>
      <w:r w:rsidRPr="00A22B7B">
        <w:rPr>
          <w:rFonts w:hint="cs"/>
          <w:rtl/>
        </w:rPr>
        <w:t>تكوين</w:t>
      </w:r>
      <w:r>
        <w:rPr>
          <w:rFonts w:hint="cs"/>
          <w:rtl/>
        </w:rPr>
        <w:t xml:space="preserve"> </w:t>
      </w:r>
      <w:r w:rsidRPr="00A22B7B">
        <w:rPr>
          <w:rFonts w:hint="cs"/>
          <w:rtl/>
        </w:rPr>
        <w:t>أسرة</w:t>
      </w:r>
      <w:r>
        <w:rPr>
          <w:rFonts w:hint="cs"/>
          <w:rtl/>
        </w:rPr>
        <w:t xml:space="preserve"> </w:t>
      </w:r>
      <w:r w:rsidRPr="00A22B7B">
        <w:rPr>
          <w:rFonts w:hint="cs"/>
          <w:rtl/>
        </w:rPr>
        <w:t>من</w:t>
      </w:r>
      <w:r>
        <w:rPr>
          <w:rFonts w:hint="cs"/>
          <w:rtl/>
        </w:rPr>
        <w:t xml:space="preserve"> </w:t>
      </w:r>
      <w:r w:rsidRPr="00A22B7B">
        <w:rPr>
          <w:rFonts w:hint="cs"/>
          <w:rtl/>
        </w:rPr>
        <w:t>خلال</w:t>
      </w:r>
      <w:r>
        <w:rPr>
          <w:rFonts w:hint="cs"/>
          <w:rtl/>
        </w:rPr>
        <w:t xml:space="preserve"> </w:t>
      </w:r>
      <w:r w:rsidRPr="00A22B7B">
        <w:rPr>
          <w:rFonts w:hint="cs"/>
          <w:rtl/>
        </w:rPr>
        <w:t>مشاركتهما</w:t>
      </w:r>
      <w:r>
        <w:rPr>
          <w:rFonts w:hint="cs"/>
          <w:rtl/>
        </w:rPr>
        <w:t xml:space="preserve"> </w:t>
      </w:r>
      <w:r w:rsidRPr="00A22B7B">
        <w:rPr>
          <w:rFonts w:hint="cs"/>
          <w:rtl/>
        </w:rPr>
        <w:t>الحياة</w:t>
      </w:r>
      <w:r>
        <w:rPr>
          <w:rFonts w:hint="cs"/>
          <w:rtl/>
        </w:rPr>
        <w:t xml:space="preserve"> </w:t>
      </w:r>
      <w:r w:rsidRPr="00A22B7B">
        <w:rPr>
          <w:rFonts w:hint="cs"/>
          <w:rtl/>
        </w:rPr>
        <w:t>مشاركة</w:t>
      </w:r>
      <w:r>
        <w:rPr>
          <w:rFonts w:hint="cs"/>
          <w:rtl/>
        </w:rPr>
        <w:t xml:space="preserve"> </w:t>
      </w:r>
      <w:r w:rsidRPr="00A22B7B">
        <w:rPr>
          <w:rFonts w:hint="cs"/>
          <w:rtl/>
        </w:rPr>
        <w:t>تامة</w:t>
      </w:r>
      <w:r>
        <w:rPr>
          <w:rFonts w:hint="cs"/>
          <w:rtl/>
        </w:rPr>
        <w:t xml:space="preserve"> </w:t>
      </w:r>
      <w:r w:rsidRPr="00A22B7B">
        <w:rPr>
          <w:rFonts w:hint="cs"/>
          <w:rtl/>
        </w:rPr>
        <w:t>بموجب</w:t>
      </w:r>
      <w:r>
        <w:rPr>
          <w:rFonts w:hint="cs"/>
          <w:rtl/>
        </w:rPr>
        <w:t xml:space="preserve"> </w:t>
      </w:r>
      <w:r w:rsidRPr="00A22B7B">
        <w:rPr>
          <w:rFonts w:hint="cs"/>
          <w:rtl/>
        </w:rPr>
        <w:t>أحكام</w:t>
      </w:r>
      <w:r>
        <w:rPr>
          <w:rFonts w:hint="cs"/>
          <w:rtl/>
        </w:rPr>
        <w:t xml:space="preserve"> </w:t>
      </w:r>
      <w:r w:rsidRPr="00A22B7B">
        <w:rPr>
          <w:rFonts w:hint="cs"/>
          <w:rtl/>
        </w:rPr>
        <w:t>هذا</w:t>
      </w:r>
      <w:r>
        <w:rPr>
          <w:rFonts w:hint="cs"/>
          <w:rtl/>
        </w:rPr>
        <w:t xml:space="preserve"> </w:t>
      </w:r>
      <w:r w:rsidRPr="00A22B7B">
        <w:rPr>
          <w:rFonts w:hint="cs"/>
          <w:rtl/>
        </w:rPr>
        <w:t>القانون</w:t>
      </w:r>
      <w:r>
        <w:rPr>
          <w:rFonts w:hint="eastAsia"/>
          <w:rtl/>
        </w:rPr>
        <w:t>“</w:t>
      </w:r>
      <w:r w:rsidRPr="00A22B7B">
        <w:rPr>
          <w:rFonts w:hint="cs"/>
          <w:rtl/>
        </w:rPr>
        <w:t>.</w:t>
      </w:r>
    </w:p>
    <w:p w:rsidR="009943B2" w:rsidRPr="00A22B7B" w:rsidRDefault="009943B2" w:rsidP="009943B2">
      <w:pPr>
        <w:pStyle w:val="SingleTxt"/>
        <w:rPr>
          <w:rFonts w:hint="cs"/>
        </w:rPr>
      </w:pPr>
      <w:r>
        <w:rPr>
          <w:rFonts w:hint="cs"/>
          <w:rtl/>
        </w:rPr>
        <w:t xml:space="preserve">336 - </w:t>
      </w:r>
      <w:r w:rsidRPr="00A22B7B">
        <w:rPr>
          <w:rFonts w:hint="cs"/>
          <w:rtl/>
        </w:rPr>
        <w:t>ويعترف</w:t>
      </w:r>
      <w:r>
        <w:rPr>
          <w:rFonts w:hint="cs"/>
          <w:rtl/>
        </w:rPr>
        <w:t xml:space="preserve"> </w:t>
      </w:r>
      <w:r w:rsidRPr="00A22B7B">
        <w:rPr>
          <w:rFonts w:hint="cs"/>
          <w:rtl/>
        </w:rPr>
        <w:t>القانون</w:t>
      </w:r>
      <w:r>
        <w:rPr>
          <w:rFonts w:hint="cs"/>
          <w:rtl/>
        </w:rPr>
        <w:t xml:space="preserve"> </w:t>
      </w:r>
      <w:r w:rsidRPr="00A22B7B">
        <w:rPr>
          <w:rFonts w:hint="cs"/>
          <w:rtl/>
        </w:rPr>
        <w:t>المدني</w:t>
      </w:r>
      <w:r>
        <w:rPr>
          <w:rFonts w:hint="cs"/>
          <w:rtl/>
        </w:rPr>
        <w:t xml:space="preserve"> </w:t>
      </w:r>
      <w:r w:rsidRPr="00A22B7B">
        <w:rPr>
          <w:rFonts w:hint="cs"/>
          <w:rtl/>
        </w:rPr>
        <w:t>بثلاثة</w:t>
      </w:r>
      <w:r>
        <w:rPr>
          <w:rFonts w:hint="cs"/>
          <w:rtl/>
        </w:rPr>
        <w:t xml:space="preserve"> </w:t>
      </w:r>
      <w:r w:rsidRPr="00A22B7B">
        <w:rPr>
          <w:rFonts w:hint="cs"/>
          <w:rtl/>
        </w:rPr>
        <w:t>أشكال</w:t>
      </w:r>
      <w:r>
        <w:rPr>
          <w:rFonts w:hint="cs"/>
          <w:rtl/>
        </w:rPr>
        <w:t xml:space="preserve"> </w:t>
      </w:r>
      <w:r w:rsidRPr="00A22B7B">
        <w:rPr>
          <w:rFonts w:hint="cs"/>
          <w:rtl/>
        </w:rPr>
        <w:t>للزواج</w:t>
      </w:r>
      <w:r>
        <w:rPr>
          <w:rFonts w:hint="cs"/>
          <w:rtl/>
        </w:rPr>
        <w:t xml:space="preserve"> </w:t>
      </w:r>
      <w:r w:rsidRPr="00A22B7B">
        <w:rPr>
          <w:rFonts w:hint="cs"/>
          <w:rtl/>
        </w:rPr>
        <w:t>بموجب</w:t>
      </w:r>
      <w:r>
        <w:rPr>
          <w:rFonts w:hint="cs"/>
          <w:rtl/>
        </w:rPr>
        <w:t xml:space="preserve"> </w:t>
      </w:r>
      <w:r w:rsidRPr="00A22B7B">
        <w:rPr>
          <w:rFonts w:hint="cs"/>
          <w:rtl/>
        </w:rPr>
        <w:t>البند</w:t>
      </w:r>
      <w:r>
        <w:rPr>
          <w:rFonts w:hint="cs"/>
          <w:rtl/>
        </w:rPr>
        <w:t xml:space="preserve"> </w:t>
      </w:r>
      <w:r w:rsidRPr="00A22B7B">
        <w:rPr>
          <w:rFonts w:hint="cs"/>
          <w:rtl/>
        </w:rPr>
        <w:t>1</w:t>
      </w:r>
      <w:r>
        <w:rPr>
          <w:rFonts w:hint="cs"/>
          <w:rtl/>
        </w:rPr>
        <w:t xml:space="preserve"> </w:t>
      </w:r>
      <w:r w:rsidRPr="00A22B7B">
        <w:rPr>
          <w:rFonts w:hint="cs"/>
          <w:rtl/>
        </w:rPr>
        <w:t>من</w:t>
      </w:r>
      <w:r>
        <w:rPr>
          <w:rFonts w:hint="cs"/>
          <w:rtl/>
        </w:rPr>
        <w:t xml:space="preserve"> </w:t>
      </w:r>
      <w:r w:rsidRPr="00A22B7B">
        <w:rPr>
          <w:rFonts w:hint="cs"/>
          <w:rtl/>
        </w:rPr>
        <w:t>المادة</w:t>
      </w:r>
      <w:r>
        <w:rPr>
          <w:rFonts w:hint="cs"/>
          <w:rtl/>
        </w:rPr>
        <w:t xml:space="preserve"> </w:t>
      </w:r>
      <w:r w:rsidRPr="00A22B7B">
        <w:rPr>
          <w:rFonts w:hint="cs"/>
          <w:rtl/>
        </w:rPr>
        <w:t>1475:</w:t>
      </w:r>
      <w:r>
        <w:rPr>
          <w:rFonts w:hint="cs"/>
          <w:rtl/>
        </w:rPr>
        <w:t xml:space="preserve"> </w:t>
      </w:r>
      <w:r w:rsidRPr="00A22B7B">
        <w:rPr>
          <w:rFonts w:hint="cs"/>
          <w:rtl/>
        </w:rPr>
        <w:t>الزواج</w:t>
      </w:r>
      <w:r>
        <w:rPr>
          <w:rFonts w:hint="cs"/>
          <w:rtl/>
        </w:rPr>
        <w:t xml:space="preserve"> </w:t>
      </w:r>
      <w:r w:rsidRPr="00A22B7B">
        <w:rPr>
          <w:rFonts w:hint="cs"/>
          <w:rtl/>
        </w:rPr>
        <w:t>المدني،</w:t>
      </w:r>
      <w:r>
        <w:rPr>
          <w:rFonts w:hint="cs"/>
          <w:rtl/>
        </w:rPr>
        <w:t xml:space="preserve"> </w:t>
      </w:r>
      <w:r w:rsidRPr="00A22B7B">
        <w:rPr>
          <w:rFonts w:hint="cs"/>
          <w:rtl/>
        </w:rPr>
        <w:t>أو</w:t>
      </w:r>
      <w:r>
        <w:rPr>
          <w:rFonts w:hint="cs"/>
          <w:rtl/>
        </w:rPr>
        <w:t xml:space="preserve"> </w:t>
      </w:r>
      <w:r w:rsidRPr="00A22B7B">
        <w:rPr>
          <w:rFonts w:hint="cs"/>
          <w:rtl/>
        </w:rPr>
        <w:t>الزواج</w:t>
      </w:r>
      <w:r>
        <w:rPr>
          <w:rFonts w:hint="cs"/>
          <w:rtl/>
        </w:rPr>
        <w:t xml:space="preserve"> </w:t>
      </w:r>
      <w:r w:rsidRPr="00A22B7B">
        <w:rPr>
          <w:rFonts w:hint="cs"/>
          <w:rtl/>
        </w:rPr>
        <w:t>الكاثوليكي،</w:t>
      </w:r>
      <w:r>
        <w:rPr>
          <w:rFonts w:hint="cs"/>
          <w:rtl/>
        </w:rPr>
        <w:t xml:space="preserve"> </w:t>
      </w:r>
      <w:r w:rsidRPr="00A22B7B">
        <w:rPr>
          <w:rFonts w:hint="cs"/>
          <w:rtl/>
        </w:rPr>
        <w:t>أو</w:t>
      </w:r>
      <w:r>
        <w:rPr>
          <w:rFonts w:hint="cs"/>
          <w:rtl/>
        </w:rPr>
        <w:t xml:space="preserve"> </w:t>
      </w:r>
      <w:r w:rsidRPr="00A22B7B">
        <w:rPr>
          <w:rFonts w:hint="cs"/>
          <w:rtl/>
        </w:rPr>
        <w:t>الزواج</w:t>
      </w:r>
      <w:r>
        <w:rPr>
          <w:rFonts w:hint="cs"/>
          <w:rtl/>
        </w:rPr>
        <w:t xml:space="preserve"> </w:t>
      </w:r>
      <w:r w:rsidRPr="00A22B7B">
        <w:rPr>
          <w:rFonts w:hint="cs"/>
          <w:rtl/>
        </w:rPr>
        <w:t>التقليدي.</w:t>
      </w:r>
      <w:r>
        <w:rPr>
          <w:rFonts w:hint="cs"/>
          <w:rtl/>
        </w:rPr>
        <w:t xml:space="preserve"> </w:t>
      </w:r>
      <w:r w:rsidRPr="00A22B7B">
        <w:rPr>
          <w:rFonts w:hint="cs"/>
          <w:rtl/>
        </w:rPr>
        <w:t>ولشكلي</w:t>
      </w:r>
      <w:r>
        <w:rPr>
          <w:rFonts w:hint="cs"/>
          <w:rtl/>
        </w:rPr>
        <w:t xml:space="preserve"> </w:t>
      </w:r>
      <w:r w:rsidRPr="00A22B7B">
        <w:rPr>
          <w:rFonts w:hint="cs"/>
          <w:rtl/>
        </w:rPr>
        <w:t>الزواج</w:t>
      </w:r>
      <w:r>
        <w:rPr>
          <w:rFonts w:hint="cs"/>
          <w:rtl/>
        </w:rPr>
        <w:t xml:space="preserve"> </w:t>
      </w:r>
      <w:r w:rsidRPr="00A22B7B">
        <w:rPr>
          <w:rFonts w:hint="cs"/>
          <w:rtl/>
        </w:rPr>
        <w:t>الأخيرين</w:t>
      </w:r>
      <w:r>
        <w:rPr>
          <w:rFonts w:hint="cs"/>
          <w:rtl/>
        </w:rPr>
        <w:t xml:space="preserve"> </w:t>
      </w:r>
      <w:r w:rsidRPr="00A22B7B">
        <w:rPr>
          <w:rFonts w:hint="cs"/>
          <w:rtl/>
        </w:rPr>
        <w:t>حكم</w:t>
      </w:r>
      <w:r>
        <w:rPr>
          <w:rFonts w:hint="cs"/>
          <w:rtl/>
        </w:rPr>
        <w:t xml:space="preserve"> </w:t>
      </w:r>
      <w:r w:rsidRPr="00A22B7B">
        <w:rPr>
          <w:rFonts w:hint="cs"/>
          <w:rtl/>
        </w:rPr>
        <w:t>الزواج</w:t>
      </w:r>
      <w:r>
        <w:rPr>
          <w:rFonts w:hint="cs"/>
          <w:rtl/>
        </w:rPr>
        <w:t xml:space="preserve"> </w:t>
      </w:r>
      <w:r w:rsidRPr="00A22B7B">
        <w:rPr>
          <w:rFonts w:hint="cs"/>
          <w:rtl/>
        </w:rPr>
        <w:t>المدني</w:t>
      </w:r>
      <w:r>
        <w:rPr>
          <w:rFonts w:hint="cs"/>
          <w:rtl/>
        </w:rPr>
        <w:t xml:space="preserve"> </w:t>
      </w:r>
      <w:r w:rsidRPr="00A22B7B">
        <w:rPr>
          <w:rFonts w:hint="cs"/>
          <w:rtl/>
        </w:rPr>
        <w:t>نفسه</w:t>
      </w:r>
      <w:r>
        <w:rPr>
          <w:rFonts w:hint="cs"/>
          <w:rtl/>
        </w:rPr>
        <w:t xml:space="preserve"> </w:t>
      </w:r>
      <w:r w:rsidRPr="00A22B7B">
        <w:rPr>
          <w:rFonts w:hint="cs"/>
          <w:rtl/>
        </w:rPr>
        <w:t>ما</w:t>
      </w:r>
      <w:r>
        <w:rPr>
          <w:rFonts w:hint="cs"/>
          <w:rtl/>
        </w:rPr>
        <w:t xml:space="preserve"> </w:t>
      </w:r>
      <w:r w:rsidRPr="00A22B7B">
        <w:rPr>
          <w:rFonts w:hint="cs"/>
          <w:rtl/>
        </w:rPr>
        <w:t>داما</w:t>
      </w:r>
      <w:r>
        <w:rPr>
          <w:rFonts w:hint="cs"/>
          <w:rtl/>
        </w:rPr>
        <w:t xml:space="preserve"> </w:t>
      </w:r>
      <w:r w:rsidRPr="00A22B7B">
        <w:rPr>
          <w:rFonts w:hint="cs"/>
          <w:rtl/>
        </w:rPr>
        <w:t>يتبعان</w:t>
      </w:r>
      <w:r>
        <w:rPr>
          <w:rFonts w:hint="cs"/>
          <w:rtl/>
        </w:rPr>
        <w:t xml:space="preserve"> </w:t>
      </w:r>
      <w:r w:rsidRPr="00A22B7B">
        <w:rPr>
          <w:rFonts w:hint="cs"/>
          <w:rtl/>
        </w:rPr>
        <w:t>مبادئ</w:t>
      </w:r>
      <w:r>
        <w:rPr>
          <w:rFonts w:hint="cs"/>
          <w:rtl/>
        </w:rPr>
        <w:t xml:space="preserve"> </w:t>
      </w:r>
      <w:r w:rsidRPr="00A22B7B">
        <w:rPr>
          <w:rFonts w:hint="cs"/>
          <w:rtl/>
        </w:rPr>
        <w:t>القانون</w:t>
      </w:r>
      <w:r>
        <w:rPr>
          <w:rFonts w:hint="cs"/>
          <w:rtl/>
        </w:rPr>
        <w:t xml:space="preserve"> </w:t>
      </w:r>
      <w:r w:rsidRPr="00A22B7B">
        <w:rPr>
          <w:rFonts w:hint="cs"/>
          <w:rtl/>
        </w:rPr>
        <w:t>المدني</w:t>
      </w:r>
      <w:r>
        <w:rPr>
          <w:rFonts w:hint="cs"/>
          <w:rtl/>
        </w:rPr>
        <w:t xml:space="preserve"> </w:t>
      </w:r>
      <w:r w:rsidRPr="00A22B7B">
        <w:rPr>
          <w:rFonts w:hint="cs"/>
          <w:rtl/>
        </w:rPr>
        <w:t>المقررة</w:t>
      </w:r>
      <w:r>
        <w:rPr>
          <w:rFonts w:hint="cs"/>
          <w:rtl/>
        </w:rPr>
        <w:t xml:space="preserve"> </w:t>
      </w:r>
      <w:r w:rsidRPr="00A22B7B">
        <w:rPr>
          <w:rFonts w:hint="cs"/>
          <w:rtl/>
        </w:rPr>
        <w:t>في</w:t>
      </w:r>
      <w:r>
        <w:rPr>
          <w:rFonts w:hint="cs"/>
          <w:rtl/>
        </w:rPr>
        <w:t xml:space="preserve"> </w:t>
      </w:r>
      <w:r w:rsidRPr="00A22B7B">
        <w:rPr>
          <w:rFonts w:hint="cs"/>
          <w:rtl/>
        </w:rPr>
        <w:t>المواد</w:t>
      </w:r>
      <w:r>
        <w:rPr>
          <w:rFonts w:hint="cs"/>
          <w:rtl/>
        </w:rPr>
        <w:t xml:space="preserve"> </w:t>
      </w:r>
      <w:r w:rsidRPr="00A22B7B">
        <w:rPr>
          <w:rFonts w:hint="cs"/>
          <w:rtl/>
        </w:rPr>
        <w:t>اللاحقة.</w:t>
      </w:r>
    </w:p>
    <w:p w:rsidR="009943B2" w:rsidRPr="00F80C43" w:rsidRDefault="009943B2" w:rsidP="009943B2">
      <w:pPr>
        <w:pStyle w:val="SingleTxt"/>
        <w:spacing w:after="0" w:line="120" w:lineRule="exact"/>
        <w:rPr>
          <w:rFonts w:hint="cs"/>
          <w:i/>
          <w:iCs/>
          <w:sz w:val="10"/>
          <w:u w:val="single"/>
          <w:rtl/>
        </w:rPr>
      </w:pPr>
    </w:p>
    <w:p w:rsidR="009943B2" w:rsidRPr="00F80C43"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Pr="00F80C43">
        <w:rPr>
          <w:rFonts w:hint="cs"/>
          <w:rtl/>
        </w:rPr>
        <w:t>تسجيل كل الزيجات</w:t>
      </w:r>
    </w:p>
    <w:p w:rsidR="009943B2" w:rsidRPr="00A22B7B" w:rsidRDefault="009943B2" w:rsidP="009943B2">
      <w:pPr>
        <w:pStyle w:val="SingleTxt"/>
        <w:rPr>
          <w:rFonts w:hint="cs"/>
        </w:rPr>
      </w:pPr>
      <w:r>
        <w:rPr>
          <w:rFonts w:hint="cs"/>
          <w:rtl/>
        </w:rPr>
        <w:t xml:space="preserve">337 - </w:t>
      </w:r>
      <w:r w:rsidRPr="00A22B7B">
        <w:rPr>
          <w:rFonts w:hint="cs"/>
          <w:rtl/>
        </w:rPr>
        <w:t>يقضي</w:t>
      </w:r>
      <w:r>
        <w:rPr>
          <w:rFonts w:hint="cs"/>
          <w:rtl/>
        </w:rPr>
        <w:t xml:space="preserve"> </w:t>
      </w:r>
      <w:r w:rsidRPr="00A22B7B">
        <w:rPr>
          <w:rFonts w:hint="cs"/>
          <w:rtl/>
        </w:rPr>
        <w:t>القانون</w:t>
      </w:r>
      <w:r>
        <w:rPr>
          <w:rFonts w:hint="cs"/>
          <w:rtl/>
        </w:rPr>
        <w:t xml:space="preserve"> </w:t>
      </w:r>
      <w:r w:rsidRPr="00A22B7B">
        <w:rPr>
          <w:rFonts w:hint="cs"/>
          <w:rtl/>
        </w:rPr>
        <w:t>المدني</w:t>
      </w:r>
      <w:r>
        <w:rPr>
          <w:rFonts w:hint="cs"/>
          <w:rtl/>
        </w:rPr>
        <w:t xml:space="preserve"> </w:t>
      </w:r>
      <w:r w:rsidRPr="00A22B7B">
        <w:rPr>
          <w:rFonts w:hint="cs"/>
          <w:rtl/>
        </w:rPr>
        <w:t>لعام</w:t>
      </w:r>
      <w:r>
        <w:rPr>
          <w:rFonts w:hint="cs"/>
          <w:rtl/>
        </w:rPr>
        <w:t xml:space="preserve"> </w:t>
      </w:r>
      <w:r w:rsidRPr="00A22B7B">
        <w:rPr>
          <w:rFonts w:hint="cs"/>
          <w:rtl/>
        </w:rPr>
        <w:t>2011</w:t>
      </w:r>
      <w:r>
        <w:rPr>
          <w:rFonts w:hint="cs"/>
          <w:rtl/>
        </w:rPr>
        <w:t xml:space="preserve"> </w:t>
      </w:r>
      <w:r w:rsidRPr="00A22B7B">
        <w:rPr>
          <w:rFonts w:hint="cs"/>
          <w:rtl/>
        </w:rPr>
        <w:t>بتسجيل</w:t>
      </w:r>
      <w:r>
        <w:rPr>
          <w:rFonts w:hint="cs"/>
          <w:rtl/>
        </w:rPr>
        <w:t xml:space="preserve"> </w:t>
      </w:r>
      <w:r w:rsidRPr="00A22B7B">
        <w:rPr>
          <w:rFonts w:hint="cs"/>
          <w:rtl/>
        </w:rPr>
        <w:t>كل</w:t>
      </w:r>
      <w:r>
        <w:rPr>
          <w:rFonts w:hint="cs"/>
          <w:rtl/>
        </w:rPr>
        <w:t xml:space="preserve"> </w:t>
      </w:r>
      <w:r w:rsidRPr="00A22B7B">
        <w:rPr>
          <w:rFonts w:hint="cs"/>
          <w:rtl/>
        </w:rPr>
        <w:t>زيجات</w:t>
      </w:r>
      <w:r>
        <w:rPr>
          <w:rFonts w:hint="cs"/>
          <w:rtl/>
        </w:rPr>
        <w:t xml:space="preserve"> </w:t>
      </w:r>
      <w:r w:rsidRPr="00A22B7B">
        <w:rPr>
          <w:rFonts w:hint="cs"/>
          <w:rtl/>
        </w:rPr>
        <w:t>مواطني</w:t>
      </w:r>
      <w:r>
        <w:rPr>
          <w:rFonts w:hint="cs"/>
          <w:rtl/>
        </w:rPr>
        <w:t xml:space="preserve"> </w:t>
      </w:r>
      <w:r w:rsidRPr="00A22B7B">
        <w:rPr>
          <w:rFonts w:hint="cs"/>
          <w:rtl/>
        </w:rPr>
        <w:t>تيمور</w:t>
      </w:r>
      <w:r>
        <w:rPr>
          <w:rFonts w:hint="cs"/>
          <w:rtl/>
        </w:rPr>
        <w:t xml:space="preserve"> </w:t>
      </w:r>
      <w:r w:rsidRPr="00A22B7B">
        <w:rPr>
          <w:rFonts w:hint="cs"/>
          <w:rtl/>
        </w:rPr>
        <w:t>-</w:t>
      </w:r>
      <w:r>
        <w:rPr>
          <w:rFonts w:hint="cs"/>
          <w:rtl/>
        </w:rPr>
        <w:t xml:space="preserve"> </w:t>
      </w:r>
      <w:r w:rsidRPr="00A22B7B">
        <w:rPr>
          <w:rFonts w:hint="cs"/>
          <w:rtl/>
        </w:rPr>
        <w:t>ليشتي</w:t>
      </w:r>
      <w:r>
        <w:rPr>
          <w:rFonts w:hint="cs"/>
          <w:rtl/>
        </w:rPr>
        <w:t xml:space="preserve"> </w:t>
      </w:r>
      <w:r w:rsidRPr="00A22B7B">
        <w:rPr>
          <w:rFonts w:hint="cs"/>
          <w:rtl/>
        </w:rPr>
        <w:t>داخل</w:t>
      </w:r>
      <w:r>
        <w:rPr>
          <w:rFonts w:hint="cs"/>
          <w:rtl/>
        </w:rPr>
        <w:t xml:space="preserve"> </w:t>
      </w:r>
      <w:r w:rsidRPr="00A22B7B">
        <w:rPr>
          <w:rFonts w:hint="cs"/>
          <w:rtl/>
        </w:rPr>
        <w:t>البلد</w:t>
      </w:r>
      <w:r>
        <w:rPr>
          <w:rFonts w:hint="cs"/>
          <w:rtl/>
        </w:rPr>
        <w:t xml:space="preserve"> </w:t>
      </w:r>
      <w:r w:rsidRPr="00A22B7B">
        <w:rPr>
          <w:rFonts w:hint="cs"/>
          <w:rtl/>
        </w:rPr>
        <w:t>وخارجه</w:t>
      </w:r>
      <w:r>
        <w:rPr>
          <w:rFonts w:hint="cs"/>
          <w:rtl/>
        </w:rPr>
        <w:t xml:space="preserve"> </w:t>
      </w:r>
      <w:r w:rsidRPr="00A22B7B">
        <w:rPr>
          <w:rFonts w:hint="cs"/>
          <w:rtl/>
        </w:rPr>
        <w:t>(المادة</w:t>
      </w:r>
      <w:r>
        <w:rPr>
          <w:rFonts w:hint="cs"/>
          <w:rtl/>
        </w:rPr>
        <w:t xml:space="preserve"> </w:t>
      </w:r>
      <w:r w:rsidRPr="00A22B7B">
        <w:rPr>
          <w:rFonts w:hint="cs"/>
          <w:rtl/>
        </w:rPr>
        <w:t>1538)</w:t>
      </w:r>
      <w:r>
        <w:rPr>
          <w:rFonts w:hint="cs"/>
          <w:rtl/>
        </w:rPr>
        <w:t xml:space="preserve"> </w:t>
      </w:r>
      <w:r w:rsidRPr="00A22B7B">
        <w:rPr>
          <w:rFonts w:hint="cs"/>
          <w:rtl/>
        </w:rPr>
        <w:t>ليتم</w:t>
      </w:r>
      <w:r>
        <w:rPr>
          <w:rFonts w:hint="cs"/>
          <w:rtl/>
        </w:rPr>
        <w:t xml:space="preserve"> </w:t>
      </w:r>
      <w:r w:rsidRPr="00A22B7B">
        <w:rPr>
          <w:rFonts w:hint="cs"/>
          <w:rtl/>
        </w:rPr>
        <w:t>الاعتراف</w:t>
      </w:r>
      <w:r>
        <w:rPr>
          <w:rFonts w:hint="cs"/>
          <w:rtl/>
        </w:rPr>
        <w:t xml:space="preserve"> </w:t>
      </w:r>
      <w:r w:rsidRPr="00A22B7B">
        <w:rPr>
          <w:rFonts w:hint="cs"/>
          <w:rtl/>
        </w:rPr>
        <w:t>رسميًا</w:t>
      </w:r>
      <w:r>
        <w:rPr>
          <w:rFonts w:hint="cs"/>
          <w:rtl/>
        </w:rPr>
        <w:t xml:space="preserve"> </w:t>
      </w:r>
      <w:r w:rsidRPr="00A22B7B">
        <w:rPr>
          <w:rFonts w:hint="cs"/>
          <w:rtl/>
        </w:rPr>
        <w:t>بها.</w:t>
      </w:r>
      <w:r>
        <w:rPr>
          <w:rFonts w:hint="cs"/>
          <w:rtl/>
        </w:rPr>
        <w:t xml:space="preserve"> </w:t>
      </w:r>
      <w:r w:rsidRPr="00A22B7B">
        <w:rPr>
          <w:rFonts w:hint="cs"/>
          <w:rtl/>
        </w:rPr>
        <w:t>ويدعو</w:t>
      </w:r>
      <w:r>
        <w:rPr>
          <w:rFonts w:hint="cs"/>
          <w:rtl/>
        </w:rPr>
        <w:t xml:space="preserve"> </w:t>
      </w:r>
      <w:r w:rsidRPr="00A22B7B">
        <w:rPr>
          <w:rFonts w:hint="cs"/>
          <w:rtl/>
        </w:rPr>
        <w:t>البند</w:t>
      </w:r>
      <w:r>
        <w:rPr>
          <w:rFonts w:hint="cs"/>
          <w:rtl/>
        </w:rPr>
        <w:t xml:space="preserve"> </w:t>
      </w:r>
      <w:r w:rsidRPr="00A22B7B">
        <w:rPr>
          <w:rFonts w:hint="cs"/>
          <w:rtl/>
        </w:rPr>
        <w:t>3</w:t>
      </w:r>
      <w:r>
        <w:rPr>
          <w:rFonts w:hint="cs"/>
          <w:rtl/>
        </w:rPr>
        <w:t xml:space="preserve"> </w:t>
      </w:r>
      <w:r w:rsidRPr="00A22B7B">
        <w:rPr>
          <w:rFonts w:hint="cs"/>
          <w:rtl/>
        </w:rPr>
        <w:t>من</w:t>
      </w:r>
      <w:r>
        <w:rPr>
          <w:rFonts w:hint="cs"/>
          <w:rtl/>
        </w:rPr>
        <w:t xml:space="preserve"> </w:t>
      </w:r>
      <w:r w:rsidRPr="00A22B7B">
        <w:rPr>
          <w:rFonts w:hint="cs"/>
          <w:rtl/>
        </w:rPr>
        <w:t>المادة</w:t>
      </w:r>
      <w:r>
        <w:rPr>
          <w:rFonts w:hint="eastAsia"/>
          <w:rtl/>
        </w:rPr>
        <w:t> </w:t>
      </w:r>
      <w:r w:rsidRPr="00A22B7B">
        <w:rPr>
          <w:rFonts w:hint="cs"/>
          <w:rtl/>
        </w:rPr>
        <w:t>1542</w:t>
      </w:r>
      <w:r>
        <w:rPr>
          <w:rFonts w:hint="cs"/>
          <w:rtl/>
        </w:rPr>
        <w:t xml:space="preserve"> </w:t>
      </w:r>
      <w:r w:rsidRPr="00A22B7B">
        <w:rPr>
          <w:rFonts w:hint="cs"/>
          <w:rtl/>
        </w:rPr>
        <w:t>إلى</w:t>
      </w:r>
      <w:r>
        <w:rPr>
          <w:rFonts w:hint="cs"/>
          <w:rtl/>
        </w:rPr>
        <w:t xml:space="preserve"> </w:t>
      </w:r>
      <w:r w:rsidRPr="00A22B7B">
        <w:rPr>
          <w:rFonts w:hint="cs"/>
          <w:rtl/>
        </w:rPr>
        <w:t>تسجيل</w:t>
      </w:r>
      <w:r>
        <w:rPr>
          <w:rFonts w:hint="cs"/>
          <w:rtl/>
        </w:rPr>
        <w:t xml:space="preserve"> </w:t>
      </w:r>
      <w:r w:rsidRPr="00A22B7B">
        <w:rPr>
          <w:rFonts w:hint="cs"/>
          <w:rtl/>
        </w:rPr>
        <w:t>الشهادة</w:t>
      </w:r>
      <w:r>
        <w:rPr>
          <w:rFonts w:hint="cs"/>
          <w:rtl/>
        </w:rPr>
        <w:t xml:space="preserve"> </w:t>
      </w:r>
      <w:r w:rsidRPr="00A22B7B">
        <w:rPr>
          <w:rFonts w:hint="cs"/>
          <w:rtl/>
        </w:rPr>
        <w:t>على</w:t>
      </w:r>
      <w:r>
        <w:rPr>
          <w:rFonts w:hint="cs"/>
          <w:rtl/>
        </w:rPr>
        <w:t xml:space="preserve"> </w:t>
      </w:r>
      <w:r w:rsidRPr="00A22B7B">
        <w:rPr>
          <w:rFonts w:hint="cs"/>
          <w:rtl/>
        </w:rPr>
        <w:t>الزواج</w:t>
      </w:r>
      <w:r>
        <w:rPr>
          <w:rFonts w:hint="cs"/>
          <w:rtl/>
        </w:rPr>
        <w:t xml:space="preserve"> </w:t>
      </w:r>
      <w:r w:rsidRPr="00A22B7B">
        <w:rPr>
          <w:rFonts w:hint="cs"/>
          <w:rtl/>
        </w:rPr>
        <w:t>التقليدي</w:t>
      </w:r>
      <w:r>
        <w:rPr>
          <w:rFonts w:hint="cs"/>
          <w:rtl/>
        </w:rPr>
        <w:t xml:space="preserve"> </w:t>
      </w:r>
      <w:r w:rsidRPr="00A22B7B">
        <w:rPr>
          <w:rFonts w:hint="cs"/>
          <w:rtl/>
        </w:rPr>
        <w:t>من</w:t>
      </w:r>
      <w:r>
        <w:rPr>
          <w:rFonts w:hint="cs"/>
          <w:rtl/>
        </w:rPr>
        <w:t xml:space="preserve"> </w:t>
      </w:r>
      <w:r w:rsidRPr="00A22B7B">
        <w:rPr>
          <w:rFonts w:hint="cs"/>
          <w:rtl/>
        </w:rPr>
        <w:t>زوجة</w:t>
      </w:r>
      <w:r>
        <w:rPr>
          <w:rFonts w:hint="cs"/>
          <w:rtl/>
        </w:rPr>
        <w:t xml:space="preserve"> </w:t>
      </w:r>
      <w:r w:rsidRPr="00A22B7B">
        <w:rPr>
          <w:rFonts w:hint="cs"/>
          <w:rtl/>
        </w:rPr>
        <w:t>واحدة.</w:t>
      </w:r>
      <w:r>
        <w:rPr>
          <w:rFonts w:hint="cs"/>
          <w:rtl/>
        </w:rPr>
        <w:t xml:space="preserve"> </w:t>
      </w:r>
      <w:r w:rsidRPr="00A22B7B">
        <w:rPr>
          <w:rFonts w:hint="cs"/>
          <w:rtl/>
        </w:rPr>
        <w:t>وسيتيح</w:t>
      </w:r>
      <w:r>
        <w:rPr>
          <w:rFonts w:hint="cs"/>
          <w:rtl/>
        </w:rPr>
        <w:t xml:space="preserve"> </w:t>
      </w:r>
      <w:r w:rsidRPr="00A22B7B">
        <w:rPr>
          <w:rFonts w:hint="cs"/>
          <w:rtl/>
        </w:rPr>
        <w:t>تنظيم</w:t>
      </w:r>
      <w:r>
        <w:rPr>
          <w:rFonts w:hint="cs"/>
          <w:rtl/>
        </w:rPr>
        <w:t xml:space="preserve"> </w:t>
      </w:r>
      <w:r w:rsidRPr="00A22B7B">
        <w:rPr>
          <w:rFonts w:hint="cs"/>
          <w:rtl/>
        </w:rPr>
        <w:t>الزيجات</w:t>
      </w:r>
      <w:r>
        <w:rPr>
          <w:rFonts w:hint="cs"/>
          <w:rtl/>
        </w:rPr>
        <w:t xml:space="preserve"> </w:t>
      </w:r>
      <w:r w:rsidRPr="00A22B7B">
        <w:rPr>
          <w:rFonts w:hint="cs"/>
          <w:rtl/>
        </w:rPr>
        <w:t>بتسجيلها</w:t>
      </w:r>
      <w:r>
        <w:rPr>
          <w:rFonts w:hint="cs"/>
          <w:rtl/>
        </w:rPr>
        <w:t xml:space="preserve"> </w:t>
      </w:r>
      <w:r w:rsidRPr="00A22B7B">
        <w:rPr>
          <w:rFonts w:hint="cs"/>
          <w:rtl/>
        </w:rPr>
        <w:t>للدولة</w:t>
      </w:r>
      <w:r>
        <w:rPr>
          <w:rFonts w:hint="cs"/>
          <w:rtl/>
        </w:rPr>
        <w:t xml:space="preserve"> </w:t>
      </w:r>
      <w:r w:rsidRPr="00A22B7B">
        <w:rPr>
          <w:rFonts w:hint="cs"/>
          <w:rtl/>
        </w:rPr>
        <w:t>رفض</w:t>
      </w:r>
      <w:r>
        <w:rPr>
          <w:rFonts w:hint="cs"/>
          <w:rtl/>
        </w:rPr>
        <w:t xml:space="preserve"> </w:t>
      </w:r>
      <w:r w:rsidRPr="00A22B7B">
        <w:rPr>
          <w:rFonts w:hint="cs"/>
          <w:rtl/>
        </w:rPr>
        <w:t>بعض</w:t>
      </w:r>
      <w:r>
        <w:rPr>
          <w:rFonts w:hint="cs"/>
          <w:rtl/>
        </w:rPr>
        <w:t xml:space="preserve"> </w:t>
      </w:r>
      <w:r w:rsidRPr="00A22B7B">
        <w:rPr>
          <w:rFonts w:hint="cs"/>
          <w:rtl/>
        </w:rPr>
        <w:t>أنواع</w:t>
      </w:r>
      <w:r>
        <w:rPr>
          <w:rFonts w:hint="cs"/>
          <w:rtl/>
        </w:rPr>
        <w:t xml:space="preserve"> </w:t>
      </w:r>
      <w:r w:rsidRPr="00A22B7B">
        <w:rPr>
          <w:rFonts w:hint="cs"/>
          <w:rtl/>
        </w:rPr>
        <w:t>الزيجات</w:t>
      </w:r>
      <w:r>
        <w:rPr>
          <w:rFonts w:hint="cs"/>
          <w:rtl/>
        </w:rPr>
        <w:t xml:space="preserve"> </w:t>
      </w:r>
      <w:r w:rsidRPr="00A22B7B">
        <w:rPr>
          <w:rFonts w:hint="cs"/>
          <w:rtl/>
        </w:rPr>
        <w:t>التي</w:t>
      </w:r>
      <w:r>
        <w:rPr>
          <w:rFonts w:hint="cs"/>
          <w:rtl/>
        </w:rPr>
        <w:t xml:space="preserve"> </w:t>
      </w:r>
      <w:r w:rsidRPr="00A22B7B">
        <w:rPr>
          <w:rFonts w:hint="cs"/>
          <w:rtl/>
        </w:rPr>
        <w:t>قد</w:t>
      </w:r>
      <w:r>
        <w:rPr>
          <w:rFonts w:hint="cs"/>
          <w:rtl/>
        </w:rPr>
        <w:t xml:space="preserve"> </w:t>
      </w:r>
      <w:r w:rsidRPr="00A22B7B">
        <w:rPr>
          <w:rFonts w:hint="cs"/>
          <w:rtl/>
        </w:rPr>
        <w:t>تثير</w:t>
      </w:r>
      <w:r>
        <w:rPr>
          <w:rFonts w:hint="cs"/>
          <w:rtl/>
        </w:rPr>
        <w:t xml:space="preserve"> </w:t>
      </w:r>
      <w:r w:rsidRPr="00A22B7B">
        <w:rPr>
          <w:rFonts w:hint="cs"/>
          <w:rtl/>
        </w:rPr>
        <w:t>القلق</w:t>
      </w:r>
      <w:r>
        <w:rPr>
          <w:rFonts w:hint="cs"/>
          <w:rtl/>
        </w:rPr>
        <w:t xml:space="preserve"> </w:t>
      </w:r>
      <w:r w:rsidRPr="00A22B7B">
        <w:rPr>
          <w:rFonts w:hint="cs"/>
          <w:rtl/>
        </w:rPr>
        <w:t>مثل</w:t>
      </w:r>
      <w:r>
        <w:rPr>
          <w:rFonts w:hint="cs"/>
          <w:rtl/>
        </w:rPr>
        <w:t xml:space="preserve"> </w:t>
      </w:r>
      <w:r w:rsidRPr="00A22B7B">
        <w:rPr>
          <w:rFonts w:hint="cs"/>
          <w:rtl/>
        </w:rPr>
        <w:t>الزواج</w:t>
      </w:r>
      <w:r>
        <w:rPr>
          <w:rFonts w:hint="cs"/>
          <w:rtl/>
        </w:rPr>
        <w:t xml:space="preserve"> </w:t>
      </w:r>
      <w:r w:rsidRPr="00A22B7B">
        <w:rPr>
          <w:rFonts w:hint="cs"/>
          <w:rtl/>
        </w:rPr>
        <w:t>بأكثر</w:t>
      </w:r>
      <w:r>
        <w:rPr>
          <w:rFonts w:hint="cs"/>
          <w:rtl/>
        </w:rPr>
        <w:t xml:space="preserve"> </w:t>
      </w:r>
      <w:r w:rsidRPr="00A22B7B">
        <w:rPr>
          <w:rFonts w:hint="cs"/>
          <w:rtl/>
        </w:rPr>
        <w:t>من</w:t>
      </w:r>
      <w:r>
        <w:rPr>
          <w:rFonts w:hint="cs"/>
          <w:rtl/>
        </w:rPr>
        <w:t xml:space="preserve"> </w:t>
      </w:r>
      <w:r w:rsidRPr="00A22B7B">
        <w:rPr>
          <w:rFonts w:hint="cs"/>
          <w:rtl/>
        </w:rPr>
        <w:t>امرأة</w:t>
      </w:r>
      <w:r>
        <w:rPr>
          <w:rFonts w:hint="cs"/>
          <w:rtl/>
        </w:rPr>
        <w:t xml:space="preserve"> </w:t>
      </w:r>
      <w:r w:rsidRPr="00A22B7B">
        <w:rPr>
          <w:rFonts w:hint="cs"/>
          <w:rtl/>
        </w:rPr>
        <w:t>والزواج</w:t>
      </w:r>
      <w:r>
        <w:rPr>
          <w:rFonts w:hint="cs"/>
          <w:rtl/>
        </w:rPr>
        <w:t xml:space="preserve"> </w:t>
      </w:r>
      <w:r w:rsidRPr="00A22B7B">
        <w:rPr>
          <w:rFonts w:hint="cs"/>
          <w:rtl/>
        </w:rPr>
        <w:t>من</w:t>
      </w:r>
      <w:r>
        <w:rPr>
          <w:rFonts w:hint="cs"/>
          <w:rtl/>
        </w:rPr>
        <w:t xml:space="preserve"> </w:t>
      </w:r>
      <w:r w:rsidRPr="00A22B7B">
        <w:rPr>
          <w:rFonts w:hint="cs"/>
          <w:rtl/>
        </w:rPr>
        <w:t>القصّر.</w:t>
      </w:r>
    </w:p>
    <w:p w:rsidR="009943B2" w:rsidRPr="00A22B7B" w:rsidRDefault="009943B2" w:rsidP="009943B2">
      <w:pPr>
        <w:pStyle w:val="SingleTxt"/>
        <w:rPr>
          <w:rFonts w:hint="cs"/>
        </w:rPr>
      </w:pPr>
      <w:r>
        <w:rPr>
          <w:rFonts w:hint="cs"/>
          <w:rtl/>
        </w:rPr>
        <w:t xml:space="preserve">338 - </w:t>
      </w:r>
      <w:r w:rsidRPr="00A22B7B">
        <w:rPr>
          <w:rFonts w:hint="cs"/>
          <w:rtl/>
        </w:rPr>
        <w:t>وساهمت</w:t>
      </w:r>
      <w:r>
        <w:rPr>
          <w:rFonts w:hint="cs"/>
          <w:rtl/>
        </w:rPr>
        <w:t xml:space="preserve"> </w:t>
      </w:r>
      <w:r w:rsidRPr="00A22B7B">
        <w:rPr>
          <w:rFonts w:hint="cs"/>
          <w:rtl/>
        </w:rPr>
        <w:t>الكنيسة</w:t>
      </w:r>
      <w:r>
        <w:rPr>
          <w:rFonts w:hint="cs"/>
          <w:rtl/>
        </w:rPr>
        <w:t xml:space="preserve"> </w:t>
      </w:r>
      <w:r w:rsidRPr="00A22B7B">
        <w:rPr>
          <w:rFonts w:hint="cs"/>
          <w:rtl/>
        </w:rPr>
        <w:t>الكاثوليكية</w:t>
      </w:r>
      <w:r>
        <w:rPr>
          <w:rFonts w:hint="cs"/>
          <w:rtl/>
        </w:rPr>
        <w:t xml:space="preserve"> </w:t>
      </w:r>
      <w:r w:rsidRPr="00A22B7B">
        <w:rPr>
          <w:rFonts w:hint="cs"/>
          <w:rtl/>
        </w:rPr>
        <w:t>في</w:t>
      </w:r>
      <w:r>
        <w:rPr>
          <w:rFonts w:hint="cs"/>
          <w:rtl/>
        </w:rPr>
        <w:t xml:space="preserve"> </w:t>
      </w:r>
      <w:r w:rsidRPr="00A22B7B">
        <w:rPr>
          <w:rFonts w:hint="cs"/>
          <w:rtl/>
        </w:rPr>
        <w:t>مكافحة</w:t>
      </w:r>
      <w:r>
        <w:rPr>
          <w:rFonts w:hint="cs"/>
          <w:rtl/>
        </w:rPr>
        <w:t xml:space="preserve"> </w:t>
      </w:r>
      <w:r w:rsidRPr="00A22B7B">
        <w:rPr>
          <w:rFonts w:hint="cs"/>
          <w:rtl/>
        </w:rPr>
        <w:t>تعدّد</w:t>
      </w:r>
      <w:r>
        <w:rPr>
          <w:rFonts w:hint="cs"/>
          <w:rtl/>
        </w:rPr>
        <w:t xml:space="preserve"> </w:t>
      </w:r>
      <w:r w:rsidRPr="00A22B7B">
        <w:rPr>
          <w:rFonts w:hint="cs"/>
          <w:rtl/>
        </w:rPr>
        <w:t>الزوجات</w:t>
      </w:r>
      <w:r>
        <w:rPr>
          <w:rFonts w:hint="cs"/>
          <w:rtl/>
        </w:rPr>
        <w:t xml:space="preserve"> </w:t>
      </w:r>
      <w:r w:rsidRPr="00A22B7B">
        <w:rPr>
          <w:rFonts w:hint="cs"/>
          <w:rtl/>
        </w:rPr>
        <w:t>من</w:t>
      </w:r>
      <w:r>
        <w:rPr>
          <w:rFonts w:hint="cs"/>
          <w:rtl/>
        </w:rPr>
        <w:t xml:space="preserve"> </w:t>
      </w:r>
      <w:r w:rsidRPr="00A22B7B">
        <w:rPr>
          <w:rFonts w:hint="cs"/>
          <w:rtl/>
        </w:rPr>
        <w:t>خلال</w:t>
      </w:r>
      <w:r>
        <w:rPr>
          <w:rFonts w:hint="cs"/>
          <w:rtl/>
        </w:rPr>
        <w:t xml:space="preserve"> </w:t>
      </w:r>
      <w:r w:rsidRPr="00A22B7B">
        <w:rPr>
          <w:rFonts w:hint="cs"/>
          <w:rtl/>
        </w:rPr>
        <w:t>مراقبة</w:t>
      </w:r>
      <w:r>
        <w:rPr>
          <w:rFonts w:hint="cs"/>
          <w:rtl/>
        </w:rPr>
        <w:t xml:space="preserve"> </w:t>
      </w:r>
      <w:r w:rsidRPr="00A22B7B">
        <w:rPr>
          <w:rFonts w:hint="cs"/>
          <w:rtl/>
        </w:rPr>
        <w:t>تسجيل</w:t>
      </w:r>
      <w:r>
        <w:rPr>
          <w:rFonts w:hint="cs"/>
          <w:rtl/>
        </w:rPr>
        <w:t xml:space="preserve"> </w:t>
      </w:r>
      <w:r w:rsidRPr="00A22B7B">
        <w:rPr>
          <w:rFonts w:hint="cs"/>
          <w:rtl/>
        </w:rPr>
        <w:t>الزيجات</w:t>
      </w:r>
      <w:r>
        <w:rPr>
          <w:rFonts w:hint="cs"/>
          <w:rtl/>
        </w:rPr>
        <w:t xml:space="preserve"> </w:t>
      </w:r>
      <w:r w:rsidRPr="00A22B7B">
        <w:rPr>
          <w:rFonts w:hint="cs"/>
          <w:rtl/>
        </w:rPr>
        <w:t>ودعم</w:t>
      </w:r>
      <w:r>
        <w:rPr>
          <w:rFonts w:hint="cs"/>
          <w:rtl/>
        </w:rPr>
        <w:t xml:space="preserve"> </w:t>
      </w:r>
      <w:r w:rsidRPr="00A22B7B">
        <w:rPr>
          <w:rFonts w:hint="cs"/>
          <w:rtl/>
        </w:rPr>
        <w:t>الزواج</w:t>
      </w:r>
      <w:r>
        <w:rPr>
          <w:rFonts w:hint="cs"/>
          <w:rtl/>
        </w:rPr>
        <w:t xml:space="preserve"> </w:t>
      </w:r>
      <w:r w:rsidRPr="00A22B7B">
        <w:rPr>
          <w:rFonts w:hint="cs"/>
          <w:rtl/>
        </w:rPr>
        <w:t>بزوجة</w:t>
      </w:r>
      <w:r>
        <w:rPr>
          <w:rFonts w:hint="cs"/>
          <w:rtl/>
        </w:rPr>
        <w:t xml:space="preserve"> </w:t>
      </w:r>
      <w:r w:rsidRPr="00A22B7B">
        <w:rPr>
          <w:rFonts w:hint="cs"/>
          <w:rtl/>
        </w:rPr>
        <w:t>واحدة،</w:t>
      </w:r>
      <w:r>
        <w:rPr>
          <w:rFonts w:hint="cs"/>
          <w:rtl/>
        </w:rPr>
        <w:t xml:space="preserve"> </w:t>
      </w:r>
      <w:r w:rsidRPr="00A22B7B">
        <w:rPr>
          <w:rFonts w:hint="cs"/>
          <w:rtl/>
        </w:rPr>
        <w:t>بالشكل</w:t>
      </w:r>
      <w:r>
        <w:rPr>
          <w:rFonts w:hint="cs"/>
          <w:rtl/>
        </w:rPr>
        <w:t xml:space="preserve"> </w:t>
      </w:r>
      <w:r w:rsidRPr="00A22B7B">
        <w:rPr>
          <w:rFonts w:hint="cs"/>
          <w:rtl/>
        </w:rPr>
        <w:t>المذكور</w:t>
      </w:r>
      <w:r>
        <w:rPr>
          <w:rFonts w:hint="cs"/>
          <w:rtl/>
        </w:rPr>
        <w:t xml:space="preserve"> </w:t>
      </w:r>
      <w:r w:rsidRPr="00A22B7B">
        <w:rPr>
          <w:rFonts w:hint="cs"/>
          <w:rtl/>
        </w:rPr>
        <w:t>في</w:t>
      </w:r>
      <w:r>
        <w:rPr>
          <w:rFonts w:hint="cs"/>
          <w:rtl/>
        </w:rPr>
        <w:t xml:space="preserve"> </w:t>
      </w:r>
      <w:r w:rsidRPr="00A22B7B">
        <w:rPr>
          <w:rFonts w:hint="cs"/>
          <w:rtl/>
        </w:rPr>
        <w:t>القانون</w:t>
      </w:r>
      <w:r>
        <w:rPr>
          <w:rFonts w:hint="cs"/>
          <w:rtl/>
        </w:rPr>
        <w:t xml:space="preserve"> </w:t>
      </w:r>
      <w:r w:rsidRPr="00A22B7B">
        <w:rPr>
          <w:rFonts w:hint="cs"/>
          <w:rtl/>
        </w:rPr>
        <w:t>المدني.</w:t>
      </w:r>
      <w:r>
        <w:rPr>
          <w:rFonts w:hint="cs"/>
          <w:rtl/>
        </w:rPr>
        <w:t xml:space="preserve"> </w:t>
      </w:r>
      <w:r w:rsidRPr="00A22B7B">
        <w:rPr>
          <w:rFonts w:hint="cs"/>
          <w:rtl/>
        </w:rPr>
        <w:t>وبهذا</w:t>
      </w:r>
      <w:r>
        <w:rPr>
          <w:rFonts w:hint="cs"/>
          <w:rtl/>
        </w:rPr>
        <w:t xml:space="preserve"> </w:t>
      </w:r>
      <w:r w:rsidRPr="00A22B7B">
        <w:rPr>
          <w:rFonts w:hint="cs"/>
          <w:rtl/>
        </w:rPr>
        <w:t>الصدد،</w:t>
      </w:r>
      <w:r>
        <w:rPr>
          <w:rFonts w:hint="cs"/>
          <w:rtl/>
        </w:rPr>
        <w:t xml:space="preserve"> </w:t>
      </w:r>
      <w:r w:rsidRPr="00A22B7B">
        <w:rPr>
          <w:rFonts w:hint="cs"/>
          <w:rtl/>
        </w:rPr>
        <w:t>ينصّ</w:t>
      </w:r>
      <w:r>
        <w:rPr>
          <w:rFonts w:hint="cs"/>
          <w:rtl/>
        </w:rPr>
        <w:t xml:space="preserve"> </w:t>
      </w:r>
      <w:r w:rsidRPr="00A22B7B">
        <w:rPr>
          <w:rFonts w:hint="cs"/>
          <w:rtl/>
        </w:rPr>
        <w:t>البند</w:t>
      </w:r>
      <w:r>
        <w:rPr>
          <w:rFonts w:hint="cs"/>
          <w:rtl/>
        </w:rPr>
        <w:t xml:space="preserve"> </w:t>
      </w:r>
      <w:r w:rsidRPr="00A22B7B">
        <w:rPr>
          <w:rFonts w:hint="cs"/>
          <w:rtl/>
        </w:rPr>
        <w:t>1</w:t>
      </w:r>
      <w:r>
        <w:rPr>
          <w:rFonts w:hint="cs"/>
          <w:rtl/>
        </w:rPr>
        <w:t xml:space="preserve"> </w:t>
      </w:r>
      <w:r w:rsidRPr="00A22B7B">
        <w:rPr>
          <w:rFonts w:hint="cs"/>
          <w:rtl/>
        </w:rPr>
        <w:t>من</w:t>
      </w:r>
      <w:r>
        <w:rPr>
          <w:rFonts w:hint="cs"/>
          <w:rtl/>
        </w:rPr>
        <w:t xml:space="preserve"> </w:t>
      </w:r>
      <w:r w:rsidRPr="00A22B7B">
        <w:rPr>
          <w:rFonts w:hint="cs"/>
          <w:rtl/>
        </w:rPr>
        <w:t>المادة</w:t>
      </w:r>
      <w:r>
        <w:rPr>
          <w:rFonts w:hint="cs"/>
          <w:rtl/>
        </w:rPr>
        <w:t xml:space="preserve"> </w:t>
      </w:r>
      <w:r w:rsidRPr="00A22B7B">
        <w:rPr>
          <w:rFonts w:hint="cs"/>
          <w:rtl/>
        </w:rPr>
        <w:t>1542</w:t>
      </w:r>
      <w:r>
        <w:rPr>
          <w:rFonts w:hint="cs"/>
          <w:rtl/>
        </w:rPr>
        <w:t xml:space="preserve"> </w:t>
      </w:r>
      <w:r w:rsidRPr="00A22B7B">
        <w:rPr>
          <w:rFonts w:hint="cs"/>
          <w:rtl/>
        </w:rPr>
        <w:t>على</w:t>
      </w:r>
      <w:r>
        <w:rPr>
          <w:rFonts w:hint="cs"/>
          <w:rtl/>
        </w:rPr>
        <w:t xml:space="preserve"> </w:t>
      </w:r>
      <w:r w:rsidRPr="00A22B7B">
        <w:rPr>
          <w:rFonts w:hint="cs"/>
          <w:rtl/>
        </w:rPr>
        <w:t>أنه</w:t>
      </w:r>
      <w:r>
        <w:rPr>
          <w:rFonts w:hint="cs"/>
          <w:rtl/>
        </w:rPr>
        <w:t xml:space="preserve"> </w:t>
      </w:r>
      <w:r w:rsidRPr="00A22B7B">
        <w:rPr>
          <w:rFonts w:hint="cs"/>
          <w:rtl/>
        </w:rPr>
        <w:t>ينبغي</w:t>
      </w:r>
      <w:r>
        <w:rPr>
          <w:rFonts w:hint="cs"/>
          <w:rtl/>
        </w:rPr>
        <w:t xml:space="preserve"> </w:t>
      </w:r>
      <w:r w:rsidRPr="00A22B7B">
        <w:rPr>
          <w:rFonts w:hint="cs"/>
          <w:rtl/>
        </w:rPr>
        <w:t>على</w:t>
      </w:r>
      <w:r>
        <w:rPr>
          <w:rFonts w:hint="cs"/>
          <w:rtl/>
        </w:rPr>
        <w:t xml:space="preserve"> </w:t>
      </w:r>
      <w:r w:rsidRPr="00A22B7B">
        <w:rPr>
          <w:rFonts w:hint="cs"/>
          <w:rtl/>
        </w:rPr>
        <w:t>كاهن</w:t>
      </w:r>
      <w:r>
        <w:rPr>
          <w:rFonts w:hint="cs"/>
          <w:rtl/>
        </w:rPr>
        <w:t xml:space="preserve"> </w:t>
      </w:r>
      <w:r w:rsidRPr="00A22B7B">
        <w:rPr>
          <w:rFonts w:hint="cs"/>
          <w:rtl/>
        </w:rPr>
        <w:t>الرعية</w:t>
      </w:r>
      <w:r>
        <w:rPr>
          <w:rFonts w:hint="cs"/>
          <w:rtl/>
        </w:rPr>
        <w:t xml:space="preserve"> </w:t>
      </w:r>
      <w:r w:rsidRPr="00A22B7B">
        <w:rPr>
          <w:rFonts w:hint="cs"/>
          <w:rtl/>
        </w:rPr>
        <w:t>عند</w:t>
      </w:r>
      <w:r>
        <w:rPr>
          <w:rFonts w:hint="cs"/>
          <w:rtl/>
        </w:rPr>
        <w:t xml:space="preserve"> </w:t>
      </w:r>
      <w:r w:rsidRPr="00A22B7B">
        <w:rPr>
          <w:rFonts w:hint="cs"/>
          <w:rtl/>
        </w:rPr>
        <w:t>قيامه</w:t>
      </w:r>
      <w:r>
        <w:rPr>
          <w:rFonts w:hint="cs"/>
          <w:rtl/>
        </w:rPr>
        <w:t xml:space="preserve"> </w:t>
      </w:r>
      <w:r w:rsidRPr="00A22B7B">
        <w:rPr>
          <w:rFonts w:hint="cs"/>
          <w:rtl/>
        </w:rPr>
        <w:t>بعقد</w:t>
      </w:r>
      <w:r>
        <w:rPr>
          <w:rFonts w:hint="cs"/>
          <w:rtl/>
        </w:rPr>
        <w:t xml:space="preserve"> </w:t>
      </w:r>
      <w:r w:rsidRPr="00A22B7B">
        <w:rPr>
          <w:rFonts w:hint="cs"/>
          <w:rtl/>
        </w:rPr>
        <w:t>أي</w:t>
      </w:r>
      <w:r>
        <w:rPr>
          <w:rFonts w:hint="cs"/>
          <w:rtl/>
        </w:rPr>
        <w:t xml:space="preserve"> </w:t>
      </w:r>
      <w:r w:rsidRPr="00A22B7B">
        <w:rPr>
          <w:rFonts w:hint="cs"/>
          <w:rtl/>
        </w:rPr>
        <w:t>زواج</w:t>
      </w:r>
      <w:r>
        <w:rPr>
          <w:rFonts w:hint="cs"/>
          <w:rtl/>
        </w:rPr>
        <w:t xml:space="preserve"> </w:t>
      </w:r>
      <w:r w:rsidRPr="00A22B7B">
        <w:rPr>
          <w:rFonts w:hint="cs"/>
          <w:rtl/>
        </w:rPr>
        <w:t>كاثوليكي</w:t>
      </w:r>
      <w:r>
        <w:rPr>
          <w:rFonts w:hint="cs"/>
          <w:rtl/>
        </w:rPr>
        <w:t xml:space="preserve"> </w:t>
      </w:r>
      <w:r w:rsidRPr="00A22B7B">
        <w:rPr>
          <w:rFonts w:hint="cs"/>
          <w:rtl/>
        </w:rPr>
        <w:t>في</w:t>
      </w:r>
      <w:r>
        <w:rPr>
          <w:rFonts w:hint="cs"/>
          <w:rtl/>
        </w:rPr>
        <w:t xml:space="preserve"> </w:t>
      </w:r>
      <w:r w:rsidRPr="00A22B7B">
        <w:rPr>
          <w:rFonts w:hint="cs"/>
          <w:rtl/>
        </w:rPr>
        <w:t>تيمور</w:t>
      </w:r>
      <w:r>
        <w:rPr>
          <w:rFonts w:hint="cs"/>
          <w:rtl/>
        </w:rPr>
        <w:t xml:space="preserve"> </w:t>
      </w:r>
      <w:r w:rsidRPr="00A22B7B">
        <w:rPr>
          <w:rFonts w:hint="cs"/>
          <w:rtl/>
        </w:rPr>
        <w:t>-</w:t>
      </w:r>
      <w:r>
        <w:rPr>
          <w:rFonts w:hint="cs"/>
          <w:rtl/>
        </w:rPr>
        <w:t xml:space="preserve"> </w:t>
      </w:r>
      <w:r w:rsidRPr="00A22B7B">
        <w:rPr>
          <w:rFonts w:hint="cs"/>
          <w:rtl/>
        </w:rPr>
        <w:t>ليشتي</w:t>
      </w:r>
      <w:r>
        <w:rPr>
          <w:rFonts w:hint="cs"/>
          <w:rtl/>
        </w:rPr>
        <w:t xml:space="preserve"> </w:t>
      </w:r>
      <w:r w:rsidRPr="00A22B7B">
        <w:rPr>
          <w:rFonts w:hint="cs"/>
          <w:rtl/>
        </w:rPr>
        <w:t>أن</w:t>
      </w:r>
      <w:r>
        <w:rPr>
          <w:rFonts w:hint="cs"/>
          <w:rtl/>
        </w:rPr>
        <w:t xml:space="preserve"> </w:t>
      </w:r>
      <w:r w:rsidRPr="00A22B7B">
        <w:rPr>
          <w:rFonts w:hint="cs"/>
          <w:rtl/>
        </w:rPr>
        <w:t>يرسل</w:t>
      </w:r>
      <w:r>
        <w:rPr>
          <w:rFonts w:hint="cs"/>
          <w:rtl/>
        </w:rPr>
        <w:t xml:space="preserve"> </w:t>
      </w:r>
      <w:r w:rsidRPr="00A22B7B">
        <w:rPr>
          <w:rFonts w:hint="cs"/>
          <w:rtl/>
        </w:rPr>
        <w:t>نسخة</w:t>
      </w:r>
      <w:r>
        <w:rPr>
          <w:rFonts w:hint="cs"/>
          <w:rtl/>
        </w:rPr>
        <w:t xml:space="preserve"> </w:t>
      </w:r>
      <w:r w:rsidRPr="00A22B7B">
        <w:rPr>
          <w:rFonts w:hint="cs"/>
          <w:rtl/>
        </w:rPr>
        <w:t>عن</w:t>
      </w:r>
      <w:r>
        <w:rPr>
          <w:rFonts w:hint="cs"/>
          <w:rtl/>
        </w:rPr>
        <w:t xml:space="preserve"> </w:t>
      </w:r>
      <w:r w:rsidRPr="00A22B7B">
        <w:rPr>
          <w:rFonts w:hint="cs"/>
          <w:rtl/>
        </w:rPr>
        <w:t>سجل</w:t>
      </w:r>
      <w:r>
        <w:rPr>
          <w:rFonts w:hint="cs"/>
          <w:rtl/>
        </w:rPr>
        <w:t xml:space="preserve"> </w:t>
      </w:r>
      <w:r w:rsidRPr="00A22B7B">
        <w:rPr>
          <w:rFonts w:hint="cs"/>
          <w:rtl/>
        </w:rPr>
        <w:t>رعية</w:t>
      </w:r>
      <w:r>
        <w:rPr>
          <w:rFonts w:hint="cs"/>
          <w:rtl/>
        </w:rPr>
        <w:t xml:space="preserve"> </w:t>
      </w:r>
      <w:r w:rsidRPr="00A22B7B">
        <w:rPr>
          <w:rFonts w:hint="cs"/>
          <w:rtl/>
        </w:rPr>
        <w:t>الكنيسة</w:t>
      </w:r>
      <w:r>
        <w:rPr>
          <w:rFonts w:hint="cs"/>
          <w:rtl/>
        </w:rPr>
        <w:t xml:space="preserve"> </w:t>
      </w:r>
      <w:r w:rsidRPr="00A22B7B">
        <w:rPr>
          <w:rFonts w:hint="cs"/>
          <w:rtl/>
        </w:rPr>
        <w:t>إلى</w:t>
      </w:r>
      <w:r>
        <w:rPr>
          <w:rFonts w:hint="cs"/>
          <w:rtl/>
        </w:rPr>
        <w:t xml:space="preserve"> </w:t>
      </w:r>
      <w:r w:rsidRPr="00A22B7B">
        <w:rPr>
          <w:rFonts w:hint="cs"/>
          <w:rtl/>
        </w:rPr>
        <w:t>دائرة</w:t>
      </w:r>
      <w:r>
        <w:rPr>
          <w:rFonts w:hint="cs"/>
          <w:rtl/>
        </w:rPr>
        <w:t xml:space="preserve"> </w:t>
      </w:r>
      <w:r w:rsidRPr="00A22B7B">
        <w:rPr>
          <w:rFonts w:hint="cs"/>
          <w:rtl/>
        </w:rPr>
        <w:t>التسجيل</w:t>
      </w:r>
      <w:r>
        <w:rPr>
          <w:rFonts w:hint="cs"/>
          <w:rtl/>
        </w:rPr>
        <w:t xml:space="preserve"> </w:t>
      </w:r>
      <w:r w:rsidRPr="00A22B7B">
        <w:rPr>
          <w:rFonts w:hint="cs"/>
          <w:rtl/>
        </w:rPr>
        <w:t>المدني</w:t>
      </w:r>
      <w:r>
        <w:rPr>
          <w:rFonts w:hint="cs"/>
          <w:rtl/>
        </w:rPr>
        <w:t xml:space="preserve"> </w:t>
      </w:r>
      <w:r w:rsidRPr="00A22B7B">
        <w:rPr>
          <w:rFonts w:hint="cs"/>
          <w:rtl/>
        </w:rPr>
        <w:t>لتسجيل</w:t>
      </w:r>
      <w:r>
        <w:rPr>
          <w:rFonts w:hint="cs"/>
          <w:rtl/>
        </w:rPr>
        <w:t xml:space="preserve"> </w:t>
      </w:r>
      <w:r w:rsidRPr="00A22B7B">
        <w:rPr>
          <w:rFonts w:hint="cs"/>
          <w:rtl/>
        </w:rPr>
        <w:t>الزواج</w:t>
      </w:r>
      <w:r>
        <w:rPr>
          <w:rFonts w:hint="cs"/>
          <w:rtl/>
        </w:rPr>
        <w:t xml:space="preserve"> </w:t>
      </w:r>
      <w:r w:rsidRPr="00A22B7B">
        <w:rPr>
          <w:rFonts w:hint="cs"/>
          <w:rtl/>
        </w:rPr>
        <w:t>في</w:t>
      </w:r>
      <w:r>
        <w:rPr>
          <w:rFonts w:hint="cs"/>
          <w:rtl/>
        </w:rPr>
        <w:t xml:space="preserve"> </w:t>
      </w:r>
      <w:r w:rsidRPr="00A22B7B">
        <w:rPr>
          <w:rFonts w:hint="cs"/>
          <w:rtl/>
        </w:rPr>
        <w:t>السجل</w:t>
      </w:r>
      <w:r>
        <w:rPr>
          <w:rFonts w:hint="cs"/>
          <w:rtl/>
        </w:rPr>
        <w:t xml:space="preserve"> </w:t>
      </w:r>
      <w:r w:rsidRPr="00A22B7B">
        <w:rPr>
          <w:rFonts w:hint="cs"/>
          <w:rtl/>
        </w:rPr>
        <w:t>المدني.</w:t>
      </w:r>
    </w:p>
    <w:p w:rsidR="009943B2" w:rsidRPr="00257295"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9943B2" w:rsidRPr="00257295"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Pr="00257295">
        <w:rPr>
          <w:rFonts w:hint="cs"/>
          <w:rtl/>
        </w:rPr>
        <w:t>السن القانونية الدنيا للزواج</w:t>
      </w:r>
    </w:p>
    <w:p w:rsidR="009943B2" w:rsidRPr="00A22B7B" w:rsidRDefault="009943B2" w:rsidP="009943B2">
      <w:pPr>
        <w:pStyle w:val="SingleTxt"/>
        <w:rPr>
          <w:rFonts w:hint="cs"/>
        </w:rPr>
      </w:pPr>
      <w:r>
        <w:rPr>
          <w:rFonts w:hint="cs"/>
          <w:rtl/>
        </w:rPr>
        <w:t xml:space="preserve">339 - </w:t>
      </w:r>
      <w:r w:rsidRPr="00A22B7B">
        <w:rPr>
          <w:rFonts w:hint="cs"/>
          <w:rtl/>
        </w:rPr>
        <w:t>ثمة</w:t>
      </w:r>
      <w:r>
        <w:rPr>
          <w:rFonts w:hint="cs"/>
          <w:rtl/>
        </w:rPr>
        <w:t xml:space="preserve"> </w:t>
      </w:r>
      <w:r w:rsidRPr="00A22B7B">
        <w:rPr>
          <w:rFonts w:hint="cs"/>
          <w:rtl/>
        </w:rPr>
        <w:t>تمييز</w:t>
      </w:r>
      <w:r>
        <w:rPr>
          <w:rFonts w:hint="cs"/>
          <w:rtl/>
        </w:rPr>
        <w:t xml:space="preserve"> </w:t>
      </w:r>
      <w:r w:rsidRPr="00A22B7B">
        <w:rPr>
          <w:rFonts w:hint="cs"/>
          <w:rtl/>
        </w:rPr>
        <w:t>بين</w:t>
      </w:r>
      <w:r>
        <w:rPr>
          <w:rFonts w:hint="cs"/>
          <w:rtl/>
        </w:rPr>
        <w:t xml:space="preserve"> </w:t>
      </w:r>
      <w:r w:rsidRPr="00A22B7B">
        <w:rPr>
          <w:rFonts w:hint="cs"/>
          <w:rtl/>
        </w:rPr>
        <w:t>النساء</w:t>
      </w:r>
      <w:r>
        <w:rPr>
          <w:rFonts w:hint="cs"/>
          <w:rtl/>
        </w:rPr>
        <w:t xml:space="preserve"> </w:t>
      </w:r>
      <w:r w:rsidRPr="00A22B7B">
        <w:rPr>
          <w:rFonts w:hint="cs"/>
          <w:rtl/>
        </w:rPr>
        <w:t>والرجال</w:t>
      </w:r>
      <w:r>
        <w:rPr>
          <w:rFonts w:hint="cs"/>
          <w:rtl/>
        </w:rPr>
        <w:t xml:space="preserve"> </w:t>
      </w:r>
      <w:r w:rsidRPr="00A22B7B">
        <w:rPr>
          <w:rFonts w:hint="cs"/>
          <w:rtl/>
        </w:rPr>
        <w:t>فيما</w:t>
      </w:r>
      <w:r>
        <w:rPr>
          <w:rFonts w:hint="cs"/>
          <w:rtl/>
        </w:rPr>
        <w:t xml:space="preserve"> </w:t>
      </w:r>
      <w:r w:rsidRPr="00A22B7B">
        <w:rPr>
          <w:rFonts w:hint="cs"/>
          <w:rtl/>
        </w:rPr>
        <w:t>يتعلّق</w:t>
      </w:r>
      <w:r>
        <w:rPr>
          <w:rFonts w:hint="cs"/>
          <w:rtl/>
        </w:rPr>
        <w:t xml:space="preserve"> </w:t>
      </w:r>
      <w:r w:rsidRPr="00A22B7B">
        <w:rPr>
          <w:rFonts w:hint="cs"/>
          <w:rtl/>
        </w:rPr>
        <w:t>بالسن</w:t>
      </w:r>
      <w:r>
        <w:rPr>
          <w:rFonts w:hint="cs"/>
          <w:rtl/>
        </w:rPr>
        <w:t xml:space="preserve"> </w:t>
      </w:r>
      <w:r w:rsidRPr="00A22B7B">
        <w:rPr>
          <w:rFonts w:hint="cs"/>
          <w:rtl/>
        </w:rPr>
        <w:t>الدنيا</w:t>
      </w:r>
      <w:r>
        <w:rPr>
          <w:rFonts w:hint="cs"/>
          <w:rtl/>
        </w:rPr>
        <w:t xml:space="preserve"> </w:t>
      </w:r>
      <w:r w:rsidRPr="00A22B7B">
        <w:rPr>
          <w:rFonts w:hint="cs"/>
          <w:rtl/>
        </w:rPr>
        <w:t>للزواج</w:t>
      </w:r>
      <w:r>
        <w:rPr>
          <w:rFonts w:hint="cs"/>
          <w:rtl/>
        </w:rPr>
        <w:t xml:space="preserve"> </w:t>
      </w:r>
      <w:r w:rsidRPr="00A22B7B">
        <w:rPr>
          <w:rFonts w:hint="cs"/>
          <w:rtl/>
        </w:rPr>
        <w:t>في</w:t>
      </w:r>
      <w:r>
        <w:rPr>
          <w:rFonts w:hint="cs"/>
          <w:rtl/>
        </w:rPr>
        <w:t xml:space="preserve"> </w:t>
      </w:r>
      <w:r w:rsidRPr="00A22B7B">
        <w:rPr>
          <w:rFonts w:hint="cs"/>
          <w:rtl/>
        </w:rPr>
        <w:t>القانون</w:t>
      </w:r>
      <w:r>
        <w:rPr>
          <w:rFonts w:hint="cs"/>
          <w:rtl/>
        </w:rPr>
        <w:t xml:space="preserve"> </w:t>
      </w:r>
      <w:r w:rsidRPr="00A22B7B">
        <w:rPr>
          <w:rFonts w:hint="cs"/>
          <w:rtl/>
        </w:rPr>
        <w:t>المدني</w:t>
      </w:r>
      <w:r>
        <w:rPr>
          <w:rFonts w:hint="cs"/>
          <w:rtl/>
        </w:rPr>
        <w:t xml:space="preserve"> الإ</w:t>
      </w:r>
      <w:r w:rsidRPr="00A22B7B">
        <w:rPr>
          <w:rFonts w:hint="cs"/>
          <w:rtl/>
        </w:rPr>
        <w:t>ندونيسي</w:t>
      </w:r>
      <w:r>
        <w:rPr>
          <w:rFonts w:hint="cs"/>
          <w:rtl/>
        </w:rPr>
        <w:t xml:space="preserve"> </w:t>
      </w:r>
      <w:r w:rsidRPr="00A22B7B">
        <w:rPr>
          <w:rFonts w:hint="cs"/>
          <w:rtl/>
        </w:rPr>
        <w:t>الذي</w:t>
      </w:r>
      <w:r>
        <w:rPr>
          <w:rFonts w:hint="cs"/>
          <w:rtl/>
        </w:rPr>
        <w:t xml:space="preserve"> </w:t>
      </w:r>
      <w:r w:rsidRPr="00A22B7B">
        <w:rPr>
          <w:rFonts w:hint="cs"/>
          <w:rtl/>
        </w:rPr>
        <w:t>كان</w:t>
      </w:r>
      <w:r>
        <w:rPr>
          <w:rFonts w:hint="cs"/>
          <w:rtl/>
        </w:rPr>
        <w:t xml:space="preserve"> </w:t>
      </w:r>
      <w:r w:rsidRPr="00A22B7B">
        <w:rPr>
          <w:rFonts w:hint="cs"/>
          <w:rtl/>
        </w:rPr>
        <w:t>ساريًا</w:t>
      </w:r>
      <w:r>
        <w:rPr>
          <w:rFonts w:hint="cs"/>
          <w:rtl/>
        </w:rPr>
        <w:t xml:space="preserve"> </w:t>
      </w:r>
      <w:r w:rsidRPr="00A22B7B">
        <w:rPr>
          <w:rFonts w:hint="cs"/>
          <w:rtl/>
        </w:rPr>
        <w:t>في</w:t>
      </w:r>
      <w:r>
        <w:rPr>
          <w:rFonts w:hint="cs"/>
          <w:rtl/>
        </w:rPr>
        <w:t xml:space="preserve"> </w:t>
      </w:r>
      <w:r w:rsidRPr="00A22B7B">
        <w:rPr>
          <w:rFonts w:hint="cs"/>
          <w:rtl/>
        </w:rPr>
        <w:t>السابق</w:t>
      </w:r>
      <w:r>
        <w:rPr>
          <w:rFonts w:hint="cs"/>
          <w:rtl/>
        </w:rPr>
        <w:t xml:space="preserve"> </w:t>
      </w:r>
      <w:r w:rsidRPr="00A22B7B">
        <w:rPr>
          <w:rFonts w:hint="cs"/>
          <w:rtl/>
        </w:rPr>
        <w:t>(15</w:t>
      </w:r>
      <w:r>
        <w:rPr>
          <w:rFonts w:hint="cs"/>
          <w:rtl/>
        </w:rPr>
        <w:t xml:space="preserve"> </w:t>
      </w:r>
      <w:r w:rsidRPr="00A22B7B">
        <w:rPr>
          <w:rFonts w:hint="cs"/>
          <w:rtl/>
        </w:rPr>
        <w:t>سنة</w:t>
      </w:r>
      <w:r>
        <w:rPr>
          <w:rFonts w:hint="cs"/>
          <w:rtl/>
        </w:rPr>
        <w:t xml:space="preserve"> </w:t>
      </w:r>
      <w:r w:rsidRPr="00A22B7B">
        <w:rPr>
          <w:rFonts w:hint="cs"/>
          <w:rtl/>
        </w:rPr>
        <w:t>للإناث</w:t>
      </w:r>
      <w:r>
        <w:rPr>
          <w:rFonts w:hint="cs"/>
          <w:rtl/>
        </w:rPr>
        <w:t xml:space="preserve"> </w:t>
      </w:r>
      <w:r w:rsidRPr="00A22B7B">
        <w:rPr>
          <w:rFonts w:hint="cs"/>
          <w:rtl/>
        </w:rPr>
        <w:t>و</w:t>
      </w:r>
      <w:r>
        <w:rPr>
          <w:rFonts w:hint="cs"/>
          <w:rtl/>
        </w:rPr>
        <w:t xml:space="preserve"> </w:t>
      </w:r>
      <w:r w:rsidRPr="00A22B7B">
        <w:rPr>
          <w:rFonts w:hint="cs"/>
          <w:rtl/>
        </w:rPr>
        <w:t>18</w:t>
      </w:r>
      <w:r>
        <w:rPr>
          <w:rFonts w:hint="cs"/>
          <w:rtl/>
        </w:rPr>
        <w:t xml:space="preserve"> </w:t>
      </w:r>
      <w:r w:rsidRPr="00A22B7B">
        <w:rPr>
          <w:rFonts w:hint="cs"/>
          <w:rtl/>
        </w:rPr>
        <w:t>سنة</w:t>
      </w:r>
      <w:r>
        <w:rPr>
          <w:rFonts w:hint="cs"/>
          <w:rtl/>
        </w:rPr>
        <w:t xml:space="preserve"> </w:t>
      </w:r>
      <w:r w:rsidRPr="00A22B7B">
        <w:rPr>
          <w:rFonts w:hint="cs"/>
          <w:rtl/>
        </w:rPr>
        <w:t>للذكور</w:t>
      </w:r>
      <w:r>
        <w:rPr>
          <w:rFonts w:hint="cs"/>
          <w:rtl/>
        </w:rPr>
        <w:t xml:space="preserve"> </w:t>
      </w:r>
      <w:r w:rsidRPr="00A22B7B">
        <w:rPr>
          <w:rFonts w:hint="cs"/>
          <w:rtl/>
        </w:rPr>
        <w:t>وفق</w:t>
      </w:r>
      <w:r>
        <w:rPr>
          <w:rFonts w:hint="cs"/>
          <w:rtl/>
        </w:rPr>
        <w:t xml:space="preserve"> </w:t>
      </w:r>
      <w:r w:rsidRPr="00A22B7B">
        <w:rPr>
          <w:rFonts w:hint="cs"/>
          <w:rtl/>
        </w:rPr>
        <w:t>المادة</w:t>
      </w:r>
      <w:r>
        <w:rPr>
          <w:rFonts w:hint="eastAsia"/>
          <w:rtl/>
        </w:rPr>
        <w:t> </w:t>
      </w:r>
      <w:r w:rsidRPr="00A22B7B">
        <w:rPr>
          <w:rFonts w:hint="cs"/>
          <w:rtl/>
        </w:rPr>
        <w:t>29)</w:t>
      </w:r>
      <w:r w:rsidRPr="00257295">
        <w:rPr>
          <w:vertAlign w:val="superscript"/>
          <w:rtl/>
        </w:rPr>
        <w:t>(</w:t>
      </w:r>
      <w:r w:rsidRPr="00257295">
        <w:rPr>
          <w:rStyle w:val="FootnoteReference"/>
          <w:szCs w:val="30"/>
          <w:rtl/>
        </w:rPr>
        <w:footnoteReference w:id="289"/>
      </w:r>
      <w:r w:rsidRPr="00257295">
        <w:rPr>
          <w:vertAlign w:val="superscript"/>
          <w:rtl/>
        </w:rPr>
        <w:t>)</w:t>
      </w:r>
      <w:r w:rsidRPr="00A22B7B">
        <w:rPr>
          <w:rFonts w:hint="cs"/>
          <w:rtl/>
        </w:rPr>
        <w:t>.</w:t>
      </w:r>
      <w:r>
        <w:rPr>
          <w:rFonts w:hint="cs"/>
          <w:rtl/>
        </w:rPr>
        <w:t xml:space="preserve"> </w:t>
      </w:r>
    </w:p>
    <w:p w:rsidR="009943B2" w:rsidRPr="00A22B7B" w:rsidRDefault="009943B2" w:rsidP="009943B2">
      <w:pPr>
        <w:pStyle w:val="SingleTxt"/>
        <w:rPr>
          <w:rFonts w:hint="cs"/>
        </w:rPr>
      </w:pPr>
      <w:r>
        <w:rPr>
          <w:rFonts w:hint="cs"/>
          <w:rtl/>
        </w:rPr>
        <w:t xml:space="preserve">340 - </w:t>
      </w:r>
      <w:r w:rsidRPr="00A22B7B">
        <w:rPr>
          <w:rFonts w:hint="cs"/>
          <w:rtl/>
        </w:rPr>
        <w:t>وتسمح</w:t>
      </w:r>
      <w:r>
        <w:rPr>
          <w:rFonts w:hint="cs"/>
          <w:rtl/>
        </w:rPr>
        <w:t xml:space="preserve"> </w:t>
      </w:r>
      <w:r w:rsidRPr="00A22B7B">
        <w:rPr>
          <w:rFonts w:hint="cs"/>
          <w:rtl/>
        </w:rPr>
        <w:t>المادّة</w:t>
      </w:r>
      <w:r>
        <w:rPr>
          <w:rFonts w:hint="cs"/>
          <w:rtl/>
        </w:rPr>
        <w:t xml:space="preserve"> </w:t>
      </w:r>
      <w:r w:rsidRPr="00A22B7B">
        <w:rPr>
          <w:rFonts w:hint="cs"/>
          <w:rtl/>
        </w:rPr>
        <w:t>1500</w:t>
      </w:r>
      <w:r>
        <w:rPr>
          <w:rFonts w:hint="cs"/>
          <w:rtl/>
        </w:rPr>
        <w:t xml:space="preserve"> </w:t>
      </w:r>
      <w:r w:rsidRPr="00A22B7B">
        <w:rPr>
          <w:rFonts w:hint="cs"/>
          <w:rtl/>
        </w:rPr>
        <w:t>من</w:t>
      </w:r>
      <w:r>
        <w:rPr>
          <w:rFonts w:hint="cs"/>
          <w:rtl/>
        </w:rPr>
        <w:t xml:space="preserve"> </w:t>
      </w:r>
      <w:r w:rsidRPr="00A22B7B">
        <w:rPr>
          <w:rFonts w:hint="cs"/>
          <w:rtl/>
        </w:rPr>
        <w:t>القانون</w:t>
      </w:r>
      <w:r>
        <w:rPr>
          <w:rFonts w:hint="cs"/>
          <w:rtl/>
        </w:rPr>
        <w:t xml:space="preserve"> </w:t>
      </w:r>
      <w:r w:rsidRPr="00A22B7B">
        <w:rPr>
          <w:rFonts w:hint="cs"/>
          <w:rtl/>
        </w:rPr>
        <w:t>المدني</w:t>
      </w:r>
      <w:r>
        <w:rPr>
          <w:rFonts w:hint="cs"/>
          <w:rtl/>
        </w:rPr>
        <w:t xml:space="preserve"> </w:t>
      </w:r>
      <w:r w:rsidRPr="00A22B7B">
        <w:rPr>
          <w:rFonts w:hint="cs"/>
          <w:rtl/>
        </w:rPr>
        <w:t>بزواج</w:t>
      </w:r>
      <w:r>
        <w:rPr>
          <w:rFonts w:hint="cs"/>
          <w:rtl/>
        </w:rPr>
        <w:t xml:space="preserve"> </w:t>
      </w:r>
      <w:r w:rsidRPr="00A22B7B">
        <w:rPr>
          <w:rFonts w:hint="cs"/>
          <w:rtl/>
        </w:rPr>
        <w:t>أي</w:t>
      </w:r>
      <w:r>
        <w:rPr>
          <w:rFonts w:hint="cs"/>
          <w:rtl/>
        </w:rPr>
        <w:t xml:space="preserve"> </w:t>
      </w:r>
      <w:r w:rsidRPr="00A22B7B">
        <w:rPr>
          <w:rFonts w:hint="cs"/>
          <w:rtl/>
        </w:rPr>
        <w:t>فرد</w:t>
      </w:r>
      <w:r>
        <w:rPr>
          <w:rFonts w:hint="cs"/>
          <w:rtl/>
        </w:rPr>
        <w:t xml:space="preserve"> </w:t>
      </w:r>
      <w:r w:rsidRPr="00A22B7B">
        <w:rPr>
          <w:rFonts w:hint="cs"/>
          <w:rtl/>
        </w:rPr>
        <w:t>عمره</w:t>
      </w:r>
      <w:r>
        <w:rPr>
          <w:rFonts w:hint="cs"/>
          <w:rtl/>
        </w:rPr>
        <w:t xml:space="preserve"> </w:t>
      </w:r>
      <w:r w:rsidRPr="00A22B7B">
        <w:rPr>
          <w:rFonts w:hint="cs"/>
          <w:rtl/>
        </w:rPr>
        <w:t>أقل</w:t>
      </w:r>
      <w:r>
        <w:rPr>
          <w:rFonts w:hint="cs"/>
          <w:rtl/>
        </w:rPr>
        <w:t xml:space="preserve"> </w:t>
      </w:r>
      <w:r w:rsidRPr="00A22B7B">
        <w:rPr>
          <w:rFonts w:hint="cs"/>
          <w:rtl/>
        </w:rPr>
        <w:t>من</w:t>
      </w:r>
      <w:r>
        <w:rPr>
          <w:rFonts w:hint="cs"/>
          <w:rtl/>
        </w:rPr>
        <w:t xml:space="preserve"> </w:t>
      </w:r>
      <w:r w:rsidRPr="00A22B7B">
        <w:rPr>
          <w:rFonts w:hint="cs"/>
          <w:rtl/>
        </w:rPr>
        <w:t>17</w:t>
      </w:r>
      <w:r>
        <w:rPr>
          <w:rFonts w:hint="cs"/>
          <w:rtl/>
        </w:rPr>
        <w:t xml:space="preserve"> </w:t>
      </w:r>
      <w:r w:rsidRPr="00A22B7B">
        <w:rPr>
          <w:rFonts w:hint="cs"/>
          <w:rtl/>
        </w:rPr>
        <w:t>عامًا</w:t>
      </w:r>
      <w:r>
        <w:rPr>
          <w:rFonts w:hint="cs"/>
          <w:rtl/>
        </w:rPr>
        <w:t xml:space="preserve"> </w:t>
      </w:r>
      <w:r w:rsidRPr="00A22B7B">
        <w:rPr>
          <w:rFonts w:hint="cs"/>
          <w:rtl/>
        </w:rPr>
        <w:t>وأكثر</w:t>
      </w:r>
      <w:r>
        <w:rPr>
          <w:rFonts w:hint="cs"/>
          <w:rtl/>
        </w:rPr>
        <w:t xml:space="preserve"> </w:t>
      </w:r>
      <w:r w:rsidRPr="00A22B7B">
        <w:rPr>
          <w:rFonts w:hint="cs"/>
          <w:rtl/>
        </w:rPr>
        <w:t>من</w:t>
      </w:r>
      <w:r>
        <w:rPr>
          <w:rFonts w:hint="cs"/>
          <w:rtl/>
        </w:rPr>
        <w:t xml:space="preserve"> </w:t>
      </w:r>
      <w:r w:rsidRPr="00A22B7B">
        <w:rPr>
          <w:rFonts w:hint="cs"/>
          <w:rtl/>
        </w:rPr>
        <w:t>16</w:t>
      </w:r>
      <w:r>
        <w:rPr>
          <w:rFonts w:hint="cs"/>
          <w:rtl/>
        </w:rPr>
        <w:t xml:space="preserve"> </w:t>
      </w:r>
      <w:r w:rsidRPr="00A22B7B">
        <w:rPr>
          <w:rFonts w:hint="cs"/>
          <w:rtl/>
        </w:rPr>
        <w:t>عامًا،</w:t>
      </w:r>
      <w:r>
        <w:rPr>
          <w:rFonts w:hint="cs"/>
          <w:rtl/>
        </w:rPr>
        <w:t xml:space="preserve"> </w:t>
      </w:r>
      <w:r w:rsidRPr="00A22B7B">
        <w:rPr>
          <w:rFonts w:hint="cs"/>
          <w:rtl/>
        </w:rPr>
        <w:t>على</w:t>
      </w:r>
      <w:r>
        <w:rPr>
          <w:rFonts w:hint="cs"/>
          <w:rtl/>
        </w:rPr>
        <w:t xml:space="preserve"> </w:t>
      </w:r>
      <w:r w:rsidRPr="00A22B7B">
        <w:rPr>
          <w:rFonts w:hint="cs"/>
          <w:rtl/>
        </w:rPr>
        <w:t>أن</w:t>
      </w:r>
      <w:r>
        <w:rPr>
          <w:rFonts w:hint="cs"/>
          <w:rtl/>
        </w:rPr>
        <w:t xml:space="preserve"> </w:t>
      </w:r>
      <w:r w:rsidRPr="00A22B7B">
        <w:rPr>
          <w:rFonts w:hint="cs"/>
          <w:rtl/>
        </w:rPr>
        <w:t>يسمح</w:t>
      </w:r>
      <w:r>
        <w:rPr>
          <w:rFonts w:hint="cs"/>
          <w:rtl/>
        </w:rPr>
        <w:t xml:space="preserve"> </w:t>
      </w:r>
      <w:r w:rsidRPr="00A22B7B">
        <w:rPr>
          <w:rFonts w:hint="cs"/>
          <w:rtl/>
        </w:rPr>
        <w:t>بذلك</w:t>
      </w:r>
      <w:r>
        <w:rPr>
          <w:rFonts w:hint="cs"/>
          <w:rtl/>
        </w:rPr>
        <w:t xml:space="preserve"> </w:t>
      </w:r>
      <w:r w:rsidRPr="00A22B7B">
        <w:rPr>
          <w:rFonts w:hint="cs"/>
          <w:rtl/>
        </w:rPr>
        <w:t>أبواه</w:t>
      </w:r>
      <w:r>
        <w:rPr>
          <w:rFonts w:hint="cs"/>
          <w:rtl/>
        </w:rPr>
        <w:t xml:space="preserve"> </w:t>
      </w:r>
      <w:r w:rsidRPr="00A22B7B">
        <w:rPr>
          <w:rFonts w:hint="cs"/>
          <w:rtl/>
        </w:rPr>
        <w:t>أو</w:t>
      </w:r>
      <w:r>
        <w:rPr>
          <w:rFonts w:hint="cs"/>
          <w:rtl/>
        </w:rPr>
        <w:t xml:space="preserve"> </w:t>
      </w:r>
      <w:r w:rsidRPr="00A22B7B">
        <w:rPr>
          <w:rFonts w:hint="cs"/>
          <w:rtl/>
        </w:rPr>
        <w:t>وليّ</w:t>
      </w:r>
      <w:r>
        <w:rPr>
          <w:rFonts w:hint="cs"/>
          <w:rtl/>
        </w:rPr>
        <w:t xml:space="preserve"> </w:t>
      </w:r>
      <w:r w:rsidRPr="00A22B7B">
        <w:rPr>
          <w:rFonts w:hint="cs"/>
          <w:rtl/>
        </w:rPr>
        <w:t>أمره</w:t>
      </w:r>
      <w:r>
        <w:rPr>
          <w:rFonts w:hint="cs"/>
          <w:rtl/>
        </w:rPr>
        <w:t xml:space="preserve"> </w:t>
      </w:r>
      <w:r w:rsidRPr="00A22B7B">
        <w:rPr>
          <w:rFonts w:hint="cs"/>
          <w:rtl/>
        </w:rPr>
        <w:t>(المادة</w:t>
      </w:r>
      <w:r>
        <w:rPr>
          <w:rFonts w:hint="cs"/>
          <w:rtl/>
        </w:rPr>
        <w:t xml:space="preserve"> </w:t>
      </w:r>
      <w:r w:rsidRPr="00A22B7B">
        <w:rPr>
          <w:rFonts w:hint="cs"/>
          <w:rtl/>
        </w:rPr>
        <w:t>1493).</w:t>
      </w:r>
      <w:r>
        <w:rPr>
          <w:rFonts w:hint="cs"/>
          <w:rtl/>
        </w:rPr>
        <w:t xml:space="preserve"> </w:t>
      </w:r>
      <w:r w:rsidRPr="00A22B7B">
        <w:rPr>
          <w:rFonts w:hint="cs"/>
          <w:rtl/>
        </w:rPr>
        <w:t>ويحظر</w:t>
      </w:r>
      <w:r>
        <w:rPr>
          <w:rFonts w:hint="cs"/>
          <w:rtl/>
        </w:rPr>
        <w:t xml:space="preserve"> </w:t>
      </w:r>
      <w:r w:rsidRPr="00A22B7B">
        <w:rPr>
          <w:rFonts w:hint="cs"/>
          <w:rtl/>
        </w:rPr>
        <w:t>الزواج</w:t>
      </w:r>
      <w:r>
        <w:rPr>
          <w:rFonts w:hint="cs"/>
          <w:rtl/>
        </w:rPr>
        <w:t xml:space="preserve"> </w:t>
      </w:r>
      <w:r w:rsidRPr="00A22B7B">
        <w:rPr>
          <w:rFonts w:hint="cs"/>
          <w:rtl/>
        </w:rPr>
        <w:t>لمن</w:t>
      </w:r>
      <w:r>
        <w:rPr>
          <w:rFonts w:hint="cs"/>
          <w:rtl/>
        </w:rPr>
        <w:t xml:space="preserve"> </w:t>
      </w:r>
      <w:r w:rsidRPr="00A22B7B">
        <w:rPr>
          <w:rFonts w:hint="cs"/>
          <w:rtl/>
        </w:rPr>
        <w:t>هم</w:t>
      </w:r>
      <w:r>
        <w:rPr>
          <w:rFonts w:hint="cs"/>
          <w:rtl/>
        </w:rPr>
        <w:t xml:space="preserve"> </w:t>
      </w:r>
      <w:r w:rsidRPr="00A22B7B">
        <w:rPr>
          <w:rFonts w:hint="cs"/>
          <w:rtl/>
        </w:rPr>
        <w:t>دون</w:t>
      </w:r>
      <w:r>
        <w:rPr>
          <w:rFonts w:hint="cs"/>
          <w:rtl/>
        </w:rPr>
        <w:t xml:space="preserve"> </w:t>
      </w:r>
      <w:r w:rsidRPr="00A22B7B">
        <w:rPr>
          <w:rFonts w:hint="cs"/>
          <w:rtl/>
        </w:rPr>
        <w:t>16</w:t>
      </w:r>
      <w:r>
        <w:rPr>
          <w:rFonts w:hint="cs"/>
          <w:rtl/>
        </w:rPr>
        <w:t xml:space="preserve"> </w:t>
      </w:r>
      <w:r w:rsidRPr="00A22B7B">
        <w:rPr>
          <w:rFonts w:hint="cs"/>
          <w:rtl/>
        </w:rPr>
        <w:t>عامًا</w:t>
      </w:r>
      <w:r>
        <w:rPr>
          <w:rFonts w:hint="cs"/>
          <w:rtl/>
        </w:rPr>
        <w:t xml:space="preserve"> </w:t>
      </w:r>
      <w:r w:rsidRPr="00A22B7B">
        <w:rPr>
          <w:rFonts w:hint="cs"/>
          <w:rtl/>
        </w:rPr>
        <w:t>(المادة</w:t>
      </w:r>
      <w:r>
        <w:rPr>
          <w:rFonts w:hint="cs"/>
          <w:rtl/>
        </w:rPr>
        <w:t xml:space="preserve"> </w:t>
      </w:r>
      <w:r w:rsidRPr="00A22B7B">
        <w:rPr>
          <w:rFonts w:hint="cs"/>
          <w:rtl/>
        </w:rPr>
        <w:t>1490)</w:t>
      </w:r>
      <w:r w:rsidRPr="00257295">
        <w:rPr>
          <w:vertAlign w:val="superscript"/>
          <w:rtl/>
        </w:rPr>
        <w:t>(</w:t>
      </w:r>
      <w:r w:rsidRPr="00257295">
        <w:rPr>
          <w:rStyle w:val="FootnoteReference"/>
          <w:szCs w:val="30"/>
          <w:rtl/>
        </w:rPr>
        <w:footnoteReference w:id="290"/>
      </w:r>
      <w:r w:rsidRPr="00257295">
        <w:rPr>
          <w:vertAlign w:val="superscript"/>
          <w:rtl/>
        </w:rPr>
        <w:t>)</w:t>
      </w:r>
      <w:r w:rsidRPr="00A22B7B">
        <w:rPr>
          <w:rFonts w:hint="cs"/>
          <w:rtl/>
        </w:rPr>
        <w:t>.</w:t>
      </w:r>
    </w:p>
    <w:p w:rsidR="009943B2" w:rsidRPr="00257295" w:rsidRDefault="009943B2" w:rsidP="009943B2">
      <w:pPr>
        <w:pStyle w:val="SingleTxt"/>
        <w:spacing w:after="0" w:line="120" w:lineRule="exact"/>
        <w:rPr>
          <w:rFonts w:hint="cs"/>
          <w:i/>
          <w:iCs/>
          <w:sz w:val="10"/>
          <w:u w:val="single"/>
          <w:rtl/>
        </w:rPr>
      </w:pPr>
    </w:p>
    <w:p w:rsidR="009943B2" w:rsidRPr="00257295"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Pr="00257295">
        <w:rPr>
          <w:rFonts w:hint="cs"/>
          <w:rtl/>
        </w:rPr>
        <w:t>خطوبة الصغار وزواج القصّر</w:t>
      </w:r>
    </w:p>
    <w:p w:rsidR="009943B2" w:rsidRPr="00A22B7B" w:rsidRDefault="009943B2" w:rsidP="009943B2">
      <w:pPr>
        <w:pStyle w:val="SingleTxt"/>
        <w:rPr>
          <w:rFonts w:hint="cs"/>
        </w:rPr>
      </w:pPr>
      <w:r>
        <w:rPr>
          <w:rFonts w:hint="cs"/>
          <w:rtl/>
        </w:rPr>
        <w:t xml:space="preserve">341 - </w:t>
      </w:r>
      <w:r w:rsidRPr="00A22B7B">
        <w:rPr>
          <w:rFonts w:hint="cs"/>
          <w:rtl/>
        </w:rPr>
        <w:t>على</w:t>
      </w:r>
      <w:r>
        <w:rPr>
          <w:rFonts w:hint="cs"/>
          <w:rtl/>
        </w:rPr>
        <w:t xml:space="preserve"> ال</w:t>
      </w:r>
      <w:r w:rsidRPr="00A22B7B">
        <w:rPr>
          <w:rFonts w:hint="cs"/>
          <w:rtl/>
        </w:rPr>
        <w:t>رغم</w:t>
      </w:r>
      <w:r>
        <w:rPr>
          <w:rFonts w:hint="cs"/>
          <w:rtl/>
        </w:rPr>
        <w:t xml:space="preserve"> </w:t>
      </w:r>
      <w:r w:rsidRPr="00A22B7B">
        <w:rPr>
          <w:rFonts w:hint="cs"/>
          <w:rtl/>
        </w:rPr>
        <w:t>من</w:t>
      </w:r>
      <w:r>
        <w:rPr>
          <w:rFonts w:hint="cs"/>
          <w:rtl/>
        </w:rPr>
        <w:t xml:space="preserve"> </w:t>
      </w:r>
      <w:r w:rsidRPr="00A22B7B">
        <w:rPr>
          <w:rFonts w:hint="cs"/>
          <w:rtl/>
        </w:rPr>
        <w:t>رفع</w:t>
      </w:r>
      <w:r>
        <w:rPr>
          <w:rFonts w:hint="cs"/>
          <w:rtl/>
        </w:rPr>
        <w:t xml:space="preserve"> </w:t>
      </w:r>
      <w:r w:rsidRPr="00A22B7B">
        <w:rPr>
          <w:rFonts w:hint="cs"/>
          <w:rtl/>
        </w:rPr>
        <w:t>السن</w:t>
      </w:r>
      <w:r>
        <w:rPr>
          <w:rFonts w:hint="cs"/>
          <w:rtl/>
        </w:rPr>
        <w:t xml:space="preserve"> </w:t>
      </w:r>
      <w:r w:rsidRPr="00A22B7B">
        <w:rPr>
          <w:rFonts w:hint="cs"/>
          <w:rtl/>
        </w:rPr>
        <w:t>القانونية</w:t>
      </w:r>
      <w:r>
        <w:rPr>
          <w:rFonts w:hint="cs"/>
          <w:rtl/>
        </w:rPr>
        <w:t xml:space="preserve"> </w:t>
      </w:r>
      <w:r w:rsidRPr="00A22B7B">
        <w:rPr>
          <w:rFonts w:hint="cs"/>
          <w:rtl/>
        </w:rPr>
        <w:t>الدنيا</w:t>
      </w:r>
      <w:r>
        <w:rPr>
          <w:rFonts w:hint="cs"/>
          <w:rtl/>
        </w:rPr>
        <w:t xml:space="preserve"> </w:t>
      </w:r>
      <w:r w:rsidRPr="00A22B7B">
        <w:rPr>
          <w:rFonts w:hint="cs"/>
          <w:rtl/>
        </w:rPr>
        <w:t>للزواج،</w:t>
      </w:r>
      <w:r>
        <w:rPr>
          <w:rFonts w:hint="cs"/>
          <w:rtl/>
        </w:rPr>
        <w:t xml:space="preserve"> </w:t>
      </w:r>
      <w:r w:rsidRPr="00A22B7B">
        <w:rPr>
          <w:rFonts w:hint="cs"/>
          <w:rtl/>
        </w:rPr>
        <w:t>يظهر</w:t>
      </w:r>
      <w:r>
        <w:rPr>
          <w:rFonts w:hint="cs"/>
          <w:rtl/>
        </w:rPr>
        <w:t xml:space="preserve"> </w:t>
      </w:r>
      <w:r w:rsidRPr="00A22B7B">
        <w:rPr>
          <w:rFonts w:hint="cs"/>
          <w:rtl/>
        </w:rPr>
        <w:t>الاستقصاء</w:t>
      </w:r>
      <w:r>
        <w:rPr>
          <w:rFonts w:hint="cs"/>
          <w:rtl/>
        </w:rPr>
        <w:t xml:space="preserve"> </w:t>
      </w:r>
      <w:r w:rsidRPr="00A22B7B">
        <w:rPr>
          <w:rFonts w:hint="cs"/>
          <w:rtl/>
        </w:rPr>
        <w:t>الديمغرافي</w:t>
      </w:r>
      <w:r>
        <w:rPr>
          <w:rFonts w:hint="cs"/>
          <w:rtl/>
        </w:rPr>
        <w:t xml:space="preserve"> </w:t>
      </w:r>
      <w:r w:rsidRPr="00A22B7B">
        <w:rPr>
          <w:rFonts w:hint="cs"/>
          <w:rtl/>
        </w:rPr>
        <w:t>والصحي</w:t>
      </w:r>
      <w:r>
        <w:rPr>
          <w:rFonts w:hint="cs"/>
          <w:rtl/>
        </w:rPr>
        <w:t xml:space="preserve"> </w:t>
      </w:r>
      <w:r w:rsidRPr="00A22B7B">
        <w:rPr>
          <w:rFonts w:hint="cs"/>
          <w:rtl/>
        </w:rPr>
        <w:t>للفترة</w:t>
      </w:r>
      <w:r>
        <w:rPr>
          <w:rFonts w:hint="cs"/>
          <w:rtl/>
        </w:rPr>
        <w:t xml:space="preserve"> </w:t>
      </w:r>
      <w:r>
        <w:rPr>
          <w:rtl/>
        </w:rPr>
        <w:t xml:space="preserve"> </w:t>
      </w:r>
      <w:r w:rsidRPr="00A22B7B">
        <w:rPr>
          <w:rFonts w:hint="cs"/>
          <w:rtl/>
        </w:rPr>
        <w:t>2009-2010</w:t>
      </w:r>
      <w:r>
        <w:rPr>
          <w:rFonts w:hint="cs"/>
          <w:rtl/>
        </w:rPr>
        <w:t xml:space="preserve"> </w:t>
      </w:r>
      <w:r w:rsidRPr="00A22B7B">
        <w:rPr>
          <w:rFonts w:hint="cs"/>
          <w:i/>
          <w:iCs/>
          <w:rtl/>
        </w:rPr>
        <w:t>تراجعًا</w:t>
      </w:r>
      <w:r>
        <w:rPr>
          <w:rFonts w:hint="cs"/>
          <w:rtl/>
        </w:rPr>
        <w:t xml:space="preserve"> </w:t>
      </w:r>
      <w:r w:rsidRPr="00A22B7B">
        <w:rPr>
          <w:rFonts w:hint="cs"/>
          <w:rtl/>
        </w:rPr>
        <w:t>ملحوظًا</w:t>
      </w:r>
      <w:r>
        <w:rPr>
          <w:rFonts w:hint="cs"/>
          <w:rtl/>
        </w:rPr>
        <w:t xml:space="preserve"> </w:t>
      </w:r>
      <w:r w:rsidRPr="00A22B7B">
        <w:rPr>
          <w:rFonts w:hint="cs"/>
          <w:rtl/>
        </w:rPr>
        <w:t>في</w:t>
      </w:r>
      <w:r>
        <w:rPr>
          <w:rFonts w:hint="cs"/>
          <w:rtl/>
        </w:rPr>
        <w:t xml:space="preserve"> </w:t>
      </w:r>
      <w:r w:rsidRPr="00A22B7B">
        <w:rPr>
          <w:rFonts w:hint="cs"/>
          <w:rtl/>
        </w:rPr>
        <w:t>متوسط</w:t>
      </w:r>
      <w:r>
        <w:rPr>
          <w:rFonts w:hint="cs"/>
          <w:rtl/>
        </w:rPr>
        <w:t xml:space="preserve"> </w:t>
      </w:r>
      <w:r w:rsidRPr="00A22B7B">
        <w:rPr>
          <w:rFonts w:hint="cs"/>
          <w:rtl/>
        </w:rPr>
        <w:t>سن</w:t>
      </w:r>
      <w:r>
        <w:rPr>
          <w:rFonts w:hint="cs"/>
          <w:rtl/>
        </w:rPr>
        <w:t xml:space="preserve"> </w:t>
      </w:r>
      <w:r w:rsidRPr="00A22B7B">
        <w:rPr>
          <w:rFonts w:hint="cs"/>
          <w:rtl/>
        </w:rPr>
        <w:t>الزواج</w:t>
      </w:r>
      <w:r>
        <w:rPr>
          <w:rFonts w:hint="cs"/>
          <w:rtl/>
        </w:rPr>
        <w:t xml:space="preserve"> </w:t>
      </w:r>
      <w:r w:rsidRPr="00A22B7B">
        <w:rPr>
          <w:rFonts w:hint="cs"/>
          <w:rtl/>
        </w:rPr>
        <w:t>مقارنة</w:t>
      </w:r>
      <w:r>
        <w:rPr>
          <w:rFonts w:hint="cs"/>
          <w:rtl/>
        </w:rPr>
        <w:t xml:space="preserve"> </w:t>
      </w:r>
      <w:r w:rsidRPr="00A22B7B">
        <w:rPr>
          <w:rFonts w:hint="cs"/>
          <w:rtl/>
        </w:rPr>
        <w:t>بالعقود</w:t>
      </w:r>
      <w:r>
        <w:rPr>
          <w:rFonts w:hint="cs"/>
          <w:rtl/>
        </w:rPr>
        <w:t xml:space="preserve"> </w:t>
      </w:r>
      <w:r w:rsidRPr="00A22B7B">
        <w:rPr>
          <w:rFonts w:hint="cs"/>
          <w:rtl/>
        </w:rPr>
        <w:t>القليلة</w:t>
      </w:r>
      <w:r>
        <w:rPr>
          <w:rFonts w:hint="cs"/>
          <w:rtl/>
        </w:rPr>
        <w:t xml:space="preserve"> </w:t>
      </w:r>
      <w:r w:rsidRPr="00A22B7B">
        <w:rPr>
          <w:rFonts w:hint="cs"/>
          <w:rtl/>
        </w:rPr>
        <w:t>الماضية</w:t>
      </w:r>
      <w:r>
        <w:rPr>
          <w:rFonts w:hint="cs"/>
          <w:rtl/>
        </w:rPr>
        <w:t xml:space="preserve"> </w:t>
      </w:r>
      <w:r w:rsidRPr="00A22B7B">
        <w:rPr>
          <w:rFonts w:hint="cs"/>
          <w:rtl/>
        </w:rPr>
        <w:t>من</w:t>
      </w:r>
      <w:r>
        <w:rPr>
          <w:rFonts w:hint="cs"/>
          <w:rtl/>
        </w:rPr>
        <w:t xml:space="preserve"> </w:t>
      </w:r>
      <w:r w:rsidRPr="00A22B7B">
        <w:rPr>
          <w:rFonts w:hint="cs"/>
          <w:rtl/>
        </w:rPr>
        <w:t>22</w:t>
      </w:r>
      <w:r>
        <w:rPr>
          <w:rFonts w:hint="cs"/>
          <w:rtl/>
        </w:rPr>
        <w:t xml:space="preserve"> </w:t>
      </w:r>
      <w:r w:rsidRPr="00A22B7B">
        <w:rPr>
          <w:rFonts w:hint="cs"/>
          <w:rtl/>
        </w:rPr>
        <w:t>عامًا</w:t>
      </w:r>
      <w:r>
        <w:rPr>
          <w:rFonts w:hint="cs"/>
          <w:rtl/>
        </w:rPr>
        <w:t xml:space="preserve"> </w:t>
      </w:r>
      <w:r w:rsidRPr="00A22B7B">
        <w:rPr>
          <w:rFonts w:hint="cs"/>
          <w:rtl/>
        </w:rPr>
        <w:t>للنساء</w:t>
      </w:r>
      <w:r>
        <w:rPr>
          <w:rFonts w:hint="cs"/>
          <w:rtl/>
        </w:rPr>
        <w:t xml:space="preserve"> </w:t>
      </w:r>
      <w:r w:rsidRPr="00A22B7B">
        <w:rPr>
          <w:rFonts w:hint="cs"/>
          <w:rtl/>
        </w:rPr>
        <w:t>اللواتي</w:t>
      </w:r>
      <w:r>
        <w:rPr>
          <w:rFonts w:hint="cs"/>
          <w:rtl/>
        </w:rPr>
        <w:t xml:space="preserve"> </w:t>
      </w:r>
      <w:r w:rsidRPr="00A22B7B">
        <w:rPr>
          <w:rFonts w:hint="cs"/>
          <w:rtl/>
        </w:rPr>
        <w:t>تتر</w:t>
      </w:r>
      <w:r>
        <w:rPr>
          <w:rFonts w:hint="cs"/>
          <w:rtl/>
        </w:rPr>
        <w:t>ا</w:t>
      </w:r>
      <w:r w:rsidRPr="00A22B7B">
        <w:rPr>
          <w:rFonts w:hint="cs"/>
          <w:rtl/>
        </w:rPr>
        <w:t>وح</w:t>
      </w:r>
      <w:r>
        <w:rPr>
          <w:rFonts w:hint="cs"/>
          <w:rtl/>
        </w:rPr>
        <w:t xml:space="preserve"> </w:t>
      </w:r>
      <w:r w:rsidRPr="00A22B7B">
        <w:rPr>
          <w:rFonts w:hint="cs"/>
          <w:rtl/>
        </w:rPr>
        <w:t>سنّهن</w:t>
      </w:r>
      <w:r>
        <w:rPr>
          <w:rFonts w:hint="cs"/>
          <w:rtl/>
        </w:rPr>
        <w:t xml:space="preserve"> </w:t>
      </w:r>
      <w:r w:rsidRPr="00A22B7B">
        <w:rPr>
          <w:rFonts w:hint="cs"/>
          <w:rtl/>
        </w:rPr>
        <w:t>اليوم</w:t>
      </w:r>
      <w:r>
        <w:rPr>
          <w:rFonts w:hint="cs"/>
          <w:rtl/>
        </w:rPr>
        <w:t xml:space="preserve"> </w:t>
      </w:r>
      <w:r w:rsidRPr="00A22B7B">
        <w:rPr>
          <w:rFonts w:hint="cs"/>
          <w:rtl/>
        </w:rPr>
        <w:t>بين</w:t>
      </w:r>
      <w:r>
        <w:rPr>
          <w:rFonts w:hint="cs"/>
          <w:rtl/>
        </w:rPr>
        <w:t xml:space="preserve"> </w:t>
      </w:r>
      <w:r w:rsidRPr="00A22B7B">
        <w:rPr>
          <w:rFonts w:hint="cs"/>
          <w:rtl/>
        </w:rPr>
        <w:t>45</w:t>
      </w:r>
      <w:r>
        <w:rPr>
          <w:rFonts w:hint="cs"/>
          <w:rtl/>
        </w:rPr>
        <w:t xml:space="preserve"> </w:t>
      </w:r>
      <w:r w:rsidRPr="00A22B7B">
        <w:rPr>
          <w:rFonts w:hint="cs"/>
          <w:rtl/>
        </w:rPr>
        <w:t>و</w:t>
      </w:r>
      <w:r>
        <w:rPr>
          <w:rFonts w:hint="cs"/>
          <w:rtl/>
        </w:rPr>
        <w:t xml:space="preserve"> </w:t>
      </w:r>
      <w:r w:rsidRPr="00A22B7B">
        <w:rPr>
          <w:rFonts w:hint="cs"/>
          <w:rtl/>
        </w:rPr>
        <w:t>49</w:t>
      </w:r>
      <w:r>
        <w:rPr>
          <w:rFonts w:hint="cs"/>
          <w:rtl/>
        </w:rPr>
        <w:t xml:space="preserve"> </w:t>
      </w:r>
      <w:r w:rsidRPr="00A22B7B">
        <w:rPr>
          <w:rFonts w:hint="cs"/>
          <w:rtl/>
        </w:rPr>
        <w:t>عامًا</w:t>
      </w:r>
      <w:r>
        <w:rPr>
          <w:rFonts w:hint="cs"/>
          <w:rtl/>
        </w:rPr>
        <w:t xml:space="preserve"> </w:t>
      </w:r>
      <w:r w:rsidRPr="00A22B7B">
        <w:rPr>
          <w:rFonts w:hint="cs"/>
          <w:rtl/>
        </w:rPr>
        <w:t>إلى</w:t>
      </w:r>
      <w:r>
        <w:rPr>
          <w:rFonts w:hint="cs"/>
          <w:rtl/>
        </w:rPr>
        <w:t xml:space="preserve"> </w:t>
      </w:r>
      <w:r w:rsidRPr="00A22B7B">
        <w:rPr>
          <w:rFonts w:hint="cs"/>
          <w:rtl/>
        </w:rPr>
        <w:t>20.6</w:t>
      </w:r>
      <w:r>
        <w:rPr>
          <w:rFonts w:hint="eastAsia"/>
          <w:rtl/>
        </w:rPr>
        <w:t> </w:t>
      </w:r>
      <w:r w:rsidRPr="00A22B7B">
        <w:rPr>
          <w:rFonts w:hint="cs"/>
          <w:rtl/>
        </w:rPr>
        <w:t>عامًا</w:t>
      </w:r>
      <w:r>
        <w:rPr>
          <w:rFonts w:hint="cs"/>
          <w:rtl/>
        </w:rPr>
        <w:t xml:space="preserve"> </w:t>
      </w:r>
      <w:r w:rsidRPr="00A22B7B">
        <w:rPr>
          <w:rFonts w:hint="cs"/>
          <w:rtl/>
        </w:rPr>
        <w:t>للنساء</w:t>
      </w:r>
      <w:r>
        <w:rPr>
          <w:rFonts w:hint="cs"/>
          <w:rtl/>
        </w:rPr>
        <w:t xml:space="preserve"> </w:t>
      </w:r>
      <w:r w:rsidRPr="00A22B7B">
        <w:rPr>
          <w:rFonts w:hint="cs"/>
          <w:rtl/>
        </w:rPr>
        <w:t>اللواتي</w:t>
      </w:r>
      <w:r>
        <w:rPr>
          <w:rFonts w:hint="cs"/>
          <w:rtl/>
        </w:rPr>
        <w:t xml:space="preserve"> تتراوح </w:t>
      </w:r>
      <w:r w:rsidRPr="00A22B7B">
        <w:rPr>
          <w:rFonts w:hint="cs"/>
          <w:rtl/>
        </w:rPr>
        <w:t>سنّهن</w:t>
      </w:r>
      <w:r>
        <w:rPr>
          <w:rFonts w:hint="cs"/>
          <w:rtl/>
        </w:rPr>
        <w:t xml:space="preserve"> </w:t>
      </w:r>
      <w:r w:rsidRPr="00A22B7B">
        <w:rPr>
          <w:rFonts w:hint="cs"/>
          <w:rtl/>
        </w:rPr>
        <w:t>اليوم</w:t>
      </w:r>
      <w:r>
        <w:rPr>
          <w:rFonts w:hint="cs"/>
          <w:rtl/>
        </w:rPr>
        <w:t xml:space="preserve"> </w:t>
      </w:r>
      <w:r w:rsidRPr="00A22B7B">
        <w:rPr>
          <w:rFonts w:hint="cs"/>
          <w:rtl/>
        </w:rPr>
        <w:t>بين</w:t>
      </w:r>
      <w:r>
        <w:rPr>
          <w:rFonts w:hint="cs"/>
          <w:rtl/>
        </w:rPr>
        <w:t xml:space="preserve"> </w:t>
      </w:r>
      <w:r w:rsidRPr="00A22B7B">
        <w:rPr>
          <w:rFonts w:hint="cs"/>
          <w:rtl/>
        </w:rPr>
        <w:t>25</w:t>
      </w:r>
      <w:r>
        <w:rPr>
          <w:rFonts w:hint="cs"/>
          <w:rtl/>
        </w:rPr>
        <w:t xml:space="preserve"> </w:t>
      </w:r>
      <w:r w:rsidRPr="00A22B7B">
        <w:rPr>
          <w:rFonts w:hint="cs"/>
          <w:rtl/>
        </w:rPr>
        <w:t>و</w:t>
      </w:r>
      <w:r>
        <w:rPr>
          <w:rFonts w:hint="cs"/>
          <w:rtl/>
        </w:rPr>
        <w:t xml:space="preserve"> </w:t>
      </w:r>
      <w:r w:rsidRPr="00A22B7B">
        <w:rPr>
          <w:rFonts w:hint="cs"/>
          <w:rtl/>
        </w:rPr>
        <w:t>29</w:t>
      </w:r>
      <w:r>
        <w:rPr>
          <w:rFonts w:hint="cs"/>
          <w:rtl/>
        </w:rPr>
        <w:t xml:space="preserve"> </w:t>
      </w:r>
      <w:r w:rsidRPr="00A22B7B">
        <w:rPr>
          <w:rFonts w:hint="cs"/>
          <w:rtl/>
        </w:rPr>
        <w:t>عامًا.</w:t>
      </w:r>
      <w:r>
        <w:rPr>
          <w:rFonts w:hint="cs"/>
          <w:rtl/>
        </w:rPr>
        <w:t xml:space="preserve"> </w:t>
      </w:r>
      <w:r w:rsidRPr="00A22B7B">
        <w:rPr>
          <w:rFonts w:hint="cs"/>
          <w:rtl/>
        </w:rPr>
        <w:t>وهذا</w:t>
      </w:r>
      <w:r>
        <w:rPr>
          <w:rFonts w:hint="cs"/>
          <w:rtl/>
        </w:rPr>
        <w:t xml:space="preserve"> </w:t>
      </w:r>
      <w:r w:rsidRPr="00A22B7B">
        <w:rPr>
          <w:rFonts w:hint="cs"/>
          <w:rtl/>
        </w:rPr>
        <w:t>اتجاه</w:t>
      </w:r>
      <w:r>
        <w:rPr>
          <w:rFonts w:hint="cs"/>
          <w:rtl/>
        </w:rPr>
        <w:t xml:space="preserve"> </w:t>
      </w:r>
      <w:r w:rsidRPr="00A22B7B">
        <w:rPr>
          <w:rFonts w:hint="cs"/>
          <w:rtl/>
        </w:rPr>
        <w:t>معاكس</w:t>
      </w:r>
      <w:r>
        <w:rPr>
          <w:rFonts w:hint="cs"/>
          <w:rtl/>
        </w:rPr>
        <w:t xml:space="preserve"> </w:t>
      </w:r>
      <w:r w:rsidRPr="00A22B7B">
        <w:rPr>
          <w:rFonts w:hint="cs"/>
          <w:rtl/>
        </w:rPr>
        <w:t>لما</w:t>
      </w:r>
      <w:r>
        <w:rPr>
          <w:rFonts w:hint="eastAsia"/>
          <w:rtl/>
        </w:rPr>
        <w:t> </w:t>
      </w:r>
      <w:r w:rsidRPr="00A22B7B">
        <w:rPr>
          <w:rFonts w:hint="cs"/>
          <w:rtl/>
        </w:rPr>
        <w:t>يجري</w:t>
      </w:r>
      <w:r>
        <w:rPr>
          <w:rFonts w:hint="cs"/>
          <w:rtl/>
        </w:rPr>
        <w:t xml:space="preserve"> </w:t>
      </w:r>
      <w:r w:rsidRPr="00A22B7B">
        <w:rPr>
          <w:rFonts w:hint="cs"/>
          <w:rtl/>
        </w:rPr>
        <w:t>عادة</w:t>
      </w:r>
      <w:r>
        <w:rPr>
          <w:rFonts w:hint="cs"/>
          <w:rtl/>
        </w:rPr>
        <w:t xml:space="preserve"> </w:t>
      </w:r>
      <w:r w:rsidRPr="00A22B7B">
        <w:rPr>
          <w:rFonts w:hint="cs"/>
          <w:rtl/>
        </w:rPr>
        <w:t>في</w:t>
      </w:r>
      <w:r>
        <w:rPr>
          <w:rFonts w:hint="cs"/>
          <w:rtl/>
        </w:rPr>
        <w:t xml:space="preserve"> </w:t>
      </w:r>
      <w:r w:rsidRPr="00A22B7B">
        <w:rPr>
          <w:rFonts w:hint="cs"/>
          <w:rtl/>
        </w:rPr>
        <w:t>البلدان</w:t>
      </w:r>
      <w:r>
        <w:rPr>
          <w:rFonts w:hint="cs"/>
          <w:rtl/>
        </w:rPr>
        <w:t xml:space="preserve"> </w:t>
      </w:r>
      <w:r w:rsidRPr="00A22B7B">
        <w:rPr>
          <w:rFonts w:hint="cs"/>
          <w:rtl/>
        </w:rPr>
        <w:t>التي</w:t>
      </w:r>
      <w:r>
        <w:rPr>
          <w:rFonts w:hint="cs"/>
          <w:rtl/>
        </w:rPr>
        <w:t xml:space="preserve"> </w:t>
      </w:r>
      <w:r w:rsidRPr="00A22B7B">
        <w:rPr>
          <w:rFonts w:hint="cs"/>
          <w:rtl/>
        </w:rPr>
        <w:t>تشهد</w:t>
      </w:r>
      <w:r>
        <w:rPr>
          <w:rFonts w:hint="cs"/>
          <w:rtl/>
        </w:rPr>
        <w:t xml:space="preserve"> </w:t>
      </w:r>
      <w:r w:rsidRPr="00A22B7B">
        <w:rPr>
          <w:rFonts w:hint="cs"/>
          <w:rtl/>
        </w:rPr>
        <w:t>تغيّرات</w:t>
      </w:r>
      <w:r>
        <w:rPr>
          <w:rFonts w:hint="cs"/>
          <w:rtl/>
        </w:rPr>
        <w:t xml:space="preserve"> </w:t>
      </w:r>
      <w:r w:rsidRPr="00A22B7B">
        <w:rPr>
          <w:rFonts w:hint="cs"/>
          <w:rtl/>
        </w:rPr>
        <w:t>اجتماعية</w:t>
      </w:r>
      <w:r>
        <w:rPr>
          <w:rFonts w:hint="cs"/>
          <w:rtl/>
        </w:rPr>
        <w:t xml:space="preserve"> </w:t>
      </w:r>
      <w:r w:rsidRPr="00A22B7B">
        <w:rPr>
          <w:rFonts w:hint="cs"/>
          <w:rtl/>
        </w:rPr>
        <w:t>وزيادة</w:t>
      </w:r>
      <w:r>
        <w:rPr>
          <w:rFonts w:hint="cs"/>
          <w:rtl/>
        </w:rPr>
        <w:t xml:space="preserve"> </w:t>
      </w:r>
      <w:r w:rsidRPr="00A22B7B">
        <w:rPr>
          <w:rFonts w:hint="cs"/>
          <w:rtl/>
        </w:rPr>
        <w:t>في</w:t>
      </w:r>
      <w:r>
        <w:rPr>
          <w:rFonts w:hint="cs"/>
          <w:rtl/>
        </w:rPr>
        <w:t xml:space="preserve"> </w:t>
      </w:r>
      <w:r w:rsidRPr="00A22B7B">
        <w:rPr>
          <w:rFonts w:hint="cs"/>
          <w:rtl/>
        </w:rPr>
        <w:t>نسبة</w:t>
      </w:r>
      <w:r>
        <w:rPr>
          <w:rFonts w:hint="cs"/>
          <w:rtl/>
        </w:rPr>
        <w:t xml:space="preserve"> </w:t>
      </w:r>
      <w:r w:rsidRPr="00A22B7B">
        <w:rPr>
          <w:rFonts w:hint="cs"/>
          <w:rtl/>
        </w:rPr>
        <w:t>الالتحاق</w:t>
      </w:r>
      <w:r>
        <w:rPr>
          <w:rFonts w:hint="cs"/>
          <w:rtl/>
        </w:rPr>
        <w:t xml:space="preserve"> </w:t>
      </w:r>
      <w:r w:rsidRPr="00A22B7B">
        <w:rPr>
          <w:rFonts w:hint="cs"/>
          <w:rtl/>
        </w:rPr>
        <w:t>بالمدارس</w:t>
      </w:r>
      <w:r>
        <w:rPr>
          <w:rFonts w:hint="cs"/>
          <w:rtl/>
        </w:rPr>
        <w:t xml:space="preserve"> </w:t>
      </w:r>
      <w:r w:rsidRPr="00A22B7B">
        <w:rPr>
          <w:rFonts w:hint="cs"/>
          <w:rtl/>
        </w:rPr>
        <w:t>مما</w:t>
      </w:r>
      <w:r>
        <w:rPr>
          <w:rFonts w:hint="eastAsia"/>
          <w:rtl/>
        </w:rPr>
        <w:t> </w:t>
      </w:r>
      <w:r w:rsidRPr="00A22B7B">
        <w:rPr>
          <w:rFonts w:hint="cs"/>
          <w:rtl/>
        </w:rPr>
        <w:t>يؤدّي</w:t>
      </w:r>
      <w:r>
        <w:rPr>
          <w:rFonts w:hint="cs"/>
          <w:rtl/>
        </w:rPr>
        <w:t xml:space="preserve"> </w:t>
      </w:r>
      <w:r w:rsidRPr="00A22B7B">
        <w:rPr>
          <w:rFonts w:hint="cs"/>
          <w:rtl/>
        </w:rPr>
        <w:t>عادة</w:t>
      </w:r>
      <w:r>
        <w:rPr>
          <w:rFonts w:hint="cs"/>
          <w:rtl/>
        </w:rPr>
        <w:t xml:space="preserve"> </w:t>
      </w:r>
      <w:r w:rsidRPr="00A22B7B">
        <w:rPr>
          <w:rFonts w:hint="cs"/>
          <w:rtl/>
        </w:rPr>
        <w:t>إلى</w:t>
      </w:r>
      <w:r>
        <w:rPr>
          <w:rFonts w:hint="cs"/>
          <w:rtl/>
        </w:rPr>
        <w:t xml:space="preserve"> </w:t>
      </w:r>
      <w:r w:rsidRPr="00A22B7B">
        <w:rPr>
          <w:rFonts w:hint="cs"/>
          <w:rtl/>
        </w:rPr>
        <w:t>تأخّر</w:t>
      </w:r>
      <w:r>
        <w:rPr>
          <w:rFonts w:hint="cs"/>
          <w:rtl/>
        </w:rPr>
        <w:t xml:space="preserve"> </w:t>
      </w:r>
      <w:r w:rsidRPr="00A22B7B">
        <w:rPr>
          <w:rFonts w:hint="cs"/>
          <w:rtl/>
        </w:rPr>
        <w:t>سن</w:t>
      </w:r>
      <w:r>
        <w:rPr>
          <w:rFonts w:hint="cs"/>
          <w:rtl/>
        </w:rPr>
        <w:t xml:space="preserve"> </w:t>
      </w:r>
      <w:r w:rsidRPr="00A22B7B">
        <w:rPr>
          <w:rFonts w:hint="cs"/>
          <w:rtl/>
        </w:rPr>
        <w:t>الزواج</w:t>
      </w:r>
      <w:r w:rsidRPr="00257295">
        <w:rPr>
          <w:vertAlign w:val="superscript"/>
          <w:rtl/>
        </w:rPr>
        <w:t>(</w:t>
      </w:r>
      <w:r w:rsidRPr="00257295">
        <w:rPr>
          <w:rStyle w:val="FootnoteReference"/>
          <w:szCs w:val="30"/>
          <w:rtl/>
        </w:rPr>
        <w:footnoteReference w:id="291"/>
      </w:r>
      <w:r w:rsidRPr="00257295">
        <w:rPr>
          <w:vertAlign w:val="superscript"/>
          <w:rtl/>
        </w:rPr>
        <w:t>)</w:t>
      </w:r>
      <w:r w:rsidRPr="00A22B7B">
        <w:rPr>
          <w:rFonts w:hint="cs"/>
          <w:rtl/>
        </w:rPr>
        <w:t>.</w:t>
      </w:r>
    </w:p>
    <w:p w:rsidR="009943B2" w:rsidRPr="00A22B7B" w:rsidRDefault="009943B2" w:rsidP="009943B2">
      <w:pPr>
        <w:pStyle w:val="SingleTxt"/>
        <w:rPr>
          <w:rFonts w:hint="cs"/>
        </w:rPr>
      </w:pPr>
      <w:r>
        <w:rPr>
          <w:rFonts w:hint="cs"/>
          <w:rtl/>
        </w:rPr>
        <w:t xml:space="preserve">342 - </w:t>
      </w:r>
      <w:r w:rsidRPr="00A22B7B">
        <w:rPr>
          <w:rFonts w:hint="cs"/>
          <w:rtl/>
        </w:rPr>
        <w:t>ويمكن</w:t>
      </w:r>
      <w:r>
        <w:rPr>
          <w:rFonts w:hint="cs"/>
          <w:rtl/>
        </w:rPr>
        <w:t xml:space="preserve"> </w:t>
      </w:r>
      <w:r w:rsidRPr="00A22B7B">
        <w:rPr>
          <w:rFonts w:hint="cs"/>
          <w:rtl/>
        </w:rPr>
        <w:t>تفسير</w:t>
      </w:r>
      <w:r>
        <w:rPr>
          <w:rFonts w:hint="cs"/>
          <w:rtl/>
        </w:rPr>
        <w:t xml:space="preserve"> </w:t>
      </w:r>
      <w:r w:rsidRPr="00A22B7B">
        <w:rPr>
          <w:rFonts w:hint="cs"/>
          <w:rtl/>
        </w:rPr>
        <w:t>ذلك</w:t>
      </w:r>
      <w:r>
        <w:rPr>
          <w:rFonts w:hint="cs"/>
          <w:rtl/>
        </w:rPr>
        <w:t xml:space="preserve"> </w:t>
      </w:r>
      <w:r w:rsidRPr="00A22B7B">
        <w:rPr>
          <w:rFonts w:hint="cs"/>
          <w:rtl/>
        </w:rPr>
        <w:t>في</w:t>
      </w:r>
      <w:r>
        <w:rPr>
          <w:rFonts w:hint="cs"/>
          <w:rtl/>
        </w:rPr>
        <w:t xml:space="preserve"> </w:t>
      </w:r>
      <w:r w:rsidRPr="00A22B7B">
        <w:rPr>
          <w:rFonts w:hint="cs"/>
          <w:rtl/>
        </w:rPr>
        <w:t>نظام</w:t>
      </w:r>
      <w:r>
        <w:rPr>
          <w:rFonts w:hint="cs"/>
          <w:rtl/>
        </w:rPr>
        <w:t xml:space="preserve"> </w:t>
      </w:r>
      <w:r w:rsidRPr="00A22B7B">
        <w:rPr>
          <w:rFonts w:hint="cs"/>
          <w:rtl/>
        </w:rPr>
        <w:t>المهر</w:t>
      </w:r>
      <w:r>
        <w:rPr>
          <w:rFonts w:hint="cs"/>
          <w:rtl/>
        </w:rPr>
        <w:t xml:space="preserve"> </w:t>
      </w:r>
      <w:r w:rsidRPr="00A22B7B">
        <w:rPr>
          <w:rFonts w:hint="cs"/>
          <w:rtl/>
        </w:rPr>
        <w:t>المقبول</w:t>
      </w:r>
      <w:r>
        <w:rPr>
          <w:rFonts w:hint="cs"/>
          <w:rtl/>
        </w:rPr>
        <w:t xml:space="preserve"> </w:t>
      </w:r>
      <w:r w:rsidRPr="00A22B7B">
        <w:rPr>
          <w:rFonts w:hint="cs"/>
          <w:rtl/>
        </w:rPr>
        <w:t>لدى</w:t>
      </w:r>
      <w:r>
        <w:rPr>
          <w:rFonts w:hint="cs"/>
          <w:rtl/>
        </w:rPr>
        <w:t xml:space="preserve"> </w:t>
      </w:r>
      <w:r w:rsidRPr="00A22B7B">
        <w:rPr>
          <w:rFonts w:hint="cs"/>
          <w:rtl/>
        </w:rPr>
        <w:t>بعض</w:t>
      </w:r>
      <w:r>
        <w:rPr>
          <w:rFonts w:hint="cs"/>
          <w:rtl/>
        </w:rPr>
        <w:t xml:space="preserve"> </w:t>
      </w:r>
      <w:r w:rsidRPr="00A22B7B">
        <w:rPr>
          <w:rFonts w:hint="cs"/>
          <w:rtl/>
        </w:rPr>
        <w:t>المجتمعات</w:t>
      </w:r>
      <w:r>
        <w:rPr>
          <w:rFonts w:hint="cs"/>
          <w:rtl/>
        </w:rPr>
        <w:t xml:space="preserve"> </w:t>
      </w:r>
      <w:r w:rsidRPr="00A22B7B">
        <w:rPr>
          <w:rFonts w:hint="cs"/>
          <w:rtl/>
        </w:rPr>
        <w:t>المحلية</w:t>
      </w:r>
      <w:r>
        <w:rPr>
          <w:rFonts w:hint="cs"/>
          <w:rtl/>
        </w:rPr>
        <w:t xml:space="preserve"> </w:t>
      </w:r>
      <w:r w:rsidRPr="00A22B7B">
        <w:rPr>
          <w:rFonts w:hint="cs"/>
          <w:rtl/>
        </w:rPr>
        <w:t>في</w:t>
      </w:r>
      <w:r>
        <w:rPr>
          <w:rtl/>
        </w:rPr>
        <w:br/>
      </w:r>
      <w:r w:rsidRPr="00A22B7B">
        <w:rPr>
          <w:rFonts w:hint="cs"/>
          <w:rtl/>
        </w:rPr>
        <w:t>تيمور</w:t>
      </w:r>
      <w:r>
        <w:rPr>
          <w:rFonts w:hint="cs"/>
          <w:rtl/>
        </w:rPr>
        <w:t xml:space="preserve"> </w:t>
      </w:r>
      <w:r w:rsidRPr="00A22B7B">
        <w:rPr>
          <w:rFonts w:hint="cs"/>
          <w:rtl/>
        </w:rPr>
        <w:t>-</w:t>
      </w:r>
      <w:r>
        <w:rPr>
          <w:rFonts w:hint="cs"/>
          <w:rtl/>
        </w:rPr>
        <w:t xml:space="preserve"> </w:t>
      </w:r>
      <w:r w:rsidRPr="00A22B7B">
        <w:rPr>
          <w:rFonts w:hint="cs"/>
          <w:rtl/>
        </w:rPr>
        <w:t>ليشتي،</w:t>
      </w:r>
      <w:r>
        <w:rPr>
          <w:rFonts w:hint="cs"/>
          <w:rtl/>
        </w:rPr>
        <w:t xml:space="preserve"> </w:t>
      </w:r>
      <w:r w:rsidRPr="00A22B7B">
        <w:rPr>
          <w:rFonts w:hint="cs"/>
          <w:rtl/>
        </w:rPr>
        <w:t>حيث</w:t>
      </w:r>
      <w:r>
        <w:rPr>
          <w:rFonts w:hint="cs"/>
          <w:rtl/>
        </w:rPr>
        <w:t xml:space="preserve"> </w:t>
      </w:r>
      <w:r w:rsidRPr="00A22B7B">
        <w:rPr>
          <w:rFonts w:hint="cs"/>
          <w:rtl/>
        </w:rPr>
        <w:t>يدفع</w:t>
      </w:r>
      <w:r>
        <w:rPr>
          <w:rFonts w:hint="cs"/>
          <w:rtl/>
        </w:rPr>
        <w:t xml:space="preserve"> </w:t>
      </w:r>
      <w:r w:rsidRPr="00A22B7B">
        <w:rPr>
          <w:rFonts w:hint="cs"/>
          <w:rtl/>
        </w:rPr>
        <w:t>الرجل</w:t>
      </w:r>
      <w:r>
        <w:rPr>
          <w:rFonts w:hint="cs"/>
          <w:rtl/>
        </w:rPr>
        <w:t xml:space="preserve"> </w:t>
      </w:r>
      <w:r w:rsidRPr="00A22B7B">
        <w:rPr>
          <w:rFonts w:hint="cs"/>
          <w:rtl/>
        </w:rPr>
        <w:t>مهرًا</w:t>
      </w:r>
      <w:r>
        <w:rPr>
          <w:rFonts w:hint="cs"/>
          <w:rtl/>
        </w:rPr>
        <w:t xml:space="preserve"> </w:t>
      </w:r>
      <w:r w:rsidRPr="00A22B7B">
        <w:rPr>
          <w:rFonts w:hint="cs"/>
          <w:rtl/>
        </w:rPr>
        <w:t>لعائلة</w:t>
      </w:r>
      <w:r>
        <w:rPr>
          <w:rFonts w:hint="cs"/>
          <w:rtl/>
        </w:rPr>
        <w:t xml:space="preserve"> </w:t>
      </w:r>
      <w:r w:rsidRPr="00A22B7B">
        <w:rPr>
          <w:rFonts w:hint="cs"/>
          <w:rtl/>
        </w:rPr>
        <w:t>العروس</w:t>
      </w:r>
      <w:r>
        <w:rPr>
          <w:rFonts w:hint="cs"/>
          <w:rtl/>
        </w:rPr>
        <w:t xml:space="preserve"> </w:t>
      </w:r>
      <w:r w:rsidRPr="00A22B7B">
        <w:rPr>
          <w:rFonts w:hint="cs"/>
          <w:rtl/>
        </w:rPr>
        <w:t>المحتملة،</w:t>
      </w:r>
      <w:r>
        <w:rPr>
          <w:rFonts w:hint="cs"/>
          <w:rtl/>
        </w:rPr>
        <w:t xml:space="preserve"> </w:t>
      </w:r>
      <w:r w:rsidRPr="00A22B7B">
        <w:rPr>
          <w:rFonts w:hint="cs"/>
          <w:rtl/>
        </w:rPr>
        <w:t>الأمر</w:t>
      </w:r>
      <w:r>
        <w:rPr>
          <w:rFonts w:hint="cs"/>
          <w:rtl/>
        </w:rPr>
        <w:t xml:space="preserve"> </w:t>
      </w:r>
      <w:r w:rsidRPr="00A22B7B">
        <w:rPr>
          <w:rFonts w:hint="cs"/>
          <w:rtl/>
        </w:rPr>
        <w:t>الذي</w:t>
      </w:r>
      <w:r>
        <w:rPr>
          <w:rFonts w:hint="cs"/>
          <w:rtl/>
        </w:rPr>
        <w:t xml:space="preserve"> </w:t>
      </w:r>
      <w:r w:rsidRPr="00A22B7B">
        <w:rPr>
          <w:rFonts w:hint="cs"/>
          <w:rtl/>
        </w:rPr>
        <w:t>قد</w:t>
      </w:r>
      <w:r>
        <w:rPr>
          <w:rFonts w:hint="cs"/>
          <w:rtl/>
        </w:rPr>
        <w:t xml:space="preserve"> </w:t>
      </w:r>
      <w:r w:rsidRPr="00A22B7B">
        <w:rPr>
          <w:rFonts w:hint="cs"/>
          <w:rtl/>
        </w:rPr>
        <w:t>يؤثّر</w:t>
      </w:r>
      <w:r>
        <w:rPr>
          <w:rFonts w:hint="cs"/>
          <w:rtl/>
        </w:rPr>
        <w:t xml:space="preserve"> </w:t>
      </w:r>
      <w:r w:rsidRPr="00A22B7B">
        <w:rPr>
          <w:rFonts w:hint="cs"/>
          <w:rtl/>
        </w:rPr>
        <w:t>في</w:t>
      </w:r>
      <w:r>
        <w:rPr>
          <w:rFonts w:hint="cs"/>
          <w:rtl/>
        </w:rPr>
        <w:t xml:space="preserve"> </w:t>
      </w:r>
      <w:r w:rsidRPr="00A22B7B">
        <w:rPr>
          <w:rFonts w:hint="cs"/>
          <w:rtl/>
        </w:rPr>
        <w:t>الزواج</w:t>
      </w:r>
      <w:r>
        <w:rPr>
          <w:rFonts w:hint="cs"/>
          <w:rtl/>
        </w:rPr>
        <w:t xml:space="preserve"> </w:t>
      </w:r>
      <w:r w:rsidRPr="00A22B7B">
        <w:rPr>
          <w:rFonts w:hint="cs"/>
          <w:rtl/>
        </w:rPr>
        <w:t>المبكر</w:t>
      </w:r>
      <w:r>
        <w:rPr>
          <w:rFonts w:hint="cs"/>
          <w:rtl/>
        </w:rPr>
        <w:t xml:space="preserve"> </w:t>
      </w:r>
      <w:r w:rsidRPr="00A22B7B">
        <w:rPr>
          <w:rFonts w:hint="cs"/>
          <w:rtl/>
        </w:rPr>
        <w:t>بين</w:t>
      </w:r>
      <w:r>
        <w:rPr>
          <w:rFonts w:hint="cs"/>
          <w:rtl/>
        </w:rPr>
        <w:t xml:space="preserve"> </w:t>
      </w:r>
      <w:r w:rsidRPr="00A22B7B">
        <w:rPr>
          <w:rFonts w:hint="cs"/>
          <w:rtl/>
        </w:rPr>
        <w:t>النساء</w:t>
      </w:r>
      <w:r>
        <w:rPr>
          <w:rFonts w:hint="cs"/>
          <w:rtl/>
        </w:rPr>
        <w:t xml:space="preserve"> </w:t>
      </w:r>
      <w:r w:rsidRPr="00A22B7B">
        <w:rPr>
          <w:rFonts w:hint="cs"/>
          <w:rtl/>
        </w:rPr>
        <w:t>لأن</w:t>
      </w:r>
      <w:r>
        <w:rPr>
          <w:rFonts w:hint="cs"/>
          <w:rtl/>
        </w:rPr>
        <w:t xml:space="preserve"> </w:t>
      </w:r>
      <w:r w:rsidRPr="00A22B7B">
        <w:rPr>
          <w:rFonts w:hint="cs"/>
          <w:rtl/>
        </w:rPr>
        <w:t>الرجل</w:t>
      </w:r>
      <w:r>
        <w:rPr>
          <w:rFonts w:hint="cs"/>
          <w:rtl/>
        </w:rPr>
        <w:t xml:space="preserve"> </w:t>
      </w:r>
      <w:r w:rsidRPr="00A22B7B">
        <w:rPr>
          <w:rFonts w:hint="cs"/>
          <w:rtl/>
        </w:rPr>
        <w:t>الذي</w:t>
      </w:r>
      <w:r>
        <w:rPr>
          <w:rFonts w:hint="cs"/>
          <w:rtl/>
        </w:rPr>
        <w:t xml:space="preserve"> </w:t>
      </w:r>
      <w:r w:rsidRPr="00A22B7B">
        <w:rPr>
          <w:rFonts w:hint="cs"/>
          <w:rtl/>
        </w:rPr>
        <w:t>يتزوج</w:t>
      </w:r>
      <w:r>
        <w:rPr>
          <w:rFonts w:hint="cs"/>
          <w:rtl/>
        </w:rPr>
        <w:t xml:space="preserve"> </w:t>
      </w:r>
      <w:r w:rsidRPr="00A22B7B">
        <w:rPr>
          <w:rFonts w:hint="cs"/>
          <w:rtl/>
        </w:rPr>
        <w:t>امرأة</w:t>
      </w:r>
      <w:r>
        <w:rPr>
          <w:rFonts w:hint="cs"/>
          <w:rtl/>
        </w:rPr>
        <w:t xml:space="preserve"> </w:t>
      </w:r>
      <w:r w:rsidRPr="00A22B7B">
        <w:rPr>
          <w:rFonts w:hint="cs"/>
          <w:rtl/>
        </w:rPr>
        <w:t>حامل</w:t>
      </w:r>
      <w:r>
        <w:rPr>
          <w:rFonts w:hint="cs"/>
          <w:rtl/>
        </w:rPr>
        <w:t xml:space="preserve"> </w:t>
      </w:r>
      <w:r w:rsidRPr="00A22B7B">
        <w:rPr>
          <w:rFonts w:hint="cs"/>
          <w:rtl/>
        </w:rPr>
        <w:t>ليس</w:t>
      </w:r>
      <w:r>
        <w:rPr>
          <w:rFonts w:hint="cs"/>
          <w:rtl/>
        </w:rPr>
        <w:t xml:space="preserve"> </w:t>
      </w:r>
      <w:r w:rsidRPr="00A22B7B">
        <w:rPr>
          <w:rFonts w:hint="cs"/>
          <w:rtl/>
        </w:rPr>
        <w:t>ملزمًا</w:t>
      </w:r>
      <w:r>
        <w:rPr>
          <w:rFonts w:hint="cs"/>
          <w:rtl/>
        </w:rPr>
        <w:t xml:space="preserve"> </w:t>
      </w:r>
      <w:r w:rsidRPr="00A22B7B">
        <w:rPr>
          <w:rFonts w:hint="cs"/>
          <w:rtl/>
        </w:rPr>
        <w:t>بدفع</w:t>
      </w:r>
      <w:r>
        <w:rPr>
          <w:rFonts w:hint="cs"/>
          <w:rtl/>
        </w:rPr>
        <w:t xml:space="preserve"> </w:t>
      </w:r>
      <w:r w:rsidRPr="00A22B7B">
        <w:rPr>
          <w:rFonts w:hint="cs"/>
          <w:rtl/>
        </w:rPr>
        <w:t>مهر</w:t>
      </w:r>
      <w:r>
        <w:rPr>
          <w:rFonts w:hint="cs"/>
          <w:rtl/>
        </w:rPr>
        <w:t xml:space="preserve"> </w:t>
      </w:r>
      <w:r w:rsidRPr="00A22B7B">
        <w:rPr>
          <w:rFonts w:hint="cs"/>
          <w:rtl/>
        </w:rPr>
        <w:t>لعائلتها</w:t>
      </w:r>
      <w:r>
        <w:rPr>
          <w:rFonts w:hint="cs"/>
          <w:rtl/>
        </w:rPr>
        <w:t xml:space="preserve"> </w:t>
      </w:r>
      <w:r w:rsidRPr="00A22B7B">
        <w:rPr>
          <w:rFonts w:hint="cs"/>
          <w:rtl/>
        </w:rPr>
        <w:t>قبل</w:t>
      </w:r>
      <w:r>
        <w:rPr>
          <w:rFonts w:hint="cs"/>
          <w:rtl/>
        </w:rPr>
        <w:t xml:space="preserve"> </w:t>
      </w:r>
      <w:r w:rsidRPr="00A22B7B">
        <w:rPr>
          <w:rFonts w:hint="cs"/>
          <w:rtl/>
        </w:rPr>
        <w:t>الزواج</w:t>
      </w:r>
      <w:r w:rsidRPr="00257295">
        <w:rPr>
          <w:vertAlign w:val="superscript"/>
          <w:rtl/>
        </w:rPr>
        <w:t>(</w:t>
      </w:r>
      <w:r w:rsidRPr="00257295">
        <w:rPr>
          <w:rStyle w:val="FootnoteReference"/>
          <w:szCs w:val="30"/>
          <w:rtl/>
        </w:rPr>
        <w:footnoteReference w:id="292"/>
      </w:r>
      <w:r w:rsidRPr="00257295">
        <w:rPr>
          <w:vertAlign w:val="superscript"/>
          <w:rtl/>
        </w:rPr>
        <w:t>)</w:t>
      </w:r>
      <w:r w:rsidRPr="00A22B7B">
        <w:rPr>
          <w:rFonts w:hint="cs"/>
          <w:rtl/>
        </w:rPr>
        <w:t>.</w:t>
      </w:r>
    </w:p>
    <w:p w:rsidR="009943B2" w:rsidRPr="00257295" w:rsidRDefault="009943B2" w:rsidP="009943B2">
      <w:pPr>
        <w:pStyle w:val="SingleTxt"/>
        <w:spacing w:after="0" w:line="120" w:lineRule="exact"/>
        <w:rPr>
          <w:rFonts w:hint="cs"/>
          <w:i/>
          <w:iCs/>
          <w:sz w:val="10"/>
          <w:u w:val="single"/>
          <w:rtl/>
        </w:rPr>
      </w:pPr>
    </w:p>
    <w:p w:rsidR="009943B2" w:rsidRPr="00257295"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Pr="00257295">
        <w:rPr>
          <w:rFonts w:hint="cs"/>
          <w:rtl/>
        </w:rPr>
        <w:t>مكافحة تعدّد الزوجات</w:t>
      </w:r>
    </w:p>
    <w:p w:rsidR="009943B2" w:rsidRPr="00A22B7B" w:rsidRDefault="009943B2" w:rsidP="009943B2">
      <w:pPr>
        <w:pStyle w:val="SingleTxt"/>
        <w:rPr>
          <w:rFonts w:hint="cs"/>
        </w:rPr>
      </w:pPr>
      <w:r>
        <w:rPr>
          <w:rFonts w:hint="cs"/>
          <w:rtl/>
        </w:rPr>
        <w:t xml:space="preserve">343 - </w:t>
      </w:r>
      <w:r w:rsidRPr="00A22B7B">
        <w:rPr>
          <w:rFonts w:hint="cs"/>
          <w:rtl/>
        </w:rPr>
        <w:t>وبينما</w:t>
      </w:r>
      <w:r>
        <w:rPr>
          <w:rFonts w:hint="cs"/>
          <w:rtl/>
        </w:rPr>
        <w:t xml:space="preserve"> </w:t>
      </w:r>
      <w:r w:rsidRPr="00A22B7B">
        <w:rPr>
          <w:rFonts w:hint="cs"/>
          <w:rtl/>
        </w:rPr>
        <w:t>يعترف</w:t>
      </w:r>
      <w:r>
        <w:rPr>
          <w:rFonts w:hint="cs"/>
          <w:rtl/>
        </w:rPr>
        <w:t xml:space="preserve"> </w:t>
      </w:r>
      <w:r w:rsidRPr="00A22B7B">
        <w:rPr>
          <w:rFonts w:hint="cs"/>
          <w:rtl/>
        </w:rPr>
        <w:t>القانون</w:t>
      </w:r>
      <w:r>
        <w:rPr>
          <w:rFonts w:hint="cs"/>
          <w:rtl/>
        </w:rPr>
        <w:t xml:space="preserve"> </w:t>
      </w:r>
      <w:r w:rsidRPr="00A22B7B">
        <w:rPr>
          <w:rFonts w:hint="cs"/>
          <w:rtl/>
        </w:rPr>
        <w:t>المدني</w:t>
      </w:r>
      <w:r>
        <w:rPr>
          <w:rFonts w:hint="cs"/>
          <w:rtl/>
        </w:rPr>
        <w:t xml:space="preserve"> </w:t>
      </w:r>
      <w:r w:rsidRPr="00A22B7B">
        <w:rPr>
          <w:rFonts w:hint="cs"/>
          <w:rtl/>
        </w:rPr>
        <w:t>بثلاثة</w:t>
      </w:r>
      <w:r>
        <w:rPr>
          <w:rFonts w:hint="cs"/>
          <w:rtl/>
        </w:rPr>
        <w:t xml:space="preserve"> </w:t>
      </w:r>
      <w:r w:rsidRPr="00A22B7B">
        <w:rPr>
          <w:rFonts w:hint="cs"/>
          <w:rtl/>
        </w:rPr>
        <w:t>أشكال</w:t>
      </w:r>
      <w:r>
        <w:rPr>
          <w:rFonts w:hint="cs"/>
          <w:rtl/>
        </w:rPr>
        <w:t xml:space="preserve"> </w:t>
      </w:r>
      <w:r w:rsidRPr="00A22B7B">
        <w:rPr>
          <w:rFonts w:hint="cs"/>
          <w:rtl/>
        </w:rPr>
        <w:t>للزواج</w:t>
      </w:r>
      <w:r>
        <w:rPr>
          <w:rFonts w:hint="cs"/>
          <w:rtl/>
        </w:rPr>
        <w:t xml:space="preserve"> </w:t>
      </w:r>
      <w:r w:rsidRPr="00A22B7B">
        <w:rPr>
          <w:rFonts w:hint="cs"/>
          <w:rtl/>
        </w:rPr>
        <w:t>إلا</w:t>
      </w:r>
      <w:r>
        <w:rPr>
          <w:rFonts w:hint="cs"/>
          <w:rtl/>
        </w:rPr>
        <w:t xml:space="preserve"> </w:t>
      </w:r>
      <w:r w:rsidRPr="00A22B7B">
        <w:rPr>
          <w:rFonts w:hint="cs"/>
          <w:rtl/>
        </w:rPr>
        <w:t>أنه</w:t>
      </w:r>
      <w:r>
        <w:rPr>
          <w:rFonts w:hint="cs"/>
          <w:rtl/>
        </w:rPr>
        <w:t xml:space="preserve"> </w:t>
      </w:r>
      <w:r w:rsidRPr="00A22B7B">
        <w:rPr>
          <w:rFonts w:hint="cs"/>
          <w:rtl/>
        </w:rPr>
        <w:t>ينبغي</w:t>
      </w:r>
      <w:r>
        <w:rPr>
          <w:rFonts w:hint="cs"/>
          <w:rtl/>
        </w:rPr>
        <w:t xml:space="preserve"> </w:t>
      </w:r>
      <w:r w:rsidRPr="00A22B7B">
        <w:rPr>
          <w:rFonts w:hint="cs"/>
          <w:rtl/>
        </w:rPr>
        <w:t>أن</w:t>
      </w:r>
      <w:r>
        <w:rPr>
          <w:rFonts w:hint="cs"/>
          <w:rtl/>
        </w:rPr>
        <w:t xml:space="preserve"> </w:t>
      </w:r>
      <w:r w:rsidRPr="00A22B7B">
        <w:rPr>
          <w:rFonts w:hint="cs"/>
          <w:rtl/>
        </w:rPr>
        <w:t>تكون</w:t>
      </w:r>
      <w:r>
        <w:rPr>
          <w:rFonts w:hint="cs"/>
          <w:rtl/>
        </w:rPr>
        <w:t xml:space="preserve"> </w:t>
      </w:r>
      <w:r w:rsidRPr="00A22B7B">
        <w:rPr>
          <w:rFonts w:hint="cs"/>
          <w:rtl/>
        </w:rPr>
        <w:t>كلّها</w:t>
      </w:r>
      <w:r>
        <w:rPr>
          <w:rFonts w:hint="cs"/>
          <w:rtl/>
        </w:rPr>
        <w:t xml:space="preserve"> </w:t>
      </w:r>
      <w:r w:rsidRPr="00A22B7B">
        <w:rPr>
          <w:rFonts w:hint="cs"/>
          <w:rtl/>
        </w:rPr>
        <w:t>للارتباط</w:t>
      </w:r>
      <w:r>
        <w:rPr>
          <w:rFonts w:hint="cs"/>
          <w:rtl/>
        </w:rPr>
        <w:t xml:space="preserve"> </w:t>
      </w:r>
      <w:r w:rsidRPr="00A22B7B">
        <w:rPr>
          <w:rFonts w:hint="cs"/>
          <w:rtl/>
        </w:rPr>
        <w:t>بزوجة</w:t>
      </w:r>
      <w:r>
        <w:rPr>
          <w:rFonts w:hint="cs"/>
          <w:rtl/>
        </w:rPr>
        <w:t xml:space="preserve"> </w:t>
      </w:r>
      <w:r w:rsidRPr="00A22B7B">
        <w:rPr>
          <w:rFonts w:hint="cs"/>
          <w:rtl/>
        </w:rPr>
        <w:t>واحدة</w:t>
      </w:r>
      <w:r>
        <w:rPr>
          <w:rFonts w:hint="cs"/>
          <w:rtl/>
        </w:rPr>
        <w:t xml:space="preserve"> </w:t>
      </w:r>
      <w:r w:rsidRPr="00A22B7B">
        <w:rPr>
          <w:rFonts w:hint="cs"/>
          <w:rtl/>
        </w:rPr>
        <w:t>بحسب</w:t>
      </w:r>
      <w:r>
        <w:rPr>
          <w:rFonts w:hint="cs"/>
          <w:rtl/>
        </w:rPr>
        <w:t xml:space="preserve"> </w:t>
      </w:r>
      <w:r w:rsidRPr="00A22B7B">
        <w:rPr>
          <w:rFonts w:hint="cs"/>
          <w:rtl/>
        </w:rPr>
        <w:t>البند</w:t>
      </w:r>
      <w:r>
        <w:rPr>
          <w:rFonts w:hint="cs"/>
          <w:rtl/>
        </w:rPr>
        <w:t xml:space="preserve"> </w:t>
      </w:r>
      <w:r w:rsidRPr="00A22B7B">
        <w:rPr>
          <w:rFonts w:hint="cs"/>
          <w:rtl/>
        </w:rPr>
        <w:t>1</w:t>
      </w:r>
      <w:r>
        <w:rPr>
          <w:rFonts w:hint="cs"/>
          <w:rtl/>
        </w:rPr>
        <w:t xml:space="preserve"> </w:t>
      </w:r>
      <w:r w:rsidRPr="00A22B7B">
        <w:rPr>
          <w:rFonts w:hint="cs"/>
          <w:rtl/>
        </w:rPr>
        <w:t>من</w:t>
      </w:r>
      <w:r>
        <w:rPr>
          <w:rFonts w:hint="cs"/>
          <w:rtl/>
        </w:rPr>
        <w:t xml:space="preserve"> </w:t>
      </w:r>
      <w:r w:rsidRPr="00A22B7B">
        <w:rPr>
          <w:rFonts w:hint="cs"/>
          <w:rtl/>
        </w:rPr>
        <w:t>المادة</w:t>
      </w:r>
      <w:r>
        <w:rPr>
          <w:rFonts w:hint="cs"/>
          <w:rtl/>
        </w:rPr>
        <w:t xml:space="preserve"> </w:t>
      </w:r>
      <w:r w:rsidRPr="00A22B7B">
        <w:rPr>
          <w:rFonts w:hint="cs"/>
          <w:rtl/>
        </w:rPr>
        <w:t>1475.</w:t>
      </w:r>
      <w:r>
        <w:rPr>
          <w:rFonts w:hint="cs"/>
          <w:rtl/>
        </w:rPr>
        <w:t xml:space="preserve"> </w:t>
      </w:r>
      <w:r w:rsidRPr="00A22B7B">
        <w:rPr>
          <w:rFonts w:hint="cs"/>
          <w:rtl/>
        </w:rPr>
        <w:t>ولكن</w:t>
      </w:r>
      <w:r>
        <w:rPr>
          <w:rFonts w:hint="cs"/>
          <w:rtl/>
        </w:rPr>
        <w:t xml:space="preserve"> </w:t>
      </w:r>
      <w:r w:rsidRPr="00A22B7B">
        <w:rPr>
          <w:rFonts w:hint="cs"/>
          <w:rtl/>
        </w:rPr>
        <w:t>تعدد</w:t>
      </w:r>
      <w:r>
        <w:rPr>
          <w:rFonts w:hint="cs"/>
          <w:rtl/>
        </w:rPr>
        <w:t xml:space="preserve"> </w:t>
      </w:r>
      <w:r w:rsidRPr="00A22B7B">
        <w:rPr>
          <w:rFonts w:hint="cs"/>
          <w:rtl/>
        </w:rPr>
        <w:t>الزوجات</w:t>
      </w:r>
      <w:r>
        <w:rPr>
          <w:rFonts w:hint="cs"/>
          <w:rtl/>
        </w:rPr>
        <w:t xml:space="preserve"> </w:t>
      </w:r>
      <w:r w:rsidRPr="00A22B7B">
        <w:rPr>
          <w:rFonts w:hint="cs"/>
          <w:rtl/>
        </w:rPr>
        <w:t>لا</w:t>
      </w:r>
      <w:r>
        <w:rPr>
          <w:rFonts w:hint="cs"/>
          <w:rtl/>
        </w:rPr>
        <w:t xml:space="preserve"> </w:t>
      </w:r>
      <w:r w:rsidRPr="00A22B7B">
        <w:rPr>
          <w:rFonts w:hint="cs"/>
          <w:rtl/>
        </w:rPr>
        <w:t>يزال</w:t>
      </w:r>
      <w:r>
        <w:rPr>
          <w:rFonts w:hint="cs"/>
          <w:rtl/>
        </w:rPr>
        <w:t xml:space="preserve"> </w:t>
      </w:r>
      <w:r w:rsidRPr="00A22B7B">
        <w:rPr>
          <w:rFonts w:hint="cs"/>
          <w:rtl/>
        </w:rPr>
        <w:t>ممارسة</w:t>
      </w:r>
      <w:r>
        <w:rPr>
          <w:rFonts w:hint="cs"/>
          <w:rtl/>
        </w:rPr>
        <w:t xml:space="preserve"> </w:t>
      </w:r>
      <w:r w:rsidRPr="00A22B7B">
        <w:rPr>
          <w:rFonts w:hint="cs"/>
          <w:rtl/>
        </w:rPr>
        <w:t>شائعة،</w:t>
      </w:r>
      <w:r>
        <w:rPr>
          <w:rFonts w:hint="cs"/>
          <w:rtl/>
        </w:rPr>
        <w:t xml:space="preserve"> </w:t>
      </w:r>
      <w:r w:rsidRPr="00A22B7B">
        <w:rPr>
          <w:rFonts w:hint="cs"/>
          <w:rtl/>
        </w:rPr>
        <w:t>وخاصة</w:t>
      </w:r>
      <w:r>
        <w:rPr>
          <w:rFonts w:hint="cs"/>
          <w:rtl/>
        </w:rPr>
        <w:t xml:space="preserve"> </w:t>
      </w:r>
      <w:r w:rsidRPr="00A22B7B">
        <w:rPr>
          <w:rFonts w:hint="cs"/>
          <w:rtl/>
        </w:rPr>
        <w:t>من</w:t>
      </w:r>
      <w:r>
        <w:rPr>
          <w:rFonts w:hint="cs"/>
          <w:rtl/>
        </w:rPr>
        <w:t xml:space="preserve"> </w:t>
      </w:r>
      <w:r w:rsidRPr="00A22B7B">
        <w:rPr>
          <w:rFonts w:hint="cs"/>
          <w:rtl/>
        </w:rPr>
        <w:t>خلال</w:t>
      </w:r>
      <w:r>
        <w:rPr>
          <w:rFonts w:hint="cs"/>
          <w:rtl/>
        </w:rPr>
        <w:t xml:space="preserve"> </w:t>
      </w:r>
      <w:r w:rsidRPr="00A22B7B">
        <w:rPr>
          <w:rFonts w:hint="cs"/>
          <w:rtl/>
        </w:rPr>
        <w:t>الممارسات</w:t>
      </w:r>
      <w:r>
        <w:rPr>
          <w:rFonts w:hint="cs"/>
          <w:rtl/>
        </w:rPr>
        <w:t xml:space="preserve"> </w:t>
      </w:r>
      <w:r w:rsidRPr="00A22B7B">
        <w:rPr>
          <w:rFonts w:hint="cs"/>
          <w:rtl/>
        </w:rPr>
        <w:t>التقليدية.</w:t>
      </w:r>
      <w:r>
        <w:rPr>
          <w:rFonts w:hint="cs"/>
          <w:rtl/>
        </w:rPr>
        <w:t xml:space="preserve"> </w:t>
      </w:r>
      <w:r w:rsidRPr="00A22B7B">
        <w:rPr>
          <w:rFonts w:hint="cs"/>
          <w:rtl/>
        </w:rPr>
        <w:t>وتشير</w:t>
      </w:r>
      <w:r>
        <w:rPr>
          <w:rFonts w:hint="cs"/>
          <w:rtl/>
        </w:rPr>
        <w:t xml:space="preserve"> </w:t>
      </w:r>
      <w:r w:rsidRPr="00A22B7B">
        <w:rPr>
          <w:rFonts w:hint="cs"/>
          <w:rtl/>
        </w:rPr>
        <w:t>بيانات</w:t>
      </w:r>
      <w:r>
        <w:rPr>
          <w:rFonts w:hint="cs"/>
          <w:rtl/>
        </w:rPr>
        <w:t xml:space="preserve"> </w:t>
      </w:r>
      <w:r w:rsidRPr="00A22B7B">
        <w:rPr>
          <w:rFonts w:hint="cs"/>
          <w:rtl/>
        </w:rPr>
        <w:t>مستمدة</w:t>
      </w:r>
      <w:r>
        <w:rPr>
          <w:rFonts w:hint="cs"/>
          <w:rtl/>
        </w:rPr>
        <w:t xml:space="preserve"> </w:t>
      </w:r>
      <w:r w:rsidRPr="00A22B7B">
        <w:rPr>
          <w:rFonts w:hint="cs"/>
          <w:rtl/>
        </w:rPr>
        <w:t>من</w:t>
      </w:r>
      <w:r>
        <w:rPr>
          <w:rFonts w:hint="cs"/>
          <w:rtl/>
        </w:rPr>
        <w:t xml:space="preserve"> </w:t>
      </w:r>
      <w:r w:rsidRPr="00A22B7B">
        <w:rPr>
          <w:rFonts w:hint="cs"/>
          <w:rtl/>
        </w:rPr>
        <w:t>الاستقصاء</w:t>
      </w:r>
      <w:r>
        <w:rPr>
          <w:rFonts w:hint="cs"/>
          <w:rtl/>
        </w:rPr>
        <w:t xml:space="preserve"> </w:t>
      </w:r>
      <w:r w:rsidRPr="00A22B7B">
        <w:rPr>
          <w:rFonts w:hint="cs"/>
          <w:rtl/>
        </w:rPr>
        <w:t>الديمغرافي</w:t>
      </w:r>
      <w:r>
        <w:rPr>
          <w:rFonts w:hint="cs"/>
          <w:rtl/>
        </w:rPr>
        <w:t xml:space="preserve"> </w:t>
      </w:r>
      <w:r w:rsidRPr="00A22B7B">
        <w:rPr>
          <w:rFonts w:hint="cs"/>
          <w:rtl/>
        </w:rPr>
        <w:t>والصحي</w:t>
      </w:r>
      <w:r>
        <w:rPr>
          <w:rFonts w:hint="cs"/>
          <w:rtl/>
        </w:rPr>
        <w:t xml:space="preserve"> </w:t>
      </w:r>
      <w:r w:rsidRPr="00A22B7B">
        <w:rPr>
          <w:rFonts w:hint="cs"/>
          <w:rtl/>
        </w:rPr>
        <w:t>للفترة</w:t>
      </w:r>
      <w:r>
        <w:rPr>
          <w:rFonts w:hint="cs"/>
          <w:rtl/>
        </w:rPr>
        <w:t xml:space="preserve"> </w:t>
      </w:r>
      <w:r w:rsidRPr="00A22B7B">
        <w:rPr>
          <w:rtl/>
        </w:rPr>
        <w:t>2009-</w:t>
      </w:r>
      <w:r w:rsidRPr="00A22B7B">
        <w:rPr>
          <w:rFonts w:hint="cs"/>
          <w:rtl/>
        </w:rPr>
        <w:t>2010</w:t>
      </w:r>
      <w:r>
        <w:rPr>
          <w:rFonts w:hint="cs"/>
          <w:rtl/>
        </w:rPr>
        <w:t xml:space="preserve"> </w:t>
      </w:r>
      <w:r w:rsidRPr="00A22B7B">
        <w:rPr>
          <w:rFonts w:hint="cs"/>
          <w:rtl/>
        </w:rPr>
        <w:t>إلى</w:t>
      </w:r>
      <w:r>
        <w:rPr>
          <w:rFonts w:hint="cs"/>
          <w:rtl/>
        </w:rPr>
        <w:t xml:space="preserve"> </w:t>
      </w:r>
      <w:r w:rsidRPr="00A22B7B">
        <w:rPr>
          <w:rFonts w:hint="cs"/>
          <w:rtl/>
        </w:rPr>
        <w:t>أن</w:t>
      </w:r>
      <w:r>
        <w:rPr>
          <w:rFonts w:hint="cs"/>
          <w:rtl/>
        </w:rPr>
        <w:t xml:space="preserve"> </w:t>
      </w:r>
      <w:r w:rsidRPr="00A22B7B">
        <w:rPr>
          <w:rFonts w:hint="cs"/>
          <w:rtl/>
        </w:rPr>
        <w:t>2</w:t>
      </w:r>
      <w:r>
        <w:rPr>
          <w:rFonts w:hint="cs"/>
          <w:rtl/>
        </w:rPr>
        <w:t xml:space="preserve"> </w:t>
      </w:r>
      <w:r w:rsidRPr="00A22B7B">
        <w:rPr>
          <w:rFonts w:hint="cs"/>
          <w:rtl/>
        </w:rPr>
        <w:t>في</w:t>
      </w:r>
      <w:r>
        <w:rPr>
          <w:rFonts w:hint="cs"/>
          <w:rtl/>
        </w:rPr>
        <w:t xml:space="preserve"> </w:t>
      </w:r>
      <w:r w:rsidRPr="00A22B7B">
        <w:rPr>
          <w:rFonts w:hint="cs"/>
          <w:rtl/>
        </w:rPr>
        <w:t>المائة</w:t>
      </w:r>
      <w:r>
        <w:rPr>
          <w:rFonts w:hint="cs"/>
          <w:rtl/>
        </w:rPr>
        <w:t xml:space="preserve"> </w:t>
      </w:r>
      <w:r w:rsidRPr="00A22B7B">
        <w:rPr>
          <w:rFonts w:hint="cs"/>
          <w:rtl/>
        </w:rPr>
        <w:t>من</w:t>
      </w:r>
      <w:r>
        <w:rPr>
          <w:rFonts w:hint="cs"/>
          <w:rtl/>
        </w:rPr>
        <w:t xml:space="preserve"> </w:t>
      </w:r>
      <w:r w:rsidRPr="00A22B7B">
        <w:rPr>
          <w:rFonts w:hint="cs"/>
          <w:rtl/>
        </w:rPr>
        <w:t>النساء</w:t>
      </w:r>
      <w:r>
        <w:rPr>
          <w:rFonts w:hint="cs"/>
          <w:rtl/>
        </w:rPr>
        <w:t xml:space="preserve"> </w:t>
      </w:r>
      <w:r w:rsidRPr="00A22B7B">
        <w:rPr>
          <w:rFonts w:hint="cs"/>
          <w:rtl/>
        </w:rPr>
        <w:t>المتزوجات</w:t>
      </w:r>
      <w:r>
        <w:rPr>
          <w:rFonts w:hint="cs"/>
          <w:rtl/>
        </w:rPr>
        <w:t xml:space="preserve"> </w:t>
      </w:r>
      <w:r w:rsidRPr="00A22B7B">
        <w:rPr>
          <w:rFonts w:hint="cs"/>
          <w:rtl/>
        </w:rPr>
        <w:t>حاليًا</w:t>
      </w:r>
      <w:r>
        <w:rPr>
          <w:rFonts w:hint="cs"/>
          <w:rtl/>
        </w:rPr>
        <w:t xml:space="preserve"> </w:t>
      </w:r>
      <w:r w:rsidRPr="00A22B7B">
        <w:rPr>
          <w:rFonts w:hint="cs"/>
          <w:rtl/>
        </w:rPr>
        <w:t>هن</w:t>
      </w:r>
      <w:r>
        <w:rPr>
          <w:rFonts w:hint="cs"/>
          <w:rtl/>
        </w:rPr>
        <w:t xml:space="preserve"> </w:t>
      </w:r>
      <w:r w:rsidRPr="00A22B7B">
        <w:rPr>
          <w:rFonts w:hint="cs"/>
          <w:rtl/>
        </w:rPr>
        <w:t>في</w:t>
      </w:r>
      <w:r>
        <w:rPr>
          <w:rFonts w:hint="cs"/>
          <w:rtl/>
        </w:rPr>
        <w:t xml:space="preserve"> </w:t>
      </w:r>
      <w:r w:rsidRPr="00A22B7B">
        <w:rPr>
          <w:rFonts w:hint="cs"/>
          <w:rtl/>
        </w:rPr>
        <w:t>زيجات</w:t>
      </w:r>
      <w:r>
        <w:rPr>
          <w:rFonts w:hint="cs"/>
          <w:rtl/>
        </w:rPr>
        <w:t xml:space="preserve"> </w:t>
      </w:r>
      <w:r w:rsidRPr="00A22B7B">
        <w:rPr>
          <w:rFonts w:hint="cs"/>
          <w:rtl/>
        </w:rPr>
        <w:t>متعددة</w:t>
      </w:r>
      <w:r>
        <w:rPr>
          <w:rFonts w:hint="cs"/>
          <w:rtl/>
        </w:rPr>
        <w:t xml:space="preserve"> </w:t>
      </w:r>
      <w:r w:rsidRPr="00A22B7B">
        <w:rPr>
          <w:rFonts w:hint="cs"/>
          <w:rtl/>
        </w:rPr>
        <w:t>الزوجات.</w:t>
      </w:r>
      <w:r>
        <w:rPr>
          <w:rFonts w:hint="cs"/>
          <w:rtl/>
        </w:rPr>
        <w:t xml:space="preserve"> </w:t>
      </w:r>
      <w:r w:rsidRPr="00A22B7B">
        <w:rPr>
          <w:rFonts w:hint="cs"/>
          <w:rtl/>
        </w:rPr>
        <w:t>وتشير</w:t>
      </w:r>
      <w:r>
        <w:rPr>
          <w:rFonts w:hint="cs"/>
          <w:rtl/>
        </w:rPr>
        <w:t xml:space="preserve"> </w:t>
      </w:r>
      <w:r w:rsidRPr="00A22B7B">
        <w:rPr>
          <w:rFonts w:hint="cs"/>
          <w:rtl/>
        </w:rPr>
        <w:t>البيانات</w:t>
      </w:r>
      <w:r>
        <w:rPr>
          <w:rFonts w:hint="cs"/>
          <w:rtl/>
        </w:rPr>
        <w:t xml:space="preserve"> </w:t>
      </w:r>
      <w:r w:rsidRPr="00A22B7B">
        <w:rPr>
          <w:rFonts w:hint="cs"/>
          <w:rtl/>
        </w:rPr>
        <w:t>أيضًا</w:t>
      </w:r>
      <w:r>
        <w:rPr>
          <w:rFonts w:hint="cs"/>
          <w:rtl/>
        </w:rPr>
        <w:t xml:space="preserve"> </w:t>
      </w:r>
      <w:r w:rsidRPr="00A22B7B">
        <w:rPr>
          <w:rFonts w:hint="cs"/>
          <w:rtl/>
        </w:rPr>
        <w:t>إلى</w:t>
      </w:r>
      <w:r>
        <w:rPr>
          <w:rFonts w:hint="cs"/>
          <w:rtl/>
        </w:rPr>
        <w:t xml:space="preserve"> </w:t>
      </w:r>
      <w:r w:rsidRPr="00A22B7B">
        <w:rPr>
          <w:rFonts w:hint="cs"/>
          <w:rtl/>
        </w:rPr>
        <w:t>أن</w:t>
      </w:r>
      <w:r>
        <w:rPr>
          <w:rFonts w:hint="cs"/>
          <w:rtl/>
        </w:rPr>
        <w:t xml:space="preserve"> </w:t>
      </w:r>
      <w:r w:rsidRPr="00A22B7B">
        <w:rPr>
          <w:rFonts w:hint="cs"/>
          <w:rtl/>
        </w:rPr>
        <w:t>احتمال</w:t>
      </w:r>
      <w:r>
        <w:rPr>
          <w:rFonts w:hint="cs"/>
          <w:rtl/>
        </w:rPr>
        <w:t xml:space="preserve"> </w:t>
      </w:r>
      <w:r w:rsidRPr="00A22B7B">
        <w:rPr>
          <w:rFonts w:hint="cs"/>
          <w:rtl/>
        </w:rPr>
        <w:t>وجود</w:t>
      </w:r>
      <w:r>
        <w:rPr>
          <w:rFonts w:hint="cs"/>
          <w:rtl/>
        </w:rPr>
        <w:t xml:space="preserve"> </w:t>
      </w:r>
      <w:r w:rsidRPr="00A22B7B">
        <w:rPr>
          <w:rFonts w:hint="cs"/>
          <w:rtl/>
        </w:rPr>
        <w:t>النساء</w:t>
      </w:r>
      <w:r>
        <w:rPr>
          <w:rFonts w:hint="cs"/>
          <w:rtl/>
        </w:rPr>
        <w:t xml:space="preserve"> </w:t>
      </w:r>
      <w:r w:rsidRPr="00A22B7B">
        <w:rPr>
          <w:rFonts w:hint="cs"/>
          <w:rtl/>
        </w:rPr>
        <w:t>في</w:t>
      </w:r>
      <w:r>
        <w:rPr>
          <w:rFonts w:hint="cs"/>
          <w:rtl/>
        </w:rPr>
        <w:t xml:space="preserve"> </w:t>
      </w:r>
      <w:r w:rsidRPr="00A22B7B">
        <w:rPr>
          <w:rFonts w:hint="cs"/>
          <w:rtl/>
        </w:rPr>
        <w:t>الفئة</w:t>
      </w:r>
      <w:r>
        <w:rPr>
          <w:rFonts w:hint="cs"/>
          <w:rtl/>
        </w:rPr>
        <w:t xml:space="preserve"> </w:t>
      </w:r>
      <w:r w:rsidRPr="00A22B7B">
        <w:rPr>
          <w:rFonts w:hint="cs"/>
          <w:rtl/>
        </w:rPr>
        <w:t>العمرية</w:t>
      </w:r>
      <w:r>
        <w:rPr>
          <w:rFonts w:hint="cs"/>
          <w:rtl/>
        </w:rPr>
        <w:t xml:space="preserve"> </w:t>
      </w:r>
      <w:r w:rsidRPr="00A22B7B">
        <w:rPr>
          <w:rFonts w:hint="cs"/>
          <w:rtl/>
        </w:rPr>
        <w:t>الأصغر</w:t>
      </w:r>
      <w:r>
        <w:rPr>
          <w:rFonts w:hint="cs"/>
          <w:rtl/>
        </w:rPr>
        <w:t xml:space="preserve"> </w:t>
      </w:r>
      <w:r w:rsidRPr="00A22B7B">
        <w:rPr>
          <w:rFonts w:hint="cs"/>
          <w:rtl/>
        </w:rPr>
        <w:t>(15-19</w:t>
      </w:r>
      <w:r>
        <w:rPr>
          <w:rFonts w:hint="cs"/>
          <w:rtl/>
        </w:rPr>
        <w:t xml:space="preserve"> </w:t>
      </w:r>
      <w:r w:rsidRPr="00A22B7B">
        <w:rPr>
          <w:rFonts w:hint="cs"/>
          <w:rtl/>
        </w:rPr>
        <w:t>عامًا)</w:t>
      </w:r>
      <w:r>
        <w:rPr>
          <w:rFonts w:hint="cs"/>
          <w:rtl/>
        </w:rPr>
        <w:t xml:space="preserve"> </w:t>
      </w:r>
      <w:r w:rsidRPr="00A22B7B">
        <w:rPr>
          <w:rFonts w:hint="cs"/>
          <w:rtl/>
        </w:rPr>
        <w:t>والفئة</w:t>
      </w:r>
      <w:r>
        <w:rPr>
          <w:rFonts w:hint="cs"/>
          <w:rtl/>
        </w:rPr>
        <w:t xml:space="preserve"> </w:t>
      </w:r>
      <w:r w:rsidRPr="00A22B7B">
        <w:rPr>
          <w:rFonts w:hint="cs"/>
          <w:rtl/>
        </w:rPr>
        <w:t>العمرية</w:t>
      </w:r>
      <w:r>
        <w:rPr>
          <w:rFonts w:hint="cs"/>
          <w:rtl/>
        </w:rPr>
        <w:t xml:space="preserve"> </w:t>
      </w:r>
      <w:r w:rsidRPr="00A22B7B">
        <w:rPr>
          <w:rFonts w:hint="cs"/>
          <w:rtl/>
        </w:rPr>
        <w:t>الأكبر</w:t>
      </w:r>
      <w:r>
        <w:rPr>
          <w:rFonts w:hint="cs"/>
          <w:rtl/>
        </w:rPr>
        <w:t xml:space="preserve"> </w:t>
      </w:r>
      <w:r w:rsidRPr="00A22B7B">
        <w:rPr>
          <w:rFonts w:hint="cs"/>
          <w:rtl/>
        </w:rPr>
        <w:t>سنًا</w:t>
      </w:r>
      <w:r>
        <w:rPr>
          <w:rtl/>
        </w:rPr>
        <w:br/>
      </w:r>
      <w:r w:rsidRPr="00A22B7B">
        <w:rPr>
          <w:rFonts w:hint="cs"/>
          <w:rtl/>
        </w:rPr>
        <w:t>(40-49</w:t>
      </w:r>
      <w:r>
        <w:rPr>
          <w:rFonts w:hint="cs"/>
          <w:rtl/>
        </w:rPr>
        <w:t xml:space="preserve"> </w:t>
      </w:r>
      <w:r w:rsidRPr="00A22B7B">
        <w:rPr>
          <w:rFonts w:hint="cs"/>
          <w:rtl/>
        </w:rPr>
        <w:t>عامًا)</w:t>
      </w:r>
      <w:r>
        <w:rPr>
          <w:rFonts w:hint="cs"/>
          <w:rtl/>
        </w:rPr>
        <w:t xml:space="preserve"> </w:t>
      </w:r>
      <w:r w:rsidRPr="00A22B7B">
        <w:rPr>
          <w:rFonts w:hint="cs"/>
          <w:rtl/>
        </w:rPr>
        <w:t>في</w:t>
      </w:r>
      <w:r>
        <w:rPr>
          <w:rFonts w:hint="cs"/>
          <w:rtl/>
        </w:rPr>
        <w:t xml:space="preserve"> </w:t>
      </w:r>
      <w:r w:rsidRPr="00A22B7B">
        <w:rPr>
          <w:rFonts w:hint="cs"/>
          <w:rtl/>
        </w:rPr>
        <w:t>زيجات</w:t>
      </w:r>
      <w:r>
        <w:rPr>
          <w:rFonts w:hint="cs"/>
          <w:rtl/>
        </w:rPr>
        <w:t xml:space="preserve"> </w:t>
      </w:r>
      <w:r w:rsidRPr="00A22B7B">
        <w:rPr>
          <w:rFonts w:hint="cs"/>
          <w:rtl/>
        </w:rPr>
        <w:t>متعددة</w:t>
      </w:r>
      <w:r>
        <w:rPr>
          <w:rFonts w:hint="cs"/>
          <w:rtl/>
        </w:rPr>
        <w:t xml:space="preserve"> </w:t>
      </w:r>
      <w:r w:rsidRPr="00A22B7B">
        <w:rPr>
          <w:rFonts w:hint="cs"/>
          <w:rtl/>
        </w:rPr>
        <w:t>الزوجات</w:t>
      </w:r>
      <w:r>
        <w:rPr>
          <w:rFonts w:hint="cs"/>
          <w:rtl/>
        </w:rPr>
        <w:t xml:space="preserve"> </w:t>
      </w:r>
      <w:r w:rsidRPr="00A22B7B">
        <w:rPr>
          <w:rFonts w:hint="cs"/>
          <w:rtl/>
        </w:rPr>
        <w:t>أكبر</w:t>
      </w:r>
      <w:r>
        <w:rPr>
          <w:rFonts w:hint="cs"/>
          <w:rtl/>
        </w:rPr>
        <w:t xml:space="preserve"> </w:t>
      </w:r>
      <w:r w:rsidRPr="00A22B7B">
        <w:rPr>
          <w:rFonts w:hint="cs"/>
          <w:rtl/>
        </w:rPr>
        <w:t>من</w:t>
      </w:r>
      <w:r>
        <w:rPr>
          <w:rFonts w:hint="cs"/>
          <w:rtl/>
        </w:rPr>
        <w:t xml:space="preserve"> </w:t>
      </w:r>
      <w:r w:rsidRPr="00A22B7B">
        <w:rPr>
          <w:rFonts w:hint="cs"/>
          <w:rtl/>
        </w:rPr>
        <w:t>احتمال</w:t>
      </w:r>
      <w:r>
        <w:rPr>
          <w:rFonts w:hint="cs"/>
          <w:rtl/>
        </w:rPr>
        <w:t xml:space="preserve"> </w:t>
      </w:r>
      <w:r w:rsidRPr="00A22B7B">
        <w:rPr>
          <w:rFonts w:hint="cs"/>
          <w:rtl/>
        </w:rPr>
        <w:t>وجود</w:t>
      </w:r>
      <w:r>
        <w:rPr>
          <w:rFonts w:hint="cs"/>
          <w:rtl/>
        </w:rPr>
        <w:t xml:space="preserve"> </w:t>
      </w:r>
      <w:r w:rsidRPr="00A22B7B">
        <w:rPr>
          <w:rFonts w:hint="cs"/>
          <w:rtl/>
        </w:rPr>
        <w:t>النساء</w:t>
      </w:r>
      <w:r>
        <w:rPr>
          <w:rFonts w:hint="cs"/>
          <w:rtl/>
        </w:rPr>
        <w:t xml:space="preserve"> </w:t>
      </w:r>
      <w:r w:rsidRPr="00A22B7B">
        <w:rPr>
          <w:rFonts w:hint="cs"/>
          <w:rtl/>
        </w:rPr>
        <w:t>اللواتي</w:t>
      </w:r>
      <w:r>
        <w:rPr>
          <w:rFonts w:hint="cs"/>
          <w:rtl/>
        </w:rPr>
        <w:t xml:space="preserve"> </w:t>
      </w:r>
      <w:r w:rsidRPr="00A22B7B">
        <w:rPr>
          <w:rFonts w:hint="cs"/>
          <w:rtl/>
        </w:rPr>
        <w:t>تتراوح</w:t>
      </w:r>
      <w:r>
        <w:rPr>
          <w:rFonts w:hint="cs"/>
          <w:rtl/>
        </w:rPr>
        <w:t xml:space="preserve"> </w:t>
      </w:r>
      <w:r w:rsidRPr="00A22B7B">
        <w:rPr>
          <w:rFonts w:hint="cs"/>
          <w:rtl/>
        </w:rPr>
        <w:t>أعمارهن</w:t>
      </w:r>
      <w:r>
        <w:rPr>
          <w:rFonts w:hint="cs"/>
          <w:rtl/>
        </w:rPr>
        <w:t xml:space="preserve"> </w:t>
      </w:r>
      <w:r w:rsidRPr="00A22B7B">
        <w:rPr>
          <w:rFonts w:hint="cs"/>
          <w:rtl/>
        </w:rPr>
        <w:t>بين</w:t>
      </w:r>
      <w:r>
        <w:rPr>
          <w:rFonts w:hint="cs"/>
          <w:rtl/>
        </w:rPr>
        <w:t xml:space="preserve"> </w:t>
      </w:r>
      <w:r w:rsidRPr="00A22B7B">
        <w:rPr>
          <w:rFonts w:hint="cs"/>
          <w:rtl/>
        </w:rPr>
        <w:t>20</w:t>
      </w:r>
      <w:r>
        <w:rPr>
          <w:rFonts w:hint="cs"/>
          <w:rtl/>
        </w:rPr>
        <w:t xml:space="preserve"> </w:t>
      </w:r>
      <w:r w:rsidRPr="00A22B7B">
        <w:rPr>
          <w:rFonts w:hint="cs"/>
          <w:rtl/>
        </w:rPr>
        <w:t>و</w:t>
      </w:r>
      <w:r>
        <w:rPr>
          <w:rFonts w:hint="cs"/>
          <w:rtl/>
        </w:rPr>
        <w:t xml:space="preserve"> </w:t>
      </w:r>
      <w:r w:rsidRPr="00A22B7B">
        <w:rPr>
          <w:rFonts w:hint="cs"/>
          <w:rtl/>
        </w:rPr>
        <w:t>39</w:t>
      </w:r>
      <w:r>
        <w:rPr>
          <w:rFonts w:hint="cs"/>
          <w:rtl/>
        </w:rPr>
        <w:t xml:space="preserve"> </w:t>
      </w:r>
      <w:r w:rsidRPr="00A22B7B">
        <w:rPr>
          <w:rFonts w:hint="cs"/>
          <w:rtl/>
        </w:rPr>
        <w:t>عامًا.</w:t>
      </w:r>
      <w:r>
        <w:rPr>
          <w:rFonts w:hint="cs"/>
          <w:rtl/>
        </w:rPr>
        <w:t xml:space="preserve"> </w:t>
      </w:r>
      <w:r w:rsidRPr="00A22B7B">
        <w:rPr>
          <w:rFonts w:hint="cs"/>
          <w:rtl/>
        </w:rPr>
        <w:t>فعلى</w:t>
      </w:r>
      <w:r>
        <w:rPr>
          <w:rFonts w:hint="cs"/>
          <w:rtl/>
        </w:rPr>
        <w:t xml:space="preserve"> </w:t>
      </w:r>
      <w:r w:rsidRPr="00A22B7B">
        <w:rPr>
          <w:rFonts w:hint="cs"/>
          <w:rtl/>
        </w:rPr>
        <w:t>سبيل</w:t>
      </w:r>
      <w:r>
        <w:rPr>
          <w:rFonts w:hint="cs"/>
          <w:rtl/>
        </w:rPr>
        <w:t xml:space="preserve"> </w:t>
      </w:r>
      <w:r w:rsidRPr="00A22B7B">
        <w:rPr>
          <w:rFonts w:hint="cs"/>
          <w:rtl/>
        </w:rPr>
        <w:t>المثال،</w:t>
      </w:r>
      <w:r>
        <w:rPr>
          <w:rFonts w:hint="cs"/>
          <w:rtl/>
        </w:rPr>
        <w:t xml:space="preserve"> </w:t>
      </w:r>
      <w:r w:rsidRPr="00A22B7B">
        <w:rPr>
          <w:rFonts w:hint="cs"/>
          <w:rtl/>
        </w:rPr>
        <w:t>تقارب</w:t>
      </w:r>
      <w:r>
        <w:rPr>
          <w:rFonts w:hint="cs"/>
          <w:rtl/>
        </w:rPr>
        <w:t xml:space="preserve"> </w:t>
      </w:r>
      <w:r w:rsidRPr="00A22B7B">
        <w:rPr>
          <w:rFonts w:hint="cs"/>
          <w:rtl/>
        </w:rPr>
        <w:t>نسبة</w:t>
      </w:r>
      <w:r>
        <w:rPr>
          <w:rFonts w:hint="cs"/>
          <w:rtl/>
        </w:rPr>
        <w:t xml:space="preserve"> </w:t>
      </w:r>
      <w:r w:rsidRPr="00A22B7B">
        <w:rPr>
          <w:rFonts w:hint="cs"/>
          <w:rtl/>
        </w:rPr>
        <w:t>النساء</w:t>
      </w:r>
      <w:r>
        <w:rPr>
          <w:rFonts w:hint="cs"/>
          <w:rtl/>
        </w:rPr>
        <w:t xml:space="preserve"> </w:t>
      </w:r>
      <w:r w:rsidRPr="00A22B7B">
        <w:rPr>
          <w:rFonts w:hint="cs"/>
          <w:rtl/>
        </w:rPr>
        <w:t>من</w:t>
      </w:r>
      <w:r>
        <w:rPr>
          <w:rFonts w:hint="cs"/>
          <w:rtl/>
        </w:rPr>
        <w:t xml:space="preserve"> </w:t>
      </w:r>
      <w:r w:rsidRPr="00A22B7B">
        <w:rPr>
          <w:rFonts w:hint="cs"/>
          <w:rtl/>
        </w:rPr>
        <w:t>الفئة</w:t>
      </w:r>
      <w:r>
        <w:rPr>
          <w:rFonts w:hint="cs"/>
          <w:rtl/>
        </w:rPr>
        <w:t xml:space="preserve"> </w:t>
      </w:r>
      <w:r w:rsidRPr="00A22B7B">
        <w:rPr>
          <w:rFonts w:hint="cs"/>
          <w:rtl/>
        </w:rPr>
        <w:t>العمرية</w:t>
      </w:r>
      <w:r>
        <w:rPr>
          <w:rtl/>
        </w:rPr>
        <w:br/>
      </w:r>
      <w:r w:rsidRPr="00A22B7B">
        <w:rPr>
          <w:rFonts w:hint="cs"/>
          <w:rtl/>
        </w:rPr>
        <w:t>40-49</w:t>
      </w:r>
      <w:r>
        <w:rPr>
          <w:rFonts w:hint="cs"/>
          <w:rtl/>
        </w:rPr>
        <w:t xml:space="preserve"> </w:t>
      </w:r>
      <w:r w:rsidRPr="00A22B7B">
        <w:rPr>
          <w:rFonts w:hint="cs"/>
          <w:rtl/>
        </w:rPr>
        <w:t>عامًا</w:t>
      </w:r>
      <w:r>
        <w:rPr>
          <w:rFonts w:hint="cs"/>
          <w:rtl/>
        </w:rPr>
        <w:t xml:space="preserve"> </w:t>
      </w:r>
      <w:r w:rsidRPr="00A22B7B">
        <w:rPr>
          <w:rFonts w:hint="cs"/>
          <w:rtl/>
        </w:rPr>
        <w:t>في</w:t>
      </w:r>
      <w:r>
        <w:rPr>
          <w:rFonts w:hint="cs"/>
          <w:rtl/>
        </w:rPr>
        <w:t xml:space="preserve"> </w:t>
      </w:r>
      <w:r w:rsidRPr="00A22B7B">
        <w:rPr>
          <w:rFonts w:hint="cs"/>
          <w:rtl/>
        </w:rPr>
        <w:t>الزيجات</w:t>
      </w:r>
      <w:r>
        <w:rPr>
          <w:rFonts w:hint="cs"/>
          <w:rtl/>
        </w:rPr>
        <w:t xml:space="preserve"> </w:t>
      </w:r>
      <w:r w:rsidRPr="00A22B7B">
        <w:rPr>
          <w:rFonts w:hint="cs"/>
          <w:rtl/>
        </w:rPr>
        <w:t>المتعدّدة</w:t>
      </w:r>
      <w:r>
        <w:rPr>
          <w:rFonts w:hint="cs"/>
          <w:rtl/>
        </w:rPr>
        <w:t xml:space="preserve"> </w:t>
      </w:r>
      <w:r w:rsidRPr="00A22B7B">
        <w:rPr>
          <w:rFonts w:hint="cs"/>
          <w:rtl/>
        </w:rPr>
        <w:t>الزوجات</w:t>
      </w:r>
      <w:r>
        <w:rPr>
          <w:rFonts w:hint="cs"/>
          <w:rtl/>
        </w:rPr>
        <w:t xml:space="preserve"> </w:t>
      </w:r>
      <w:r w:rsidRPr="00A22B7B">
        <w:rPr>
          <w:rFonts w:hint="cs"/>
          <w:rtl/>
        </w:rPr>
        <w:t>3</w:t>
      </w:r>
      <w:r>
        <w:rPr>
          <w:rFonts w:hint="cs"/>
          <w:rtl/>
        </w:rPr>
        <w:t xml:space="preserve"> </w:t>
      </w:r>
      <w:r w:rsidRPr="00A22B7B">
        <w:rPr>
          <w:rFonts w:hint="cs"/>
          <w:rtl/>
        </w:rPr>
        <w:t>في</w:t>
      </w:r>
      <w:r>
        <w:rPr>
          <w:rFonts w:hint="cs"/>
          <w:rtl/>
        </w:rPr>
        <w:t xml:space="preserve"> </w:t>
      </w:r>
      <w:r w:rsidRPr="00A22B7B">
        <w:rPr>
          <w:rFonts w:hint="cs"/>
          <w:rtl/>
        </w:rPr>
        <w:t>المائة،</w:t>
      </w:r>
      <w:r>
        <w:rPr>
          <w:rFonts w:hint="cs"/>
          <w:rtl/>
        </w:rPr>
        <w:t xml:space="preserve"> </w:t>
      </w:r>
      <w:r w:rsidRPr="00A22B7B">
        <w:rPr>
          <w:rFonts w:hint="cs"/>
          <w:rtl/>
        </w:rPr>
        <w:t>مقارنة</w:t>
      </w:r>
      <w:r>
        <w:rPr>
          <w:rFonts w:hint="cs"/>
          <w:rtl/>
        </w:rPr>
        <w:t xml:space="preserve"> </w:t>
      </w:r>
      <w:r w:rsidRPr="00A22B7B">
        <w:rPr>
          <w:rFonts w:hint="cs"/>
          <w:rtl/>
        </w:rPr>
        <w:t>بنسبة</w:t>
      </w:r>
      <w:r>
        <w:rPr>
          <w:rFonts w:hint="cs"/>
          <w:rtl/>
        </w:rPr>
        <w:t xml:space="preserve"> </w:t>
      </w:r>
      <w:r w:rsidRPr="00A22B7B">
        <w:rPr>
          <w:rFonts w:hint="cs"/>
          <w:rtl/>
        </w:rPr>
        <w:t>1</w:t>
      </w:r>
      <w:r>
        <w:rPr>
          <w:rFonts w:hint="cs"/>
          <w:rtl/>
        </w:rPr>
        <w:t xml:space="preserve"> </w:t>
      </w:r>
      <w:r w:rsidRPr="00A22B7B">
        <w:rPr>
          <w:rFonts w:hint="cs"/>
          <w:rtl/>
        </w:rPr>
        <w:t>في</w:t>
      </w:r>
      <w:r>
        <w:rPr>
          <w:rFonts w:hint="cs"/>
          <w:rtl/>
        </w:rPr>
        <w:t xml:space="preserve"> </w:t>
      </w:r>
      <w:r w:rsidRPr="00A22B7B">
        <w:rPr>
          <w:rFonts w:hint="cs"/>
          <w:rtl/>
        </w:rPr>
        <w:t>المائة</w:t>
      </w:r>
      <w:r>
        <w:rPr>
          <w:rFonts w:hint="cs"/>
          <w:rtl/>
        </w:rPr>
        <w:t xml:space="preserve"> </w:t>
      </w:r>
      <w:r w:rsidRPr="00A22B7B">
        <w:rPr>
          <w:rFonts w:hint="cs"/>
          <w:rtl/>
        </w:rPr>
        <w:t>للنساء</w:t>
      </w:r>
      <w:r>
        <w:rPr>
          <w:rFonts w:hint="cs"/>
          <w:rtl/>
        </w:rPr>
        <w:t xml:space="preserve"> </w:t>
      </w:r>
      <w:r w:rsidRPr="00A22B7B">
        <w:rPr>
          <w:rFonts w:hint="cs"/>
          <w:rtl/>
        </w:rPr>
        <w:t>من</w:t>
      </w:r>
      <w:r>
        <w:rPr>
          <w:rFonts w:hint="cs"/>
          <w:rtl/>
        </w:rPr>
        <w:t xml:space="preserve"> </w:t>
      </w:r>
      <w:r w:rsidRPr="00A22B7B">
        <w:rPr>
          <w:rFonts w:hint="cs"/>
          <w:rtl/>
        </w:rPr>
        <w:t>الفئة</w:t>
      </w:r>
      <w:r>
        <w:rPr>
          <w:rFonts w:hint="cs"/>
          <w:rtl/>
        </w:rPr>
        <w:t xml:space="preserve"> </w:t>
      </w:r>
      <w:r w:rsidRPr="00A22B7B">
        <w:rPr>
          <w:rFonts w:hint="cs"/>
          <w:rtl/>
        </w:rPr>
        <w:t>العمرية</w:t>
      </w:r>
      <w:r>
        <w:rPr>
          <w:rFonts w:hint="cs"/>
          <w:rtl/>
        </w:rPr>
        <w:t xml:space="preserve"> </w:t>
      </w:r>
      <w:r w:rsidRPr="00A22B7B">
        <w:rPr>
          <w:rFonts w:hint="cs"/>
          <w:rtl/>
        </w:rPr>
        <w:t>20-24</w:t>
      </w:r>
      <w:r>
        <w:rPr>
          <w:rFonts w:hint="cs"/>
          <w:rtl/>
        </w:rPr>
        <w:t xml:space="preserve"> </w:t>
      </w:r>
      <w:r w:rsidRPr="00A22B7B">
        <w:rPr>
          <w:rFonts w:hint="cs"/>
          <w:rtl/>
        </w:rPr>
        <w:t>عامًا</w:t>
      </w:r>
      <w:r w:rsidRPr="00E7233B">
        <w:rPr>
          <w:vertAlign w:val="superscript"/>
          <w:rtl/>
        </w:rPr>
        <w:t>(</w:t>
      </w:r>
      <w:r w:rsidRPr="00E7233B">
        <w:rPr>
          <w:rStyle w:val="FootnoteReference"/>
          <w:szCs w:val="30"/>
          <w:rtl/>
        </w:rPr>
        <w:footnoteReference w:id="293"/>
      </w:r>
      <w:r w:rsidRPr="00E7233B">
        <w:rPr>
          <w:vertAlign w:val="superscript"/>
          <w:rtl/>
        </w:rPr>
        <w:t>)</w:t>
      </w:r>
      <w:r w:rsidRPr="00A22B7B">
        <w:rPr>
          <w:rFonts w:hint="cs"/>
          <w:rtl/>
        </w:rPr>
        <w:t>.</w:t>
      </w:r>
    </w:p>
    <w:p w:rsidR="009943B2" w:rsidRPr="00A22B7B" w:rsidRDefault="009943B2" w:rsidP="009943B2">
      <w:pPr>
        <w:pStyle w:val="SingleTxt"/>
        <w:rPr>
          <w:rFonts w:hint="cs"/>
        </w:rPr>
      </w:pPr>
      <w:r>
        <w:rPr>
          <w:rFonts w:hint="cs"/>
          <w:rtl/>
        </w:rPr>
        <w:t xml:space="preserve">344 - </w:t>
      </w:r>
      <w:r w:rsidRPr="00A22B7B">
        <w:rPr>
          <w:rFonts w:hint="cs"/>
          <w:rtl/>
        </w:rPr>
        <w:t>وكان</w:t>
      </w:r>
      <w:r>
        <w:rPr>
          <w:rFonts w:hint="cs"/>
          <w:rtl/>
        </w:rPr>
        <w:t xml:space="preserve"> </w:t>
      </w:r>
      <w:r w:rsidRPr="00A22B7B">
        <w:rPr>
          <w:rFonts w:hint="cs"/>
          <w:rtl/>
        </w:rPr>
        <w:t>موضوع</w:t>
      </w:r>
      <w:r>
        <w:rPr>
          <w:rFonts w:hint="cs"/>
          <w:rtl/>
        </w:rPr>
        <w:t xml:space="preserve"> </w:t>
      </w:r>
      <w:r w:rsidRPr="00A22B7B">
        <w:rPr>
          <w:rFonts w:hint="cs"/>
          <w:rtl/>
        </w:rPr>
        <w:t>تعدد</w:t>
      </w:r>
      <w:r>
        <w:rPr>
          <w:rFonts w:hint="cs"/>
          <w:rtl/>
        </w:rPr>
        <w:t xml:space="preserve"> </w:t>
      </w:r>
      <w:r w:rsidRPr="00A22B7B">
        <w:rPr>
          <w:rFonts w:hint="cs"/>
          <w:rtl/>
        </w:rPr>
        <w:t>الزوجات</w:t>
      </w:r>
      <w:r>
        <w:rPr>
          <w:rFonts w:hint="cs"/>
          <w:rtl/>
        </w:rPr>
        <w:t xml:space="preserve"> </w:t>
      </w:r>
      <w:r w:rsidRPr="00A22B7B">
        <w:rPr>
          <w:rFonts w:hint="cs"/>
          <w:rtl/>
        </w:rPr>
        <w:t>أحد</w:t>
      </w:r>
      <w:r>
        <w:rPr>
          <w:rFonts w:hint="cs"/>
          <w:rtl/>
        </w:rPr>
        <w:t xml:space="preserve"> </w:t>
      </w:r>
      <w:r w:rsidRPr="00A22B7B">
        <w:rPr>
          <w:rFonts w:hint="cs"/>
          <w:rtl/>
        </w:rPr>
        <w:t>المواضيع</w:t>
      </w:r>
      <w:r>
        <w:rPr>
          <w:rFonts w:hint="cs"/>
          <w:rtl/>
        </w:rPr>
        <w:t xml:space="preserve"> </w:t>
      </w:r>
      <w:r w:rsidRPr="00A22B7B">
        <w:rPr>
          <w:rFonts w:hint="cs"/>
          <w:rtl/>
        </w:rPr>
        <w:t>الرئيسية</w:t>
      </w:r>
      <w:r>
        <w:rPr>
          <w:rFonts w:hint="cs"/>
          <w:rtl/>
        </w:rPr>
        <w:t xml:space="preserve"> </w:t>
      </w:r>
      <w:r w:rsidRPr="00A22B7B">
        <w:rPr>
          <w:rFonts w:hint="cs"/>
          <w:rtl/>
        </w:rPr>
        <w:t>التي</w:t>
      </w:r>
      <w:r>
        <w:rPr>
          <w:rFonts w:hint="cs"/>
          <w:rtl/>
        </w:rPr>
        <w:t xml:space="preserve"> </w:t>
      </w:r>
      <w:r w:rsidRPr="00A22B7B">
        <w:rPr>
          <w:rFonts w:hint="cs"/>
          <w:rtl/>
        </w:rPr>
        <w:t>ناقشتها</w:t>
      </w:r>
      <w:r>
        <w:rPr>
          <w:rFonts w:hint="cs"/>
          <w:rtl/>
        </w:rPr>
        <w:t xml:space="preserve"> </w:t>
      </w:r>
      <w:r w:rsidRPr="00A22B7B">
        <w:rPr>
          <w:rFonts w:hint="cs"/>
          <w:rtl/>
        </w:rPr>
        <w:t>خطة</w:t>
      </w:r>
      <w:r>
        <w:rPr>
          <w:rFonts w:hint="cs"/>
          <w:rtl/>
        </w:rPr>
        <w:t xml:space="preserve"> </w:t>
      </w:r>
      <w:r w:rsidRPr="00A22B7B">
        <w:rPr>
          <w:rFonts w:hint="cs"/>
          <w:rtl/>
        </w:rPr>
        <w:t>عمل</w:t>
      </w:r>
      <w:r>
        <w:rPr>
          <w:rFonts w:hint="cs"/>
          <w:rtl/>
        </w:rPr>
        <w:t xml:space="preserve"> </w:t>
      </w:r>
      <w:r w:rsidRPr="00A22B7B">
        <w:rPr>
          <w:rFonts w:hint="cs"/>
          <w:rtl/>
        </w:rPr>
        <w:t>المؤتمر</w:t>
      </w:r>
      <w:r>
        <w:rPr>
          <w:rFonts w:hint="cs"/>
          <w:rtl/>
        </w:rPr>
        <w:t xml:space="preserve"> </w:t>
      </w:r>
      <w:r w:rsidRPr="00A22B7B">
        <w:rPr>
          <w:rFonts w:hint="cs"/>
          <w:rtl/>
        </w:rPr>
        <w:t>الوطني</w:t>
      </w:r>
      <w:r>
        <w:rPr>
          <w:rFonts w:hint="cs"/>
          <w:rtl/>
        </w:rPr>
        <w:t xml:space="preserve"> </w:t>
      </w:r>
      <w:r w:rsidRPr="00A22B7B">
        <w:rPr>
          <w:rFonts w:hint="cs"/>
          <w:rtl/>
        </w:rPr>
        <w:t>النسائي</w:t>
      </w:r>
      <w:r>
        <w:rPr>
          <w:rFonts w:hint="cs"/>
          <w:rtl/>
        </w:rPr>
        <w:t xml:space="preserve"> </w:t>
      </w:r>
      <w:r w:rsidRPr="00A22B7B">
        <w:rPr>
          <w:rFonts w:hint="cs"/>
          <w:rtl/>
        </w:rPr>
        <w:t>للفترة</w:t>
      </w:r>
      <w:r>
        <w:rPr>
          <w:rFonts w:hint="cs"/>
          <w:rtl/>
        </w:rPr>
        <w:t xml:space="preserve"> </w:t>
      </w:r>
      <w:r w:rsidRPr="00A22B7B">
        <w:rPr>
          <w:rFonts w:hint="cs"/>
          <w:rtl/>
        </w:rPr>
        <w:t>2008-2012،</w:t>
      </w:r>
      <w:r>
        <w:rPr>
          <w:rFonts w:hint="cs"/>
          <w:rtl/>
        </w:rPr>
        <w:t xml:space="preserve"> </w:t>
      </w:r>
      <w:r w:rsidRPr="00A22B7B">
        <w:rPr>
          <w:rFonts w:hint="cs"/>
          <w:rtl/>
        </w:rPr>
        <w:t>لأنها</w:t>
      </w:r>
      <w:r>
        <w:rPr>
          <w:rFonts w:hint="cs"/>
          <w:rtl/>
        </w:rPr>
        <w:t xml:space="preserve"> </w:t>
      </w:r>
      <w:r w:rsidRPr="00A22B7B">
        <w:rPr>
          <w:rFonts w:hint="cs"/>
          <w:rtl/>
        </w:rPr>
        <w:t>من</w:t>
      </w:r>
      <w:r>
        <w:rPr>
          <w:rFonts w:hint="cs"/>
          <w:rtl/>
        </w:rPr>
        <w:t xml:space="preserve"> </w:t>
      </w:r>
      <w:r w:rsidRPr="00A22B7B">
        <w:rPr>
          <w:rFonts w:hint="cs"/>
          <w:rtl/>
        </w:rPr>
        <w:t>الممارسات</w:t>
      </w:r>
      <w:r>
        <w:rPr>
          <w:rFonts w:hint="cs"/>
          <w:rtl/>
        </w:rPr>
        <w:t xml:space="preserve"> </w:t>
      </w:r>
      <w:r w:rsidRPr="00A22B7B">
        <w:rPr>
          <w:rFonts w:hint="cs"/>
          <w:rtl/>
        </w:rPr>
        <w:t>التي</w:t>
      </w:r>
      <w:r>
        <w:rPr>
          <w:rFonts w:hint="cs"/>
          <w:rtl/>
        </w:rPr>
        <w:t xml:space="preserve"> </w:t>
      </w:r>
      <w:r w:rsidRPr="00A22B7B">
        <w:rPr>
          <w:rFonts w:hint="cs"/>
          <w:rtl/>
        </w:rPr>
        <w:t>ترسّخ</w:t>
      </w:r>
      <w:r>
        <w:rPr>
          <w:rFonts w:hint="cs"/>
          <w:rtl/>
        </w:rPr>
        <w:t xml:space="preserve"> </w:t>
      </w:r>
      <w:r w:rsidRPr="00A22B7B">
        <w:rPr>
          <w:rFonts w:hint="cs"/>
          <w:rtl/>
        </w:rPr>
        <w:t>العنف</w:t>
      </w:r>
      <w:r>
        <w:rPr>
          <w:rFonts w:hint="cs"/>
          <w:rtl/>
        </w:rPr>
        <w:t xml:space="preserve"> </w:t>
      </w:r>
      <w:r w:rsidRPr="00A22B7B">
        <w:rPr>
          <w:rFonts w:hint="cs"/>
          <w:rtl/>
        </w:rPr>
        <w:t>الجنساني</w:t>
      </w:r>
      <w:r>
        <w:rPr>
          <w:rFonts w:hint="cs"/>
          <w:rtl/>
        </w:rPr>
        <w:t xml:space="preserve"> </w:t>
      </w:r>
      <w:r w:rsidRPr="00A22B7B">
        <w:rPr>
          <w:rFonts w:hint="cs"/>
          <w:rtl/>
        </w:rPr>
        <w:t>وتزيد</w:t>
      </w:r>
      <w:r>
        <w:rPr>
          <w:rFonts w:hint="cs"/>
          <w:rtl/>
        </w:rPr>
        <w:t xml:space="preserve"> </w:t>
      </w:r>
      <w:r w:rsidRPr="00A22B7B">
        <w:rPr>
          <w:rFonts w:hint="cs"/>
          <w:rtl/>
        </w:rPr>
        <w:t>من</w:t>
      </w:r>
      <w:r>
        <w:rPr>
          <w:rFonts w:hint="cs"/>
          <w:rtl/>
        </w:rPr>
        <w:t xml:space="preserve"> </w:t>
      </w:r>
      <w:r w:rsidRPr="00A22B7B">
        <w:rPr>
          <w:rFonts w:hint="cs"/>
          <w:rtl/>
        </w:rPr>
        <w:t>حدّته.</w:t>
      </w:r>
      <w:r>
        <w:rPr>
          <w:rFonts w:hint="cs"/>
          <w:rtl/>
        </w:rPr>
        <w:t xml:space="preserve"> </w:t>
      </w:r>
      <w:r w:rsidRPr="00A22B7B">
        <w:rPr>
          <w:rFonts w:hint="cs"/>
          <w:rtl/>
        </w:rPr>
        <w:t>وأعرب</w:t>
      </w:r>
      <w:r>
        <w:rPr>
          <w:rFonts w:hint="cs"/>
          <w:rtl/>
        </w:rPr>
        <w:t xml:space="preserve"> </w:t>
      </w:r>
      <w:r w:rsidRPr="00A22B7B">
        <w:rPr>
          <w:rFonts w:hint="cs"/>
          <w:rtl/>
        </w:rPr>
        <w:t>المؤتمر</w:t>
      </w:r>
      <w:r>
        <w:rPr>
          <w:rFonts w:hint="cs"/>
          <w:rtl/>
        </w:rPr>
        <w:t xml:space="preserve"> </w:t>
      </w:r>
      <w:r w:rsidRPr="00A22B7B">
        <w:rPr>
          <w:rFonts w:hint="cs"/>
          <w:rtl/>
        </w:rPr>
        <w:t>النسائي</w:t>
      </w:r>
      <w:r>
        <w:rPr>
          <w:rFonts w:hint="cs"/>
          <w:rtl/>
        </w:rPr>
        <w:t xml:space="preserve"> </w:t>
      </w:r>
      <w:r w:rsidRPr="00A22B7B">
        <w:rPr>
          <w:rFonts w:hint="cs"/>
          <w:rtl/>
        </w:rPr>
        <w:t>عن</w:t>
      </w:r>
      <w:r>
        <w:rPr>
          <w:rFonts w:hint="cs"/>
          <w:rtl/>
        </w:rPr>
        <w:t xml:space="preserve"> </w:t>
      </w:r>
      <w:r w:rsidRPr="00A22B7B">
        <w:rPr>
          <w:rFonts w:hint="cs"/>
          <w:rtl/>
        </w:rPr>
        <w:t>أن</w:t>
      </w:r>
      <w:r>
        <w:rPr>
          <w:rFonts w:hint="cs"/>
          <w:rtl/>
        </w:rPr>
        <w:t xml:space="preserve"> </w:t>
      </w:r>
      <w:r w:rsidRPr="00A22B7B">
        <w:rPr>
          <w:rFonts w:hint="cs"/>
          <w:rtl/>
        </w:rPr>
        <w:t>تعدّد</w:t>
      </w:r>
      <w:r>
        <w:rPr>
          <w:rFonts w:hint="cs"/>
          <w:rtl/>
        </w:rPr>
        <w:t xml:space="preserve"> </w:t>
      </w:r>
      <w:r w:rsidRPr="00A22B7B">
        <w:rPr>
          <w:rFonts w:hint="cs"/>
          <w:rtl/>
        </w:rPr>
        <w:t>الزوجات</w:t>
      </w:r>
      <w:r>
        <w:rPr>
          <w:rFonts w:hint="cs"/>
          <w:rtl/>
        </w:rPr>
        <w:t xml:space="preserve"> </w:t>
      </w:r>
      <w:r w:rsidRPr="00A22B7B">
        <w:rPr>
          <w:rFonts w:hint="cs"/>
          <w:rtl/>
        </w:rPr>
        <w:t>يؤدّي</w:t>
      </w:r>
      <w:r>
        <w:rPr>
          <w:rFonts w:hint="cs"/>
          <w:rtl/>
        </w:rPr>
        <w:t xml:space="preserve"> </w:t>
      </w:r>
      <w:r w:rsidRPr="00A22B7B">
        <w:rPr>
          <w:rFonts w:hint="cs"/>
          <w:rtl/>
        </w:rPr>
        <w:t>إلى</w:t>
      </w:r>
      <w:r>
        <w:rPr>
          <w:rFonts w:hint="cs"/>
          <w:rtl/>
        </w:rPr>
        <w:t xml:space="preserve"> </w:t>
      </w:r>
      <w:r w:rsidRPr="00A22B7B">
        <w:rPr>
          <w:rFonts w:hint="cs"/>
          <w:rtl/>
        </w:rPr>
        <w:t>الطلاق</w:t>
      </w:r>
      <w:r>
        <w:rPr>
          <w:rFonts w:hint="cs"/>
          <w:rtl/>
        </w:rPr>
        <w:t xml:space="preserve"> </w:t>
      </w:r>
      <w:r w:rsidRPr="00A22B7B">
        <w:rPr>
          <w:rFonts w:hint="cs"/>
          <w:rtl/>
        </w:rPr>
        <w:t>وانعدام</w:t>
      </w:r>
      <w:r>
        <w:rPr>
          <w:rFonts w:hint="cs"/>
          <w:rtl/>
        </w:rPr>
        <w:t xml:space="preserve"> </w:t>
      </w:r>
      <w:r w:rsidRPr="00A22B7B">
        <w:rPr>
          <w:rFonts w:hint="cs"/>
          <w:rtl/>
        </w:rPr>
        <w:t>الاستقرار</w:t>
      </w:r>
      <w:r>
        <w:rPr>
          <w:rFonts w:hint="cs"/>
          <w:rtl/>
        </w:rPr>
        <w:t xml:space="preserve"> </w:t>
      </w:r>
      <w:r w:rsidRPr="00A22B7B">
        <w:rPr>
          <w:rFonts w:hint="cs"/>
          <w:rtl/>
        </w:rPr>
        <w:t>الاقتصادي،</w:t>
      </w:r>
      <w:r>
        <w:rPr>
          <w:rFonts w:hint="cs"/>
          <w:rtl/>
        </w:rPr>
        <w:t xml:space="preserve"> </w:t>
      </w:r>
      <w:r w:rsidRPr="00A22B7B">
        <w:rPr>
          <w:rFonts w:hint="cs"/>
          <w:rtl/>
        </w:rPr>
        <w:t>كما</w:t>
      </w:r>
      <w:r>
        <w:rPr>
          <w:rFonts w:hint="cs"/>
          <w:rtl/>
        </w:rPr>
        <w:t xml:space="preserve"> </w:t>
      </w:r>
      <w:r w:rsidRPr="00A22B7B">
        <w:rPr>
          <w:rFonts w:hint="cs"/>
          <w:rtl/>
        </w:rPr>
        <w:t>أنه</w:t>
      </w:r>
      <w:r>
        <w:rPr>
          <w:rFonts w:hint="cs"/>
          <w:rtl/>
        </w:rPr>
        <w:t xml:space="preserve"> </w:t>
      </w:r>
      <w:r w:rsidRPr="00A22B7B">
        <w:rPr>
          <w:rFonts w:hint="cs"/>
          <w:rtl/>
        </w:rPr>
        <w:t>يؤدّي</w:t>
      </w:r>
      <w:r>
        <w:rPr>
          <w:rFonts w:hint="cs"/>
          <w:rtl/>
        </w:rPr>
        <w:t xml:space="preserve"> </w:t>
      </w:r>
      <w:r w:rsidRPr="00A22B7B">
        <w:rPr>
          <w:rFonts w:hint="cs"/>
          <w:rtl/>
        </w:rPr>
        <w:t>إلى</w:t>
      </w:r>
      <w:r>
        <w:rPr>
          <w:rFonts w:hint="cs"/>
          <w:rtl/>
        </w:rPr>
        <w:t xml:space="preserve"> </w:t>
      </w:r>
      <w:r w:rsidRPr="00A22B7B">
        <w:rPr>
          <w:rFonts w:hint="cs"/>
          <w:rtl/>
        </w:rPr>
        <w:t>الإحباط</w:t>
      </w:r>
      <w:r>
        <w:rPr>
          <w:rFonts w:hint="cs"/>
          <w:rtl/>
        </w:rPr>
        <w:t xml:space="preserve"> </w:t>
      </w:r>
      <w:r w:rsidRPr="00A22B7B">
        <w:rPr>
          <w:rFonts w:hint="cs"/>
          <w:rtl/>
        </w:rPr>
        <w:t>والمشاكل</w:t>
      </w:r>
      <w:r>
        <w:rPr>
          <w:rFonts w:hint="cs"/>
          <w:rtl/>
        </w:rPr>
        <w:t xml:space="preserve"> </w:t>
      </w:r>
      <w:r w:rsidRPr="00A22B7B">
        <w:rPr>
          <w:rFonts w:hint="cs"/>
          <w:rtl/>
        </w:rPr>
        <w:t>النفسية</w:t>
      </w:r>
      <w:r>
        <w:rPr>
          <w:rFonts w:hint="cs"/>
          <w:rtl/>
        </w:rPr>
        <w:t xml:space="preserve"> </w:t>
      </w:r>
      <w:r w:rsidRPr="00A22B7B">
        <w:rPr>
          <w:rFonts w:hint="cs"/>
          <w:rtl/>
        </w:rPr>
        <w:t>لدى</w:t>
      </w:r>
      <w:r>
        <w:rPr>
          <w:rFonts w:hint="cs"/>
          <w:rtl/>
        </w:rPr>
        <w:t xml:space="preserve"> </w:t>
      </w:r>
      <w:r w:rsidRPr="00A22B7B">
        <w:rPr>
          <w:rFonts w:hint="cs"/>
          <w:rtl/>
        </w:rPr>
        <w:t>النساء</w:t>
      </w:r>
      <w:r>
        <w:rPr>
          <w:rFonts w:hint="cs"/>
          <w:rtl/>
        </w:rPr>
        <w:t xml:space="preserve"> </w:t>
      </w:r>
      <w:r w:rsidRPr="00A22B7B">
        <w:rPr>
          <w:rFonts w:hint="cs"/>
          <w:rtl/>
        </w:rPr>
        <w:t>والأطفال</w:t>
      </w:r>
      <w:r>
        <w:rPr>
          <w:rFonts w:hint="cs"/>
          <w:rtl/>
        </w:rPr>
        <w:t xml:space="preserve"> </w:t>
      </w:r>
      <w:r w:rsidRPr="00A22B7B">
        <w:rPr>
          <w:rFonts w:hint="cs"/>
          <w:rtl/>
        </w:rPr>
        <w:t>الأمر</w:t>
      </w:r>
      <w:r>
        <w:rPr>
          <w:rFonts w:hint="cs"/>
          <w:rtl/>
        </w:rPr>
        <w:t xml:space="preserve"> </w:t>
      </w:r>
      <w:r w:rsidRPr="00A22B7B">
        <w:rPr>
          <w:rFonts w:hint="cs"/>
          <w:rtl/>
        </w:rPr>
        <w:t>الذي</w:t>
      </w:r>
      <w:r>
        <w:rPr>
          <w:rFonts w:hint="cs"/>
          <w:rtl/>
        </w:rPr>
        <w:t xml:space="preserve"> </w:t>
      </w:r>
      <w:r w:rsidRPr="00A22B7B">
        <w:rPr>
          <w:rFonts w:hint="cs"/>
          <w:rtl/>
        </w:rPr>
        <w:t>قد</w:t>
      </w:r>
      <w:r>
        <w:rPr>
          <w:rFonts w:hint="cs"/>
          <w:rtl/>
        </w:rPr>
        <w:t xml:space="preserve"> </w:t>
      </w:r>
      <w:r w:rsidRPr="00A22B7B">
        <w:rPr>
          <w:rFonts w:hint="cs"/>
          <w:rtl/>
        </w:rPr>
        <w:t>يفضي</w:t>
      </w:r>
      <w:r>
        <w:rPr>
          <w:rFonts w:hint="cs"/>
          <w:rtl/>
        </w:rPr>
        <w:t xml:space="preserve"> </w:t>
      </w:r>
      <w:r w:rsidRPr="00A22B7B">
        <w:rPr>
          <w:rFonts w:hint="cs"/>
          <w:rtl/>
        </w:rPr>
        <w:t>إلى</w:t>
      </w:r>
      <w:r>
        <w:rPr>
          <w:rFonts w:hint="cs"/>
          <w:rtl/>
        </w:rPr>
        <w:t xml:space="preserve"> </w:t>
      </w:r>
      <w:r w:rsidRPr="00A22B7B">
        <w:rPr>
          <w:rFonts w:hint="cs"/>
          <w:rtl/>
        </w:rPr>
        <w:t>العنف</w:t>
      </w:r>
      <w:r>
        <w:rPr>
          <w:rFonts w:hint="cs"/>
          <w:rtl/>
        </w:rPr>
        <w:t xml:space="preserve"> </w:t>
      </w:r>
      <w:r w:rsidRPr="00A22B7B">
        <w:rPr>
          <w:rFonts w:hint="cs"/>
          <w:rtl/>
        </w:rPr>
        <w:t>المنزلي</w:t>
      </w:r>
      <w:r w:rsidRPr="00E7233B">
        <w:rPr>
          <w:vertAlign w:val="superscript"/>
          <w:rtl/>
        </w:rPr>
        <w:t>(</w:t>
      </w:r>
      <w:r w:rsidRPr="00E7233B">
        <w:rPr>
          <w:rStyle w:val="FootnoteReference"/>
          <w:szCs w:val="30"/>
          <w:rtl/>
        </w:rPr>
        <w:footnoteReference w:id="294"/>
      </w:r>
      <w:r w:rsidRPr="00E7233B">
        <w:rPr>
          <w:vertAlign w:val="superscript"/>
          <w:rtl/>
        </w:rPr>
        <w:t>)</w:t>
      </w:r>
      <w:r w:rsidRPr="00A22B7B">
        <w:rPr>
          <w:rFonts w:hint="cs"/>
          <w:rtl/>
        </w:rPr>
        <w:t>.</w:t>
      </w:r>
    </w:p>
    <w:p w:rsidR="009943B2" w:rsidRPr="00E7233B" w:rsidRDefault="009943B2" w:rsidP="009943B2">
      <w:pPr>
        <w:pStyle w:val="SingleTxt"/>
        <w:spacing w:after="0" w:line="120" w:lineRule="exact"/>
        <w:rPr>
          <w:rFonts w:hint="cs"/>
          <w:sz w:val="10"/>
          <w:rtl/>
        </w:rPr>
      </w:pPr>
    </w:p>
    <w:p w:rsidR="009943B2" w:rsidRPr="00A22B7B" w:rsidRDefault="009943B2" w:rsidP="009943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Pr="00A22B7B">
        <w:rPr>
          <w:rFonts w:hint="cs"/>
          <w:rtl/>
        </w:rPr>
        <w:t>الأسرة</w:t>
      </w:r>
      <w:r>
        <w:rPr>
          <w:rFonts w:hint="cs"/>
          <w:rtl/>
        </w:rPr>
        <w:t xml:space="preserve"> </w:t>
      </w:r>
      <w:r w:rsidRPr="00A22B7B">
        <w:rPr>
          <w:rFonts w:hint="cs"/>
          <w:rtl/>
        </w:rPr>
        <w:t>والميراث</w:t>
      </w:r>
      <w:r>
        <w:rPr>
          <w:rFonts w:hint="cs"/>
          <w:rtl/>
        </w:rPr>
        <w:t xml:space="preserve"> </w:t>
      </w:r>
      <w:r w:rsidRPr="00A22B7B">
        <w:rPr>
          <w:rFonts w:hint="cs"/>
          <w:rtl/>
        </w:rPr>
        <w:t>وحقوق</w:t>
      </w:r>
      <w:r>
        <w:rPr>
          <w:rFonts w:hint="cs"/>
          <w:rtl/>
        </w:rPr>
        <w:t xml:space="preserve"> </w:t>
      </w:r>
      <w:r w:rsidRPr="00A22B7B">
        <w:rPr>
          <w:rFonts w:hint="cs"/>
          <w:rtl/>
        </w:rPr>
        <w:t>الملكية</w:t>
      </w:r>
    </w:p>
    <w:p w:rsidR="009943B2" w:rsidRPr="00A22B7B" w:rsidRDefault="009943B2" w:rsidP="009943B2">
      <w:pPr>
        <w:pStyle w:val="SingleTxt"/>
        <w:rPr>
          <w:rFonts w:hint="cs"/>
        </w:rPr>
      </w:pPr>
      <w:r>
        <w:rPr>
          <w:rFonts w:hint="cs"/>
          <w:rtl/>
        </w:rPr>
        <w:t xml:space="preserve">345 - </w:t>
      </w:r>
      <w:r w:rsidRPr="00A22B7B">
        <w:rPr>
          <w:rFonts w:hint="cs"/>
          <w:rtl/>
        </w:rPr>
        <w:t>وفق</w:t>
      </w:r>
      <w:r>
        <w:rPr>
          <w:rFonts w:hint="cs"/>
          <w:rtl/>
        </w:rPr>
        <w:t xml:space="preserve"> </w:t>
      </w:r>
      <w:r w:rsidRPr="00A22B7B">
        <w:rPr>
          <w:rFonts w:hint="cs"/>
          <w:rtl/>
        </w:rPr>
        <w:t>الأعراف</w:t>
      </w:r>
      <w:r>
        <w:rPr>
          <w:rFonts w:hint="cs"/>
          <w:rtl/>
        </w:rPr>
        <w:t xml:space="preserve"> </w:t>
      </w:r>
      <w:r w:rsidRPr="00A22B7B">
        <w:rPr>
          <w:rFonts w:hint="cs"/>
          <w:rtl/>
        </w:rPr>
        <w:t>التقليدية،</w:t>
      </w:r>
      <w:r>
        <w:rPr>
          <w:rFonts w:hint="cs"/>
          <w:rtl/>
        </w:rPr>
        <w:t xml:space="preserve"> </w:t>
      </w:r>
      <w:r w:rsidRPr="00A22B7B">
        <w:rPr>
          <w:rFonts w:hint="cs"/>
          <w:rtl/>
        </w:rPr>
        <w:t>لا</w:t>
      </w:r>
      <w:r>
        <w:rPr>
          <w:rFonts w:hint="cs"/>
          <w:rtl/>
        </w:rPr>
        <w:t xml:space="preserve"> </w:t>
      </w:r>
      <w:r w:rsidRPr="00A22B7B">
        <w:rPr>
          <w:rFonts w:hint="cs"/>
          <w:rtl/>
        </w:rPr>
        <w:t>يعتبر</w:t>
      </w:r>
      <w:r>
        <w:rPr>
          <w:rFonts w:hint="cs"/>
          <w:rtl/>
        </w:rPr>
        <w:t xml:space="preserve"> </w:t>
      </w:r>
      <w:r w:rsidRPr="00A22B7B">
        <w:rPr>
          <w:rFonts w:hint="cs"/>
          <w:rtl/>
        </w:rPr>
        <w:t>الزواج</w:t>
      </w:r>
      <w:r>
        <w:rPr>
          <w:rFonts w:hint="cs"/>
          <w:rtl/>
        </w:rPr>
        <w:t xml:space="preserve"> </w:t>
      </w:r>
      <w:r w:rsidRPr="00A22B7B">
        <w:rPr>
          <w:rFonts w:hint="cs"/>
          <w:rtl/>
        </w:rPr>
        <w:t>ارتباطًا</w:t>
      </w:r>
      <w:r>
        <w:rPr>
          <w:rFonts w:hint="cs"/>
          <w:rtl/>
        </w:rPr>
        <w:t xml:space="preserve"> </w:t>
      </w:r>
      <w:r w:rsidRPr="00A22B7B">
        <w:rPr>
          <w:rFonts w:hint="cs"/>
          <w:rtl/>
        </w:rPr>
        <w:t>بين</w:t>
      </w:r>
      <w:r>
        <w:rPr>
          <w:rFonts w:hint="cs"/>
          <w:rtl/>
        </w:rPr>
        <w:t xml:space="preserve"> </w:t>
      </w:r>
      <w:r w:rsidRPr="00A22B7B">
        <w:rPr>
          <w:rFonts w:hint="cs"/>
          <w:rtl/>
        </w:rPr>
        <w:t>فردين</w:t>
      </w:r>
      <w:r>
        <w:rPr>
          <w:rFonts w:hint="cs"/>
          <w:rtl/>
        </w:rPr>
        <w:t xml:space="preserve"> </w:t>
      </w:r>
      <w:r w:rsidRPr="00A22B7B">
        <w:rPr>
          <w:rFonts w:hint="cs"/>
          <w:rtl/>
        </w:rPr>
        <w:t>وإنما</w:t>
      </w:r>
      <w:r>
        <w:rPr>
          <w:rFonts w:hint="cs"/>
          <w:rtl/>
        </w:rPr>
        <w:t xml:space="preserve"> </w:t>
      </w:r>
      <w:r w:rsidRPr="00A22B7B">
        <w:rPr>
          <w:rFonts w:hint="cs"/>
          <w:rtl/>
        </w:rPr>
        <w:t>يتضمّن</w:t>
      </w:r>
      <w:r>
        <w:rPr>
          <w:rFonts w:hint="cs"/>
          <w:rtl/>
        </w:rPr>
        <w:t xml:space="preserve"> </w:t>
      </w:r>
      <w:r w:rsidRPr="00A22B7B">
        <w:rPr>
          <w:rFonts w:hint="cs"/>
          <w:rtl/>
        </w:rPr>
        <w:t>مجموعة</w:t>
      </w:r>
      <w:r>
        <w:rPr>
          <w:rFonts w:hint="cs"/>
          <w:rtl/>
        </w:rPr>
        <w:t xml:space="preserve"> </w:t>
      </w:r>
      <w:r w:rsidRPr="00A22B7B">
        <w:rPr>
          <w:rFonts w:hint="cs"/>
          <w:rtl/>
        </w:rPr>
        <w:t>من</w:t>
      </w:r>
      <w:r>
        <w:rPr>
          <w:rFonts w:hint="cs"/>
          <w:rtl/>
        </w:rPr>
        <w:t xml:space="preserve"> </w:t>
      </w:r>
      <w:r w:rsidRPr="00A22B7B">
        <w:rPr>
          <w:rFonts w:hint="cs"/>
          <w:rtl/>
        </w:rPr>
        <w:t>العلاقات</w:t>
      </w:r>
      <w:r>
        <w:rPr>
          <w:rFonts w:hint="cs"/>
          <w:rtl/>
        </w:rPr>
        <w:t xml:space="preserve"> </w:t>
      </w:r>
      <w:r w:rsidRPr="00A22B7B">
        <w:rPr>
          <w:rFonts w:hint="cs"/>
          <w:rtl/>
        </w:rPr>
        <w:t>والواجبات</w:t>
      </w:r>
      <w:r>
        <w:rPr>
          <w:rFonts w:hint="cs"/>
          <w:rtl/>
        </w:rPr>
        <w:t xml:space="preserve"> </w:t>
      </w:r>
      <w:r w:rsidRPr="00A22B7B">
        <w:rPr>
          <w:rFonts w:hint="cs"/>
          <w:rtl/>
        </w:rPr>
        <w:t>بين</w:t>
      </w:r>
      <w:r>
        <w:rPr>
          <w:rFonts w:hint="cs"/>
          <w:rtl/>
        </w:rPr>
        <w:t xml:space="preserve"> </w:t>
      </w:r>
      <w:r w:rsidRPr="00A22B7B">
        <w:rPr>
          <w:rFonts w:hint="cs"/>
          <w:rtl/>
        </w:rPr>
        <w:t>الأسرتين</w:t>
      </w:r>
      <w:r>
        <w:rPr>
          <w:rFonts w:hint="cs"/>
          <w:rtl/>
        </w:rPr>
        <w:t xml:space="preserve"> </w:t>
      </w:r>
      <w:r w:rsidRPr="00A22B7B">
        <w:rPr>
          <w:rFonts w:hint="cs"/>
          <w:rtl/>
        </w:rPr>
        <w:t>الممتدتين</w:t>
      </w:r>
      <w:r>
        <w:rPr>
          <w:rFonts w:hint="cs"/>
          <w:rtl/>
        </w:rPr>
        <w:t xml:space="preserve"> - </w:t>
      </w:r>
      <w:r w:rsidRPr="00A22B7B">
        <w:rPr>
          <w:rFonts w:hint="cs"/>
          <w:rtl/>
        </w:rPr>
        <w:t>المسماة</w:t>
      </w:r>
      <w:r>
        <w:rPr>
          <w:rFonts w:hint="cs"/>
          <w:rtl/>
        </w:rPr>
        <w:t xml:space="preserve"> </w:t>
      </w:r>
      <w:r w:rsidRPr="00A22B7B">
        <w:rPr>
          <w:rFonts w:hint="cs"/>
          <w:rtl/>
        </w:rPr>
        <w:t>أوماني</w:t>
      </w:r>
      <w:r>
        <w:rPr>
          <w:rFonts w:hint="cs"/>
          <w:rtl/>
        </w:rPr>
        <w:t xml:space="preserve"> ’</w:t>
      </w:r>
      <w:r w:rsidRPr="00A22B7B">
        <w:rPr>
          <w:i/>
        </w:rPr>
        <w:t>umane</w:t>
      </w:r>
      <w:r>
        <w:rPr>
          <w:rFonts w:hint="cs"/>
          <w:rtl/>
        </w:rPr>
        <w:t xml:space="preserve">‘ </w:t>
      </w:r>
      <w:r w:rsidRPr="00A22B7B">
        <w:rPr>
          <w:rFonts w:hint="cs"/>
          <w:rtl/>
        </w:rPr>
        <w:t>لأسرة</w:t>
      </w:r>
      <w:r>
        <w:rPr>
          <w:rFonts w:hint="cs"/>
          <w:rtl/>
        </w:rPr>
        <w:t xml:space="preserve"> </w:t>
      </w:r>
      <w:r w:rsidRPr="00A22B7B">
        <w:rPr>
          <w:rFonts w:hint="cs"/>
          <w:rtl/>
        </w:rPr>
        <w:t>الزوجة</w:t>
      </w:r>
      <w:r>
        <w:rPr>
          <w:rFonts w:hint="cs"/>
          <w:rtl/>
        </w:rPr>
        <w:t xml:space="preserve"> </w:t>
      </w:r>
      <w:r w:rsidRPr="00A22B7B">
        <w:rPr>
          <w:rFonts w:hint="cs"/>
          <w:rtl/>
        </w:rPr>
        <w:t>وفيتوسان</w:t>
      </w:r>
      <w:r>
        <w:rPr>
          <w:rFonts w:hint="cs"/>
          <w:rtl/>
        </w:rPr>
        <w:t xml:space="preserve"> ’</w:t>
      </w:r>
      <w:r w:rsidRPr="00A22B7B">
        <w:rPr>
          <w:i/>
        </w:rPr>
        <w:t>fetosan</w:t>
      </w:r>
      <w:r>
        <w:rPr>
          <w:rFonts w:hint="cs"/>
          <w:rtl/>
        </w:rPr>
        <w:t xml:space="preserve">‘ </w:t>
      </w:r>
      <w:r w:rsidRPr="00A22B7B">
        <w:rPr>
          <w:rFonts w:hint="cs"/>
          <w:rtl/>
        </w:rPr>
        <w:t>لأسرة</w:t>
      </w:r>
      <w:r>
        <w:rPr>
          <w:rFonts w:hint="cs"/>
          <w:rtl/>
        </w:rPr>
        <w:t xml:space="preserve"> </w:t>
      </w:r>
      <w:r w:rsidRPr="00A22B7B">
        <w:rPr>
          <w:rFonts w:hint="cs"/>
          <w:rtl/>
        </w:rPr>
        <w:t>الزوج.</w:t>
      </w:r>
    </w:p>
    <w:p w:rsidR="009943B2" w:rsidRPr="00A22B7B" w:rsidRDefault="009943B2" w:rsidP="009943B2">
      <w:pPr>
        <w:pStyle w:val="SingleTxt"/>
        <w:rPr>
          <w:rFonts w:hint="cs"/>
        </w:rPr>
      </w:pPr>
      <w:r>
        <w:rPr>
          <w:rFonts w:hint="cs"/>
          <w:rtl/>
        </w:rPr>
        <w:t xml:space="preserve">346 - </w:t>
      </w:r>
      <w:r w:rsidRPr="00A22B7B">
        <w:rPr>
          <w:rFonts w:hint="cs"/>
          <w:rtl/>
        </w:rPr>
        <w:t>ويناسب</w:t>
      </w:r>
      <w:r>
        <w:rPr>
          <w:rFonts w:hint="cs"/>
          <w:rtl/>
        </w:rPr>
        <w:t xml:space="preserve"> </w:t>
      </w:r>
      <w:r w:rsidRPr="00A22B7B">
        <w:rPr>
          <w:rFonts w:hint="cs"/>
          <w:rtl/>
        </w:rPr>
        <w:t>تعريف</w:t>
      </w:r>
      <w:r>
        <w:rPr>
          <w:rFonts w:hint="cs"/>
          <w:rtl/>
        </w:rPr>
        <w:t xml:space="preserve"> </w:t>
      </w:r>
      <w:r w:rsidRPr="00A22B7B">
        <w:rPr>
          <w:rFonts w:hint="cs"/>
          <w:rtl/>
        </w:rPr>
        <w:t>العائلة</w:t>
      </w:r>
      <w:r>
        <w:rPr>
          <w:rFonts w:hint="cs"/>
          <w:rtl/>
        </w:rPr>
        <w:t xml:space="preserve"> </w:t>
      </w:r>
      <w:r w:rsidRPr="00A22B7B">
        <w:rPr>
          <w:rFonts w:hint="cs"/>
          <w:rtl/>
        </w:rPr>
        <w:t>الوارد</w:t>
      </w:r>
      <w:r>
        <w:rPr>
          <w:rFonts w:hint="cs"/>
          <w:rtl/>
        </w:rPr>
        <w:t xml:space="preserve"> </w:t>
      </w:r>
      <w:r w:rsidRPr="00A22B7B">
        <w:rPr>
          <w:rFonts w:hint="cs"/>
          <w:rtl/>
        </w:rPr>
        <w:t>في</w:t>
      </w:r>
      <w:r>
        <w:rPr>
          <w:rFonts w:hint="cs"/>
          <w:rtl/>
        </w:rPr>
        <w:t xml:space="preserve"> </w:t>
      </w:r>
      <w:r w:rsidRPr="00A22B7B">
        <w:rPr>
          <w:rFonts w:hint="cs"/>
          <w:rtl/>
        </w:rPr>
        <w:t>المادة</w:t>
      </w:r>
      <w:r>
        <w:rPr>
          <w:rFonts w:hint="cs"/>
          <w:rtl/>
        </w:rPr>
        <w:t xml:space="preserve"> </w:t>
      </w:r>
      <w:r w:rsidRPr="00A22B7B">
        <w:rPr>
          <w:rFonts w:hint="cs"/>
          <w:rtl/>
        </w:rPr>
        <w:t>3</w:t>
      </w:r>
      <w:r>
        <w:rPr>
          <w:rFonts w:hint="cs"/>
          <w:rtl/>
        </w:rPr>
        <w:t xml:space="preserve"> </w:t>
      </w:r>
      <w:r w:rsidRPr="00A22B7B">
        <w:rPr>
          <w:rFonts w:hint="cs"/>
          <w:rtl/>
        </w:rPr>
        <w:t>من</w:t>
      </w:r>
      <w:r>
        <w:rPr>
          <w:rFonts w:hint="cs"/>
          <w:rtl/>
        </w:rPr>
        <w:t xml:space="preserve"> </w:t>
      </w:r>
      <w:r w:rsidRPr="00A22B7B">
        <w:rPr>
          <w:rFonts w:hint="cs"/>
          <w:rtl/>
        </w:rPr>
        <w:t>قانون</w:t>
      </w:r>
      <w:r>
        <w:rPr>
          <w:rFonts w:hint="cs"/>
          <w:rtl/>
        </w:rPr>
        <w:t xml:space="preserve"> </w:t>
      </w:r>
      <w:r w:rsidRPr="00A22B7B">
        <w:rPr>
          <w:rFonts w:hint="cs"/>
          <w:rtl/>
        </w:rPr>
        <w:t>مكافحة</w:t>
      </w:r>
      <w:r>
        <w:rPr>
          <w:rFonts w:hint="cs"/>
          <w:rtl/>
        </w:rPr>
        <w:t xml:space="preserve"> </w:t>
      </w:r>
      <w:r w:rsidRPr="00A22B7B">
        <w:rPr>
          <w:rFonts w:hint="cs"/>
          <w:rtl/>
        </w:rPr>
        <w:t>العنف</w:t>
      </w:r>
      <w:r>
        <w:rPr>
          <w:rFonts w:hint="cs"/>
          <w:rtl/>
        </w:rPr>
        <w:t xml:space="preserve"> </w:t>
      </w:r>
      <w:r w:rsidRPr="00A22B7B">
        <w:rPr>
          <w:rFonts w:hint="cs"/>
          <w:rtl/>
        </w:rPr>
        <w:t>المنزلي</w:t>
      </w:r>
      <w:r>
        <w:rPr>
          <w:rFonts w:hint="cs"/>
          <w:rtl/>
        </w:rPr>
        <w:t xml:space="preserve"> </w:t>
      </w:r>
      <w:r w:rsidRPr="00A22B7B">
        <w:rPr>
          <w:rFonts w:hint="cs"/>
          <w:rtl/>
        </w:rPr>
        <w:t>هذا</w:t>
      </w:r>
      <w:r>
        <w:rPr>
          <w:rFonts w:hint="cs"/>
          <w:rtl/>
        </w:rPr>
        <w:t xml:space="preserve"> </w:t>
      </w:r>
      <w:r w:rsidRPr="00A22B7B">
        <w:rPr>
          <w:rFonts w:hint="cs"/>
          <w:rtl/>
        </w:rPr>
        <w:t>السياق</w:t>
      </w:r>
      <w:r>
        <w:rPr>
          <w:rFonts w:hint="cs"/>
          <w:rtl/>
        </w:rPr>
        <w:t xml:space="preserve"> </w:t>
      </w:r>
      <w:r w:rsidRPr="00A22B7B">
        <w:rPr>
          <w:rFonts w:hint="cs"/>
          <w:rtl/>
        </w:rPr>
        <w:t>من</w:t>
      </w:r>
      <w:r>
        <w:rPr>
          <w:rFonts w:hint="cs"/>
          <w:rtl/>
        </w:rPr>
        <w:t xml:space="preserve"> </w:t>
      </w:r>
      <w:r w:rsidRPr="00A22B7B">
        <w:rPr>
          <w:rFonts w:hint="cs"/>
          <w:rtl/>
        </w:rPr>
        <w:t>خلال</w:t>
      </w:r>
      <w:r>
        <w:rPr>
          <w:rFonts w:hint="cs"/>
          <w:rtl/>
        </w:rPr>
        <w:t xml:space="preserve"> </w:t>
      </w:r>
      <w:r w:rsidRPr="00A22B7B">
        <w:rPr>
          <w:rFonts w:hint="cs"/>
          <w:rtl/>
        </w:rPr>
        <w:t>تفسيره</w:t>
      </w:r>
      <w:r>
        <w:rPr>
          <w:rFonts w:hint="cs"/>
          <w:rtl/>
        </w:rPr>
        <w:t xml:space="preserve"> </w:t>
      </w:r>
      <w:r w:rsidRPr="00A22B7B">
        <w:rPr>
          <w:rFonts w:hint="cs"/>
          <w:rtl/>
        </w:rPr>
        <w:t>الواسع</w:t>
      </w:r>
      <w:r>
        <w:rPr>
          <w:rFonts w:hint="cs"/>
          <w:rtl/>
        </w:rPr>
        <w:t xml:space="preserve"> </w:t>
      </w:r>
      <w:r w:rsidRPr="00A22B7B">
        <w:rPr>
          <w:rFonts w:hint="cs"/>
          <w:rtl/>
        </w:rPr>
        <w:t>لمفهوم</w:t>
      </w:r>
      <w:r>
        <w:rPr>
          <w:rFonts w:hint="cs"/>
          <w:rtl/>
        </w:rPr>
        <w:t xml:space="preserve"> </w:t>
      </w:r>
      <w:r w:rsidRPr="00A22B7B">
        <w:rPr>
          <w:rFonts w:hint="cs"/>
          <w:rtl/>
        </w:rPr>
        <w:t>العائلة.</w:t>
      </w:r>
      <w:r>
        <w:rPr>
          <w:rFonts w:hint="cs"/>
          <w:rtl/>
        </w:rPr>
        <w:t xml:space="preserve"> </w:t>
      </w:r>
      <w:r w:rsidRPr="00A22B7B">
        <w:rPr>
          <w:rFonts w:hint="cs"/>
          <w:rtl/>
        </w:rPr>
        <w:t>وتنصّ</w:t>
      </w:r>
      <w:r>
        <w:rPr>
          <w:rFonts w:hint="cs"/>
          <w:rtl/>
        </w:rPr>
        <w:t xml:space="preserve"> </w:t>
      </w:r>
      <w:r w:rsidRPr="00A22B7B">
        <w:rPr>
          <w:rFonts w:hint="cs"/>
          <w:rtl/>
        </w:rPr>
        <w:t>المادة</w:t>
      </w:r>
      <w:r>
        <w:rPr>
          <w:rFonts w:hint="cs"/>
          <w:rtl/>
        </w:rPr>
        <w:t xml:space="preserve"> </w:t>
      </w:r>
      <w:r w:rsidRPr="00A22B7B">
        <w:rPr>
          <w:rFonts w:hint="cs"/>
          <w:rtl/>
        </w:rPr>
        <w:t>1466</w:t>
      </w:r>
      <w:r>
        <w:rPr>
          <w:rFonts w:hint="cs"/>
          <w:rtl/>
        </w:rPr>
        <w:t xml:space="preserve"> </w:t>
      </w:r>
      <w:r w:rsidRPr="00A22B7B">
        <w:rPr>
          <w:rFonts w:hint="cs"/>
          <w:rtl/>
        </w:rPr>
        <w:t>من</w:t>
      </w:r>
      <w:r>
        <w:rPr>
          <w:rFonts w:hint="cs"/>
          <w:rtl/>
        </w:rPr>
        <w:t xml:space="preserve"> </w:t>
      </w:r>
      <w:r w:rsidRPr="00A22B7B">
        <w:rPr>
          <w:rFonts w:hint="cs"/>
          <w:rtl/>
        </w:rPr>
        <w:t>القانون</w:t>
      </w:r>
      <w:r>
        <w:rPr>
          <w:rFonts w:hint="cs"/>
          <w:rtl/>
        </w:rPr>
        <w:t xml:space="preserve"> </w:t>
      </w:r>
      <w:r w:rsidRPr="00A22B7B">
        <w:rPr>
          <w:rFonts w:hint="cs"/>
          <w:rtl/>
        </w:rPr>
        <w:t>المدني</w:t>
      </w:r>
      <w:r>
        <w:rPr>
          <w:rFonts w:hint="cs"/>
          <w:rtl/>
        </w:rPr>
        <w:t xml:space="preserve"> </w:t>
      </w:r>
      <w:r w:rsidRPr="00A22B7B">
        <w:rPr>
          <w:rFonts w:hint="cs"/>
          <w:rtl/>
        </w:rPr>
        <w:t>على</w:t>
      </w:r>
      <w:r>
        <w:rPr>
          <w:rFonts w:hint="cs"/>
          <w:rtl/>
        </w:rPr>
        <w:t xml:space="preserve"> </w:t>
      </w:r>
      <w:r w:rsidRPr="00A22B7B">
        <w:rPr>
          <w:rFonts w:hint="cs"/>
          <w:rtl/>
        </w:rPr>
        <w:t>أن</w:t>
      </w:r>
      <w:r>
        <w:rPr>
          <w:rFonts w:hint="cs"/>
          <w:rtl/>
        </w:rPr>
        <w:t xml:space="preserve"> </w:t>
      </w:r>
      <w:r w:rsidRPr="00A22B7B">
        <w:rPr>
          <w:rFonts w:hint="cs"/>
          <w:rtl/>
        </w:rPr>
        <w:t>الزواج</w:t>
      </w:r>
      <w:r>
        <w:rPr>
          <w:rFonts w:hint="cs"/>
          <w:rtl/>
        </w:rPr>
        <w:t xml:space="preserve"> </w:t>
      </w:r>
      <w:r w:rsidRPr="00A22B7B">
        <w:rPr>
          <w:rFonts w:hint="cs"/>
          <w:rtl/>
        </w:rPr>
        <w:t>والقرابة</w:t>
      </w:r>
      <w:r>
        <w:rPr>
          <w:rFonts w:hint="cs"/>
          <w:rtl/>
        </w:rPr>
        <w:t xml:space="preserve"> </w:t>
      </w:r>
      <w:r w:rsidRPr="00A22B7B">
        <w:rPr>
          <w:rFonts w:hint="cs"/>
          <w:rtl/>
        </w:rPr>
        <w:t>والمصاهرة</w:t>
      </w:r>
      <w:r>
        <w:rPr>
          <w:rFonts w:hint="cs"/>
          <w:rtl/>
        </w:rPr>
        <w:t xml:space="preserve"> </w:t>
      </w:r>
      <w:r w:rsidRPr="00A22B7B">
        <w:rPr>
          <w:rFonts w:hint="cs"/>
          <w:rtl/>
        </w:rPr>
        <w:t>والتبني</w:t>
      </w:r>
      <w:r>
        <w:rPr>
          <w:rFonts w:hint="cs"/>
          <w:rtl/>
        </w:rPr>
        <w:t xml:space="preserve"> </w:t>
      </w:r>
      <w:r w:rsidRPr="00A22B7B">
        <w:rPr>
          <w:rFonts w:hint="cs"/>
          <w:rtl/>
        </w:rPr>
        <w:t>هي</w:t>
      </w:r>
      <w:r>
        <w:rPr>
          <w:rFonts w:hint="cs"/>
          <w:rtl/>
        </w:rPr>
        <w:t xml:space="preserve"> </w:t>
      </w:r>
      <w:r w:rsidRPr="00A22B7B">
        <w:rPr>
          <w:rFonts w:hint="cs"/>
          <w:rtl/>
        </w:rPr>
        <w:t>من</w:t>
      </w:r>
      <w:r>
        <w:rPr>
          <w:rFonts w:hint="cs"/>
          <w:rtl/>
        </w:rPr>
        <w:t xml:space="preserve"> </w:t>
      </w:r>
      <w:r w:rsidRPr="00A22B7B">
        <w:rPr>
          <w:rFonts w:hint="cs"/>
          <w:rtl/>
        </w:rPr>
        <w:t>العلاقات</w:t>
      </w:r>
      <w:r>
        <w:rPr>
          <w:rFonts w:hint="cs"/>
          <w:rtl/>
        </w:rPr>
        <w:t xml:space="preserve"> </w:t>
      </w:r>
      <w:r w:rsidRPr="00A22B7B">
        <w:rPr>
          <w:rFonts w:hint="cs"/>
          <w:rtl/>
        </w:rPr>
        <w:t>القانونية.</w:t>
      </w:r>
      <w:r>
        <w:rPr>
          <w:rFonts w:hint="cs"/>
          <w:rtl/>
        </w:rPr>
        <w:t xml:space="preserve"> </w:t>
      </w:r>
    </w:p>
    <w:p w:rsidR="009943B2" w:rsidRPr="00A22B7B" w:rsidRDefault="009943B2" w:rsidP="009943B2">
      <w:pPr>
        <w:pStyle w:val="SingleTxt"/>
        <w:rPr>
          <w:rFonts w:hint="cs"/>
        </w:rPr>
      </w:pPr>
      <w:r>
        <w:rPr>
          <w:rFonts w:hint="cs"/>
          <w:rtl/>
        </w:rPr>
        <w:t xml:space="preserve">347 - </w:t>
      </w:r>
      <w:r w:rsidRPr="00A22B7B">
        <w:rPr>
          <w:rFonts w:hint="cs"/>
          <w:rtl/>
        </w:rPr>
        <w:t>ونتيجة</w:t>
      </w:r>
      <w:r>
        <w:rPr>
          <w:rFonts w:hint="cs"/>
          <w:rtl/>
        </w:rPr>
        <w:t xml:space="preserve"> </w:t>
      </w:r>
      <w:r w:rsidRPr="00A22B7B">
        <w:rPr>
          <w:rFonts w:hint="cs"/>
          <w:rtl/>
        </w:rPr>
        <w:t>لذلك،</w:t>
      </w:r>
      <w:r>
        <w:rPr>
          <w:rFonts w:hint="cs"/>
          <w:rtl/>
        </w:rPr>
        <w:t xml:space="preserve"> </w:t>
      </w:r>
      <w:r w:rsidRPr="00A22B7B">
        <w:rPr>
          <w:rFonts w:hint="cs"/>
          <w:rtl/>
        </w:rPr>
        <w:t>وعلى</w:t>
      </w:r>
      <w:r>
        <w:rPr>
          <w:rFonts w:hint="cs"/>
          <w:rtl/>
        </w:rPr>
        <w:t xml:space="preserve"> </w:t>
      </w:r>
      <w:r w:rsidRPr="00A22B7B">
        <w:rPr>
          <w:rFonts w:hint="cs"/>
          <w:rtl/>
        </w:rPr>
        <w:t>الرغم</w:t>
      </w:r>
      <w:r>
        <w:rPr>
          <w:rFonts w:hint="cs"/>
          <w:rtl/>
        </w:rPr>
        <w:t xml:space="preserve"> </w:t>
      </w:r>
      <w:r w:rsidRPr="00A22B7B">
        <w:rPr>
          <w:rFonts w:hint="cs"/>
          <w:rtl/>
        </w:rPr>
        <w:t>من</w:t>
      </w:r>
      <w:r>
        <w:rPr>
          <w:rFonts w:hint="cs"/>
          <w:rtl/>
        </w:rPr>
        <w:t xml:space="preserve"> </w:t>
      </w:r>
      <w:r w:rsidRPr="00A22B7B">
        <w:rPr>
          <w:rFonts w:hint="cs"/>
          <w:rtl/>
        </w:rPr>
        <w:t>أحكام</w:t>
      </w:r>
      <w:r>
        <w:rPr>
          <w:rFonts w:hint="cs"/>
          <w:rtl/>
        </w:rPr>
        <w:t xml:space="preserve"> </w:t>
      </w:r>
      <w:r w:rsidRPr="00A22B7B">
        <w:rPr>
          <w:rFonts w:hint="cs"/>
          <w:rtl/>
        </w:rPr>
        <w:t>القانون</w:t>
      </w:r>
      <w:r>
        <w:rPr>
          <w:rFonts w:hint="cs"/>
          <w:rtl/>
        </w:rPr>
        <w:t xml:space="preserve"> </w:t>
      </w:r>
      <w:r w:rsidRPr="00A22B7B">
        <w:rPr>
          <w:rFonts w:hint="cs"/>
          <w:rtl/>
        </w:rPr>
        <w:t>المدني،</w:t>
      </w:r>
      <w:r>
        <w:rPr>
          <w:rFonts w:hint="cs"/>
          <w:rtl/>
        </w:rPr>
        <w:t xml:space="preserve"> </w:t>
      </w:r>
      <w:r w:rsidRPr="00A22B7B">
        <w:rPr>
          <w:rFonts w:hint="cs"/>
          <w:rtl/>
        </w:rPr>
        <w:t>لا</w:t>
      </w:r>
      <w:r>
        <w:rPr>
          <w:rFonts w:hint="cs"/>
          <w:rtl/>
        </w:rPr>
        <w:t xml:space="preserve"> </w:t>
      </w:r>
      <w:r w:rsidRPr="00A22B7B">
        <w:rPr>
          <w:rFonts w:hint="cs"/>
          <w:rtl/>
        </w:rPr>
        <w:t>يزال</w:t>
      </w:r>
      <w:r>
        <w:rPr>
          <w:rFonts w:hint="cs"/>
          <w:rtl/>
        </w:rPr>
        <w:t xml:space="preserve"> </w:t>
      </w:r>
      <w:r w:rsidRPr="00A22B7B">
        <w:rPr>
          <w:rFonts w:hint="cs"/>
          <w:rtl/>
        </w:rPr>
        <w:t>نظام</w:t>
      </w:r>
      <w:r>
        <w:rPr>
          <w:rFonts w:hint="cs"/>
          <w:rtl/>
        </w:rPr>
        <w:t xml:space="preserve"> </w:t>
      </w:r>
      <w:r w:rsidRPr="00A22B7B">
        <w:rPr>
          <w:rFonts w:hint="cs"/>
          <w:rtl/>
        </w:rPr>
        <w:t>الميراث</w:t>
      </w:r>
      <w:r>
        <w:rPr>
          <w:rFonts w:hint="cs"/>
          <w:rtl/>
        </w:rPr>
        <w:t xml:space="preserve"> </w:t>
      </w:r>
      <w:r w:rsidRPr="00A22B7B">
        <w:rPr>
          <w:rFonts w:hint="cs"/>
          <w:rtl/>
        </w:rPr>
        <w:t>يتّبع</w:t>
      </w:r>
      <w:r>
        <w:rPr>
          <w:rFonts w:hint="cs"/>
          <w:rtl/>
        </w:rPr>
        <w:t xml:space="preserve"> </w:t>
      </w:r>
      <w:r w:rsidRPr="00A22B7B">
        <w:rPr>
          <w:rFonts w:hint="cs"/>
          <w:rtl/>
        </w:rPr>
        <w:t>النظامين</w:t>
      </w:r>
      <w:r>
        <w:rPr>
          <w:rFonts w:hint="cs"/>
          <w:rtl/>
        </w:rPr>
        <w:t xml:space="preserve"> </w:t>
      </w:r>
      <w:r w:rsidRPr="00A22B7B">
        <w:rPr>
          <w:rFonts w:hint="cs"/>
          <w:rtl/>
        </w:rPr>
        <w:t>الأبوي</w:t>
      </w:r>
      <w:r>
        <w:rPr>
          <w:rFonts w:hint="cs"/>
          <w:rtl/>
        </w:rPr>
        <w:t xml:space="preserve"> </w:t>
      </w:r>
      <w:r w:rsidRPr="00A22B7B">
        <w:rPr>
          <w:rFonts w:hint="cs"/>
          <w:rtl/>
        </w:rPr>
        <w:t>والأمومي،</w:t>
      </w:r>
      <w:r>
        <w:rPr>
          <w:rFonts w:hint="cs"/>
          <w:rtl/>
        </w:rPr>
        <w:t xml:space="preserve"> </w:t>
      </w:r>
      <w:r w:rsidRPr="00A22B7B">
        <w:rPr>
          <w:rFonts w:hint="cs"/>
          <w:rtl/>
        </w:rPr>
        <w:t>ولا</w:t>
      </w:r>
      <w:r>
        <w:rPr>
          <w:rFonts w:hint="cs"/>
          <w:rtl/>
        </w:rPr>
        <w:t xml:space="preserve"> </w:t>
      </w:r>
      <w:r w:rsidRPr="00A22B7B">
        <w:rPr>
          <w:rFonts w:hint="cs"/>
          <w:rtl/>
        </w:rPr>
        <w:t>سيما</w:t>
      </w:r>
      <w:r>
        <w:rPr>
          <w:rFonts w:hint="cs"/>
          <w:rtl/>
        </w:rPr>
        <w:t xml:space="preserve"> </w:t>
      </w:r>
      <w:r w:rsidRPr="00A22B7B">
        <w:rPr>
          <w:rFonts w:hint="cs"/>
          <w:rtl/>
        </w:rPr>
        <w:t>في</w:t>
      </w:r>
      <w:r>
        <w:rPr>
          <w:rFonts w:hint="cs"/>
          <w:rtl/>
        </w:rPr>
        <w:t xml:space="preserve"> </w:t>
      </w:r>
      <w:r w:rsidRPr="00A22B7B">
        <w:rPr>
          <w:rFonts w:hint="cs"/>
          <w:rtl/>
        </w:rPr>
        <w:t>المناطق</w:t>
      </w:r>
      <w:r>
        <w:rPr>
          <w:rFonts w:hint="cs"/>
          <w:rtl/>
        </w:rPr>
        <w:t xml:space="preserve"> </w:t>
      </w:r>
      <w:r w:rsidRPr="00A22B7B">
        <w:rPr>
          <w:rFonts w:hint="cs"/>
          <w:rtl/>
        </w:rPr>
        <w:t>الريفية</w:t>
      </w:r>
      <w:r>
        <w:rPr>
          <w:rFonts w:hint="cs"/>
          <w:rtl/>
        </w:rPr>
        <w:t xml:space="preserve"> </w:t>
      </w:r>
      <w:r w:rsidRPr="00A22B7B">
        <w:rPr>
          <w:rFonts w:hint="cs"/>
          <w:rtl/>
        </w:rPr>
        <w:t>(يُرجى</w:t>
      </w:r>
      <w:r>
        <w:rPr>
          <w:rFonts w:hint="cs"/>
          <w:rtl/>
        </w:rPr>
        <w:t xml:space="preserve"> </w:t>
      </w:r>
      <w:r w:rsidRPr="00A22B7B">
        <w:rPr>
          <w:rFonts w:hint="cs"/>
          <w:rtl/>
        </w:rPr>
        <w:t>الاطلاع</w:t>
      </w:r>
      <w:r>
        <w:rPr>
          <w:rFonts w:hint="cs"/>
          <w:rtl/>
        </w:rPr>
        <w:t xml:space="preserve"> </w:t>
      </w:r>
      <w:r w:rsidRPr="00A22B7B">
        <w:rPr>
          <w:rFonts w:hint="cs"/>
          <w:rtl/>
        </w:rPr>
        <w:t>على</w:t>
      </w:r>
      <w:r>
        <w:rPr>
          <w:rFonts w:hint="cs"/>
          <w:rtl/>
        </w:rPr>
        <w:t xml:space="preserve"> </w:t>
      </w:r>
      <w:r w:rsidRPr="00A22B7B">
        <w:rPr>
          <w:rFonts w:hint="cs"/>
          <w:rtl/>
        </w:rPr>
        <w:t>التقرير</w:t>
      </w:r>
      <w:r>
        <w:rPr>
          <w:rFonts w:hint="cs"/>
          <w:rtl/>
        </w:rPr>
        <w:t xml:space="preserve"> </w:t>
      </w:r>
      <w:r w:rsidRPr="00A22B7B">
        <w:rPr>
          <w:rFonts w:hint="cs"/>
          <w:rtl/>
        </w:rPr>
        <w:t>الأولي</w:t>
      </w:r>
      <w:r>
        <w:rPr>
          <w:rFonts w:hint="eastAsia"/>
          <w:rtl/>
        </w:rPr>
        <w:t> </w:t>
      </w:r>
      <w:r w:rsidRPr="00A22B7B">
        <w:rPr>
          <w:rFonts w:hint="cs"/>
          <w:rtl/>
        </w:rPr>
        <w:t>-</w:t>
      </w:r>
      <w:r>
        <w:rPr>
          <w:rFonts w:hint="cs"/>
          <w:rtl/>
        </w:rPr>
        <w:t xml:space="preserve"> </w:t>
      </w:r>
      <w:r w:rsidRPr="00A22B7B">
        <w:rPr>
          <w:rtl/>
        </w:rPr>
        <w:t>ممارسة</w:t>
      </w:r>
      <w:r>
        <w:rPr>
          <w:rtl/>
        </w:rPr>
        <w:t xml:space="preserve"> </w:t>
      </w:r>
      <w:r w:rsidRPr="00A22B7B">
        <w:rPr>
          <w:rtl/>
        </w:rPr>
        <w:t>المرأة</w:t>
      </w:r>
      <w:r>
        <w:rPr>
          <w:rtl/>
        </w:rPr>
        <w:t xml:space="preserve"> </w:t>
      </w:r>
      <w:r w:rsidRPr="00A22B7B">
        <w:rPr>
          <w:rtl/>
        </w:rPr>
        <w:t>لحقها</w:t>
      </w:r>
      <w:r>
        <w:rPr>
          <w:rtl/>
        </w:rPr>
        <w:t xml:space="preserve"> </w:t>
      </w:r>
      <w:r w:rsidRPr="00A22B7B">
        <w:rPr>
          <w:rtl/>
        </w:rPr>
        <w:t>في</w:t>
      </w:r>
      <w:r>
        <w:rPr>
          <w:rtl/>
        </w:rPr>
        <w:t xml:space="preserve"> </w:t>
      </w:r>
      <w:r w:rsidRPr="00A22B7B">
        <w:rPr>
          <w:rFonts w:hint="cs"/>
          <w:rtl/>
        </w:rPr>
        <w:t>التمتع</w:t>
      </w:r>
      <w:r>
        <w:rPr>
          <w:rFonts w:hint="cs"/>
          <w:rtl/>
        </w:rPr>
        <w:t xml:space="preserve"> </w:t>
      </w:r>
      <w:r w:rsidRPr="00A22B7B">
        <w:rPr>
          <w:rFonts w:hint="cs"/>
          <w:rtl/>
        </w:rPr>
        <w:t>بملكية</w:t>
      </w:r>
      <w:r>
        <w:rPr>
          <w:rFonts w:hint="cs"/>
          <w:rtl/>
        </w:rPr>
        <w:t xml:space="preserve"> </w:t>
      </w:r>
      <w:r w:rsidRPr="00A22B7B">
        <w:rPr>
          <w:rtl/>
        </w:rPr>
        <w:t>الأر</w:t>
      </w:r>
      <w:r w:rsidRPr="00A22B7B">
        <w:rPr>
          <w:rFonts w:hint="cs"/>
          <w:rtl/>
        </w:rPr>
        <w:t>ا</w:t>
      </w:r>
      <w:r w:rsidRPr="00A22B7B">
        <w:rPr>
          <w:rtl/>
        </w:rPr>
        <w:t>ض</w:t>
      </w:r>
      <w:r w:rsidRPr="00A22B7B">
        <w:rPr>
          <w:rFonts w:hint="cs"/>
          <w:rtl/>
        </w:rPr>
        <w:t>ي)</w:t>
      </w:r>
      <w:r w:rsidRPr="00E63B73">
        <w:rPr>
          <w:vertAlign w:val="superscript"/>
          <w:rtl/>
        </w:rPr>
        <w:t>(</w:t>
      </w:r>
      <w:r w:rsidRPr="00E63B73">
        <w:rPr>
          <w:rStyle w:val="FootnoteReference"/>
          <w:szCs w:val="30"/>
          <w:rtl/>
        </w:rPr>
        <w:footnoteReference w:id="295"/>
      </w:r>
      <w:r w:rsidRPr="00E63B73">
        <w:rPr>
          <w:vertAlign w:val="superscript"/>
          <w:rtl/>
        </w:rPr>
        <w:t>)</w:t>
      </w:r>
      <w:r w:rsidRPr="00A22B7B">
        <w:rPr>
          <w:rFonts w:hint="cs"/>
          <w:rtl/>
        </w:rPr>
        <w:t>.</w:t>
      </w:r>
    </w:p>
    <w:p w:rsidR="009943B2" w:rsidRPr="00E63B73" w:rsidRDefault="009943B2" w:rsidP="009943B2">
      <w:pPr>
        <w:pStyle w:val="SingleTxt"/>
        <w:spacing w:after="0" w:line="120" w:lineRule="exact"/>
        <w:rPr>
          <w:rFonts w:hint="cs"/>
          <w:i/>
          <w:iCs/>
          <w:sz w:val="10"/>
          <w:u w:val="single"/>
          <w:rtl/>
        </w:rPr>
      </w:pPr>
    </w:p>
    <w:p w:rsidR="009943B2" w:rsidRPr="00E63B73"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Pr="00E63B73">
        <w:rPr>
          <w:rFonts w:hint="cs"/>
          <w:rtl/>
        </w:rPr>
        <w:t>الميراث وفق القانون المدني</w:t>
      </w:r>
    </w:p>
    <w:p w:rsidR="009943B2" w:rsidRPr="00A22B7B" w:rsidRDefault="009943B2" w:rsidP="009943B2">
      <w:pPr>
        <w:pStyle w:val="SingleTxt"/>
        <w:rPr>
          <w:rFonts w:hint="cs"/>
        </w:rPr>
      </w:pPr>
      <w:r>
        <w:rPr>
          <w:rFonts w:hint="cs"/>
          <w:rtl/>
        </w:rPr>
        <w:t xml:space="preserve">348 - </w:t>
      </w:r>
      <w:r w:rsidRPr="00A22B7B">
        <w:rPr>
          <w:rtl/>
        </w:rPr>
        <w:t>بموجب</w:t>
      </w:r>
      <w:r>
        <w:rPr>
          <w:rtl/>
        </w:rPr>
        <w:t xml:space="preserve"> </w:t>
      </w:r>
      <w:r w:rsidRPr="00A22B7B">
        <w:rPr>
          <w:rtl/>
        </w:rPr>
        <w:t>القانون</w:t>
      </w:r>
      <w:r>
        <w:rPr>
          <w:rtl/>
        </w:rPr>
        <w:t xml:space="preserve"> </w:t>
      </w:r>
      <w:r w:rsidRPr="00A22B7B">
        <w:rPr>
          <w:rtl/>
        </w:rPr>
        <w:t>المدني</w:t>
      </w:r>
      <w:r>
        <w:rPr>
          <w:rFonts w:hint="cs"/>
          <w:rtl/>
        </w:rPr>
        <w:t xml:space="preserve"> </w:t>
      </w:r>
      <w:r w:rsidRPr="00A22B7B">
        <w:rPr>
          <w:rFonts w:hint="cs"/>
          <w:rtl/>
        </w:rPr>
        <w:t>لعام</w:t>
      </w:r>
      <w:r>
        <w:rPr>
          <w:rtl/>
        </w:rPr>
        <w:t xml:space="preserve"> </w:t>
      </w:r>
      <w:r w:rsidRPr="00A22B7B">
        <w:rPr>
          <w:rtl/>
        </w:rPr>
        <w:t>2011</w:t>
      </w:r>
      <w:r w:rsidRPr="00A22B7B">
        <w:rPr>
          <w:rFonts w:hint="cs"/>
          <w:rtl/>
        </w:rPr>
        <w:t>،</w:t>
      </w:r>
      <w:r>
        <w:rPr>
          <w:rFonts w:hint="cs"/>
          <w:rtl/>
        </w:rPr>
        <w:t xml:space="preserve"> </w:t>
      </w:r>
      <w:r w:rsidRPr="00A22B7B">
        <w:rPr>
          <w:rFonts w:hint="cs"/>
          <w:rtl/>
        </w:rPr>
        <w:t>للنساء</w:t>
      </w:r>
      <w:r>
        <w:rPr>
          <w:rFonts w:hint="cs"/>
          <w:rtl/>
        </w:rPr>
        <w:t xml:space="preserve"> </w:t>
      </w:r>
      <w:r w:rsidRPr="00A22B7B">
        <w:rPr>
          <w:rFonts w:hint="cs"/>
          <w:rtl/>
        </w:rPr>
        <w:t>والرجال</w:t>
      </w:r>
      <w:r>
        <w:rPr>
          <w:rFonts w:hint="cs"/>
          <w:rtl/>
        </w:rPr>
        <w:t xml:space="preserve"> </w:t>
      </w:r>
      <w:r w:rsidRPr="00A22B7B">
        <w:rPr>
          <w:rFonts w:hint="cs"/>
          <w:rtl/>
        </w:rPr>
        <w:t>الأهلية</w:t>
      </w:r>
      <w:r>
        <w:rPr>
          <w:rFonts w:hint="cs"/>
          <w:rtl/>
        </w:rPr>
        <w:t xml:space="preserve"> </w:t>
      </w:r>
      <w:r w:rsidRPr="00A22B7B">
        <w:rPr>
          <w:rFonts w:hint="cs"/>
          <w:rtl/>
        </w:rPr>
        <w:t>نفسها</w:t>
      </w:r>
      <w:r>
        <w:rPr>
          <w:rFonts w:hint="cs"/>
          <w:rtl/>
        </w:rPr>
        <w:t xml:space="preserve"> </w:t>
      </w:r>
      <w:r w:rsidRPr="00A22B7B">
        <w:rPr>
          <w:rtl/>
        </w:rPr>
        <w:t>في</w:t>
      </w:r>
      <w:r>
        <w:rPr>
          <w:rtl/>
        </w:rPr>
        <w:t xml:space="preserve"> </w:t>
      </w:r>
      <w:r w:rsidRPr="00A22B7B">
        <w:rPr>
          <w:rtl/>
        </w:rPr>
        <w:t>مسائل</w:t>
      </w:r>
      <w:r>
        <w:rPr>
          <w:rtl/>
        </w:rPr>
        <w:t xml:space="preserve"> </w:t>
      </w:r>
      <w:r w:rsidRPr="00A22B7B">
        <w:rPr>
          <w:rFonts w:hint="cs"/>
          <w:rtl/>
        </w:rPr>
        <w:t>الميراث</w:t>
      </w:r>
      <w:r w:rsidRPr="00A22B7B">
        <w:rPr>
          <w:rtl/>
        </w:rPr>
        <w:t>،</w:t>
      </w:r>
      <w:r>
        <w:rPr>
          <w:rtl/>
        </w:rPr>
        <w:t xml:space="preserve"> </w:t>
      </w:r>
      <w:r w:rsidRPr="00A22B7B">
        <w:rPr>
          <w:rFonts w:hint="cs"/>
          <w:rtl/>
        </w:rPr>
        <w:t>أي</w:t>
      </w:r>
      <w:r>
        <w:rPr>
          <w:rFonts w:hint="cs"/>
          <w:rtl/>
        </w:rPr>
        <w:t xml:space="preserve"> </w:t>
      </w:r>
      <w:r w:rsidRPr="00A22B7B">
        <w:rPr>
          <w:rFonts w:hint="cs"/>
          <w:rtl/>
        </w:rPr>
        <w:t>الأحقية</w:t>
      </w:r>
      <w:r>
        <w:rPr>
          <w:rtl/>
        </w:rPr>
        <w:t xml:space="preserve"> </w:t>
      </w:r>
      <w:r w:rsidRPr="00A22B7B">
        <w:rPr>
          <w:rFonts w:hint="cs"/>
          <w:rtl/>
        </w:rPr>
        <w:t>نفسها</w:t>
      </w:r>
      <w:r>
        <w:rPr>
          <w:rFonts w:hint="cs"/>
          <w:rtl/>
        </w:rPr>
        <w:t xml:space="preserve"> </w:t>
      </w:r>
      <w:r w:rsidRPr="00A22B7B">
        <w:rPr>
          <w:rFonts w:hint="cs"/>
          <w:rtl/>
        </w:rPr>
        <w:t>ل</w:t>
      </w:r>
      <w:r w:rsidRPr="00A22B7B">
        <w:rPr>
          <w:rtl/>
        </w:rPr>
        <w:t>وراثة</w:t>
      </w:r>
      <w:r>
        <w:rPr>
          <w:rtl/>
        </w:rPr>
        <w:t xml:space="preserve"> </w:t>
      </w:r>
      <w:r w:rsidRPr="00A22B7B">
        <w:rPr>
          <w:rtl/>
        </w:rPr>
        <w:t>أو</w:t>
      </w:r>
      <w:r>
        <w:rPr>
          <w:rtl/>
        </w:rPr>
        <w:t xml:space="preserve"> </w:t>
      </w:r>
      <w:r w:rsidRPr="00A22B7B">
        <w:rPr>
          <w:rtl/>
        </w:rPr>
        <w:t>تلقي</w:t>
      </w:r>
      <w:r>
        <w:rPr>
          <w:rtl/>
        </w:rPr>
        <w:t xml:space="preserve"> </w:t>
      </w:r>
      <w:r w:rsidRPr="00A22B7B">
        <w:rPr>
          <w:rtl/>
        </w:rPr>
        <w:t>عقار</w:t>
      </w:r>
      <w:r>
        <w:rPr>
          <w:rtl/>
        </w:rPr>
        <w:t xml:space="preserve"> </w:t>
      </w:r>
      <w:r w:rsidRPr="00A22B7B">
        <w:rPr>
          <w:rFonts w:hint="cs"/>
          <w:rtl/>
        </w:rPr>
        <w:t>بموجب</w:t>
      </w:r>
      <w:r>
        <w:rPr>
          <w:rtl/>
        </w:rPr>
        <w:t xml:space="preserve"> </w:t>
      </w:r>
      <w:r w:rsidRPr="00A22B7B">
        <w:rPr>
          <w:rtl/>
        </w:rPr>
        <w:t>القواعد</w:t>
      </w:r>
      <w:r>
        <w:rPr>
          <w:rtl/>
        </w:rPr>
        <w:t xml:space="preserve"> </w:t>
      </w:r>
      <w:r w:rsidRPr="00A22B7B">
        <w:rPr>
          <w:rtl/>
        </w:rPr>
        <w:t>الخاصة</w:t>
      </w:r>
      <w:r>
        <w:rPr>
          <w:rtl/>
        </w:rPr>
        <w:t xml:space="preserve"> </w:t>
      </w:r>
      <w:r w:rsidRPr="00A22B7B">
        <w:rPr>
          <w:rFonts w:hint="cs"/>
          <w:rtl/>
        </w:rPr>
        <w:t>ب</w:t>
      </w:r>
      <w:r w:rsidRPr="00A22B7B">
        <w:rPr>
          <w:rtl/>
        </w:rPr>
        <w:t>الورثة</w:t>
      </w:r>
      <w:r>
        <w:rPr>
          <w:rtl/>
        </w:rPr>
        <w:t xml:space="preserve"> </w:t>
      </w:r>
      <w:r w:rsidRPr="00A22B7B">
        <w:rPr>
          <w:rFonts w:hint="cs"/>
          <w:rtl/>
        </w:rPr>
        <w:t>الثالثين</w:t>
      </w:r>
      <w:r>
        <w:rPr>
          <w:rFonts w:hint="cs"/>
          <w:rtl/>
        </w:rPr>
        <w:t xml:space="preserve"> </w:t>
      </w:r>
      <w:r w:rsidRPr="00A22B7B">
        <w:rPr>
          <w:rtl/>
        </w:rPr>
        <w:t>والموصى</w:t>
      </w:r>
      <w:r>
        <w:rPr>
          <w:rtl/>
        </w:rPr>
        <w:t xml:space="preserve"> </w:t>
      </w:r>
      <w:r w:rsidRPr="00A22B7B">
        <w:rPr>
          <w:rtl/>
        </w:rPr>
        <w:t>لهم</w:t>
      </w:r>
      <w:r>
        <w:rPr>
          <w:rtl/>
        </w:rPr>
        <w:t xml:space="preserve"> </w:t>
      </w:r>
      <w:r w:rsidRPr="00A22B7B">
        <w:rPr>
          <w:rtl/>
        </w:rPr>
        <w:t>وحق</w:t>
      </w:r>
      <w:r>
        <w:rPr>
          <w:rtl/>
        </w:rPr>
        <w:t xml:space="preserve"> </w:t>
      </w:r>
      <w:r w:rsidRPr="00A22B7B">
        <w:rPr>
          <w:rFonts w:hint="cs"/>
          <w:rtl/>
        </w:rPr>
        <w:t>ال</w:t>
      </w:r>
      <w:r w:rsidRPr="00A22B7B">
        <w:rPr>
          <w:rtl/>
        </w:rPr>
        <w:t>تمثيل</w:t>
      </w:r>
      <w:r>
        <w:rPr>
          <w:rtl/>
        </w:rPr>
        <w:t xml:space="preserve"> </w:t>
      </w:r>
      <w:r w:rsidRPr="00A22B7B">
        <w:rPr>
          <w:rtl/>
        </w:rPr>
        <w:t>(</w:t>
      </w:r>
      <w:r w:rsidRPr="00A22B7B">
        <w:rPr>
          <w:rFonts w:hint="cs"/>
          <w:rtl/>
        </w:rPr>
        <w:t>المادتان</w:t>
      </w:r>
      <w:r>
        <w:rPr>
          <w:rtl/>
        </w:rPr>
        <w:t xml:space="preserve"> </w:t>
      </w:r>
      <w:r w:rsidRPr="00A22B7B">
        <w:rPr>
          <w:rtl/>
        </w:rPr>
        <w:t>1896</w:t>
      </w:r>
      <w:r>
        <w:rPr>
          <w:rtl/>
        </w:rPr>
        <w:t xml:space="preserve"> </w:t>
      </w:r>
      <w:r w:rsidRPr="00A22B7B">
        <w:rPr>
          <w:rtl/>
        </w:rPr>
        <w:t>و</w:t>
      </w:r>
      <w:r>
        <w:rPr>
          <w:rFonts w:hint="cs"/>
          <w:rtl/>
        </w:rPr>
        <w:t xml:space="preserve"> </w:t>
      </w:r>
      <w:r w:rsidRPr="00A22B7B">
        <w:rPr>
          <w:rtl/>
        </w:rPr>
        <w:t>1903).</w:t>
      </w:r>
      <w:r>
        <w:rPr>
          <w:rtl/>
        </w:rPr>
        <w:t xml:space="preserve"> </w:t>
      </w:r>
      <w:r w:rsidRPr="00A22B7B">
        <w:rPr>
          <w:rFonts w:hint="cs"/>
          <w:rtl/>
        </w:rPr>
        <w:t>وبموجب</w:t>
      </w:r>
      <w:r>
        <w:rPr>
          <w:rFonts w:hint="cs"/>
          <w:rtl/>
        </w:rPr>
        <w:t xml:space="preserve"> </w:t>
      </w:r>
      <w:r w:rsidRPr="00A22B7B">
        <w:rPr>
          <w:rFonts w:hint="cs"/>
          <w:rtl/>
        </w:rPr>
        <w:t>المادة</w:t>
      </w:r>
      <w:r>
        <w:rPr>
          <w:rFonts w:hint="cs"/>
          <w:rtl/>
        </w:rPr>
        <w:t xml:space="preserve"> </w:t>
      </w:r>
      <w:r w:rsidRPr="00A22B7B">
        <w:rPr>
          <w:rtl/>
        </w:rPr>
        <w:t>1897</w:t>
      </w:r>
      <w:r w:rsidRPr="00A22B7B">
        <w:rPr>
          <w:rFonts w:hint="cs"/>
          <w:rtl/>
        </w:rPr>
        <w:t>،</w:t>
      </w:r>
      <w:r>
        <w:rPr>
          <w:rFonts w:hint="cs"/>
          <w:rtl/>
        </w:rPr>
        <w:t xml:space="preserve"> </w:t>
      </w:r>
      <w:r w:rsidRPr="00A22B7B">
        <w:rPr>
          <w:rFonts w:hint="cs"/>
          <w:rtl/>
        </w:rPr>
        <w:t>لا</w:t>
      </w:r>
      <w:r>
        <w:rPr>
          <w:rFonts w:hint="cs"/>
          <w:rtl/>
        </w:rPr>
        <w:t xml:space="preserve"> </w:t>
      </w:r>
      <w:r w:rsidRPr="00A22B7B">
        <w:rPr>
          <w:rFonts w:hint="cs"/>
          <w:rtl/>
        </w:rPr>
        <w:t>يستثني</w:t>
      </w:r>
      <w:r>
        <w:rPr>
          <w:rFonts w:hint="cs"/>
          <w:rtl/>
        </w:rPr>
        <w:t xml:space="preserve"> </w:t>
      </w:r>
      <w:r w:rsidRPr="00A22B7B">
        <w:rPr>
          <w:rFonts w:hint="cs"/>
          <w:rtl/>
        </w:rPr>
        <w:t>القانون</w:t>
      </w:r>
      <w:r>
        <w:rPr>
          <w:rFonts w:hint="cs"/>
          <w:rtl/>
        </w:rPr>
        <w:t xml:space="preserve"> </w:t>
      </w:r>
      <w:r w:rsidRPr="00A22B7B">
        <w:rPr>
          <w:rFonts w:hint="cs"/>
          <w:rtl/>
        </w:rPr>
        <w:t>من</w:t>
      </w:r>
      <w:r>
        <w:rPr>
          <w:rFonts w:hint="cs"/>
          <w:rtl/>
        </w:rPr>
        <w:t xml:space="preserve"> </w:t>
      </w:r>
      <w:r w:rsidRPr="00A22B7B">
        <w:rPr>
          <w:rFonts w:hint="cs"/>
          <w:rtl/>
        </w:rPr>
        <w:t>الحق</w:t>
      </w:r>
      <w:r>
        <w:rPr>
          <w:rFonts w:hint="cs"/>
          <w:rtl/>
        </w:rPr>
        <w:t xml:space="preserve"> </w:t>
      </w:r>
      <w:r w:rsidRPr="00A22B7B">
        <w:rPr>
          <w:rFonts w:hint="cs"/>
          <w:rtl/>
        </w:rPr>
        <w:t>في</w:t>
      </w:r>
      <w:r>
        <w:rPr>
          <w:rFonts w:hint="cs"/>
          <w:rtl/>
        </w:rPr>
        <w:t xml:space="preserve"> </w:t>
      </w:r>
      <w:r w:rsidRPr="00A22B7B">
        <w:rPr>
          <w:rFonts w:hint="cs"/>
          <w:rtl/>
        </w:rPr>
        <w:t>الميراث</w:t>
      </w:r>
      <w:r>
        <w:rPr>
          <w:rFonts w:hint="cs"/>
          <w:rtl/>
        </w:rPr>
        <w:t xml:space="preserve"> </w:t>
      </w:r>
      <w:r w:rsidRPr="00A22B7B">
        <w:rPr>
          <w:rFonts w:hint="cs"/>
          <w:rtl/>
        </w:rPr>
        <w:t>كل</w:t>
      </w:r>
      <w:r>
        <w:rPr>
          <w:rtl/>
        </w:rPr>
        <w:t xml:space="preserve"> </w:t>
      </w:r>
      <w:r w:rsidRPr="00A22B7B">
        <w:rPr>
          <w:rtl/>
        </w:rPr>
        <w:t>الأشخاص</w:t>
      </w:r>
      <w:r>
        <w:rPr>
          <w:rtl/>
        </w:rPr>
        <w:t xml:space="preserve"> </w:t>
      </w:r>
      <w:r w:rsidRPr="00A22B7B">
        <w:rPr>
          <w:rtl/>
        </w:rPr>
        <w:t>الذين</w:t>
      </w:r>
      <w:r>
        <w:rPr>
          <w:rtl/>
        </w:rPr>
        <w:t xml:space="preserve"> </w:t>
      </w:r>
      <w:r w:rsidRPr="00A22B7B">
        <w:rPr>
          <w:rtl/>
        </w:rPr>
        <w:t>ولدوا</w:t>
      </w:r>
      <w:r>
        <w:rPr>
          <w:rtl/>
        </w:rPr>
        <w:t xml:space="preserve"> </w:t>
      </w:r>
      <w:r w:rsidRPr="00A22B7B">
        <w:rPr>
          <w:rtl/>
        </w:rPr>
        <w:t>أو</w:t>
      </w:r>
      <w:r>
        <w:rPr>
          <w:rtl/>
        </w:rPr>
        <w:t xml:space="preserve"> </w:t>
      </w:r>
      <w:r w:rsidRPr="00A22B7B">
        <w:rPr>
          <w:rFonts w:hint="cs"/>
          <w:rtl/>
        </w:rPr>
        <w:t>لم</w:t>
      </w:r>
      <w:r>
        <w:rPr>
          <w:rFonts w:hint="cs"/>
          <w:rtl/>
        </w:rPr>
        <w:t xml:space="preserve"> </w:t>
      </w:r>
      <w:r w:rsidRPr="00A22B7B">
        <w:rPr>
          <w:rFonts w:hint="cs"/>
          <w:rtl/>
        </w:rPr>
        <w:t>يولدوا</w:t>
      </w:r>
      <w:r>
        <w:rPr>
          <w:rFonts w:hint="cs"/>
          <w:rtl/>
        </w:rPr>
        <w:t xml:space="preserve"> </w:t>
      </w:r>
      <w:r w:rsidRPr="00A22B7B">
        <w:rPr>
          <w:rFonts w:hint="cs"/>
          <w:rtl/>
        </w:rPr>
        <w:t>بعد</w:t>
      </w:r>
      <w:r>
        <w:rPr>
          <w:rFonts w:hint="cs"/>
          <w:rtl/>
        </w:rPr>
        <w:t xml:space="preserve"> </w:t>
      </w:r>
      <w:r w:rsidRPr="00A22B7B">
        <w:rPr>
          <w:rFonts w:hint="cs"/>
          <w:rtl/>
        </w:rPr>
        <w:t>عند</w:t>
      </w:r>
      <w:r>
        <w:rPr>
          <w:rFonts w:hint="cs"/>
          <w:rtl/>
        </w:rPr>
        <w:t xml:space="preserve"> </w:t>
      </w:r>
      <w:r w:rsidRPr="00A22B7B">
        <w:rPr>
          <w:rFonts w:hint="cs"/>
          <w:rtl/>
        </w:rPr>
        <w:t>حصر</w:t>
      </w:r>
      <w:r>
        <w:rPr>
          <w:rFonts w:hint="cs"/>
          <w:rtl/>
        </w:rPr>
        <w:t xml:space="preserve"> </w:t>
      </w:r>
      <w:r w:rsidRPr="00A22B7B">
        <w:rPr>
          <w:rFonts w:hint="cs"/>
          <w:rtl/>
        </w:rPr>
        <w:t>الميراث</w:t>
      </w:r>
      <w:r w:rsidRPr="00A22B7B">
        <w:rPr>
          <w:rtl/>
        </w:rPr>
        <w:t>.</w:t>
      </w:r>
      <w:r>
        <w:rPr>
          <w:rtl/>
        </w:rPr>
        <w:t xml:space="preserve"> </w:t>
      </w:r>
      <w:r w:rsidRPr="00A22B7B">
        <w:rPr>
          <w:rFonts w:hint="cs"/>
          <w:rtl/>
        </w:rPr>
        <w:t>ويعرّف</w:t>
      </w:r>
      <w:r>
        <w:rPr>
          <w:rtl/>
        </w:rPr>
        <w:t xml:space="preserve"> </w:t>
      </w:r>
      <w:r w:rsidRPr="00A22B7B">
        <w:rPr>
          <w:rtl/>
        </w:rPr>
        <w:t>القانون</w:t>
      </w:r>
      <w:r>
        <w:rPr>
          <w:rtl/>
        </w:rPr>
        <w:t xml:space="preserve"> </w:t>
      </w:r>
      <w:r w:rsidRPr="00A22B7B">
        <w:rPr>
          <w:rFonts w:hint="cs"/>
          <w:rtl/>
        </w:rPr>
        <w:t>الورثة</w:t>
      </w:r>
      <w:r>
        <w:rPr>
          <w:rFonts w:hint="cs"/>
          <w:rtl/>
        </w:rPr>
        <w:t xml:space="preserve"> </w:t>
      </w:r>
      <w:r w:rsidRPr="00A22B7B">
        <w:rPr>
          <w:rFonts w:hint="cs"/>
          <w:rtl/>
        </w:rPr>
        <w:t>أيضًا،</w:t>
      </w:r>
      <w:r>
        <w:rPr>
          <w:rFonts w:hint="cs"/>
          <w:rtl/>
        </w:rPr>
        <w:t xml:space="preserve"> </w:t>
      </w:r>
      <w:r w:rsidRPr="00A22B7B">
        <w:rPr>
          <w:rFonts w:hint="cs"/>
          <w:rtl/>
        </w:rPr>
        <w:t>وي</w:t>
      </w:r>
      <w:r w:rsidRPr="00A22B7B">
        <w:rPr>
          <w:rtl/>
        </w:rPr>
        <w:t>حد</w:t>
      </w:r>
      <w:r w:rsidRPr="00A22B7B">
        <w:rPr>
          <w:rFonts w:hint="cs"/>
          <w:rtl/>
        </w:rPr>
        <w:t>ّ</w:t>
      </w:r>
      <w:r w:rsidRPr="00A22B7B">
        <w:rPr>
          <w:rtl/>
        </w:rPr>
        <w:t>د</w:t>
      </w:r>
      <w:r>
        <w:rPr>
          <w:rtl/>
        </w:rPr>
        <w:t xml:space="preserve"> </w:t>
      </w:r>
      <w:r w:rsidRPr="00A22B7B">
        <w:rPr>
          <w:rtl/>
        </w:rPr>
        <w:t>النظام</w:t>
      </w:r>
      <w:r>
        <w:rPr>
          <w:rtl/>
        </w:rPr>
        <w:t xml:space="preserve"> </w:t>
      </w:r>
      <w:r w:rsidRPr="00A22B7B">
        <w:rPr>
          <w:rFonts w:hint="cs"/>
          <w:rtl/>
        </w:rPr>
        <w:t>الذي</w:t>
      </w:r>
      <w:r>
        <w:rPr>
          <w:rFonts w:hint="cs"/>
          <w:rtl/>
        </w:rPr>
        <w:t xml:space="preserve"> </w:t>
      </w:r>
      <w:r w:rsidRPr="00A22B7B">
        <w:rPr>
          <w:rFonts w:hint="cs"/>
          <w:rtl/>
        </w:rPr>
        <w:t>يدعون</w:t>
      </w:r>
      <w:r>
        <w:rPr>
          <w:rFonts w:hint="cs"/>
          <w:rtl/>
        </w:rPr>
        <w:t xml:space="preserve"> </w:t>
      </w:r>
      <w:r w:rsidRPr="00A22B7B">
        <w:rPr>
          <w:rFonts w:hint="cs"/>
          <w:rtl/>
        </w:rPr>
        <w:t>بموجبه</w:t>
      </w:r>
      <w:r>
        <w:rPr>
          <w:rFonts w:hint="cs"/>
          <w:rtl/>
        </w:rPr>
        <w:t xml:space="preserve"> </w:t>
      </w:r>
      <w:r w:rsidRPr="00A22B7B">
        <w:rPr>
          <w:rtl/>
        </w:rPr>
        <w:t>ورثة،</w:t>
      </w:r>
      <w:r>
        <w:rPr>
          <w:rtl/>
        </w:rPr>
        <w:t xml:space="preserve"> </w:t>
      </w:r>
      <w:r w:rsidRPr="00A22B7B">
        <w:rPr>
          <w:rtl/>
        </w:rPr>
        <w:t>دون</w:t>
      </w:r>
      <w:r>
        <w:rPr>
          <w:rtl/>
        </w:rPr>
        <w:t xml:space="preserve"> </w:t>
      </w:r>
      <w:r w:rsidRPr="00A22B7B">
        <w:rPr>
          <w:rtl/>
        </w:rPr>
        <w:t>تمييز</w:t>
      </w:r>
      <w:r>
        <w:rPr>
          <w:rtl/>
        </w:rPr>
        <w:t xml:space="preserve"> </w:t>
      </w:r>
      <w:r w:rsidRPr="00A22B7B">
        <w:rPr>
          <w:rtl/>
        </w:rPr>
        <w:t>بين</w:t>
      </w:r>
      <w:r>
        <w:rPr>
          <w:rtl/>
        </w:rPr>
        <w:t xml:space="preserve"> </w:t>
      </w:r>
      <w:r w:rsidRPr="00A22B7B">
        <w:rPr>
          <w:rtl/>
        </w:rPr>
        <w:t>الرجال</w:t>
      </w:r>
      <w:r>
        <w:rPr>
          <w:rFonts w:hint="cs"/>
          <w:rtl/>
        </w:rPr>
        <w:t> </w:t>
      </w:r>
      <w:r w:rsidRPr="00A22B7B">
        <w:rPr>
          <w:rtl/>
        </w:rPr>
        <w:t>والنساء</w:t>
      </w:r>
      <w:r w:rsidRPr="00E63B73">
        <w:rPr>
          <w:vertAlign w:val="superscript"/>
          <w:rtl/>
        </w:rPr>
        <w:t>(</w:t>
      </w:r>
      <w:r w:rsidRPr="00E63B73">
        <w:rPr>
          <w:rStyle w:val="FootnoteReference"/>
          <w:szCs w:val="30"/>
          <w:rtl/>
        </w:rPr>
        <w:footnoteReference w:id="296"/>
      </w:r>
      <w:r w:rsidRPr="00E63B73">
        <w:rPr>
          <w:vertAlign w:val="superscript"/>
          <w:rtl/>
        </w:rPr>
        <w:t>)</w:t>
      </w:r>
      <w:r w:rsidRPr="00A22B7B">
        <w:rPr>
          <w:rFonts w:hint="cs"/>
          <w:rtl/>
        </w:rPr>
        <w:t>.</w:t>
      </w:r>
    </w:p>
    <w:p w:rsidR="009943B2" w:rsidRPr="00E63B73" w:rsidRDefault="009943B2" w:rsidP="009943B2">
      <w:pPr>
        <w:pStyle w:val="SingleTxt"/>
        <w:spacing w:after="0" w:line="120" w:lineRule="exact"/>
        <w:rPr>
          <w:rFonts w:hint="cs"/>
          <w:i/>
          <w:iCs/>
          <w:sz w:val="10"/>
          <w:u w:val="single"/>
          <w:rtl/>
        </w:rPr>
      </w:pPr>
    </w:p>
    <w:p w:rsidR="009943B2" w:rsidRPr="00E63B73" w:rsidRDefault="009943B2" w:rsidP="009943B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Pr="00E63B73">
        <w:rPr>
          <w:rFonts w:hint="cs"/>
          <w:rtl/>
        </w:rPr>
        <w:t>العلاقات القائمة بحكم الواقع</w:t>
      </w:r>
    </w:p>
    <w:p w:rsidR="009943B2" w:rsidRPr="00A22B7B" w:rsidRDefault="009943B2" w:rsidP="009943B2">
      <w:pPr>
        <w:pStyle w:val="SingleTxt"/>
        <w:rPr>
          <w:rFonts w:hint="cs"/>
        </w:rPr>
      </w:pPr>
      <w:r>
        <w:rPr>
          <w:rFonts w:hint="cs"/>
          <w:rtl/>
        </w:rPr>
        <w:t xml:space="preserve">349 - </w:t>
      </w:r>
      <w:r w:rsidRPr="00A22B7B">
        <w:rPr>
          <w:rFonts w:hint="cs"/>
          <w:rtl/>
        </w:rPr>
        <w:t>في</w:t>
      </w:r>
      <w:r>
        <w:rPr>
          <w:rFonts w:hint="cs"/>
          <w:rtl/>
        </w:rPr>
        <w:t xml:space="preserve"> </w:t>
      </w:r>
      <w:r w:rsidRPr="00A22B7B">
        <w:rPr>
          <w:rFonts w:hint="cs"/>
          <w:rtl/>
        </w:rPr>
        <w:t>ما</w:t>
      </w:r>
      <w:r>
        <w:rPr>
          <w:rFonts w:hint="cs"/>
          <w:rtl/>
        </w:rPr>
        <w:t xml:space="preserve"> </w:t>
      </w:r>
      <w:r w:rsidRPr="00A22B7B">
        <w:rPr>
          <w:rFonts w:hint="cs"/>
          <w:rtl/>
        </w:rPr>
        <w:t>يخص</w:t>
      </w:r>
      <w:r>
        <w:rPr>
          <w:rFonts w:hint="cs"/>
          <w:rtl/>
        </w:rPr>
        <w:t xml:space="preserve"> </w:t>
      </w:r>
      <w:r w:rsidRPr="00A22B7B">
        <w:rPr>
          <w:rFonts w:hint="cs"/>
          <w:rtl/>
        </w:rPr>
        <w:t>حقوق</w:t>
      </w:r>
      <w:r>
        <w:rPr>
          <w:rFonts w:hint="cs"/>
          <w:rtl/>
        </w:rPr>
        <w:t xml:space="preserve"> </w:t>
      </w:r>
      <w:r w:rsidRPr="00A22B7B">
        <w:rPr>
          <w:rFonts w:hint="cs"/>
          <w:rtl/>
        </w:rPr>
        <w:t>الملكية</w:t>
      </w:r>
      <w:r>
        <w:rPr>
          <w:rFonts w:hint="cs"/>
          <w:rtl/>
        </w:rPr>
        <w:t xml:space="preserve"> </w:t>
      </w:r>
      <w:r w:rsidRPr="00A22B7B">
        <w:rPr>
          <w:rFonts w:hint="cs"/>
          <w:rtl/>
        </w:rPr>
        <w:t>في</w:t>
      </w:r>
      <w:r>
        <w:rPr>
          <w:rFonts w:hint="cs"/>
          <w:rtl/>
        </w:rPr>
        <w:t xml:space="preserve"> </w:t>
      </w:r>
      <w:r w:rsidRPr="00A22B7B">
        <w:rPr>
          <w:rFonts w:hint="cs"/>
          <w:rtl/>
        </w:rPr>
        <w:t>العلاقات</w:t>
      </w:r>
      <w:r>
        <w:rPr>
          <w:rFonts w:hint="cs"/>
          <w:rtl/>
        </w:rPr>
        <w:t xml:space="preserve"> </w:t>
      </w:r>
      <w:r w:rsidRPr="00A22B7B">
        <w:rPr>
          <w:rFonts w:hint="cs"/>
          <w:rtl/>
        </w:rPr>
        <w:t>القائمة</w:t>
      </w:r>
      <w:r>
        <w:rPr>
          <w:rFonts w:hint="cs"/>
          <w:rtl/>
        </w:rPr>
        <w:t xml:space="preserve"> </w:t>
      </w:r>
      <w:r w:rsidRPr="00A22B7B">
        <w:rPr>
          <w:rFonts w:hint="cs"/>
          <w:rtl/>
        </w:rPr>
        <w:t>بحكم</w:t>
      </w:r>
      <w:r>
        <w:rPr>
          <w:rFonts w:hint="cs"/>
          <w:rtl/>
        </w:rPr>
        <w:t xml:space="preserve"> </w:t>
      </w:r>
      <w:r w:rsidRPr="00A22B7B">
        <w:rPr>
          <w:rFonts w:hint="cs"/>
          <w:rtl/>
        </w:rPr>
        <w:t>الواقع</w:t>
      </w:r>
      <w:r>
        <w:rPr>
          <w:rFonts w:hint="cs"/>
          <w:rtl/>
        </w:rPr>
        <w:t xml:space="preserve"> </w:t>
      </w:r>
      <w:r w:rsidRPr="00A22B7B">
        <w:rPr>
          <w:rFonts w:hint="cs"/>
          <w:rtl/>
        </w:rPr>
        <w:t>أو</w:t>
      </w:r>
      <w:r>
        <w:rPr>
          <w:rFonts w:hint="cs"/>
          <w:rtl/>
        </w:rPr>
        <w:t xml:space="preserve"> </w:t>
      </w:r>
      <w:r w:rsidRPr="00A22B7B">
        <w:rPr>
          <w:rFonts w:hint="cs"/>
          <w:rtl/>
        </w:rPr>
        <w:t>تلك</w:t>
      </w:r>
      <w:r>
        <w:rPr>
          <w:rFonts w:hint="cs"/>
          <w:rtl/>
        </w:rPr>
        <w:t xml:space="preserve"> </w:t>
      </w:r>
      <w:r w:rsidRPr="00A22B7B">
        <w:rPr>
          <w:rFonts w:hint="cs"/>
          <w:rtl/>
        </w:rPr>
        <w:t>القائمة</w:t>
      </w:r>
      <w:r>
        <w:rPr>
          <w:rFonts w:hint="cs"/>
          <w:rtl/>
        </w:rPr>
        <w:t xml:space="preserve"> </w:t>
      </w:r>
      <w:r w:rsidRPr="00A22B7B">
        <w:rPr>
          <w:rFonts w:hint="cs"/>
          <w:rtl/>
        </w:rPr>
        <w:t>بالتراضي،</w:t>
      </w:r>
      <w:r>
        <w:rPr>
          <w:rFonts w:hint="cs"/>
          <w:rtl/>
        </w:rPr>
        <w:t xml:space="preserve"> </w:t>
      </w:r>
      <w:r w:rsidRPr="00A22B7B">
        <w:rPr>
          <w:rFonts w:hint="cs"/>
          <w:rtl/>
        </w:rPr>
        <w:t>فمن</w:t>
      </w:r>
      <w:r>
        <w:rPr>
          <w:rFonts w:hint="cs"/>
          <w:rtl/>
        </w:rPr>
        <w:t xml:space="preserve"> </w:t>
      </w:r>
      <w:r w:rsidRPr="00A22B7B">
        <w:rPr>
          <w:rFonts w:hint="cs"/>
          <w:rtl/>
        </w:rPr>
        <w:t>وجهة</w:t>
      </w:r>
      <w:r>
        <w:rPr>
          <w:rFonts w:hint="cs"/>
          <w:rtl/>
        </w:rPr>
        <w:t xml:space="preserve"> </w:t>
      </w:r>
      <w:r w:rsidRPr="00A22B7B">
        <w:rPr>
          <w:rFonts w:hint="cs"/>
          <w:rtl/>
        </w:rPr>
        <w:t>النظر</w:t>
      </w:r>
      <w:r>
        <w:rPr>
          <w:rFonts w:hint="cs"/>
          <w:rtl/>
        </w:rPr>
        <w:t xml:space="preserve"> </w:t>
      </w:r>
      <w:r w:rsidRPr="00A22B7B">
        <w:rPr>
          <w:rFonts w:hint="cs"/>
          <w:rtl/>
        </w:rPr>
        <w:t>الثقافية</w:t>
      </w:r>
      <w:r>
        <w:rPr>
          <w:rFonts w:hint="cs"/>
          <w:rtl/>
        </w:rPr>
        <w:t xml:space="preserve"> </w:t>
      </w:r>
      <w:r w:rsidRPr="00A22B7B">
        <w:rPr>
          <w:rFonts w:hint="cs"/>
          <w:rtl/>
        </w:rPr>
        <w:t>يقال</w:t>
      </w:r>
      <w:r>
        <w:rPr>
          <w:rFonts w:hint="cs"/>
          <w:rtl/>
        </w:rPr>
        <w:t xml:space="preserve"> </w:t>
      </w:r>
      <w:r w:rsidRPr="00A22B7B">
        <w:rPr>
          <w:rFonts w:hint="cs"/>
          <w:rtl/>
        </w:rPr>
        <w:t>عن</w:t>
      </w:r>
      <w:r>
        <w:rPr>
          <w:rFonts w:hint="cs"/>
          <w:rtl/>
        </w:rPr>
        <w:t xml:space="preserve"> </w:t>
      </w:r>
      <w:r w:rsidRPr="00A22B7B">
        <w:rPr>
          <w:rFonts w:hint="cs"/>
          <w:rtl/>
        </w:rPr>
        <w:t>الرجل</w:t>
      </w:r>
      <w:r>
        <w:rPr>
          <w:rFonts w:hint="cs"/>
          <w:rtl/>
        </w:rPr>
        <w:t xml:space="preserve"> </w:t>
      </w:r>
      <w:r w:rsidRPr="00A22B7B">
        <w:rPr>
          <w:rFonts w:hint="cs"/>
          <w:rtl/>
        </w:rPr>
        <w:t>والمرأة</w:t>
      </w:r>
      <w:r>
        <w:rPr>
          <w:rFonts w:hint="cs"/>
          <w:rtl/>
        </w:rPr>
        <w:t xml:space="preserve"> </w:t>
      </w:r>
      <w:r w:rsidRPr="00A22B7B">
        <w:rPr>
          <w:rFonts w:hint="cs"/>
          <w:rtl/>
        </w:rPr>
        <w:t>اللذين</w:t>
      </w:r>
      <w:r>
        <w:rPr>
          <w:rFonts w:hint="cs"/>
          <w:rtl/>
        </w:rPr>
        <w:t xml:space="preserve"> </w:t>
      </w:r>
      <w:r w:rsidRPr="00A22B7B">
        <w:rPr>
          <w:rFonts w:hint="cs"/>
          <w:rtl/>
        </w:rPr>
        <w:t>يعيشان</w:t>
      </w:r>
      <w:r>
        <w:rPr>
          <w:rFonts w:hint="cs"/>
          <w:rtl/>
        </w:rPr>
        <w:t xml:space="preserve"> </w:t>
      </w:r>
      <w:r w:rsidRPr="00A22B7B">
        <w:rPr>
          <w:rFonts w:hint="cs"/>
          <w:rtl/>
        </w:rPr>
        <w:t>مع</w:t>
      </w:r>
      <w:r>
        <w:rPr>
          <w:rFonts w:hint="cs"/>
          <w:rtl/>
        </w:rPr>
        <w:t xml:space="preserve"> </w:t>
      </w:r>
      <w:r w:rsidRPr="00A22B7B">
        <w:rPr>
          <w:rFonts w:hint="cs"/>
          <w:rtl/>
        </w:rPr>
        <w:t>بعضهما</w:t>
      </w:r>
      <w:r>
        <w:rPr>
          <w:rFonts w:hint="cs"/>
          <w:rtl/>
        </w:rPr>
        <w:t xml:space="preserve"> </w:t>
      </w:r>
      <w:r w:rsidRPr="00A22B7B">
        <w:rPr>
          <w:rFonts w:hint="cs"/>
          <w:rtl/>
        </w:rPr>
        <w:t>أنهما</w:t>
      </w:r>
      <w:r>
        <w:rPr>
          <w:rFonts w:hint="cs"/>
          <w:rtl/>
        </w:rPr>
        <w:t xml:space="preserve"> </w:t>
      </w:r>
      <w:r w:rsidRPr="00A22B7B">
        <w:rPr>
          <w:rFonts w:hint="cs"/>
          <w:rtl/>
        </w:rPr>
        <w:t>قد</w:t>
      </w:r>
      <w:r>
        <w:rPr>
          <w:rFonts w:hint="cs"/>
          <w:rtl/>
        </w:rPr>
        <w:t xml:space="preserve"> </w:t>
      </w:r>
      <w:r w:rsidRPr="00A22B7B">
        <w:rPr>
          <w:rFonts w:hint="cs"/>
          <w:rtl/>
        </w:rPr>
        <w:t>اتخذ</w:t>
      </w:r>
      <w:r>
        <w:rPr>
          <w:rFonts w:hint="cs"/>
          <w:rtl/>
        </w:rPr>
        <w:t xml:space="preserve"> </w:t>
      </w:r>
      <w:r w:rsidRPr="00A22B7B">
        <w:rPr>
          <w:rFonts w:hint="cs"/>
          <w:rtl/>
        </w:rPr>
        <w:t>كلاهما</w:t>
      </w:r>
      <w:r>
        <w:rPr>
          <w:rFonts w:hint="cs"/>
          <w:rtl/>
        </w:rPr>
        <w:t xml:space="preserve"> </w:t>
      </w:r>
      <w:r w:rsidRPr="00A22B7B">
        <w:rPr>
          <w:rFonts w:hint="cs"/>
          <w:rtl/>
        </w:rPr>
        <w:t>الآخر</w:t>
      </w:r>
      <w:r>
        <w:rPr>
          <w:rFonts w:hint="cs"/>
          <w:rtl/>
        </w:rPr>
        <w:t xml:space="preserve"> </w:t>
      </w:r>
      <w:r w:rsidRPr="00A22B7B">
        <w:rPr>
          <w:rFonts w:hint="cs"/>
          <w:rtl/>
        </w:rPr>
        <w:t>خليلاً،</w:t>
      </w:r>
      <w:r>
        <w:rPr>
          <w:rFonts w:hint="cs"/>
          <w:rtl/>
        </w:rPr>
        <w:t xml:space="preserve"> </w:t>
      </w:r>
      <w:r w:rsidRPr="00A22B7B">
        <w:rPr>
          <w:rFonts w:hint="cs"/>
          <w:rtl/>
        </w:rPr>
        <w:t>ويُعتبر</w:t>
      </w:r>
      <w:r>
        <w:rPr>
          <w:rFonts w:hint="cs"/>
          <w:rtl/>
        </w:rPr>
        <w:t xml:space="preserve"> </w:t>
      </w:r>
      <w:r w:rsidRPr="00A22B7B">
        <w:rPr>
          <w:rFonts w:hint="cs"/>
          <w:rtl/>
        </w:rPr>
        <w:t>هذا</w:t>
      </w:r>
      <w:r>
        <w:rPr>
          <w:rFonts w:hint="cs"/>
          <w:rtl/>
        </w:rPr>
        <w:t xml:space="preserve"> </w:t>
      </w:r>
      <w:r w:rsidRPr="00A22B7B">
        <w:rPr>
          <w:rFonts w:hint="cs"/>
          <w:rtl/>
        </w:rPr>
        <w:t>النوع</w:t>
      </w:r>
      <w:r>
        <w:rPr>
          <w:rFonts w:hint="cs"/>
          <w:rtl/>
        </w:rPr>
        <w:t xml:space="preserve"> </w:t>
      </w:r>
      <w:r w:rsidRPr="00A22B7B">
        <w:rPr>
          <w:rFonts w:hint="cs"/>
          <w:rtl/>
        </w:rPr>
        <w:t>من</w:t>
      </w:r>
      <w:r>
        <w:rPr>
          <w:rFonts w:hint="cs"/>
          <w:rtl/>
        </w:rPr>
        <w:t xml:space="preserve"> </w:t>
      </w:r>
      <w:r w:rsidRPr="00A22B7B">
        <w:rPr>
          <w:rFonts w:hint="cs"/>
          <w:rtl/>
        </w:rPr>
        <w:t>المساكنة</w:t>
      </w:r>
      <w:r>
        <w:rPr>
          <w:rFonts w:hint="cs"/>
          <w:rtl/>
        </w:rPr>
        <w:t xml:space="preserve"> </w:t>
      </w:r>
      <w:r w:rsidRPr="00A22B7B">
        <w:rPr>
          <w:rFonts w:hint="cs"/>
          <w:rtl/>
        </w:rPr>
        <w:t>شكلاً</w:t>
      </w:r>
      <w:r>
        <w:rPr>
          <w:rFonts w:hint="cs"/>
          <w:rtl/>
        </w:rPr>
        <w:t xml:space="preserve"> </w:t>
      </w:r>
      <w:r w:rsidRPr="00A22B7B">
        <w:rPr>
          <w:rFonts w:hint="cs"/>
          <w:rtl/>
        </w:rPr>
        <w:t>من</w:t>
      </w:r>
      <w:r>
        <w:rPr>
          <w:rFonts w:hint="cs"/>
          <w:rtl/>
        </w:rPr>
        <w:t xml:space="preserve"> </w:t>
      </w:r>
      <w:r w:rsidRPr="00A22B7B">
        <w:rPr>
          <w:rFonts w:hint="cs"/>
          <w:rtl/>
        </w:rPr>
        <w:t>أشكال</w:t>
      </w:r>
      <w:r>
        <w:rPr>
          <w:rFonts w:hint="cs"/>
          <w:rtl/>
        </w:rPr>
        <w:t xml:space="preserve"> </w:t>
      </w:r>
      <w:r w:rsidRPr="00A22B7B">
        <w:rPr>
          <w:rFonts w:hint="cs"/>
          <w:rtl/>
        </w:rPr>
        <w:t>الزواج،</w:t>
      </w:r>
      <w:r>
        <w:rPr>
          <w:rFonts w:hint="cs"/>
          <w:rtl/>
        </w:rPr>
        <w:t xml:space="preserve"> </w:t>
      </w:r>
      <w:r w:rsidRPr="00A22B7B">
        <w:rPr>
          <w:rFonts w:hint="cs"/>
          <w:rtl/>
        </w:rPr>
        <w:t>إلا</w:t>
      </w:r>
      <w:r>
        <w:rPr>
          <w:rFonts w:hint="eastAsia"/>
          <w:rtl/>
        </w:rPr>
        <w:t> </w:t>
      </w:r>
      <w:r w:rsidRPr="00A22B7B">
        <w:rPr>
          <w:rFonts w:hint="cs"/>
          <w:rtl/>
        </w:rPr>
        <w:t>أنه</w:t>
      </w:r>
      <w:r>
        <w:rPr>
          <w:rFonts w:hint="cs"/>
          <w:rtl/>
        </w:rPr>
        <w:t xml:space="preserve"> </w:t>
      </w:r>
      <w:r w:rsidRPr="00A22B7B">
        <w:rPr>
          <w:rFonts w:hint="cs"/>
          <w:rtl/>
        </w:rPr>
        <w:t>لا</w:t>
      </w:r>
      <w:r>
        <w:rPr>
          <w:rFonts w:hint="cs"/>
          <w:rtl/>
        </w:rPr>
        <w:t xml:space="preserve"> </w:t>
      </w:r>
      <w:r w:rsidRPr="00A22B7B">
        <w:rPr>
          <w:rFonts w:hint="cs"/>
          <w:rtl/>
        </w:rPr>
        <w:t>يكتسي</w:t>
      </w:r>
      <w:r>
        <w:rPr>
          <w:rFonts w:hint="cs"/>
          <w:rtl/>
        </w:rPr>
        <w:t xml:space="preserve"> </w:t>
      </w:r>
      <w:r w:rsidRPr="00A22B7B">
        <w:rPr>
          <w:rFonts w:hint="cs"/>
          <w:rtl/>
        </w:rPr>
        <w:t>طابعًا</w:t>
      </w:r>
      <w:r>
        <w:rPr>
          <w:rFonts w:hint="cs"/>
          <w:rtl/>
        </w:rPr>
        <w:t xml:space="preserve"> </w:t>
      </w:r>
      <w:r w:rsidRPr="00A22B7B">
        <w:rPr>
          <w:rFonts w:hint="cs"/>
          <w:rtl/>
        </w:rPr>
        <w:t>ملزمًا</w:t>
      </w:r>
      <w:r>
        <w:rPr>
          <w:rFonts w:hint="cs"/>
          <w:rtl/>
        </w:rPr>
        <w:t xml:space="preserve"> </w:t>
      </w:r>
      <w:r w:rsidRPr="00A22B7B">
        <w:rPr>
          <w:rFonts w:hint="cs"/>
          <w:rtl/>
        </w:rPr>
        <w:t>ولا</w:t>
      </w:r>
      <w:r>
        <w:rPr>
          <w:rFonts w:hint="cs"/>
          <w:rtl/>
        </w:rPr>
        <w:t xml:space="preserve"> </w:t>
      </w:r>
      <w:r w:rsidRPr="00A22B7B">
        <w:rPr>
          <w:rFonts w:hint="cs"/>
          <w:rtl/>
        </w:rPr>
        <w:t>ينطوي</w:t>
      </w:r>
      <w:r>
        <w:rPr>
          <w:rFonts w:hint="cs"/>
          <w:rtl/>
        </w:rPr>
        <w:t xml:space="preserve"> </w:t>
      </w:r>
      <w:r w:rsidRPr="00A22B7B">
        <w:rPr>
          <w:rFonts w:hint="cs"/>
          <w:rtl/>
        </w:rPr>
        <w:t>على</w:t>
      </w:r>
      <w:r>
        <w:rPr>
          <w:rFonts w:hint="cs"/>
          <w:rtl/>
        </w:rPr>
        <w:t xml:space="preserve"> </w:t>
      </w:r>
      <w:r w:rsidRPr="00A22B7B">
        <w:rPr>
          <w:rFonts w:hint="cs"/>
          <w:rtl/>
        </w:rPr>
        <w:t>الالتزامات</w:t>
      </w:r>
      <w:r>
        <w:rPr>
          <w:rFonts w:hint="cs"/>
          <w:rtl/>
        </w:rPr>
        <w:t xml:space="preserve"> </w:t>
      </w:r>
      <w:r w:rsidRPr="00A22B7B">
        <w:rPr>
          <w:rFonts w:hint="cs"/>
          <w:rtl/>
        </w:rPr>
        <w:t>والواجبات</w:t>
      </w:r>
      <w:r>
        <w:rPr>
          <w:rFonts w:hint="cs"/>
          <w:rtl/>
        </w:rPr>
        <w:t xml:space="preserve"> </w:t>
      </w:r>
      <w:r w:rsidRPr="00A22B7B">
        <w:rPr>
          <w:rFonts w:hint="cs"/>
          <w:rtl/>
        </w:rPr>
        <w:t>التي</w:t>
      </w:r>
      <w:r>
        <w:rPr>
          <w:rFonts w:hint="cs"/>
          <w:rtl/>
        </w:rPr>
        <w:t xml:space="preserve"> </w:t>
      </w:r>
      <w:r w:rsidRPr="00A22B7B">
        <w:rPr>
          <w:rFonts w:hint="cs"/>
          <w:rtl/>
        </w:rPr>
        <w:t>تربط</w:t>
      </w:r>
      <w:r>
        <w:rPr>
          <w:rFonts w:hint="cs"/>
          <w:rtl/>
        </w:rPr>
        <w:t xml:space="preserve"> </w:t>
      </w:r>
      <w:r w:rsidRPr="00A22B7B">
        <w:rPr>
          <w:rFonts w:hint="cs"/>
          <w:rtl/>
        </w:rPr>
        <w:t>أسرتي</w:t>
      </w:r>
      <w:r>
        <w:rPr>
          <w:rFonts w:hint="cs"/>
          <w:rtl/>
        </w:rPr>
        <w:t xml:space="preserve"> </w:t>
      </w:r>
      <w:r w:rsidRPr="00A22B7B">
        <w:rPr>
          <w:rFonts w:hint="cs"/>
          <w:rtl/>
        </w:rPr>
        <w:t>الطرفين</w:t>
      </w:r>
      <w:r>
        <w:rPr>
          <w:rFonts w:hint="cs"/>
          <w:rtl/>
        </w:rPr>
        <w:t xml:space="preserve"> </w:t>
      </w:r>
      <w:r w:rsidRPr="00A22B7B">
        <w:rPr>
          <w:rFonts w:hint="cs"/>
          <w:rtl/>
        </w:rPr>
        <w:t>بموجب</w:t>
      </w:r>
      <w:r>
        <w:rPr>
          <w:rFonts w:hint="cs"/>
          <w:rtl/>
        </w:rPr>
        <w:t xml:space="preserve"> </w:t>
      </w:r>
      <w:r w:rsidRPr="00A22B7B">
        <w:rPr>
          <w:rFonts w:hint="cs"/>
          <w:rtl/>
        </w:rPr>
        <w:t>الزواج</w:t>
      </w:r>
      <w:r w:rsidRPr="00E63B73">
        <w:rPr>
          <w:vertAlign w:val="superscript"/>
          <w:rtl/>
        </w:rPr>
        <w:t>(</w:t>
      </w:r>
      <w:r w:rsidRPr="00E63B73">
        <w:rPr>
          <w:rStyle w:val="FootnoteReference"/>
          <w:szCs w:val="30"/>
          <w:rtl/>
        </w:rPr>
        <w:footnoteReference w:id="297"/>
      </w:r>
      <w:r w:rsidRPr="00E63B73">
        <w:rPr>
          <w:vertAlign w:val="superscript"/>
          <w:rtl/>
        </w:rPr>
        <w:t>)</w:t>
      </w:r>
      <w:r w:rsidRPr="00A22B7B">
        <w:rPr>
          <w:rFonts w:hint="cs"/>
          <w:rtl/>
        </w:rPr>
        <w:t>.</w:t>
      </w:r>
      <w:r>
        <w:rPr>
          <w:rtl/>
        </w:rPr>
        <w:t xml:space="preserve"> </w:t>
      </w:r>
      <w:r w:rsidRPr="00A22B7B">
        <w:rPr>
          <w:rtl/>
        </w:rPr>
        <w:t>وبالتالي،</w:t>
      </w:r>
      <w:r>
        <w:rPr>
          <w:rtl/>
        </w:rPr>
        <w:t xml:space="preserve"> </w:t>
      </w:r>
      <w:r w:rsidRPr="00A22B7B">
        <w:rPr>
          <w:rFonts w:hint="cs"/>
          <w:rtl/>
        </w:rPr>
        <w:t>ربما</w:t>
      </w:r>
      <w:r>
        <w:rPr>
          <w:rFonts w:hint="cs"/>
          <w:rtl/>
        </w:rPr>
        <w:t xml:space="preserve"> </w:t>
      </w:r>
      <w:r w:rsidRPr="00A22B7B">
        <w:rPr>
          <w:rFonts w:hint="cs"/>
          <w:rtl/>
        </w:rPr>
        <w:t>يكون</w:t>
      </w:r>
      <w:r>
        <w:rPr>
          <w:rFonts w:hint="cs"/>
          <w:rtl/>
        </w:rPr>
        <w:t xml:space="preserve"> </w:t>
      </w:r>
      <w:r w:rsidRPr="00A22B7B">
        <w:rPr>
          <w:rFonts w:hint="cs"/>
          <w:rtl/>
        </w:rPr>
        <w:t>حقهما</w:t>
      </w:r>
      <w:r>
        <w:rPr>
          <w:rFonts w:hint="cs"/>
          <w:rtl/>
        </w:rPr>
        <w:t xml:space="preserve"> </w:t>
      </w:r>
      <w:r w:rsidRPr="00A22B7B">
        <w:rPr>
          <w:rFonts w:hint="cs"/>
          <w:rtl/>
        </w:rPr>
        <w:t>في</w:t>
      </w:r>
      <w:r>
        <w:rPr>
          <w:rFonts w:hint="cs"/>
          <w:rtl/>
        </w:rPr>
        <w:t xml:space="preserve"> </w:t>
      </w:r>
      <w:r w:rsidRPr="00A22B7B">
        <w:rPr>
          <w:rFonts w:hint="cs"/>
          <w:rtl/>
        </w:rPr>
        <w:t>ملكية</w:t>
      </w:r>
      <w:r>
        <w:rPr>
          <w:rFonts w:hint="cs"/>
          <w:rtl/>
        </w:rPr>
        <w:t xml:space="preserve"> </w:t>
      </w:r>
      <w:r w:rsidRPr="00A22B7B">
        <w:rPr>
          <w:rFonts w:hint="cs"/>
          <w:rtl/>
        </w:rPr>
        <w:t>الممتلكات</w:t>
      </w:r>
      <w:r>
        <w:rPr>
          <w:rFonts w:hint="cs"/>
          <w:rtl/>
        </w:rPr>
        <w:t xml:space="preserve"> </w:t>
      </w:r>
      <w:r w:rsidRPr="00A22B7B">
        <w:rPr>
          <w:rFonts w:hint="cs"/>
          <w:rtl/>
        </w:rPr>
        <w:t>ضعيفًا.</w:t>
      </w:r>
    </w:p>
    <w:p w:rsidR="009943B2" w:rsidRDefault="009943B2" w:rsidP="009943B2">
      <w:pPr>
        <w:pStyle w:val="SingleTxt"/>
        <w:rPr>
          <w:rFonts w:hint="cs"/>
          <w:rtl/>
        </w:rPr>
      </w:pPr>
      <w:r>
        <w:rPr>
          <w:rFonts w:hint="cs"/>
          <w:rtl/>
        </w:rPr>
        <w:t xml:space="preserve">350 - </w:t>
      </w:r>
      <w:r w:rsidRPr="00A22B7B">
        <w:rPr>
          <w:rFonts w:hint="cs"/>
          <w:rtl/>
        </w:rPr>
        <w:t>وفي</w:t>
      </w:r>
      <w:r>
        <w:rPr>
          <w:rFonts w:hint="cs"/>
          <w:rtl/>
        </w:rPr>
        <w:t xml:space="preserve"> </w:t>
      </w:r>
      <w:r w:rsidRPr="00A22B7B">
        <w:rPr>
          <w:rFonts w:hint="cs"/>
          <w:rtl/>
        </w:rPr>
        <w:t>ما</w:t>
      </w:r>
      <w:r>
        <w:rPr>
          <w:rFonts w:hint="cs"/>
          <w:rtl/>
        </w:rPr>
        <w:t xml:space="preserve"> </w:t>
      </w:r>
      <w:r w:rsidRPr="00A22B7B">
        <w:rPr>
          <w:rFonts w:hint="cs"/>
          <w:rtl/>
        </w:rPr>
        <w:t>يعترف</w:t>
      </w:r>
      <w:r>
        <w:rPr>
          <w:rFonts w:hint="cs"/>
          <w:rtl/>
        </w:rPr>
        <w:t xml:space="preserve"> </w:t>
      </w:r>
      <w:r w:rsidRPr="00A22B7B">
        <w:rPr>
          <w:rFonts w:hint="cs"/>
          <w:rtl/>
        </w:rPr>
        <w:t>قانون</w:t>
      </w:r>
      <w:r>
        <w:rPr>
          <w:rFonts w:hint="cs"/>
          <w:rtl/>
        </w:rPr>
        <w:t xml:space="preserve"> </w:t>
      </w:r>
      <w:r w:rsidRPr="00A22B7B">
        <w:rPr>
          <w:rFonts w:hint="cs"/>
          <w:rtl/>
        </w:rPr>
        <w:t>مكافحة</w:t>
      </w:r>
      <w:r>
        <w:rPr>
          <w:rFonts w:hint="cs"/>
          <w:rtl/>
        </w:rPr>
        <w:t xml:space="preserve"> </w:t>
      </w:r>
      <w:r w:rsidRPr="00A22B7B">
        <w:rPr>
          <w:rFonts w:hint="cs"/>
          <w:rtl/>
        </w:rPr>
        <w:t>العنف</w:t>
      </w:r>
      <w:r>
        <w:rPr>
          <w:rFonts w:hint="cs"/>
          <w:rtl/>
        </w:rPr>
        <w:t xml:space="preserve"> </w:t>
      </w:r>
      <w:r w:rsidRPr="00A22B7B">
        <w:rPr>
          <w:rFonts w:hint="cs"/>
          <w:rtl/>
        </w:rPr>
        <w:t>المنزلي</w:t>
      </w:r>
      <w:r>
        <w:rPr>
          <w:rFonts w:hint="cs"/>
          <w:rtl/>
        </w:rPr>
        <w:t xml:space="preserve"> </w:t>
      </w:r>
      <w:r w:rsidRPr="00A22B7B">
        <w:rPr>
          <w:rFonts w:hint="cs"/>
          <w:rtl/>
        </w:rPr>
        <w:t>بالشركاء</w:t>
      </w:r>
      <w:r>
        <w:rPr>
          <w:rFonts w:hint="cs"/>
          <w:rtl/>
        </w:rPr>
        <w:t xml:space="preserve"> </w:t>
      </w:r>
      <w:r w:rsidRPr="00A22B7B">
        <w:rPr>
          <w:rFonts w:hint="cs"/>
          <w:rtl/>
        </w:rPr>
        <w:t>بحكم</w:t>
      </w:r>
      <w:r>
        <w:rPr>
          <w:rFonts w:hint="cs"/>
          <w:rtl/>
        </w:rPr>
        <w:t xml:space="preserve"> </w:t>
      </w:r>
      <w:r w:rsidRPr="00A22B7B">
        <w:rPr>
          <w:rFonts w:hint="cs"/>
          <w:rtl/>
        </w:rPr>
        <w:t>الواقع</w:t>
      </w:r>
      <w:r>
        <w:rPr>
          <w:rFonts w:hint="cs"/>
          <w:rtl/>
        </w:rPr>
        <w:t xml:space="preserve"> </w:t>
      </w:r>
      <w:r w:rsidRPr="00A22B7B">
        <w:rPr>
          <w:rFonts w:hint="cs"/>
          <w:rtl/>
        </w:rPr>
        <w:t>على</w:t>
      </w:r>
      <w:r>
        <w:rPr>
          <w:rFonts w:hint="cs"/>
          <w:rtl/>
        </w:rPr>
        <w:t xml:space="preserve"> </w:t>
      </w:r>
      <w:r w:rsidRPr="00A22B7B">
        <w:rPr>
          <w:rFonts w:hint="cs"/>
          <w:rtl/>
        </w:rPr>
        <w:t>أنهم</w:t>
      </w:r>
      <w:r>
        <w:rPr>
          <w:rFonts w:hint="cs"/>
          <w:rtl/>
        </w:rPr>
        <w:t xml:space="preserve"> </w:t>
      </w:r>
      <w:r w:rsidRPr="00A22B7B">
        <w:rPr>
          <w:rFonts w:hint="cs"/>
          <w:rtl/>
        </w:rPr>
        <w:t>من</w:t>
      </w:r>
      <w:r>
        <w:rPr>
          <w:rFonts w:hint="cs"/>
          <w:rtl/>
        </w:rPr>
        <w:t xml:space="preserve"> </w:t>
      </w:r>
      <w:r w:rsidRPr="00A22B7B">
        <w:rPr>
          <w:rFonts w:hint="cs"/>
          <w:rtl/>
        </w:rPr>
        <w:t>أفراد</w:t>
      </w:r>
      <w:r>
        <w:rPr>
          <w:rFonts w:hint="cs"/>
          <w:rtl/>
        </w:rPr>
        <w:t xml:space="preserve"> </w:t>
      </w:r>
      <w:r w:rsidRPr="00A22B7B">
        <w:rPr>
          <w:rFonts w:hint="cs"/>
          <w:rtl/>
        </w:rPr>
        <w:t>العائلة</w:t>
      </w:r>
      <w:r>
        <w:rPr>
          <w:rFonts w:hint="cs"/>
          <w:rtl/>
        </w:rPr>
        <w:t xml:space="preserve"> </w:t>
      </w:r>
      <w:r w:rsidRPr="00A22B7B">
        <w:rPr>
          <w:rFonts w:hint="cs"/>
          <w:rtl/>
        </w:rPr>
        <w:t>بموجب</w:t>
      </w:r>
      <w:r>
        <w:rPr>
          <w:rFonts w:hint="cs"/>
          <w:rtl/>
        </w:rPr>
        <w:t xml:space="preserve"> </w:t>
      </w:r>
      <w:r w:rsidRPr="00A22B7B">
        <w:rPr>
          <w:rFonts w:hint="cs"/>
          <w:rtl/>
        </w:rPr>
        <w:t>المادة</w:t>
      </w:r>
      <w:r>
        <w:rPr>
          <w:rFonts w:hint="cs"/>
          <w:rtl/>
        </w:rPr>
        <w:t xml:space="preserve"> </w:t>
      </w:r>
      <w:r w:rsidRPr="00A22B7B">
        <w:rPr>
          <w:rFonts w:hint="cs"/>
          <w:rtl/>
        </w:rPr>
        <w:t>3</w:t>
      </w:r>
      <w:r>
        <w:rPr>
          <w:rFonts w:hint="cs"/>
          <w:rtl/>
        </w:rPr>
        <w:t xml:space="preserve"> </w:t>
      </w:r>
      <w:r w:rsidRPr="00A22B7B">
        <w:rPr>
          <w:rFonts w:hint="cs"/>
          <w:rtl/>
        </w:rPr>
        <w:t>(ب)،</w:t>
      </w:r>
      <w:r>
        <w:rPr>
          <w:rFonts w:hint="cs"/>
          <w:rtl/>
        </w:rPr>
        <w:t xml:space="preserve"> </w:t>
      </w:r>
      <w:r w:rsidRPr="00A22B7B">
        <w:rPr>
          <w:rFonts w:hint="cs"/>
          <w:rtl/>
        </w:rPr>
        <w:t>يستثنيهم</w:t>
      </w:r>
      <w:r>
        <w:rPr>
          <w:rFonts w:hint="cs"/>
          <w:rtl/>
        </w:rPr>
        <w:t xml:space="preserve"> </w:t>
      </w:r>
      <w:r w:rsidRPr="00A22B7B">
        <w:rPr>
          <w:rFonts w:hint="cs"/>
          <w:rtl/>
        </w:rPr>
        <w:t>القانون</w:t>
      </w:r>
      <w:r>
        <w:rPr>
          <w:rFonts w:hint="cs"/>
          <w:rtl/>
        </w:rPr>
        <w:t xml:space="preserve"> </w:t>
      </w:r>
      <w:r w:rsidRPr="00A22B7B">
        <w:rPr>
          <w:rFonts w:hint="cs"/>
          <w:rtl/>
        </w:rPr>
        <w:t>المدني</w:t>
      </w:r>
      <w:r>
        <w:rPr>
          <w:rFonts w:hint="cs"/>
          <w:rtl/>
        </w:rPr>
        <w:t xml:space="preserve"> </w:t>
      </w:r>
      <w:r w:rsidRPr="00A22B7B">
        <w:rPr>
          <w:rFonts w:hint="cs"/>
          <w:rtl/>
        </w:rPr>
        <w:t>من</w:t>
      </w:r>
      <w:r>
        <w:rPr>
          <w:rFonts w:hint="cs"/>
          <w:rtl/>
        </w:rPr>
        <w:t xml:space="preserve"> </w:t>
      </w:r>
      <w:r w:rsidRPr="00A22B7B">
        <w:rPr>
          <w:rFonts w:hint="cs"/>
          <w:rtl/>
        </w:rPr>
        <w:t>تعريفه</w:t>
      </w:r>
      <w:r>
        <w:rPr>
          <w:rFonts w:hint="cs"/>
          <w:rtl/>
        </w:rPr>
        <w:t xml:space="preserve"> </w:t>
      </w:r>
      <w:r w:rsidRPr="00A22B7B">
        <w:rPr>
          <w:rFonts w:hint="cs"/>
          <w:rtl/>
        </w:rPr>
        <w:t>للعائلة.</w:t>
      </w:r>
      <w:r>
        <w:rPr>
          <w:rFonts w:hint="cs"/>
          <w:rtl/>
        </w:rPr>
        <w:t xml:space="preserve"> </w:t>
      </w:r>
      <w:r w:rsidRPr="00A22B7B">
        <w:rPr>
          <w:rFonts w:hint="cs"/>
          <w:rtl/>
        </w:rPr>
        <w:t>وقد</w:t>
      </w:r>
      <w:r>
        <w:rPr>
          <w:rFonts w:hint="cs"/>
          <w:rtl/>
        </w:rPr>
        <w:t xml:space="preserve"> </w:t>
      </w:r>
      <w:r w:rsidRPr="00A22B7B">
        <w:rPr>
          <w:rFonts w:hint="cs"/>
          <w:rtl/>
        </w:rPr>
        <w:t>ساور</w:t>
      </w:r>
      <w:r>
        <w:rPr>
          <w:rFonts w:hint="cs"/>
          <w:rtl/>
        </w:rPr>
        <w:t xml:space="preserve"> </w:t>
      </w:r>
      <w:r w:rsidRPr="00A22B7B">
        <w:rPr>
          <w:rFonts w:hint="cs"/>
          <w:rtl/>
        </w:rPr>
        <w:t>القلق</w:t>
      </w:r>
      <w:r>
        <w:rPr>
          <w:rFonts w:hint="cs"/>
          <w:rtl/>
        </w:rPr>
        <w:t xml:space="preserve"> </w:t>
      </w:r>
      <w:r w:rsidRPr="00A22B7B">
        <w:rPr>
          <w:rFonts w:hint="cs"/>
          <w:rtl/>
        </w:rPr>
        <w:t>فريق</w:t>
      </w:r>
      <w:r>
        <w:rPr>
          <w:rFonts w:hint="cs"/>
          <w:rtl/>
        </w:rPr>
        <w:t xml:space="preserve"> </w:t>
      </w:r>
      <w:r w:rsidRPr="00A22B7B">
        <w:rPr>
          <w:rFonts w:hint="cs"/>
          <w:rtl/>
        </w:rPr>
        <w:t>العمل</w:t>
      </w:r>
      <w:r>
        <w:rPr>
          <w:rFonts w:hint="cs"/>
          <w:rtl/>
        </w:rPr>
        <w:t xml:space="preserve"> </w:t>
      </w:r>
      <w:r w:rsidRPr="00A22B7B">
        <w:rPr>
          <w:rFonts w:hint="cs"/>
          <w:rtl/>
        </w:rPr>
        <w:t>المعني</w:t>
      </w:r>
      <w:r>
        <w:rPr>
          <w:rFonts w:hint="cs"/>
          <w:rtl/>
        </w:rPr>
        <w:t xml:space="preserve"> </w:t>
      </w:r>
      <w:r w:rsidRPr="00A22B7B">
        <w:rPr>
          <w:rFonts w:hint="cs"/>
          <w:rtl/>
        </w:rPr>
        <w:t>بالجنسانية</w:t>
      </w:r>
      <w:r>
        <w:rPr>
          <w:rFonts w:hint="cs"/>
          <w:rtl/>
        </w:rPr>
        <w:t xml:space="preserve"> </w:t>
      </w:r>
      <w:r w:rsidRPr="00A22B7B">
        <w:rPr>
          <w:rFonts w:hint="cs"/>
          <w:rtl/>
        </w:rPr>
        <w:t>وقانون</w:t>
      </w:r>
      <w:r>
        <w:rPr>
          <w:rFonts w:hint="cs"/>
          <w:rtl/>
        </w:rPr>
        <w:t xml:space="preserve"> </w:t>
      </w:r>
      <w:r w:rsidRPr="00A22B7B">
        <w:rPr>
          <w:rFonts w:hint="cs"/>
          <w:rtl/>
        </w:rPr>
        <w:t>الأراضي</w:t>
      </w:r>
      <w:r>
        <w:rPr>
          <w:rFonts w:hint="cs"/>
          <w:rtl/>
        </w:rPr>
        <w:t xml:space="preserve"> </w:t>
      </w:r>
      <w:r w:rsidRPr="00A22B7B">
        <w:rPr>
          <w:rFonts w:hint="cs"/>
          <w:rtl/>
        </w:rPr>
        <w:t>لعام</w:t>
      </w:r>
      <w:r>
        <w:rPr>
          <w:rFonts w:hint="cs"/>
          <w:rtl/>
        </w:rPr>
        <w:t xml:space="preserve"> </w:t>
      </w:r>
      <w:r w:rsidRPr="00A22B7B">
        <w:rPr>
          <w:rFonts w:hint="cs"/>
          <w:rtl/>
        </w:rPr>
        <w:t>2009</w:t>
      </w:r>
      <w:r>
        <w:rPr>
          <w:rFonts w:hint="cs"/>
          <w:rtl/>
        </w:rPr>
        <w:t xml:space="preserve"> </w:t>
      </w:r>
      <w:r w:rsidRPr="00A22B7B">
        <w:rPr>
          <w:rFonts w:hint="cs"/>
          <w:rtl/>
        </w:rPr>
        <w:t>بشأن</w:t>
      </w:r>
      <w:r>
        <w:rPr>
          <w:rFonts w:hint="cs"/>
          <w:rtl/>
        </w:rPr>
        <w:t xml:space="preserve"> </w:t>
      </w:r>
      <w:r w:rsidRPr="00A22B7B">
        <w:rPr>
          <w:rFonts w:hint="cs"/>
          <w:rtl/>
        </w:rPr>
        <w:t>حماية</w:t>
      </w:r>
      <w:r>
        <w:rPr>
          <w:rFonts w:hint="cs"/>
          <w:rtl/>
        </w:rPr>
        <w:t xml:space="preserve"> </w:t>
      </w:r>
      <w:r w:rsidRPr="00A22B7B">
        <w:rPr>
          <w:rFonts w:hint="cs"/>
          <w:rtl/>
        </w:rPr>
        <w:t>حقوق</w:t>
      </w:r>
      <w:r>
        <w:rPr>
          <w:rFonts w:hint="cs"/>
          <w:rtl/>
        </w:rPr>
        <w:t xml:space="preserve"> </w:t>
      </w:r>
      <w:r w:rsidRPr="00A22B7B">
        <w:rPr>
          <w:rFonts w:hint="cs"/>
          <w:rtl/>
        </w:rPr>
        <w:t>الشركاء</w:t>
      </w:r>
      <w:r>
        <w:rPr>
          <w:rFonts w:hint="cs"/>
          <w:rtl/>
        </w:rPr>
        <w:t xml:space="preserve"> </w:t>
      </w:r>
      <w:r w:rsidRPr="00A22B7B">
        <w:rPr>
          <w:rFonts w:hint="cs"/>
          <w:rtl/>
        </w:rPr>
        <w:t>بحكم</w:t>
      </w:r>
      <w:r>
        <w:rPr>
          <w:rFonts w:hint="cs"/>
          <w:rtl/>
        </w:rPr>
        <w:t xml:space="preserve"> </w:t>
      </w:r>
      <w:r w:rsidRPr="00A22B7B">
        <w:rPr>
          <w:rFonts w:hint="cs"/>
          <w:rtl/>
        </w:rPr>
        <w:t>الواقع</w:t>
      </w:r>
      <w:r>
        <w:rPr>
          <w:rFonts w:hint="cs"/>
          <w:rtl/>
        </w:rPr>
        <w:t xml:space="preserve"> </w:t>
      </w:r>
      <w:r w:rsidRPr="00A22B7B">
        <w:rPr>
          <w:rFonts w:hint="cs"/>
          <w:rtl/>
        </w:rPr>
        <w:t>وأوصى</w:t>
      </w:r>
      <w:r>
        <w:rPr>
          <w:rFonts w:hint="cs"/>
          <w:rtl/>
        </w:rPr>
        <w:t xml:space="preserve"> </w:t>
      </w:r>
      <w:r w:rsidRPr="00A22B7B">
        <w:rPr>
          <w:rFonts w:hint="cs"/>
          <w:rtl/>
        </w:rPr>
        <w:t>أن</w:t>
      </w:r>
      <w:r>
        <w:rPr>
          <w:rFonts w:hint="cs"/>
          <w:rtl/>
        </w:rPr>
        <w:t xml:space="preserve"> </w:t>
      </w:r>
      <w:r w:rsidRPr="00A22B7B">
        <w:rPr>
          <w:rFonts w:hint="cs"/>
          <w:rtl/>
        </w:rPr>
        <w:t>يمنحهم</w:t>
      </w:r>
      <w:r>
        <w:rPr>
          <w:rFonts w:hint="cs"/>
          <w:rtl/>
        </w:rPr>
        <w:t xml:space="preserve"> </w:t>
      </w:r>
      <w:r w:rsidRPr="00A22B7B">
        <w:rPr>
          <w:rFonts w:hint="cs"/>
          <w:rtl/>
        </w:rPr>
        <w:t>القانون</w:t>
      </w:r>
      <w:r>
        <w:rPr>
          <w:rFonts w:hint="cs"/>
          <w:rtl/>
        </w:rPr>
        <w:t xml:space="preserve"> </w:t>
      </w:r>
      <w:r w:rsidRPr="00A22B7B">
        <w:rPr>
          <w:rFonts w:hint="cs"/>
          <w:rtl/>
        </w:rPr>
        <w:t>المدني</w:t>
      </w:r>
      <w:r>
        <w:rPr>
          <w:rFonts w:hint="cs"/>
          <w:rtl/>
        </w:rPr>
        <w:t xml:space="preserve"> </w:t>
      </w:r>
      <w:r w:rsidRPr="00A22B7B">
        <w:rPr>
          <w:rFonts w:hint="cs"/>
          <w:rtl/>
        </w:rPr>
        <w:t>قيد</w:t>
      </w:r>
      <w:r>
        <w:rPr>
          <w:rFonts w:hint="cs"/>
          <w:rtl/>
        </w:rPr>
        <w:t xml:space="preserve"> </w:t>
      </w:r>
      <w:r w:rsidRPr="00A22B7B">
        <w:rPr>
          <w:rFonts w:hint="cs"/>
          <w:rtl/>
        </w:rPr>
        <w:t>الإعداد</w:t>
      </w:r>
      <w:r>
        <w:rPr>
          <w:rFonts w:hint="cs"/>
          <w:rtl/>
        </w:rPr>
        <w:t xml:space="preserve"> </w:t>
      </w:r>
      <w:r w:rsidRPr="00A22B7B">
        <w:rPr>
          <w:rFonts w:hint="cs"/>
          <w:rtl/>
        </w:rPr>
        <w:t>حقوقًا</w:t>
      </w:r>
      <w:r>
        <w:rPr>
          <w:rFonts w:hint="cs"/>
          <w:rtl/>
        </w:rPr>
        <w:t xml:space="preserve"> </w:t>
      </w:r>
      <w:r w:rsidRPr="00A22B7B">
        <w:rPr>
          <w:rFonts w:hint="cs"/>
          <w:rtl/>
        </w:rPr>
        <w:t>مساوية</w:t>
      </w:r>
      <w:r>
        <w:rPr>
          <w:rFonts w:hint="cs"/>
          <w:rtl/>
        </w:rPr>
        <w:t xml:space="preserve"> </w:t>
      </w:r>
      <w:r w:rsidRPr="00A22B7B">
        <w:rPr>
          <w:rFonts w:hint="cs"/>
          <w:rtl/>
        </w:rPr>
        <w:t>لحقوق</w:t>
      </w:r>
      <w:r>
        <w:rPr>
          <w:rFonts w:hint="cs"/>
          <w:rtl/>
        </w:rPr>
        <w:t xml:space="preserve"> </w:t>
      </w:r>
      <w:r w:rsidRPr="00A22B7B">
        <w:rPr>
          <w:rFonts w:hint="cs"/>
          <w:rtl/>
        </w:rPr>
        <w:t>الأزواج</w:t>
      </w:r>
      <w:r>
        <w:rPr>
          <w:rFonts w:hint="cs"/>
          <w:rtl/>
        </w:rPr>
        <w:t xml:space="preserve"> </w:t>
      </w:r>
      <w:r w:rsidRPr="00A22B7B">
        <w:rPr>
          <w:rFonts w:hint="cs"/>
          <w:rtl/>
        </w:rPr>
        <w:t>في</w:t>
      </w:r>
      <w:r>
        <w:rPr>
          <w:rFonts w:hint="cs"/>
          <w:rtl/>
        </w:rPr>
        <w:t xml:space="preserve"> </w:t>
      </w:r>
      <w:r w:rsidRPr="00A22B7B">
        <w:rPr>
          <w:rFonts w:hint="cs"/>
          <w:rtl/>
        </w:rPr>
        <w:t>الزواج</w:t>
      </w:r>
      <w:r>
        <w:rPr>
          <w:rFonts w:hint="cs"/>
          <w:rtl/>
        </w:rPr>
        <w:t xml:space="preserve"> </w:t>
      </w:r>
      <w:r w:rsidRPr="00A22B7B">
        <w:rPr>
          <w:rFonts w:hint="cs"/>
          <w:rtl/>
        </w:rPr>
        <w:t>المدني،</w:t>
      </w:r>
      <w:r>
        <w:rPr>
          <w:rFonts w:hint="cs"/>
          <w:rtl/>
        </w:rPr>
        <w:t xml:space="preserve"> </w:t>
      </w:r>
      <w:r w:rsidRPr="00A22B7B">
        <w:rPr>
          <w:rFonts w:hint="cs"/>
          <w:rtl/>
        </w:rPr>
        <w:t>بما</w:t>
      </w:r>
      <w:r>
        <w:rPr>
          <w:rFonts w:hint="cs"/>
          <w:rtl/>
        </w:rPr>
        <w:t xml:space="preserve"> </w:t>
      </w:r>
      <w:r w:rsidRPr="00A22B7B">
        <w:rPr>
          <w:rFonts w:hint="cs"/>
          <w:rtl/>
        </w:rPr>
        <w:t>في</w:t>
      </w:r>
      <w:r>
        <w:rPr>
          <w:rFonts w:hint="cs"/>
          <w:rtl/>
        </w:rPr>
        <w:t xml:space="preserve"> </w:t>
      </w:r>
      <w:r w:rsidRPr="00A22B7B">
        <w:rPr>
          <w:rFonts w:hint="cs"/>
          <w:rtl/>
        </w:rPr>
        <w:t>ذلك</w:t>
      </w:r>
      <w:r>
        <w:rPr>
          <w:rFonts w:hint="cs"/>
          <w:rtl/>
        </w:rPr>
        <w:t xml:space="preserve"> </w:t>
      </w:r>
      <w:r w:rsidRPr="00A22B7B">
        <w:rPr>
          <w:rFonts w:hint="cs"/>
          <w:rtl/>
        </w:rPr>
        <w:t>ما</w:t>
      </w:r>
      <w:r>
        <w:rPr>
          <w:rFonts w:hint="cs"/>
          <w:rtl/>
        </w:rPr>
        <w:t xml:space="preserve"> </w:t>
      </w:r>
      <w:r w:rsidRPr="00A22B7B">
        <w:rPr>
          <w:rFonts w:hint="cs"/>
          <w:rtl/>
        </w:rPr>
        <w:t>يتعلق</w:t>
      </w:r>
      <w:r>
        <w:rPr>
          <w:rFonts w:hint="cs"/>
          <w:rtl/>
        </w:rPr>
        <w:t xml:space="preserve"> </w:t>
      </w:r>
      <w:r w:rsidRPr="00A22B7B">
        <w:rPr>
          <w:rFonts w:hint="cs"/>
          <w:rtl/>
        </w:rPr>
        <w:t>بالأراضي</w:t>
      </w:r>
      <w:r>
        <w:rPr>
          <w:rFonts w:hint="cs"/>
          <w:rtl/>
        </w:rPr>
        <w:t xml:space="preserve"> </w:t>
      </w:r>
      <w:r w:rsidRPr="00A22B7B">
        <w:rPr>
          <w:rFonts w:hint="cs"/>
          <w:rtl/>
        </w:rPr>
        <w:t>وحقوق</w:t>
      </w:r>
      <w:r>
        <w:rPr>
          <w:rFonts w:hint="cs"/>
          <w:rtl/>
        </w:rPr>
        <w:t xml:space="preserve"> </w:t>
      </w:r>
      <w:r w:rsidRPr="00A22B7B">
        <w:rPr>
          <w:rFonts w:hint="cs"/>
          <w:rtl/>
        </w:rPr>
        <w:t>الملكية</w:t>
      </w:r>
      <w:r>
        <w:rPr>
          <w:rFonts w:hint="cs"/>
          <w:rtl/>
        </w:rPr>
        <w:t xml:space="preserve"> </w:t>
      </w:r>
      <w:r w:rsidRPr="00A22B7B">
        <w:rPr>
          <w:rFonts w:hint="cs"/>
          <w:rtl/>
        </w:rPr>
        <w:t>بموجب</w:t>
      </w:r>
      <w:r>
        <w:rPr>
          <w:rFonts w:hint="cs"/>
          <w:rtl/>
        </w:rPr>
        <w:t xml:space="preserve"> </w:t>
      </w:r>
      <w:r w:rsidRPr="00A22B7B">
        <w:rPr>
          <w:rFonts w:hint="cs"/>
          <w:rtl/>
        </w:rPr>
        <w:t>القانون</w:t>
      </w:r>
      <w:r w:rsidRPr="00E63B73">
        <w:rPr>
          <w:vertAlign w:val="superscript"/>
          <w:rtl/>
        </w:rPr>
        <w:t>(</w:t>
      </w:r>
      <w:r w:rsidRPr="00E63B73">
        <w:rPr>
          <w:rStyle w:val="FootnoteReference"/>
          <w:szCs w:val="30"/>
          <w:rtl/>
        </w:rPr>
        <w:footnoteReference w:id="298"/>
      </w:r>
      <w:r w:rsidRPr="00E63B73">
        <w:rPr>
          <w:vertAlign w:val="superscript"/>
          <w:rtl/>
        </w:rPr>
        <w:t>)</w:t>
      </w:r>
      <w:r w:rsidRPr="00A22B7B">
        <w:rPr>
          <w:rFonts w:hint="cs"/>
          <w:rtl/>
        </w:rPr>
        <w:t>.</w:t>
      </w:r>
    </w:p>
    <w:p w:rsidR="009943B2" w:rsidRPr="003C1BD3" w:rsidRDefault="009943B2" w:rsidP="003C1BD3">
      <w:pPr>
        <w:pStyle w:val="SingleTxt"/>
        <w:spacing w:after="0" w:line="120" w:lineRule="exact"/>
        <w:rPr>
          <w:rFonts w:hint="cs"/>
          <w:sz w:val="10"/>
          <w:rtl/>
        </w:rPr>
      </w:pPr>
    </w:p>
    <w:p w:rsidR="003C1BD3" w:rsidRDefault="003C1BD3" w:rsidP="003C1B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rPr>
      </w:pPr>
      <w:r>
        <w:rPr>
          <w:rFonts w:hint="cs"/>
          <w:rtl/>
          <w:lang/>
        </w:rPr>
        <w:tab/>
      </w:r>
      <w:r>
        <w:rPr>
          <w:rFonts w:hint="cs"/>
          <w:rtl/>
          <w:lang/>
        </w:rPr>
        <w:tab/>
      </w:r>
      <w:r w:rsidRPr="000E7ED3">
        <w:rPr>
          <w:rtl/>
          <w:lang/>
        </w:rPr>
        <w:t>اختيار الزوج</w:t>
      </w:r>
    </w:p>
    <w:p w:rsidR="003C1BD3" w:rsidRDefault="003C1BD3" w:rsidP="003C1BD3">
      <w:pPr>
        <w:pStyle w:val="SingleTxt"/>
        <w:rPr>
          <w:rFonts w:hint="cs"/>
          <w:rtl/>
          <w:lang/>
        </w:rPr>
      </w:pPr>
      <w:r w:rsidRPr="000E7ED3">
        <w:rPr>
          <w:rtl/>
          <w:lang/>
        </w:rPr>
        <w:t xml:space="preserve">351 </w:t>
      </w:r>
      <w:r w:rsidRPr="000E7ED3">
        <w:rPr>
          <w:rFonts w:hint="cs"/>
          <w:rtl/>
          <w:lang/>
        </w:rPr>
        <w:t>-</w:t>
      </w:r>
      <w:r w:rsidRPr="000E7ED3">
        <w:rPr>
          <w:rtl/>
          <w:lang/>
        </w:rPr>
        <w:t xml:space="preserve"> على الرغم من أن</w:t>
      </w:r>
      <w:r w:rsidRPr="000E7ED3">
        <w:rPr>
          <w:rFonts w:hint="cs"/>
          <w:rtl/>
          <w:lang/>
        </w:rPr>
        <w:t xml:space="preserve"> ممثلي أسرتي الزوجين يتولون، في</w:t>
      </w:r>
      <w:r w:rsidRPr="000E7ED3">
        <w:rPr>
          <w:rtl/>
          <w:lang/>
        </w:rPr>
        <w:t xml:space="preserve"> </w:t>
      </w:r>
      <w:r w:rsidRPr="000E7ED3">
        <w:rPr>
          <w:rFonts w:hint="cs"/>
          <w:rtl/>
          <w:lang/>
        </w:rPr>
        <w:t xml:space="preserve">أكثر </w:t>
      </w:r>
      <w:r w:rsidRPr="000E7ED3">
        <w:rPr>
          <w:rFonts w:hint="cs"/>
          <w:rtl/>
        </w:rPr>
        <w:t xml:space="preserve">نظم </w:t>
      </w:r>
      <w:r w:rsidRPr="000E7ED3">
        <w:rPr>
          <w:rtl/>
          <w:lang/>
        </w:rPr>
        <w:t>الزواج التقليدي</w:t>
      </w:r>
      <w:r w:rsidRPr="000E7ED3">
        <w:rPr>
          <w:rFonts w:hint="cs"/>
          <w:rtl/>
          <w:lang/>
        </w:rPr>
        <w:t xml:space="preserve"> محافظة</w:t>
      </w:r>
      <w:r w:rsidRPr="000E7ED3">
        <w:rPr>
          <w:rtl/>
          <w:lang/>
        </w:rPr>
        <w:t xml:space="preserve">، </w:t>
      </w:r>
      <w:r w:rsidRPr="000E7ED3">
        <w:rPr>
          <w:rFonts w:hint="cs"/>
          <w:rtl/>
          <w:lang/>
        </w:rPr>
        <w:t>م</w:t>
      </w:r>
      <w:r w:rsidRPr="000E7ED3">
        <w:rPr>
          <w:rtl/>
          <w:lang/>
        </w:rPr>
        <w:t>سؤول</w:t>
      </w:r>
      <w:r w:rsidRPr="000E7ED3">
        <w:rPr>
          <w:rFonts w:hint="cs"/>
          <w:rtl/>
          <w:lang/>
        </w:rPr>
        <w:t>ية إجراء المناقشات المتعلقة بتبادل الهدايا التي لا يشارك فيها الزوجان المعنيان سواء في تقاليد النظام الأمومي أو الأبوي، يُسمح للأزواج الشباب عموما باختيار شركاء حياتهم</w:t>
      </w:r>
      <w:r w:rsidRPr="00B75CEC">
        <w:rPr>
          <w:vertAlign w:val="superscript"/>
          <w:rtl/>
          <w:lang/>
        </w:rPr>
        <w:t>(</w:t>
      </w:r>
      <w:r w:rsidRPr="00B75CEC">
        <w:rPr>
          <w:rStyle w:val="FootnoteReference"/>
          <w:szCs w:val="30"/>
          <w:rtl/>
        </w:rPr>
        <w:footnoteReference w:id="299"/>
      </w:r>
      <w:r w:rsidRPr="00B75CEC">
        <w:rPr>
          <w:vertAlign w:val="superscript"/>
          <w:rtl/>
          <w:lang/>
        </w:rPr>
        <w:t>)</w:t>
      </w:r>
      <w:r w:rsidRPr="000E7ED3">
        <w:rPr>
          <w:rFonts w:hint="cs"/>
          <w:rtl/>
          <w:lang/>
        </w:rPr>
        <w:t>.</w:t>
      </w:r>
      <w:r>
        <w:rPr>
          <w:rFonts w:hint="cs"/>
          <w:rtl/>
          <w:lang/>
        </w:rPr>
        <w:t xml:space="preserve"> </w:t>
      </w:r>
      <w:r w:rsidRPr="000E7ED3">
        <w:rPr>
          <w:rFonts w:hint="cs"/>
          <w:rtl/>
          <w:lang/>
        </w:rPr>
        <w:t>و</w:t>
      </w:r>
      <w:r w:rsidRPr="000E7ED3">
        <w:rPr>
          <w:rtl/>
          <w:lang/>
        </w:rPr>
        <w:t xml:space="preserve">علاوة على ذلك، </w:t>
      </w:r>
      <w:r w:rsidRPr="000E7ED3">
        <w:rPr>
          <w:rFonts w:hint="cs"/>
          <w:rtl/>
          <w:lang/>
        </w:rPr>
        <w:t>تجدر</w:t>
      </w:r>
      <w:r w:rsidRPr="000E7ED3">
        <w:rPr>
          <w:rtl/>
          <w:lang/>
        </w:rPr>
        <w:t xml:space="preserve"> الإشارة إلى أن الممارسات </w:t>
      </w:r>
      <w:r w:rsidRPr="000E7ED3">
        <w:rPr>
          <w:rFonts w:hint="cs"/>
          <w:rtl/>
          <w:lang/>
        </w:rPr>
        <w:t xml:space="preserve">في الزواج </w:t>
      </w:r>
      <w:r w:rsidRPr="000E7ED3">
        <w:rPr>
          <w:rtl/>
          <w:lang/>
        </w:rPr>
        <w:t>التقليدي تتطور لتصبح أكثر تشاركية.</w:t>
      </w:r>
    </w:p>
    <w:p w:rsidR="003C1BD3" w:rsidRPr="000E7ED3" w:rsidRDefault="003C1BD3" w:rsidP="003C1BD3">
      <w:pPr>
        <w:pStyle w:val="SingleTxt"/>
        <w:rPr>
          <w:rFonts w:hint="cs"/>
          <w:rtl/>
          <w:lang/>
        </w:rPr>
      </w:pPr>
      <w:r w:rsidRPr="000E7ED3">
        <w:rPr>
          <w:rtl/>
          <w:lang/>
        </w:rPr>
        <w:t>352</w:t>
      </w:r>
      <w:r>
        <w:rPr>
          <w:rFonts w:hint="cs"/>
          <w:rtl/>
          <w:lang/>
        </w:rPr>
        <w:t xml:space="preserve"> </w:t>
      </w:r>
      <w:r w:rsidRPr="000E7ED3">
        <w:rPr>
          <w:rFonts w:hint="cs"/>
          <w:rtl/>
          <w:lang/>
        </w:rPr>
        <w:t>- و</w:t>
      </w:r>
      <w:r w:rsidRPr="000E7ED3">
        <w:rPr>
          <w:rtl/>
          <w:lang/>
        </w:rPr>
        <w:t>وفقا للدستور</w:t>
      </w:r>
      <w:r w:rsidRPr="000E7ED3">
        <w:rPr>
          <w:rFonts w:hint="cs"/>
          <w:rtl/>
          <w:lang/>
        </w:rPr>
        <w:t>،</w:t>
      </w:r>
      <w:r w:rsidRPr="000E7ED3">
        <w:rPr>
          <w:rtl/>
          <w:lang/>
        </w:rPr>
        <w:t xml:space="preserve"> لكل فرد الحق في اختيار</w:t>
      </w:r>
      <w:r w:rsidRPr="000E7ED3">
        <w:rPr>
          <w:rFonts w:hint="cs"/>
          <w:rtl/>
          <w:lang/>
        </w:rPr>
        <w:t xml:space="preserve"> من يريد كزوج/زوجة/شريك/شريكة بناء على قرار حر، وتراعى في الاختيار</w:t>
      </w:r>
      <w:r w:rsidRPr="000E7ED3">
        <w:rPr>
          <w:rFonts w:hint="cs"/>
          <w:b/>
          <w:bCs/>
          <w:rtl/>
          <w:lang/>
        </w:rPr>
        <w:t xml:space="preserve"> </w:t>
      </w:r>
      <w:r w:rsidRPr="000E7ED3">
        <w:rPr>
          <w:rtl/>
          <w:lang/>
        </w:rPr>
        <w:t>مصالح كلا الطرفين</w:t>
      </w:r>
      <w:r w:rsidRPr="00B75CEC">
        <w:rPr>
          <w:vertAlign w:val="superscript"/>
          <w:rtl/>
          <w:lang/>
        </w:rPr>
        <w:t>(</w:t>
      </w:r>
      <w:r w:rsidRPr="00B75CEC">
        <w:rPr>
          <w:rStyle w:val="FootnoteReference"/>
          <w:szCs w:val="30"/>
          <w:rtl/>
        </w:rPr>
        <w:footnoteReference w:id="300"/>
      </w:r>
      <w:r w:rsidRPr="00B75CEC">
        <w:rPr>
          <w:vertAlign w:val="superscript"/>
          <w:rtl/>
          <w:lang/>
        </w:rPr>
        <w:t>)</w:t>
      </w:r>
      <w:r w:rsidRPr="000E7ED3">
        <w:rPr>
          <w:rtl/>
          <w:lang/>
        </w:rPr>
        <w:t>.</w:t>
      </w:r>
      <w:r>
        <w:rPr>
          <w:rFonts w:hint="cs"/>
          <w:rtl/>
          <w:lang/>
        </w:rPr>
        <w:t xml:space="preserve"> </w:t>
      </w:r>
      <w:r w:rsidRPr="000E7ED3">
        <w:rPr>
          <w:rFonts w:hint="cs"/>
          <w:rtl/>
          <w:lang/>
        </w:rPr>
        <w:t xml:space="preserve">وقد </w:t>
      </w:r>
      <w:r w:rsidRPr="000E7ED3">
        <w:rPr>
          <w:rtl/>
          <w:lang/>
        </w:rPr>
        <w:t xml:space="preserve">حدثت تغيرات، </w:t>
      </w:r>
      <w:r w:rsidRPr="000E7ED3">
        <w:rPr>
          <w:rFonts w:hint="cs"/>
          <w:rtl/>
          <w:lang/>
        </w:rPr>
        <w:t>حيث يرجح أن ي</w:t>
      </w:r>
      <w:r w:rsidRPr="000E7ED3">
        <w:rPr>
          <w:rtl/>
          <w:lang/>
        </w:rPr>
        <w:t xml:space="preserve">كون </w:t>
      </w:r>
      <w:r w:rsidRPr="000E7ED3">
        <w:rPr>
          <w:rFonts w:hint="cs"/>
          <w:rtl/>
          <w:lang/>
        </w:rPr>
        <w:t>الجيل الجديد حرا في اتخاذ القرار واختيار من يريد الزواج منه مقارنة بالأجيال ا</w:t>
      </w:r>
      <w:r w:rsidRPr="000E7ED3">
        <w:rPr>
          <w:rtl/>
          <w:lang/>
        </w:rPr>
        <w:t xml:space="preserve">لأكبر سنا. </w:t>
      </w:r>
      <w:r w:rsidRPr="000E7ED3">
        <w:rPr>
          <w:rFonts w:hint="cs"/>
          <w:rtl/>
          <w:lang/>
        </w:rPr>
        <w:t xml:space="preserve">ومع </w:t>
      </w:r>
      <w:r w:rsidRPr="000E7ED3">
        <w:rPr>
          <w:rtl/>
          <w:lang/>
        </w:rPr>
        <w:t xml:space="preserve">ذلك، </w:t>
      </w:r>
      <w:r w:rsidRPr="000E7ED3">
        <w:rPr>
          <w:rFonts w:hint="cs"/>
          <w:rtl/>
          <w:lang/>
        </w:rPr>
        <w:t>يظل هذا الجيل يتحمل الالتزامات المتعلقة بتبادل</w:t>
      </w:r>
      <w:r w:rsidRPr="000E7ED3">
        <w:rPr>
          <w:rFonts w:hint="cs"/>
          <w:rtl/>
        </w:rPr>
        <w:t xml:space="preserve"> الهدايا</w:t>
      </w:r>
      <w:r w:rsidRPr="000E7ED3">
        <w:rPr>
          <w:rFonts w:hint="cs"/>
          <w:rtl/>
          <w:lang/>
        </w:rPr>
        <w:t xml:space="preserve"> (</w:t>
      </w:r>
      <w:r w:rsidRPr="000E7ED3">
        <w:rPr>
          <w:i/>
          <w:iCs/>
        </w:rPr>
        <w:t>barlake</w:t>
      </w:r>
      <w:r w:rsidRPr="000E7ED3">
        <w:rPr>
          <w:rFonts w:hint="cs"/>
          <w:i/>
          <w:iCs/>
          <w:rtl/>
          <w:lang/>
        </w:rPr>
        <w:t>)</w:t>
      </w:r>
      <w:r w:rsidRPr="000E7ED3">
        <w:rPr>
          <w:rFonts w:hint="cs"/>
          <w:rtl/>
          <w:lang/>
        </w:rPr>
        <w:t xml:space="preserve"> أو بالقواعد </w:t>
      </w:r>
      <w:r w:rsidRPr="000E7ED3">
        <w:rPr>
          <w:rtl/>
        </w:rPr>
        <w:t>التقليدية</w:t>
      </w:r>
      <w:r w:rsidRPr="000E7ED3">
        <w:rPr>
          <w:rFonts w:hint="cs"/>
          <w:rtl/>
          <w:lang/>
        </w:rPr>
        <w:t xml:space="preserve"> بالنسبة ل</w:t>
      </w:r>
      <w:r w:rsidRPr="000E7ED3">
        <w:rPr>
          <w:rtl/>
          <w:lang/>
        </w:rPr>
        <w:t xml:space="preserve">لموت والجنازة </w:t>
      </w:r>
      <w:r w:rsidRPr="000E7ED3">
        <w:rPr>
          <w:rFonts w:hint="cs"/>
          <w:rtl/>
          <w:lang/>
        </w:rPr>
        <w:t>(</w:t>
      </w:r>
      <w:r w:rsidRPr="000E7ED3">
        <w:rPr>
          <w:i/>
        </w:rPr>
        <w:t>lisan</w:t>
      </w:r>
      <w:r w:rsidRPr="000E7ED3">
        <w:rPr>
          <w:rFonts w:hint="cs"/>
          <w:i/>
          <w:iCs/>
          <w:rtl/>
          <w:lang/>
        </w:rPr>
        <w:t>).</w:t>
      </w:r>
    </w:p>
    <w:p w:rsidR="003C1BD3" w:rsidRPr="000E7ED3" w:rsidRDefault="003C1BD3" w:rsidP="003C1BD3">
      <w:pPr>
        <w:pStyle w:val="SingleTxt"/>
        <w:spacing w:after="0" w:line="120" w:lineRule="exact"/>
        <w:rPr>
          <w:sz w:val="10"/>
          <w:rtl/>
          <w:lang/>
        </w:rPr>
      </w:pPr>
    </w:p>
    <w:p w:rsidR="003C1BD3" w:rsidRDefault="003C1BD3" w:rsidP="003C1B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rPr>
      </w:pPr>
      <w:r>
        <w:rPr>
          <w:rFonts w:hint="cs"/>
          <w:rtl/>
          <w:lang/>
        </w:rPr>
        <w:tab/>
      </w:r>
      <w:r>
        <w:rPr>
          <w:rFonts w:hint="cs"/>
          <w:rtl/>
          <w:lang/>
        </w:rPr>
        <w:tab/>
      </w:r>
      <w:r w:rsidRPr="000E7ED3">
        <w:rPr>
          <w:rtl/>
          <w:lang/>
        </w:rPr>
        <w:t>حقوق الزوجين ومسؤوليات</w:t>
      </w:r>
      <w:r w:rsidRPr="000E7ED3">
        <w:rPr>
          <w:rFonts w:hint="cs"/>
          <w:rtl/>
          <w:lang/>
        </w:rPr>
        <w:t>هما</w:t>
      </w:r>
      <w:r w:rsidRPr="000E7ED3">
        <w:rPr>
          <w:rtl/>
          <w:lang/>
        </w:rPr>
        <w:t xml:space="preserve"> </w:t>
      </w:r>
    </w:p>
    <w:p w:rsidR="003C1BD3" w:rsidRDefault="003C1BD3" w:rsidP="003C1BD3">
      <w:pPr>
        <w:pStyle w:val="SingleTxt"/>
        <w:rPr>
          <w:rFonts w:hint="cs"/>
          <w:rtl/>
          <w:lang/>
        </w:rPr>
      </w:pPr>
      <w:r w:rsidRPr="000E7ED3">
        <w:rPr>
          <w:rtl/>
          <w:lang/>
        </w:rPr>
        <w:t>353</w:t>
      </w:r>
      <w:r>
        <w:rPr>
          <w:rFonts w:hint="cs"/>
          <w:rtl/>
          <w:lang/>
        </w:rPr>
        <w:t xml:space="preserve"> </w:t>
      </w:r>
      <w:r w:rsidRPr="000E7ED3">
        <w:rPr>
          <w:rFonts w:hint="cs"/>
          <w:rtl/>
          <w:lang/>
        </w:rPr>
        <w:t xml:space="preserve">- </w:t>
      </w:r>
      <w:r w:rsidRPr="000E7ED3">
        <w:rPr>
          <w:rtl/>
          <w:lang/>
        </w:rPr>
        <w:t>ينص القانون المدني على المساواة بين الزوجين و</w:t>
      </w:r>
      <w:r w:rsidRPr="000E7ED3">
        <w:rPr>
          <w:rFonts w:hint="cs"/>
          <w:rtl/>
          <w:lang/>
        </w:rPr>
        <w:t xml:space="preserve">الإدارة المشتركة لشؤون </w:t>
      </w:r>
      <w:r>
        <w:rPr>
          <w:rFonts w:hint="cs"/>
          <w:rtl/>
          <w:lang/>
        </w:rPr>
        <w:t>ا</w:t>
      </w:r>
      <w:r w:rsidRPr="000E7ED3">
        <w:rPr>
          <w:rFonts w:hint="cs"/>
          <w:rtl/>
          <w:lang/>
        </w:rPr>
        <w:t>لأسرة</w:t>
      </w:r>
      <w:r w:rsidRPr="000E7ED3">
        <w:rPr>
          <w:rtl/>
          <w:lang/>
        </w:rPr>
        <w:t xml:space="preserve">. </w:t>
      </w:r>
      <w:r w:rsidRPr="000E7ED3">
        <w:rPr>
          <w:rFonts w:hint="cs"/>
          <w:rtl/>
          <w:lang/>
        </w:rPr>
        <w:t>وتعني المساواة في ال</w:t>
      </w:r>
      <w:r w:rsidRPr="000E7ED3">
        <w:rPr>
          <w:rtl/>
          <w:lang/>
        </w:rPr>
        <w:t>حقوق و</w:t>
      </w:r>
      <w:r w:rsidRPr="000E7ED3">
        <w:rPr>
          <w:rFonts w:hint="cs"/>
          <w:rtl/>
          <w:lang/>
        </w:rPr>
        <w:t>ال</w:t>
      </w:r>
      <w:r w:rsidRPr="000E7ED3">
        <w:rPr>
          <w:rtl/>
          <w:lang/>
        </w:rPr>
        <w:t xml:space="preserve">واجبات </w:t>
      </w:r>
      <w:r w:rsidRPr="000E7ED3">
        <w:rPr>
          <w:rFonts w:hint="cs"/>
          <w:rtl/>
          <w:lang/>
        </w:rPr>
        <w:t>أن كلا الز</w:t>
      </w:r>
      <w:r w:rsidRPr="000E7ED3">
        <w:rPr>
          <w:rtl/>
          <w:lang/>
        </w:rPr>
        <w:t xml:space="preserve">وجين </w:t>
      </w:r>
      <w:r w:rsidRPr="000E7ED3">
        <w:rPr>
          <w:rFonts w:hint="cs"/>
          <w:rtl/>
          <w:lang/>
        </w:rPr>
        <w:t>سيتفقان</w:t>
      </w:r>
      <w:r w:rsidRPr="000E7ED3">
        <w:rPr>
          <w:rtl/>
          <w:lang/>
        </w:rPr>
        <w:t xml:space="preserve"> على</w:t>
      </w:r>
      <w:r w:rsidRPr="000E7ED3">
        <w:rPr>
          <w:b/>
          <w:bCs/>
          <w:rtl/>
          <w:lang/>
        </w:rPr>
        <w:t xml:space="preserve"> </w:t>
      </w:r>
      <w:r w:rsidRPr="000E7ED3">
        <w:rPr>
          <w:rFonts w:hint="cs"/>
          <w:rtl/>
          <w:lang/>
        </w:rPr>
        <w:t>تسيير</w:t>
      </w:r>
      <w:r w:rsidRPr="000E7ED3">
        <w:rPr>
          <w:rtl/>
          <w:lang/>
        </w:rPr>
        <w:t xml:space="preserve"> الحياة المشتركة - </w:t>
      </w:r>
      <w:r w:rsidRPr="000E7ED3">
        <w:rPr>
          <w:rFonts w:hint="cs"/>
          <w:rtl/>
          <w:lang/>
        </w:rPr>
        <w:t>المادة</w:t>
      </w:r>
      <w:r w:rsidRPr="000E7ED3">
        <w:rPr>
          <w:rtl/>
          <w:lang/>
        </w:rPr>
        <w:t xml:space="preserve"> 1559. </w:t>
      </w:r>
      <w:r w:rsidRPr="000E7ED3">
        <w:rPr>
          <w:rFonts w:hint="cs"/>
          <w:rtl/>
          <w:lang/>
        </w:rPr>
        <w:t>و</w:t>
      </w:r>
      <w:r w:rsidRPr="000E7ED3">
        <w:rPr>
          <w:rtl/>
          <w:lang/>
        </w:rPr>
        <w:t xml:space="preserve">سواء </w:t>
      </w:r>
      <w:r w:rsidRPr="000E7ED3">
        <w:rPr>
          <w:rFonts w:hint="cs"/>
          <w:rtl/>
          <w:lang/>
        </w:rPr>
        <w:t>تعلق الأمر بالأمتعة الشخصية أو</w:t>
      </w:r>
      <w:r>
        <w:rPr>
          <w:rFonts w:hint="cs"/>
          <w:rtl/>
          <w:lang/>
        </w:rPr>
        <w:t xml:space="preserve"> </w:t>
      </w:r>
      <w:r w:rsidRPr="000E7ED3">
        <w:rPr>
          <w:rFonts w:hint="cs"/>
          <w:rtl/>
          <w:lang/>
        </w:rPr>
        <w:t>الأملاك التي تنجم عن الزواج</w:t>
      </w:r>
      <w:r w:rsidRPr="000E7ED3">
        <w:rPr>
          <w:rtl/>
          <w:lang/>
        </w:rPr>
        <w:t xml:space="preserve">، </w:t>
      </w:r>
      <w:r w:rsidRPr="000E7ED3">
        <w:rPr>
          <w:rFonts w:hint="cs"/>
          <w:rtl/>
          <w:lang/>
        </w:rPr>
        <w:t>يقرر</w:t>
      </w:r>
      <w:r w:rsidRPr="000E7ED3">
        <w:rPr>
          <w:rtl/>
          <w:lang/>
        </w:rPr>
        <w:t xml:space="preserve"> القانون المساواة بين الزوجين سواء في الحقوق </w:t>
      </w:r>
      <w:r w:rsidRPr="000E7ED3">
        <w:rPr>
          <w:rFonts w:hint="cs"/>
          <w:rtl/>
          <w:lang/>
        </w:rPr>
        <w:t>أ</w:t>
      </w:r>
      <w:r w:rsidRPr="000E7ED3">
        <w:rPr>
          <w:rtl/>
          <w:lang/>
        </w:rPr>
        <w:t>و الواجبات</w:t>
      </w:r>
      <w:r w:rsidRPr="000E7ED3">
        <w:rPr>
          <w:rFonts w:hint="cs"/>
          <w:rtl/>
          <w:lang/>
        </w:rPr>
        <w:t>. وتنص المادة</w:t>
      </w:r>
      <w:r w:rsidRPr="000E7ED3">
        <w:rPr>
          <w:rtl/>
          <w:lang/>
        </w:rPr>
        <w:t xml:space="preserve"> 1560 على أن </w:t>
      </w:r>
      <w:r>
        <w:rPr>
          <w:rFonts w:hint="cs"/>
          <w:rtl/>
          <w:lang/>
        </w:rPr>
        <w:t>”</w:t>
      </w:r>
      <w:r w:rsidRPr="000E7ED3">
        <w:rPr>
          <w:rtl/>
          <w:lang/>
        </w:rPr>
        <w:t xml:space="preserve">الزوجين </w:t>
      </w:r>
      <w:r w:rsidRPr="000E7ED3">
        <w:rPr>
          <w:rFonts w:hint="cs"/>
          <w:rtl/>
          <w:lang/>
        </w:rPr>
        <w:t xml:space="preserve">يلتزمان الواحد تجاه الآخر بالوفاء بواجبات </w:t>
      </w:r>
      <w:r w:rsidRPr="000E7ED3">
        <w:rPr>
          <w:rtl/>
          <w:lang/>
        </w:rPr>
        <w:t>الاحترام</w:t>
      </w:r>
      <w:r w:rsidRPr="000E7ED3">
        <w:rPr>
          <w:rFonts w:hint="cs"/>
          <w:rtl/>
          <w:lang/>
        </w:rPr>
        <w:t>،</w:t>
      </w:r>
      <w:r w:rsidRPr="000E7ED3">
        <w:rPr>
          <w:rtl/>
          <w:lang/>
        </w:rPr>
        <w:t xml:space="preserve"> والإخلاص، والتعايش</w:t>
      </w:r>
      <w:r w:rsidRPr="000E7ED3">
        <w:rPr>
          <w:rFonts w:hint="cs"/>
          <w:rtl/>
          <w:lang/>
        </w:rPr>
        <w:t>،</w:t>
      </w:r>
      <w:r w:rsidRPr="000E7ED3">
        <w:rPr>
          <w:rtl/>
          <w:lang/>
        </w:rPr>
        <w:t xml:space="preserve"> والتعاون</w:t>
      </w:r>
      <w:r w:rsidRPr="000E7ED3">
        <w:rPr>
          <w:rFonts w:hint="cs"/>
          <w:rtl/>
          <w:lang/>
        </w:rPr>
        <w:t>،</w:t>
      </w:r>
      <w:r w:rsidRPr="000E7ED3">
        <w:rPr>
          <w:rtl/>
          <w:lang/>
        </w:rPr>
        <w:t xml:space="preserve"> والمساعدة</w:t>
      </w:r>
      <w:r>
        <w:rPr>
          <w:rFonts w:hint="cs"/>
          <w:rtl/>
          <w:lang/>
        </w:rPr>
        <w:t>“</w:t>
      </w:r>
      <w:r w:rsidRPr="00CC7E0B">
        <w:rPr>
          <w:vertAlign w:val="superscript"/>
          <w:rtl/>
          <w:lang/>
        </w:rPr>
        <w:t>(</w:t>
      </w:r>
      <w:r w:rsidRPr="00CC7E0B">
        <w:rPr>
          <w:rStyle w:val="FootnoteReference"/>
          <w:szCs w:val="30"/>
          <w:rtl/>
        </w:rPr>
        <w:footnoteReference w:id="301"/>
      </w:r>
      <w:r w:rsidRPr="00CC7E0B">
        <w:rPr>
          <w:vertAlign w:val="superscript"/>
          <w:rtl/>
          <w:lang/>
        </w:rPr>
        <w:t>)</w:t>
      </w:r>
      <w:r w:rsidRPr="000E7ED3">
        <w:rPr>
          <w:rtl/>
          <w:lang/>
        </w:rPr>
        <w:t>.</w:t>
      </w:r>
    </w:p>
    <w:p w:rsidR="003C1BD3" w:rsidRDefault="003C1BD3" w:rsidP="003C1BD3">
      <w:pPr>
        <w:pStyle w:val="SingleTxt"/>
        <w:rPr>
          <w:rFonts w:hint="cs"/>
          <w:rtl/>
          <w:lang/>
        </w:rPr>
      </w:pPr>
      <w:r w:rsidRPr="000E7ED3">
        <w:rPr>
          <w:rtl/>
          <w:lang/>
        </w:rPr>
        <w:t xml:space="preserve">354 </w:t>
      </w:r>
      <w:r>
        <w:rPr>
          <w:rFonts w:hint="cs"/>
          <w:rtl/>
          <w:lang/>
        </w:rPr>
        <w:t>-</w:t>
      </w:r>
      <w:r w:rsidRPr="000E7ED3">
        <w:rPr>
          <w:rFonts w:hint="cs"/>
          <w:rtl/>
          <w:lang/>
        </w:rPr>
        <w:t xml:space="preserve"> وتشير المادة</w:t>
      </w:r>
      <w:r w:rsidRPr="000E7ED3">
        <w:rPr>
          <w:rtl/>
          <w:lang/>
        </w:rPr>
        <w:t xml:space="preserve"> 1562 إلى </w:t>
      </w:r>
      <w:r>
        <w:rPr>
          <w:rFonts w:hint="cs"/>
          <w:rtl/>
          <w:lang/>
        </w:rPr>
        <w:t>”</w:t>
      </w:r>
      <w:r w:rsidRPr="000E7ED3">
        <w:rPr>
          <w:rtl/>
          <w:lang/>
        </w:rPr>
        <w:t>الالتزام بتقديم المساعدة والدعم المتبادل والمسؤوليات المشتركة المتعلقة بالحياة الأسرية</w:t>
      </w:r>
      <w:r>
        <w:rPr>
          <w:rFonts w:hint="cs"/>
          <w:rtl/>
          <w:lang/>
        </w:rPr>
        <w:t>“</w:t>
      </w:r>
      <w:r w:rsidRPr="000E7ED3">
        <w:rPr>
          <w:rtl/>
          <w:lang/>
        </w:rPr>
        <w:t xml:space="preserve">. </w:t>
      </w:r>
      <w:r w:rsidRPr="000E7ED3">
        <w:rPr>
          <w:rFonts w:hint="cs"/>
          <w:rtl/>
          <w:lang/>
        </w:rPr>
        <w:t>وتنص المادة</w:t>
      </w:r>
      <w:r w:rsidRPr="000E7ED3">
        <w:rPr>
          <w:rtl/>
          <w:lang/>
        </w:rPr>
        <w:t xml:space="preserve"> 1564 </w:t>
      </w:r>
      <w:r w:rsidRPr="000E7ED3">
        <w:rPr>
          <w:rFonts w:hint="cs"/>
          <w:rtl/>
          <w:lang/>
        </w:rPr>
        <w:t xml:space="preserve">على أن </w:t>
      </w:r>
      <w:r>
        <w:rPr>
          <w:rFonts w:hint="eastAsia"/>
          <w:rtl/>
          <w:lang/>
        </w:rPr>
        <w:t>”</w:t>
      </w:r>
      <w:r w:rsidRPr="000E7ED3">
        <w:rPr>
          <w:rFonts w:hint="cs"/>
          <w:rtl/>
          <w:lang/>
        </w:rPr>
        <w:t>واجب</w:t>
      </w:r>
      <w:r w:rsidRPr="000E7ED3">
        <w:rPr>
          <w:rtl/>
          <w:lang/>
        </w:rPr>
        <w:t xml:space="preserve"> المساهمة في</w:t>
      </w:r>
      <w:r w:rsidRPr="000E7ED3">
        <w:rPr>
          <w:rFonts w:hint="cs"/>
          <w:rtl/>
          <w:lang/>
        </w:rPr>
        <w:t xml:space="preserve"> تحمل</w:t>
      </w:r>
      <w:r w:rsidRPr="000E7ED3">
        <w:rPr>
          <w:rtl/>
          <w:lang/>
        </w:rPr>
        <w:t xml:space="preserve"> أعباء الحياة الأسرية </w:t>
      </w:r>
      <w:r w:rsidRPr="000E7ED3">
        <w:rPr>
          <w:rFonts w:hint="cs"/>
          <w:rtl/>
          <w:lang/>
        </w:rPr>
        <w:t>من</w:t>
      </w:r>
      <w:r w:rsidRPr="000E7ED3">
        <w:rPr>
          <w:rtl/>
          <w:lang/>
        </w:rPr>
        <w:t xml:space="preserve"> مسؤولية الزوجين </w:t>
      </w:r>
      <w:r w:rsidRPr="000E7ED3">
        <w:rPr>
          <w:rFonts w:hint="cs"/>
          <w:rtl/>
          <w:lang/>
        </w:rPr>
        <w:t xml:space="preserve">معا </w:t>
      </w:r>
      <w:r w:rsidRPr="000E7ED3">
        <w:rPr>
          <w:rtl/>
          <w:lang/>
        </w:rPr>
        <w:t>[...]</w:t>
      </w:r>
      <w:r>
        <w:rPr>
          <w:rFonts w:hint="cs"/>
          <w:rtl/>
          <w:lang/>
        </w:rPr>
        <w:t>“</w:t>
      </w:r>
      <w:r w:rsidRPr="000E7ED3">
        <w:rPr>
          <w:rtl/>
          <w:lang/>
        </w:rPr>
        <w:t xml:space="preserve">. </w:t>
      </w:r>
      <w:r w:rsidRPr="000E7ED3">
        <w:rPr>
          <w:rFonts w:hint="cs"/>
          <w:rtl/>
          <w:lang/>
        </w:rPr>
        <w:t xml:space="preserve">وترد </w:t>
      </w:r>
      <w:r w:rsidRPr="000E7ED3">
        <w:rPr>
          <w:rtl/>
          <w:lang/>
        </w:rPr>
        <w:t>القواعد</w:t>
      </w:r>
      <w:r w:rsidRPr="000E7ED3">
        <w:rPr>
          <w:rFonts w:hint="cs"/>
          <w:rtl/>
          <w:lang/>
        </w:rPr>
        <w:t xml:space="preserve"> المتعلقة ب</w:t>
      </w:r>
      <w:r w:rsidRPr="000E7ED3">
        <w:rPr>
          <w:rtl/>
          <w:lang/>
        </w:rPr>
        <w:t xml:space="preserve">إدارة الأصول الخاصة والعامة </w:t>
      </w:r>
      <w:r w:rsidRPr="000E7ED3">
        <w:rPr>
          <w:rFonts w:hint="cs"/>
          <w:rtl/>
          <w:lang/>
        </w:rPr>
        <w:t>وطرائق تطبيقها</w:t>
      </w:r>
      <w:r w:rsidRPr="000E7ED3">
        <w:rPr>
          <w:rtl/>
          <w:lang/>
        </w:rPr>
        <w:t xml:space="preserve"> في </w:t>
      </w:r>
      <w:r w:rsidRPr="000E7ED3">
        <w:rPr>
          <w:rFonts w:hint="cs"/>
          <w:rtl/>
          <w:lang/>
        </w:rPr>
        <w:t>المادتين</w:t>
      </w:r>
      <w:r w:rsidRPr="000E7ED3">
        <w:rPr>
          <w:rtl/>
          <w:lang/>
        </w:rPr>
        <w:t xml:space="preserve"> 1570 و 1573، ال</w:t>
      </w:r>
      <w:r w:rsidRPr="000E7ED3">
        <w:rPr>
          <w:rFonts w:hint="cs"/>
          <w:rtl/>
          <w:lang/>
        </w:rPr>
        <w:t>ل</w:t>
      </w:r>
      <w:r w:rsidRPr="000E7ED3">
        <w:rPr>
          <w:rtl/>
          <w:lang/>
        </w:rPr>
        <w:t>تي</w:t>
      </w:r>
      <w:r w:rsidRPr="000E7ED3">
        <w:rPr>
          <w:rFonts w:hint="cs"/>
          <w:rtl/>
          <w:lang/>
        </w:rPr>
        <w:t>ن</w:t>
      </w:r>
      <w:r w:rsidRPr="000E7ED3">
        <w:rPr>
          <w:rtl/>
          <w:lang/>
        </w:rPr>
        <w:t xml:space="preserve"> </w:t>
      </w:r>
      <w:r w:rsidRPr="000E7ED3">
        <w:rPr>
          <w:rFonts w:hint="cs"/>
          <w:rtl/>
          <w:lang/>
        </w:rPr>
        <w:t>تشترطان</w:t>
      </w:r>
      <w:r w:rsidRPr="000E7ED3">
        <w:rPr>
          <w:rtl/>
          <w:lang/>
        </w:rPr>
        <w:t xml:space="preserve"> موافقة كلا الزوجين للت</w:t>
      </w:r>
      <w:r w:rsidRPr="000E7ED3">
        <w:rPr>
          <w:rFonts w:hint="cs"/>
          <w:rtl/>
          <w:lang/>
        </w:rPr>
        <w:t>صرف</w:t>
      </w:r>
      <w:r w:rsidRPr="000E7ED3">
        <w:rPr>
          <w:rtl/>
          <w:lang/>
        </w:rPr>
        <w:t xml:space="preserve"> </w:t>
      </w:r>
      <w:r w:rsidRPr="000E7ED3">
        <w:rPr>
          <w:rFonts w:hint="cs"/>
          <w:rtl/>
          <w:lang/>
        </w:rPr>
        <w:t xml:space="preserve">في </w:t>
      </w:r>
      <w:r w:rsidRPr="000E7ED3">
        <w:rPr>
          <w:rtl/>
          <w:lang/>
        </w:rPr>
        <w:t xml:space="preserve">الممتلكات غير المنقولة </w:t>
      </w:r>
      <w:r w:rsidRPr="000E7ED3">
        <w:rPr>
          <w:rFonts w:hint="cs"/>
          <w:rtl/>
          <w:lang/>
        </w:rPr>
        <w:t xml:space="preserve">أو رهنها </w:t>
      </w:r>
      <w:r>
        <w:rPr>
          <w:rtl/>
          <w:lang/>
        </w:rPr>
        <w:t>(المادة 1575)</w:t>
      </w:r>
      <w:r w:rsidRPr="00B75CEC">
        <w:rPr>
          <w:vertAlign w:val="superscript"/>
          <w:rtl/>
          <w:lang/>
        </w:rPr>
        <w:t>(</w:t>
      </w:r>
      <w:r w:rsidRPr="00B75CEC">
        <w:rPr>
          <w:rStyle w:val="FootnoteReference"/>
          <w:szCs w:val="30"/>
          <w:rtl/>
        </w:rPr>
        <w:footnoteReference w:id="302"/>
      </w:r>
      <w:r w:rsidRPr="00B75CEC">
        <w:rPr>
          <w:vertAlign w:val="superscript"/>
          <w:rtl/>
          <w:lang/>
        </w:rPr>
        <w:t>)</w:t>
      </w:r>
      <w:r w:rsidRPr="000E7ED3">
        <w:rPr>
          <w:rtl/>
          <w:lang/>
        </w:rPr>
        <w:t>. و</w:t>
      </w:r>
      <w:r w:rsidRPr="000E7ED3">
        <w:rPr>
          <w:rFonts w:hint="cs"/>
          <w:rtl/>
          <w:lang/>
        </w:rPr>
        <w:t>جدير با</w:t>
      </w:r>
      <w:r w:rsidRPr="000E7ED3">
        <w:rPr>
          <w:rtl/>
          <w:lang/>
        </w:rPr>
        <w:t>لاهتمام أن القانون المدني</w:t>
      </w:r>
      <w:r w:rsidRPr="000E7ED3">
        <w:rPr>
          <w:rFonts w:hint="cs"/>
          <w:rtl/>
          <w:lang/>
        </w:rPr>
        <w:t xml:space="preserve"> لعام</w:t>
      </w:r>
      <w:r w:rsidRPr="000E7ED3">
        <w:rPr>
          <w:rtl/>
          <w:lang/>
        </w:rPr>
        <w:t xml:space="preserve"> 2011 </w:t>
      </w:r>
      <w:r w:rsidRPr="000E7ED3">
        <w:rPr>
          <w:rFonts w:hint="cs"/>
          <w:rtl/>
          <w:lang/>
        </w:rPr>
        <w:t xml:space="preserve">يتضمن </w:t>
      </w:r>
      <w:r w:rsidRPr="000E7ED3">
        <w:rPr>
          <w:rtl/>
          <w:lang/>
        </w:rPr>
        <w:t>أيضا حكم</w:t>
      </w:r>
      <w:r w:rsidRPr="000E7ED3">
        <w:rPr>
          <w:rFonts w:hint="cs"/>
          <w:rtl/>
          <w:lang/>
        </w:rPr>
        <w:t>ا</w:t>
      </w:r>
      <w:r w:rsidRPr="000E7ED3">
        <w:rPr>
          <w:rtl/>
          <w:lang/>
        </w:rPr>
        <w:t xml:space="preserve"> </w:t>
      </w:r>
      <w:r w:rsidRPr="000E7ED3">
        <w:rPr>
          <w:rFonts w:hint="cs"/>
          <w:rtl/>
          <w:lang/>
        </w:rPr>
        <w:t>محددا</w:t>
      </w:r>
      <w:r w:rsidRPr="000E7ED3">
        <w:rPr>
          <w:rtl/>
          <w:lang/>
        </w:rPr>
        <w:t xml:space="preserve">، </w:t>
      </w:r>
      <w:r w:rsidRPr="000E7ED3">
        <w:rPr>
          <w:rFonts w:hint="cs"/>
          <w:rtl/>
          <w:lang/>
        </w:rPr>
        <w:t xml:space="preserve">يرد في المادة </w:t>
      </w:r>
      <w:r w:rsidRPr="000E7ED3">
        <w:rPr>
          <w:rtl/>
          <w:lang/>
        </w:rPr>
        <w:t xml:space="preserve">1569، </w:t>
      </w:r>
      <w:r w:rsidRPr="000E7ED3">
        <w:rPr>
          <w:rFonts w:hint="cs"/>
          <w:rtl/>
          <w:lang/>
        </w:rPr>
        <w:t xml:space="preserve">بشأن </w:t>
      </w:r>
      <w:r w:rsidRPr="000E7ED3">
        <w:rPr>
          <w:rtl/>
          <w:lang/>
        </w:rPr>
        <w:t xml:space="preserve">حرية الزوجين </w:t>
      </w:r>
      <w:r w:rsidRPr="000E7ED3">
        <w:rPr>
          <w:rFonts w:hint="cs"/>
          <w:rtl/>
          <w:lang/>
        </w:rPr>
        <w:t xml:space="preserve">معا </w:t>
      </w:r>
      <w:r w:rsidRPr="000E7ED3">
        <w:rPr>
          <w:rtl/>
          <w:lang/>
        </w:rPr>
        <w:t>في ممارسة أي مهنة</w:t>
      </w:r>
      <w:r>
        <w:rPr>
          <w:rtl/>
          <w:lang/>
        </w:rPr>
        <w:t xml:space="preserve"> أو نشاط دون موافقة الزوج الآخر</w:t>
      </w:r>
      <w:r w:rsidRPr="000E7ED3">
        <w:rPr>
          <w:rtl/>
          <w:lang/>
        </w:rPr>
        <w:t>.</w:t>
      </w:r>
    </w:p>
    <w:p w:rsidR="003C1BD3" w:rsidRDefault="003C1BD3" w:rsidP="003C1BD3">
      <w:pPr>
        <w:pStyle w:val="SingleTxt"/>
        <w:rPr>
          <w:rFonts w:hint="cs"/>
          <w:rtl/>
          <w:lang/>
        </w:rPr>
      </w:pPr>
      <w:r w:rsidRPr="000E7ED3">
        <w:rPr>
          <w:rtl/>
          <w:lang/>
        </w:rPr>
        <w:t>355</w:t>
      </w:r>
      <w:r>
        <w:rPr>
          <w:rFonts w:hint="cs"/>
          <w:rtl/>
          <w:lang/>
        </w:rPr>
        <w:t xml:space="preserve"> </w:t>
      </w:r>
      <w:r w:rsidRPr="000E7ED3">
        <w:rPr>
          <w:rFonts w:hint="cs"/>
          <w:rtl/>
          <w:lang/>
        </w:rPr>
        <w:t>-</w:t>
      </w:r>
      <w:r w:rsidRPr="000E7ED3">
        <w:rPr>
          <w:rtl/>
          <w:lang/>
        </w:rPr>
        <w:t xml:space="preserve"> ومع ذلك، </w:t>
      </w:r>
      <w:r w:rsidRPr="000E7ED3">
        <w:rPr>
          <w:rFonts w:hint="cs"/>
          <w:rtl/>
          <w:lang/>
        </w:rPr>
        <w:t xml:space="preserve">يكون الزوج، </w:t>
      </w:r>
      <w:r w:rsidRPr="000E7ED3">
        <w:rPr>
          <w:rtl/>
          <w:lang/>
        </w:rPr>
        <w:t>في الثقافة التقليدية، سواء في</w:t>
      </w:r>
      <w:r w:rsidRPr="000E7ED3">
        <w:rPr>
          <w:rFonts w:hint="cs"/>
          <w:rtl/>
          <w:lang/>
        </w:rPr>
        <w:t xml:space="preserve"> </w:t>
      </w:r>
      <w:r w:rsidRPr="000E7ED3">
        <w:rPr>
          <w:rtl/>
          <w:lang/>
        </w:rPr>
        <w:t>المجتمعات</w:t>
      </w:r>
      <w:r w:rsidRPr="000E7ED3">
        <w:rPr>
          <w:rFonts w:hint="cs"/>
          <w:rtl/>
          <w:lang/>
        </w:rPr>
        <w:t xml:space="preserve"> المحلية المبنية على النظام الأبوي أو الأمومي</w:t>
      </w:r>
      <w:r w:rsidRPr="000E7ED3">
        <w:rPr>
          <w:rtl/>
          <w:lang/>
        </w:rPr>
        <w:t>، هو رب الأسرة، وبالتالي،</w:t>
      </w:r>
      <w:r w:rsidRPr="000E7ED3">
        <w:rPr>
          <w:rFonts w:hint="cs"/>
          <w:rtl/>
          <w:lang/>
        </w:rPr>
        <w:t xml:space="preserve"> فهو المسؤول عن </w:t>
      </w:r>
      <w:r w:rsidRPr="000E7ED3">
        <w:rPr>
          <w:rtl/>
          <w:lang/>
        </w:rPr>
        <w:t>كسب المال</w:t>
      </w:r>
      <w:r w:rsidRPr="000E7ED3">
        <w:rPr>
          <w:rFonts w:hint="cs"/>
          <w:rtl/>
          <w:lang/>
        </w:rPr>
        <w:t>؛</w:t>
      </w:r>
      <w:r w:rsidRPr="000E7ED3">
        <w:rPr>
          <w:rtl/>
          <w:lang/>
        </w:rPr>
        <w:t xml:space="preserve"> </w:t>
      </w:r>
      <w:r w:rsidRPr="000E7ED3">
        <w:rPr>
          <w:rFonts w:hint="cs"/>
          <w:rtl/>
          <w:lang/>
        </w:rPr>
        <w:t>فيما</w:t>
      </w:r>
      <w:r>
        <w:rPr>
          <w:rFonts w:hint="eastAsia"/>
          <w:rtl/>
          <w:lang/>
        </w:rPr>
        <w:t> </w:t>
      </w:r>
      <w:r w:rsidRPr="000E7ED3">
        <w:rPr>
          <w:rFonts w:hint="cs"/>
          <w:rtl/>
          <w:lang/>
        </w:rPr>
        <w:t xml:space="preserve">تعتني </w:t>
      </w:r>
      <w:r w:rsidRPr="000E7ED3">
        <w:rPr>
          <w:rtl/>
          <w:lang/>
        </w:rPr>
        <w:t xml:space="preserve">الزوجة </w:t>
      </w:r>
      <w:r w:rsidRPr="000E7ED3">
        <w:rPr>
          <w:rFonts w:hint="cs"/>
          <w:rtl/>
          <w:lang/>
        </w:rPr>
        <w:t>ب</w:t>
      </w:r>
      <w:r w:rsidRPr="000E7ED3">
        <w:rPr>
          <w:rtl/>
          <w:lang/>
        </w:rPr>
        <w:t xml:space="preserve">المنزل، </w:t>
      </w:r>
      <w:r w:rsidRPr="000E7ED3">
        <w:rPr>
          <w:rFonts w:hint="cs"/>
          <w:rtl/>
          <w:lang/>
        </w:rPr>
        <w:t>و</w:t>
      </w:r>
      <w:r w:rsidRPr="000E7ED3">
        <w:rPr>
          <w:rtl/>
          <w:lang/>
        </w:rPr>
        <w:t xml:space="preserve">ترعى الأطفال، و تساعد الزوج </w:t>
      </w:r>
      <w:r w:rsidRPr="000E7ED3">
        <w:rPr>
          <w:rFonts w:hint="cs"/>
          <w:rtl/>
          <w:lang/>
        </w:rPr>
        <w:t>في الحقل في الأوقات التي تكثر فيها الأشغال</w:t>
      </w:r>
      <w:r w:rsidRPr="000E7ED3">
        <w:rPr>
          <w:rtl/>
          <w:lang/>
        </w:rPr>
        <w:t xml:space="preserve">. </w:t>
      </w:r>
      <w:r w:rsidRPr="000E7ED3">
        <w:rPr>
          <w:rFonts w:hint="cs"/>
          <w:rtl/>
          <w:lang/>
        </w:rPr>
        <w:t>و</w:t>
      </w:r>
      <w:r w:rsidRPr="000E7ED3">
        <w:rPr>
          <w:rtl/>
          <w:lang/>
        </w:rPr>
        <w:t>يجوز للزوجة أيضا كسب المال من خلال</w:t>
      </w:r>
      <w:r w:rsidRPr="000E7ED3">
        <w:rPr>
          <w:rFonts w:hint="cs"/>
          <w:rtl/>
          <w:lang/>
        </w:rPr>
        <w:t xml:space="preserve"> مزاولة</w:t>
      </w:r>
      <w:r w:rsidRPr="000E7ED3">
        <w:rPr>
          <w:rtl/>
          <w:lang/>
        </w:rPr>
        <w:t xml:space="preserve"> نشاط ثانوي (</w:t>
      </w:r>
      <w:r w:rsidRPr="000E7ED3">
        <w:rPr>
          <w:rFonts w:hint="cs"/>
          <w:rtl/>
          <w:lang/>
        </w:rPr>
        <w:t>نسج ثوب التايس (</w:t>
      </w:r>
      <w:r w:rsidRPr="000E7ED3">
        <w:t>ta'is</w:t>
      </w:r>
      <w:r w:rsidRPr="000E7ED3">
        <w:rPr>
          <w:rFonts w:hint="cs"/>
          <w:rtl/>
          <w:lang/>
        </w:rPr>
        <w:t>)</w:t>
      </w:r>
      <w:r w:rsidRPr="000E7ED3">
        <w:rPr>
          <w:rtl/>
          <w:lang/>
        </w:rPr>
        <w:t xml:space="preserve">، </w:t>
      </w:r>
      <w:r w:rsidRPr="000E7ED3">
        <w:rPr>
          <w:rFonts w:hint="cs"/>
          <w:rtl/>
          <w:lang/>
        </w:rPr>
        <w:t>أ</w:t>
      </w:r>
      <w:r w:rsidRPr="000E7ED3">
        <w:rPr>
          <w:rtl/>
          <w:lang/>
        </w:rPr>
        <w:t>و</w:t>
      </w:r>
      <w:r w:rsidRPr="000E7ED3">
        <w:rPr>
          <w:rFonts w:hint="cs"/>
          <w:rtl/>
          <w:lang/>
        </w:rPr>
        <w:t xml:space="preserve"> </w:t>
      </w:r>
      <w:r w:rsidRPr="000E7ED3">
        <w:rPr>
          <w:rtl/>
          <w:lang/>
        </w:rPr>
        <w:t>بيع الوقود، أو العمل بأجر)، و</w:t>
      </w:r>
      <w:r w:rsidRPr="000E7ED3">
        <w:rPr>
          <w:rFonts w:hint="cs"/>
          <w:rtl/>
          <w:lang/>
        </w:rPr>
        <w:t xml:space="preserve">لكن دورها </w:t>
      </w:r>
      <w:r w:rsidRPr="000E7ED3">
        <w:rPr>
          <w:rtl/>
          <w:lang/>
        </w:rPr>
        <w:t xml:space="preserve">في </w:t>
      </w:r>
      <w:r w:rsidRPr="000E7ED3">
        <w:rPr>
          <w:rFonts w:hint="cs"/>
          <w:rtl/>
          <w:lang/>
        </w:rPr>
        <w:t>البيت لا يصير أقل بفعل مزاولة ذلك النشاط</w:t>
      </w:r>
      <w:r w:rsidRPr="00B75CEC">
        <w:rPr>
          <w:vertAlign w:val="superscript"/>
          <w:rtl/>
          <w:lang/>
        </w:rPr>
        <w:t>(</w:t>
      </w:r>
      <w:r w:rsidRPr="00B75CEC">
        <w:rPr>
          <w:rStyle w:val="FootnoteReference"/>
          <w:szCs w:val="30"/>
          <w:rtl/>
        </w:rPr>
        <w:footnoteReference w:id="303"/>
      </w:r>
      <w:r w:rsidRPr="00B75CEC">
        <w:rPr>
          <w:vertAlign w:val="superscript"/>
          <w:rtl/>
          <w:lang/>
        </w:rPr>
        <w:t>)</w:t>
      </w:r>
      <w:r w:rsidRPr="000E7ED3">
        <w:rPr>
          <w:rtl/>
          <w:lang/>
        </w:rPr>
        <w:t>.</w:t>
      </w:r>
    </w:p>
    <w:p w:rsidR="003C1BD3" w:rsidRPr="00526565" w:rsidRDefault="003C1BD3" w:rsidP="003C1BD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rPr>
      </w:pPr>
    </w:p>
    <w:p w:rsidR="003C1BD3" w:rsidRDefault="003C1BD3" w:rsidP="003C1B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rPr>
      </w:pPr>
      <w:r>
        <w:rPr>
          <w:rFonts w:hint="cs"/>
          <w:rtl/>
          <w:lang/>
        </w:rPr>
        <w:tab/>
      </w:r>
      <w:r>
        <w:rPr>
          <w:rFonts w:hint="cs"/>
          <w:rtl/>
          <w:lang/>
        </w:rPr>
        <w:tab/>
      </w:r>
      <w:r w:rsidRPr="000E7ED3">
        <w:rPr>
          <w:rFonts w:hint="cs"/>
          <w:rtl/>
          <w:lang/>
        </w:rPr>
        <w:t>ال</w:t>
      </w:r>
      <w:r w:rsidRPr="000E7ED3">
        <w:rPr>
          <w:rtl/>
          <w:lang/>
        </w:rPr>
        <w:t>طلاق</w:t>
      </w:r>
    </w:p>
    <w:p w:rsidR="003C1BD3" w:rsidRDefault="003C1BD3" w:rsidP="003C1BD3">
      <w:pPr>
        <w:pStyle w:val="SingleTxt"/>
        <w:rPr>
          <w:rFonts w:hint="cs"/>
          <w:b/>
          <w:bCs/>
          <w:sz w:val="10"/>
          <w:rtl/>
          <w:lang/>
        </w:rPr>
      </w:pPr>
      <w:r w:rsidRPr="000E7ED3">
        <w:rPr>
          <w:rtl/>
          <w:lang/>
        </w:rPr>
        <w:t xml:space="preserve">356 </w:t>
      </w:r>
      <w:r w:rsidRPr="000E7ED3">
        <w:rPr>
          <w:rFonts w:hint="cs"/>
          <w:rtl/>
          <w:lang/>
        </w:rPr>
        <w:t>- ينص</w:t>
      </w:r>
      <w:r w:rsidRPr="000E7ED3">
        <w:rPr>
          <w:rtl/>
          <w:lang/>
        </w:rPr>
        <w:t xml:space="preserve"> القانون المدني</w:t>
      </w:r>
      <w:r w:rsidRPr="000E7ED3">
        <w:rPr>
          <w:rFonts w:hint="cs"/>
          <w:rtl/>
          <w:lang/>
        </w:rPr>
        <w:t xml:space="preserve"> على</w:t>
      </w:r>
      <w:r w:rsidRPr="000E7ED3">
        <w:rPr>
          <w:rtl/>
          <w:lang/>
        </w:rPr>
        <w:t xml:space="preserve"> الطلاق في ال</w:t>
      </w:r>
      <w:r w:rsidRPr="000E7ED3">
        <w:rPr>
          <w:rFonts w:hint="cs"/>
          <w:rtl/>
          <w:lang/>
        </w:rPr>
        <w:t>مادة</w:t>
      </w:r>
      <w:r w:rsidRPr="000E7ED3">
        <w:rPr>
          <w:rtl/>
          <w:lang/>
        </w:rPr>
        <w:t xml:space="preserve"> 1650 </w:t>
      </w:r>
      <w:r>
        <w:rPr>
          <w:rFonts w:hint="cs"/>
          <w:rtl/>
          <w:lang/>
        </w:rPr>
        <w:t>-</w:t>
      </w:r>
      <w:r w:rsidRPr="000E7ED3">
        <w:rPr>
          <w:rtl/>
          <w:lang/>
        </w:rPr>
        <w:t xml:space="preserve"> </w:t>
      </w:r>
      <w:r w:rsidRPr="000E7ED3">
        <w:rPr>
          <w:rFonts w:hint="cs"/>
          <w:rtl/>
          <w:lang/>
        </w:rPr>
        <w:t>حيث</w:t>
      </w:r>
      <w:r>
        <w:rPr>
          <w:rFonts w:hint="cs"/>
          <w:rtl/>
          <w:lang/>
        </w:rPr>
        <w:t xml:space="preserve"> ”</w:t>
      </w:r>
      <w:r w:rsidRPr="000E7ED3">
        <w:rPr>
          <w:rtl/>
          <w:lang/>
        </w:rPr>
        <w:t>يجوز</w:t>
      </w:r>
      <w:r w:rsidRPr="000E7ED3">
        <w:rPr>
          <w:rFonts w:hint="cs"/>
          <w:rtl/>
          <w:lang/>
        </w:rPr>
        <w:t xml:space="preserve"> أن يطلب الزوجان معا أو أحدهما الطلاق من المحكمة، ويكون الطلب في الحالة الثانية مبنيا على الإخلال التقصيري با</w:t>
      </w:r>
      <w:r w:rsidRPr="000E7ED3">
        <w:rPr>
          <w:rtl/>
          <w:lang/>
        </w:rPr>
        <w:t>لواجبات الزوجية</w:t>
      </w:r>
      <w:r>
        <w:rPr>
          <w:rFonts w:hint="cs"/>
          <w:rtl/>
          <w:lang/>
        </w:rPr>
        <w:t>“</w:t>
      </w:r>
      <w:r w:rsidRPr="000E7ED3">
        <w:rPr>
          <w:rtl/>
          <w:lang/>
        </w:rPr>
        <w:t xml:space="preserve">. </w:t>
      </w:r>
      <w:r w:rsidRPr="000E7ED3">
        <w:rPr>
          <w:rFonts w:hint="cs"/>
          <w:rtl/>
          <w:lang/>
        </w:rPr>
        <w:t xml:space="preserve">ويكون </w:t>
      </w:r>
      <w:r w:rsidRPr="000E7ED3">
        <w:rPr>
          <w:rtl/>
          <w:lang/>
        </w:rPr>
        <w:t xml:space="preserve">تقسيم الممتلكات </w:t>
      </w:r>
      <w:r w:rsidRPr="000E7ED3">
        <w:rPr>
          <w:rFonts w:hint="cs"/>
          <w:rtl/>
          <w:lang/>
        </w:rPr>
        <w:t>مرتبطا ب</w:t>
      </w:r>
      <w:r w:rsidRPr="000E7ED3">
        <w:rPr>
          <w:rtl/>
          <w:lang/>
        </w:rPr>
        <w:t xml:space="preserve">نظام الملكية الذي تم اختياره </w:t>
      </w:r>
      <w:r w:rsidRPr="000E7ED3">
        <w:rPr>
          <w:rFonts w:hint="cs"/>
          <w:rtl/>
          <w:lang/>
        </w:rPr>
        <w:t xml:space="preserve">للزواج والطابع التوافقي للمنازعة </w:t>
      </w:r>
      <w:r w:rsidRPr="000E7ED3">
        <w:rPr>
          <w:rtl/>
          <w:lang/>
        </w:rPr>
        <w:t>أو الطلاق</w:t>
      </w:r>
      <w:r w:rsidRPr="00CC7E0B">
        <w:rPr>
          <w:vertAlign w:val="superscript"/>
          <w:rtl/>
          <w:lang/>
        </w:rPr>
        <w:t>(</w:t>
      </w:r>
      <w:r w:rsidRPr="00CC7E0B">
        <w:rPr>
          <w:rStyle w:val="FootnoteReference"/>
          <w:szCs w:val="30"/>
          <w:rtl/>
        </w:rPr>
        <w:footnoteReference w:id="304"/>
      </w:r>
      <w:r w:rsidRPr="00CC7E0B">
        <w:rPr>
          <w:vertAlign w:val="superscript"/>
          <w:rtl/>
          <w:lang/>
        </w:rPr>
        <w:t>)</w:t>
      </w:r>
      <w:r w:rsidRPr="000E7ED3">
        <w:rPr>
          <w:rtl/>
          <w:lang/>
        </w:rPr>
        <w:t>.</w:t>
      </w:r>
    </w:p>
    <w:p w:rsidR="003C1BD3" w:rsidRPr="00CC7E0B" w:rsidRDefault="003C1BD3" w:rsidP="003C1BD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rPr>
      </w:pPr>
    </w:p>
    <w:p w:rsidR="003C1BD3" w:rsidRDefault="003C1BD3" w:rsidP="003C1B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rPr>
      </w:pPr>
      <w:r>
        <w:rPr>
          <w:rFonts w:hint="cs"/>
          <w:rtl/>
          <w:lang/>
        </w:rPr>
        <w:tab/>
      </w:r>
      <w:r>
        <w:rPr>
          <w:rFonts w:hint="cs"/>
          <w:rtl/>
          <w:lang/>
        </w:rPr>
        <w:tab/>
      </w:r>
      <w:r w:rsidRPr="000E7ED3">
        <w:rPr>
          <w:rtl/>
          <w:lang/>
        </w:rPr>
        <w:t xml:space="preserve">فترة الانتظار </w:t>
      </w:r>
      <w:r w:rsidRPr="000E7ED3">
        <w:rPr>
          <w:rFonts w:hint="cs"/>
          <w:rtl/>
          <w:lang/>
        </w:rPr>
        <w:t xml:space="preserve">قبل </w:t>
      </w:r>
      <w:r w:rsidRPr="000E7ED3">
        <w:rPr>
          <w:rtl/>
          <w:lang/>
        </w:rPr>
        <w:t xml:space="preserve">الزواج </w:t>
      </w:r>
      <w:r w:rsidRPr="000E7ED3">
        <w:rPr>
          <w:rFonts w:hint="cs"/>
          <w:rtl/>
          <w:lang/>
        </w:rPr>
        <w:t>من جديد</w:t>
      </w:r>
      <w:r w:rsidRPr="000E7ED3">
        <w:rPr>
          <w:rtl/>
          <w:lang/>
        </w:rPr>
        <w:t xml:space="preserve"> بعد الطلاق و</w:t>
      </w:r>
      <w:r w:rsidRPr="000E7ED3">
        <w:rPr>
          <w:rFonts w:hint="cs"/>
          <w:rtl/>
          <w:lang/>
        </w:rPr>
        <w:t>و</w:t>
      </w:r>
      <w:r w:rsidRPr="000E7ED3">
        <w:rPr>
          <w:rtl/>
          <w:lang/>
        </w:rPr>
        <w:t xml:space="preserve">فاة </w:t>
      </w:r>
      <w:r w:rsidRPr="000E7ED3">
        <w:rPr>
          <w:rFonts w:hint="cs"/>
          <w:rtl/>
          <w:lang/>
        </w:rPr>
        <w:t>أحد الزوجين</w:t>
      </w:r>
    </w:p>
    <w:p w:rsidR="003C1BD3" w:rsidRDefault="003C1BD3" w:rsidP="003C1BD3">
      <w:pPr>
        <w:pStyle w:val="SingleTxt"/>
        <w:rPr>
          <w:rFonts w:hint="cs"/>
          <w:rtl/>
          <w:lang/>
        </w:rPr>
      </w:pPr>
      <w:r w:rsidRPr="000E7ED3">
        <w:rPr>
          <w:rtl/>
          <w:lang/>
        </w:rPr>
        <w:t xml:space="preserve">357 </w:t>
      </w:r>
      <w:r>
        <w:rPr>
          <w:rFonts w:hint="cs"/>
          <w:rtl/>
          <w:lang/>
        </w:rPr>
        <w:t>-</w:t>
      </w:r>
      <w:r w:rsidRPr="000E7ED3">
        <w:rPr>
          <w:rtl/>
          <w:lang/>
        </w:rPr>
        <w:t xml:space="preserve"> </w:t>
      </w:r>
      <w:r w:rsidRPr="000E7ED3">
        <w:rPr>
          <w:rFonts w:hint="cs"/>
          <w:rtl/>
          <w:lang/>
        </w:rPr>
        <w:t>ينص</w:t>
      </w:r>
      <w:r w:rsidRPr="000E7ED3">
        <w:rPr>
          <w:rtl/>
          <w:lang/>
        </w:rPr>
        <w:t xml:space="preserve"> القانون المدني </w:t>
      </w:r>
      <w:r w:rsidRPr="000E7ED3">
        <w:rPr>
          <w:rFonts w:hint="cs"/>
          <w:rtl/>
          <w:lang/>
        </w:rPr>
        <w:t xml:space="preserve">على </w:t>
      </w:r>
      <w:r w:rsidRPr="000E7ED3">
        <w:rPr>
          <w:rtl/>
          <w:lang/>
        </w:rPr>
        <w:t xml:space="preserve">حكم </w:t>
      </w:r>
      <w:r w:rsidRPr="000E7ED3">
        <w:rPr>
          <w:rFonts w:hint="cs"/>
          <w:rtl/>
          <w:lang/>
        </w:rPr>
        <w:t xml:space="preserve">بشأن فترة الانتظار الواجبة قبل </w:t>
      </w:r>
      <w:r w:rsidRPr="000E7ED3">
        <w:rPr>
          <w:rtl/>
          <w:lang/>
        </w:rPr>
        <w:t>الزواج</w:t>
      </w:r>
      <w:r w:rsidRPr="000E7ED3">
        <w:rPr>
          <w:rFonts w:hint="cs"/>
          <w:rtl/>
          <w:lang/>
        </w:rPr>
        <w:t xml:space="preserve"> من جديد </w:t>
      </w:r>
      <w:r w:rsidRPr="000E7ED3">
        <w:rPr>
          <w:rtl/>
          <w:lang/>
        </w:rPr>
        <w:t xml:space="preserve">بعد الطلاق أو وفاة </w:t>
      </w:r>
      <w:r w:rsidRPr="000E7ED3">
        <w:rPr>
          <w:rFonts w:hint="cs"/>
          <w:rtl/>
          <w:lang/>
        </w:rPr>
        <w:t xml:space="preserve">أحد </w:t>
      </w:r>
      <w:r w:rsidRPr="000E7ED3">
        <w:rPr>
          <w:rtl/>
          <w:lang/>
        </w:rPr>
        <w:t>الزوج</w:t>
      </w:r>
      <w:r w:rsidRPr="000E7ED3">
        <w:rPr>
          <w:rFonts w:hint="cs"/>
          <w:rtl/>
          <w:lang/>
        </w:rPr>
        <w:t>ين</w:t>
      </w:r>
      <w:r w:rsidRPr="000E7ED3">
        <w:rPr>
          <w:rtl/>
          <w:lang/>
        </w:rPr>
        <w:t xml:space="preserve"> (</w:t>
      </w:r>
      <w:r w:rsidRPr="000E7ED3">
        <w:rPr>
          <w:rFonts w:hint="cs"/>
          <w:rtl/>
          <w:lang/>
        </w:rPr>
        <w:t>الزمن</w:t>
      </w:r>
      <w:r w:rsidRPr="000E7ED3">
        <w:rPr>
          <w:rtl/>
          <w:lang/>
        </w:rPr>
        <w:t xml:space="preserve"> </w:t>
      </w:r>
      <w:r w:rsidRPr="000E7ED3">
        <w:rPr>
          <w:rFonts w:hint="cs"/>
          <w:rtl/>
          <w:lang/>
        </w:rPr>
        <w:t xml:space="preserve">الفاصل </w:t>
      </w:r>
      <w:r w:rsidRPr="000E7ED3">
        <w:rPr>
          <w:rtl/>
          <w:lang/>
        </w:rPr>
        <w:t>بين الزواج</w:t>
      </w:r>
      <w:r w:rsidRPr="000E7ED3">
        <w:rPr>
          <w:rFonts w:hint="cs"/>
          <w:rtl/>
          <w:lang/>
        </w:rPr>
        <w:t>ين</w:t>
      </w:r>
      <w:r w:rsidRPr="000E7ED3">
        <w:rPr>
          <w:rtl/>
          <w:lang/>
        </w:rPr>
        <w:t>)</w:t>
      </w:r>
      <w:r w:rsidRPr="000E7ED3">
        <w:rPr>
          <w:rFonts w:hint="cs"/>
          <w:rtl/>
          <w:lang/>
        </w:rPr>
        <w:t xml:space="preserve"> والمحددة في </w:t>
      </w:r>
      <w:r w:rsidRPr="000E7ED3">
        <w:rPr>
          <w:rtl/>
          <w:lang/>
        </w:rPr>
        <w:t xml:space="preserve">180 يوما </w:t>
      </w:r>
      <w:r w:rsidRPr="000E7ED3">
        <w:rPr>
          <w:rFonts w:hint="cs"/>
          <w:rtl/>
          <w:lang/>
        </w:rPr>
        <w:t xml:space="preserve">بالنسبة </w:t>
      </w:r>
      <w:r w:rsidRPr="000E7ED3">
        <w:rPr>
          <w:rtl/>
          <w:lang/>
        </w:rPr>
        <w:t xml:space="preserve">للرجل و 300 يوم </w:t>
      </w:r>
      <w:r w:rsidRPr="000E7ED3">
        <w:rPr>
          <w:rFonts w:hint="cs"/>
          <w:rtl/>
          <w:lang/>
        </w:rPr>
        <w:t xml:space="preserve">بالنسبة </w:t>
      </w:r>
      <w:r w:rsidRPr="000E7ED3">
        <w:rPr>
          <w:rtl/>
          <w:lang/>
        </w:rPr>
        <w:t>للمرأة (المادة 1494 )</w:t>
      </w:r>
      <w:r w:rsidRPr="00CC7E0B">
        <w:rPr>
          <w:vertAlign w:val="superscript"/>
          <w:rtl/>
          <w:lang/>
        </w:rPr>
        <w:t>(</w:t>
      </w:r>
      <w:r w:rsidRPr="00CC7E0B">
        <w:rPr>
          <w:rStyle w:val="FootnoteReference"/>
          <w:szCs w:val="30"/>
          <w:rtl/>
        </w:rPr>
        <w:footnoteReference w:id="305"/>
      </w:r>
      <w:r w:rsidRPr="00CC7E0B">
        <w:rPr>
          <w:vertAlign w:val="superscript"/>
          <w:rtl/>
          <w:lang/>
        </w:rPr>
        <w:t>)</w:t>
      </w:r>
      <w:r w:rsidRPr="000E7ED3">
        <w:rPr>
          <w:rtl/>
          <w:lang/>
        </w:rPr>
        <w:t xml:space="preserve">. ويسمح القانون للمرأة </w:t>
      </w:r>
      <w:r w:rsidRPr="000E7ED3">
        <w:rPr>
          <w:rFonts w:hint="cs"/>
          <w:rtl/>
          <w:lang/>
        </w:rPr>
        <w:t>ب</w:t>
      </w:r>
      <w:r w:rsidRPr="000E7ED3">
        <w:rPr>
          <w:rtl/>
          <w:lang/>
        </w:rPr>
        <w:t>أن تتزوج بعد 180 يوما إذا حصل</w:t>
      </w:r>
      <w:r w:rsidRPr="000E7ED3">
        <w:rPr>
          <w:rFonts w:hint="cs"/>
          <w:rtl/>
          <w:lang/>
        </w:rPr>
        <w:t>ت</w:t>
      </w:r>
      <w:r w:rsidRPr="000E7ED3">
        <w:rPr>
          <w:rtl/>
          <w:lang/>
        </w:rPr>
        <w:t xml:space="preserve"> على</w:t>
      </w:r>
      <w:r>
        <w:rPr>
          <w:rFonts w:hint="cs"/>
          <w:rtl/>
          <w:lang/>
        </w:rPr>
        <w:t xml:space="preserve"> </w:t>
      </w:r>
      <w:r>
        <w:rPr>
          <w:rFonts w:hint="eastAsia"/>
          <w:rtl/>
          <w:lang/>
        </w:rPr>
        <w:t>”</w:t>
      </w:r>
      <w:r w:rsidRPr="000E7ED3">
        <w:rPr>
          <w:rFonts w:hint="cs"/>
          <w:rtl/>
          <w:lang/>
        </w:rPr>
        <w:t>تصريح قضائي يؤكد أن</w:t>
      </w:r>
      <w:r w:rsidRPr="000E7ED3">
        <w:rPr>
          <w:rtl/>
          <w:lang/>
        </w:rPr>
        <w:t>ها ليست حاملا</w:t>
      </w:r>
      <w:r w:rsidRPr="000E7ED3">
        <w:rPr>
          <w:rFonts w:hint="cs"/>
          <w:rtl/>
          <w:lang/>
        </w:rPr>
        <w:t>؛</w:t>
      </w:r>
      <w:r>
        <w:rPr>
          <w:rtl/>
          <w:lang/>
        </w:rPr>
        <w:t xml:space="preserve"> أو إذا لم</w:t>
      </w:r>
      <w:r>
        <w:rPr>
          <w:rFonts w:hint="cs"/>
          <w:rtl/>
          <w:lang/>
        </w:rPr>
        <w:t> </w:t>
      </w:r>
      <w:r w:rsidRPr="000E7ED3">
        <w:rPr>
          <w:rtl/>
          <w:lang/>
        </w:rPr>
        <w:t>يكن لديها طفل</w:t>
      </w:r>
      <w:r w:rsidRPr="000E7ED3">
        <w:rPr>
          <w:rFonts w:hint="cs"/>
          <w:rtl/>
          <w:lang/>
        </w:rPr>
        <w:t>،</w:t>
      </w:r>
      <w:r w:rsidRPr="000E7ED3">
        <w:rPr>
          <w:rtl/>
          <w:lang/>
        </w:rPr>
        <w:t xml:space="preserve"> بعد </w:t>
      </w:r>
      <w:r w:rsidRPr="000E7ED3">
        <w:rPr>
          <w:rFonts w:hint="cs"/>
          <w:rtl/>
          <w:lang/>
        </w:rPr>
        <w:t>حل عقد الزواج السابق</w:t>
      </w:r>
      <w:r w:rsidRPr="000E7ED3">
        <w:rPr>
          <w:rtl/>
          <w:lang/>
        </w:rPr>
        <w:t xml:space="preserve"> </w:t>
      </w:r>
      <w:r w:rsidRPr="000E7ED3">
        <w:rPr>
          <w:rFonts w:hint="cs"/>
          <w:rtl/>
          <w:lang/>
        </w:rPr>
        <w:t>أو التصريح ببطلانه أو إلغائه</w:t>
      </w:r>
      <w:r>
        <w:rPr>
          <w:rFonts w:hint="cs"/>
          <w:rtl/>
          <w:lang/>
        </w:rPr>
        <w:t>“</w:t>
      </w:r>
      <w:r>
        <w:rPr>
          <w:rtl/>
          <w:lang/>
        </w:rPr>
        <w:t xml:space="preserve"> (المادة</w:t>
      </w:r>
      <w:r>
        <w:rPr>
          <w:rFonts w:hint="cs"/>
          <w:rtl/>
          <w:lang/>
        </w:rPr>
        <w:t> </w:t>
      </w:r>
      <w:r>
        <w:rPr>
          <w:rtl/>
          <w:lang/>
        </w:rPr>
        <w:t>1494-2)</w:t>
      </w:r>
      <w:r w:rsidRPr="00B75CEC">
        <w:rPr>
          <w:vertAlign w:val="superscript"/>
          <w:rtl/>
          <w:lang/>
        </w:rPr>
        <w:t>(</w:t>
      </w:r>
      <w:r w:rsidRPr="00B75CEC">
        <w:rPr>
          <w:rStyle w:val="FootnoteReference"/>
          <w:szCs w:val="30"/>
          <w:rtl/>
        </w:rPr>
        <w:footnoteReference w:id="306"/>
      </w:r>
      <w:r w:rsidRPr="00B75CEC">
        <w:rPr>
          <w:vertAlign w:val="superscript"/>
          <w:rtl/>
          <w:lang/>
        </w:rPr>
        <w:t>)</w:t>
      </w:r>
      <w:r w:rsidRPr="000E7ED3">
        <w:rPr>
          <w:rtl/>
          <w:lang/>
        </w:rPr>
        <w:t>.</w:t>
      </w:r>
    </w:p>
    <w:p w:rsidR="003C1BD3" w:rsidRDefault="003C1BD3" w:rsidP="003C1BD3">
      <w:pPr>
        <w:pStyle w:val="SingleTxt"/>
        <w:rPr>
          <w:rFonts w:hint="cs"/>
          <w:rtl/>
          <w:lang/>
        </w:rPr>
      </w:pPr>
      <w:r w:rsidRPr="000E7ED3">
        <w:rPr>
          <w:rtl/>
          <w:lang/>
        </w:rPr>
        <w:t xml:space="preserve">358 </w:t>
      </w:r>
      <w:r>
        <w:rPr>
          <w:rFonts w:hint="cs"/>
          <w:rtl/>
          <w:lang/>
        </w:rPr>
        <w:t>-</w:t>
      </w:r>
      <w:r w:rsidRPr="000E7ED3">
        <w:rPr>
          <w:rtl/>
          <w:lang/>
        </w:rPr>
        <w:t xml:space="preserve"> </w:t>
      </w:r>
      <w:r w:rsidRPr="000E7ED3">
        <w:rPr>
          <w:rFonts w:hint="cs"/>
          <w:rtl/>
          <w:lang/>
        </w:rPr>
        <w:t xml:space="preserve">وقد يكون </w:t>
      </w:r>
      <w:r w:rsidRPr="000E7ED3">
        <w:rPr>
          <w:rtl/>
          <w:lang/>
        </w:rPr>
        <w:t>هذا الاختلاف في ال</w:t>
      </w:r>
      <w:r w:rsidRPr="000E7ED3">
        <w:rPr>
          <w:rFonts w:hint="cs"/>
          <w:rtl/>
          <w:lang/>
        </w:rPr>
        <w:t>زمن الفاصل</w:t>
      </w:r>
      <w:r w:rsidRPr="000E7ED3">
        <w:rPr>
          <w:rtl/>
          <w:lang/>
        </w:rPr>
        <w:t xml:space="preserve"> بين الزواج</w:t>
      </w:r>
      <w:r w:rsidRPr="000E7ED3">
        <w:rPr>
          <w:rFonts w:hint="cs"/>
          <w:rtl/>
          <w:lang/>
        </w:rPr>
        <w:t>ين بين</w:t>
      </w:r>
      <w:r w:rsidRPr="000E7ED3">
        <w:rPr>
          <w:rtl/>
          <w:lang/>
        </w:rPr>
        <w:t xml:space="preserve"> </w:t>
      </w:r>
      <w:r w:rsidRPr="000E7ED3">
        <w:rPr>
          <w:rFonts w:hint="cs"/>
          <w:rtl/>
          <w:lang/>
        </w:rPr>
        <w:t>ا</w:t>
      </w:r>
      <w:r w:rsidRPr="000E7ED3">
        <w:rPr>
          <w:rtl/>
          <w:lang/>
        </w:rPr>
        <w:t>لرجل وال</w:t>
      </w:r>
      <w:r w:rsidRPr="000E7ED3">
        <w:rPr>
          <w:rFonts w:hint="cs"/>
          <w:rtl/>
          <w:lang/>
        </w:rPr>
        <w:t xml:space="preserve">مرأة منبثقا عن </w:t>
      </w:r>
      <w:r w:rsidRPr="000E7ED3">
        <w:rPr>
          <w:rtl/>
          <w:lang/>
        </w:rPr>
        <w:t xml:space="preserve">العقيدة الاجتماعية </w:t>
      </w:r>
      <w:r w:rsidRPr="000E7ED3">
        <w:rPr>
          <w:rFonts w:hint="cs"/>
          <w:rtl/>
          <w:lang/>
        </w:rPr>
        <w:t>المتعلقة ب</w:t>
      </w:r>
      <w:r w:rsidRPr="000E7ED3">
        <w:rPr>
          <w:rtl/>
          <w:lang/>
        </w:rPr>
        <w:t xml:space="preserve">الترمل، </w:t>
      </w:r>
      <w:r w:rsidRPr="000E7ED3">
        <w:rPr>
          <w:rFonts w:hint="cs"/>
          <w:rtl/>
          <w:lang/>
        </w:rPr>
        <w:t xml:space="preserve">إذ يفرض </w:t>
      </w:r>
      <w:r w:rsidRPr="000E7ED3">
        <w:rPr>
          <w:rtl/>
          <w:lang/>
        </w:rPr>
        <w:t xml:space="preserve">القانون </w:t>
      </w:r>
      <w:r>
        <w:rPr>
          <w:rFonts w:hint="cs"/>
          <w:rtl/>
          <w:lang/>
        </w:rPr>
        <w:t>”</w:t>
      </w:r>
      <w:r w:rsidRPr="000E7ED3">
        <w:rPr>
          <w:rtl/>
          <w:lang/>
        </w:rPr>
        <w:t>الحداد الرسمي</w:t>
      </w:r>
      <w:r>
        <w:rPr>
          <w:rFonts w:hint="cs"/>
          <w:rtl/>
          <w:lang/>
        </w:rPr>
        <w:t>“</w:t>
      </w:r>
      <w:r w:rsidRPr="000E7ED3">
        <w:rPr>
          <w:rtl/>
          <w:lang/>
        </w:rPr>
        <w:t xml:space="preserve"> </w:t>
      </w:r>
      <w:r w:rsidRPr="000E7ED3">
        <w:rPr>
          <w:rFonts w:hint="cs"/>
          <w:rtl/>
          <w:lang/>
        </w:rPr>
        <w:t xml:space="preserve">في الفترة </w:t>
      </w:r>
      <w:r w:rsidRPr="000E7ED3">
        <w:rPr>
          <w:rtl/>
          <w:lang/>
        </w:rPr>
        <w:t xml:space="preserve">بين </w:t>
      </w:r>
      <w:r w:rsidRPr="000E7ED3">
        <w:rPr>
          <w:rFonts w:hint="cs"/>
          <w:rtl/>
          <w:lang/>
        </w:rPr>
        <w:t xml:space="preserve">فسخ عقد </w:t>
      </w:r>
      <w:r w:rsidRPr="000E7ED3">
        <w:rPr>
          <w:rtl/>
          <w:lang/>
        </w:rPr>
        <w:t>الزواج السابق و</w:t>
      </w:r>
      <w:r w:rsidRPr="000E7ED3">
        <w:rPr>
          <w:rFonts w:hint="cs"/>
          <w:rtl/>
          <w:lang/>
        </w:rPr>
        <w:t>إبرام عقد الزواج الجديد</w:t>
      </w:r>
      <w:r w:rsidRPr="000E7ED3">
        <w:rPr>
          <w:rtl/>
          <w:lang/>
        </w:rPr>
        <w:t xml:space="preserve">. </w:t>
      </w:r>
      <w:r w:rsidRPr="000E7ED3">
        <w:rPr>
          <w:rFonts w:hint="cs"/>
          <w:rtl/>
          <w:lang/>
        </w:rPr>
        <w:t>و</w:t>
      </w:r>
      <w:r w:rsidRPr="000E7ED3">
        <w:rPr>
          <w:rtl/>
          <w:lang/>
        </w:rPr>
        <w:t xml:space="preserve">قد </w:t>
      </w:r>
      <w:r w:rsidRPr="000E7ED3">
        <w:rPr>
          <w:rFonts w:hint="cs"/>
          <w:rtl/>
          <w:lang/>
        </w:rPr>
        <w:t xml:space="preserve">يكون الهدف منه هو تجنب اختلاط الأنساب أو تضارب افتراضات الأبوة القانونية في ما يتعلق بالطفل المولود في </w:t>
      </w:r>
      <w:r w:rsidRPr="000E7ED3">
        <w:rPr>
          <w:rtl/>
          <w:lang/>
        </w:rPr>
        <w:t>الفترة التي تل</w:t>
      </w:r>
      <w:r w:rsidRPr="000E7ED3">
        <w:rPr>
          <w:rFonts w:hint="cs"/>
          <w:rtl/>
          <w:lang/>
        </w:rPr>
        <w:t>ي</w:t>
      </w:r>
      <w:r w:rsidRPr="000E7ED3">
        <w:rPr>
          <w:rtl/>
          <w:lang/>
        </w:rPr>
        <w:t xml:space="preserve"> </w:t>
      </w:r>
      <w:r w:rsidRPr="000E7ED3">
        <w:rPr>
          <w:rFonts w:hint="cs"/>
          <w:rtl/>
          <w:lang/>
        </w:rPr>
        <w:t xml:space="preserve">إبرام عقد </w:t>
      </w:r>
      <w:r w:rsidRPr="000E7ED3">
        <w:rPr>
          <w:rtl/>
          <w:lang/>
        </w:rPr>
        <w:t>الزواج الثاني</w:t>
      </w:r>
      <w:r w:rsidRPr="00B75CEC">
        <w:rPr>
          <w:vertAlign w:val="superscript"/>
          <w:rtl/>
          <w:lang/>
        </w:rPr>
        <w:t>(</w:t>
      </w:r>
      <w:r w:rsidRPr="00B75CEC">
        <w:rPr>
          <w:rStyle w:val="FootnoteReference"/>
          <w:szCs w:val="30"/>
          <w:rtl/>
        </w:rPr>
        <w:footnoteReference w:id="307"/>
      </w:r>
      <w:r w:rsidRPr="00B75CEC">
        <w:rPr>
          <w:vertAlign w:val="superscript"/>
          <w:rtl/>
          <w:lang/>
        </w:rPr>
        <w:t>)</w:t>
      </w:r>
      <w:r w:rsidRPr="000E7ED3">
        <w:rPr>
          <w:rtl/>
          <w:lang/>
        </w:rPr>
        <w:t>.</w:t>
      </w:r>
    </w:p>
    <w:p w:rsidR="003C1BD3" w:rsidRDefault="003C1BD3" w:rsidP="003C1BD3">
      <w:pPr>
        <w:pStyle w:val="SingleTxt"/>
        <w:rPr>
          <w:rFonts w:hint="cs"/>
          <w:rtl/>
          <w:lang/>
        </w:rPr>
      </w:pPr>
      <w:r w:rsidRPr="000E7ED3">
        <w:rPr>
          <w:rtl/>
          <w:lang/>
        </w:rPr>
        <w:t xml:space="preserve">359 </w:t>
      </w:r>
      <w:r>
        <w:rPr>
          <w:rFonts w:hint="cs"/>
          <w:rtl/>
          <w:lang/>
        </w:rPr>
        <w:t>-</w:t>
      </w:r>
      <w:r w:rsidRPr="000E7ED3">
        <w:rPr>
          <w:rFonts w:hint="cs"/>
          <w:rtl/>
          <w:lang/>
        </w:rPr>
        <w:t xml:space="preserve"> وحسب </w:t>
      </w:r>
      <w:r w:rsidRPr="000E7ED3">
        <w:rPr>
          <w:rtl/>
          <w:lang/>
        </w:rPr>
        <w:t xml:space="preserve">الممارسات العرفية </w:t>
      </w:r>
      <w:r w:rsidRPr="000E7ED3">
        <w:rPr>
          <w:rFonts w:hint="cs"/>
          <w:rtl/>
          <w:lang/>
        </w:rPr>
        <w:t xml:space="preserve">في </w:t>
      </w:r>
      <w:r w:rsidRPr="000E7ED3">
        <w:rPr>
          <w:rtl/>
          <w:lang/>
        </w:rPr>
        <w:t>تيمور</w:t>
      </w:r>
      <w:r>
        <w:rPr>
          <w:rFonts w:hint="cs"/>
          <w:rtl/>
          <w:lang/>
        </w:rPr>
        <w:t xml:space="preserve"> </w:t>
      </w:r>
      <w:r w:rsidRPr="000E7ED3">
        <w:rPr>
          <w:rFonts w:hint="cs"/>
          <w:rtl/>
          <w:lang/>
        </w:rPr>
        <w:t>-</w:t>
      </w:r>
      <w:r>
        <w:rPr>
          <w:rFonts w:hint="cs"/>
          <w:rtl/>
          <w:lang/>
        </w:rPr>
        <w:t xml:space="preserve"> </w:t>
      </w:r>
      <w:r w:rsidRPr="000E7ED3">
        <w:rPr>
          <w:rtl/>
          <w:lang/>
        </w:rPr>
        <w:t xml:space="preserve">ليشتي، </w:t>
      </w:r>
      <w:r w:rsidRPr="000E7ED3">
        <w:rPr>
          <w:rFonts w:hint="cs"/>
          <w:rtl/>
          <w:lang/>
        </w:rPr>
        <w:t>تكون</w:t>
      </w:r>
      <w:r w:rsidRPr="000E7ED3">
        <w:rPr>
          <w:rtl/>
          <w:lang/>
        </w:rPr>
        <w:t xml:space="preserve"> فترة </w:t>
      </w:r>
      <w:r w:rsidRPr="000E7ED3">
        <w:rPr>
          <w:rFonts w:hint="cs"/>
          <w:rtl/>
          <w:lang/>
        </w:rPr>
        <w:t>الانتظار الاعتيادية التي يتعين على ال</w:t>
      </w:r>
      <w:r w:rsidRPr="000E7ED3">
        <w:rPr>
          <w:rtl/>
          <w:lang/>
        </w:rPr>
        <w:t xml:space="preserve">مرأة أو </w:t>
      </w:r>
      <w:r w:rsidRPr="000E7ED3">
        <w:rPr>
          <w:rFonts w:hint="cs"/>
          <w:rtl/>
          <w:lang/>
        </w:rPr>
        <w:t>ال</w:t>
      </w:r>
      <w:r w:rsidRPr="000E7ED3">
        <w:rPr>
          <w:rtl/>
          <w:lang/>
        </w:rPr>
        <w:t xml:space="preserve">رجل </w:t>
      </w:r>
      <w:r w:rsidRPr="000E7ED3">
        <w:rPr>
          <w:rFonts w:hint="cs"/>
          <w:rtl/>
          <w:lang/>
        </w:rPr>
        <w:t xml:space="preserve">احترامها </w:t>
      </w:r>
      <w:r w:rsidRPr="000E7ED3">
        <w:rPr>
          <w:rtl/>
          <w:lang/>
        </w:rPr>
        <w:t xml:space="preserve">قبل </w:t>
      </w:r>
      <w:r w:rsidRPr="000E7ED3">
        <w:rPr>
          <w:rFonts w:hint="cs"/>
          <w:rtl/>
          <w:lang/>
        </w:rPr>
        <w:t>ا</w:t>
      </w:r>
      <w:r w:rsidRPr="000E7ED3">
        <w:rPr>
          <w:rtl/>
          <w:lang/>
        </w:rPr>
        <w:t xml:space="preserve">لزواج </w:t>
      </w:r>
      <w:r w:rsidRPr="000E7ED3">
        <w:rPr>
          <w:rFonts w:hint="cs"/>
          <w:rtl/>
          <w:lang/>
        </w:rPr>
        <w:t xml:space="preserve">من الجديد </w:t>
      </w:r>
      <w:r w:rsidRPr="000E7ED3">
        <w:rPr>
          <w:rtl/>
          <w:lang/>
        </w:rPr>
        <w:t xml:space="preserve">بعد وفاة </w:t>
      </w:r>
      <w:r w:rsidRPr="000E7ED3">
        <w:rPr>
          <w:rFonts w:hint="cs"/>
          <w:rtl/>
          <w:lang/>
        </w:rPr>
        <w:t>أحد الزوجين</w:t>
      </w:r>
      <w:r w:rsidRPr="000E7ED3">
        <w:rPr>
          <w:rtl/>
          <w:lang/>
        </w:rPr>
        <w:t xml:space="preserve"> هي سنة واحدة (360 يوما على الأقل). </w:t>
      </w:r>
      <w:r w:rsidRPr="000E7ED3">
        <w:rPr>
          <w:rFonts w:hint="cs"/>
          <w:rtl/>
          <w:lang/>
        </w:rPr>
        <w:t>ويمثل إكمال أسرة الزوج (</w:t>
      </w:r>
      <w:r w:rsidRPr="000E7ED3">
        <w:rPr>
          <w:rFonts w:hint="cs"/>
          <w:i/>
          <w:iCs/>
          <w:rtl/>
          <w:lang/>
        </w:rPr>
        <w:t>فيتوسان</w:t>
      </w:r>
      <w:r w:rsidRPr="000E7ED3">
        <w:rPr>
          <w:rFonts w:hint="cs"/>
          <w:rtl/>
          <w:lang/>
        </w:rPr>
        <w:t>) وكذلك أسرة الزوجة (</w:t>
      </w:r>
      <w:r w:rsidRPr="000E7ED3">
        <w:rPr>
          <w:rFonts w:hint="cs"/>
          <w:i/>
          <w:iCs/>
          <w:rtl/>
          <w:lang/>
        </w:rPr>
        <w:t>أوماني</w:t>
      </w:r>
      <w:r w:rsidRPr="000E7ED3">
        <w:rPr>
          <w:rFonts w:hint="cs"/>
          <w:rtl/>
          <w:lang/>
        </w:rPr>
        <w:t>) ل</w:t>
      </w:r>
      <w:r w:rsidRPr="000E7ED3">
        <w:rPr>
          <w:rtl/>
          <w:lang/>
        </w:rPr>
        <w:t xml:space="preserve">جميع </w:t>
      </w:r>
      <w:r w:rsidRPr="000E7ED3">
        <w:rPr>
          <w:rFonts w:hint="cs"/>
          <w:rtl/>
          <w:lang/>
        </w:rPr>
        <w:t>ال</w:t>
      </w:r>
      <w:r w:rsidRPr="000E7ED3">
        <w:rPr>
          <w:rtl/>
          <w:lang/>
        </w:rPr>
        <w:t>مراسم (</w:t>
      </w:r>
      <w:r>
        <w:rPr>
          <w:rFonts w:hint="cs"/>
          <w:rtl/>
          <w:lang/>
        </w:rPr>
        <w:t>”</w:t>
      </w:r>
      <w:r w:rsidRPr="000E7ED3">
        <w:rPr>
          <w:rtl/>
          <w:lang/>
        </w:rPr>
        <w:t>لسان</w:t>
      </w:r>
      <w:r>
        <w:rPr>
          <w:rFonts w:hint="eastAsia"/>
          <w:rtl/>
          <w:lang/>
        </w:rPr>
        <w:t>“</w:t>
      </w:r>
      <w:r w:rsidRPr="000E7ED3">
        <w:rPr>
          <w:rFonts w:hint="cs"/>
          <w:rtl/>
          <w:lang/>
        </w:rPr>
        <w:t xml:space="preserve"> بالنسبة ل</w:t>
      </w:r>
      <w:r w:rsidRPr="000E7ED3">
        <w:rPr>
          <w:rtl/>
          <w:lang/>
        </w:rPr>
        <w:t>لموت والجنازة)</w:t>
      </w:r>
      <w:r w:rsidRPr="000E7ED3">
        <w:rPr>
          <w:rFonts w:hint="cs"/>
          <w:rtl/>
          <w:lang/>
        </w:rPr>
        <w:t xml:space="preserve">، نهاية </w:t>
      </w:r>
      <w:r w:rsidRPr="000E7ED3">
        <w:rPr>
          <w:rtl/>
          <w:lang/>
        </w:rPr>
        <w:t xml:space="preserve">الحداد و </w:t>
      </w:r>
      <w:r w:rsidRPr="000E7ED3">
        <w:rPr>
          <w:rFonts w:hint="cs"/>
          <w:rtl/>
          <w:lang/>
        </w:rPr>
        <w:t>يُ</w:t>
      </w:r>
      <w:r w:rsidRPr="000E7ED3">
        <w:rPr>
          <w:rtl/>
          <w:lang/>
        </w:rPr>
        <w:t>منح</w:t>
      </w:r>
      <w:r w:rsidRPr="000E7ED3">
        <w:rPr>
          <w:rFonts w:hint="cs"/>
          <w:rtl/>
          <w:lang/>
        </w:rPr>
        <w:t xml:space="preserve"> للأرمل أو الأرملة </w:t>
      </w:r>
      <w:r>
        <w:rPr>
          <w:rtl/>
          <w:lang/>
        </w:rPr>
        <w:t>الحق في بدء حياة جديدة</w:t>
      </w:r>
      <w:r w:rsidRPr="000E7ED3">
        <w:rPr>
          <w:rtl/>
          <w:lang/>
        </w:rPr>
        <w:t>.</w:t>
      </w:r>
    </w:p>
    <w:p w:rsidR="003C1BD3" w:rsidRDefault="003C1BD3" w:rsidP="003C1BD3">
      <w:pPr>
        <w:pStyle w:val="SingleTxt"/>
        <w:rPr>
          <w:rFonts w:hint="cs"/>
          <w:rtl/>
          <w:lang/>
        </w:rPr>
      </w:pPr>
      <w:r w:rsidRPr="000E7ED3">
        <w:rPr>
          <w:rtl/>
          <w:lang/>
        </w:rPr>
        <w:t>360</w:t>
      </w:r>
      <w:r>
        <w:rPr>
          <w:rFonts w:hint="cs"/>
          <w:rtl/>
          <w:lang/>
        </w:rPr>
        <w:t xml:space="preserve"> </w:t>
      </w:r>
      <w:r w:rsidRPr="000E7ED3">
        <w:rPr>
          <w:rFonts w:hint="cs"/>
          <w:rtl/>
          <w:lang/>
        </w:rPr>
        <w:t>- وتتمثل ممارسة عرفية شائعة أخرى بعد</w:t>
      </w:r>
      <w:r w:rsidRPr="000E7ED3">
        <w:rPr>
          <w:rtl/>
          <w:lang/>
        </w:rPr>
        <w:t xml:space="preserve"> وفاة </w:t>
      </w:r>
      <w:r w:rsidRPr="000E7ED3">
        <w:rPr>
          <w:rFonts w:hint="cs"/>
          <w:rtl/>
          <w:lang/>
        </w:rPr>
        <w:t xml:space="preserve">أحد </w:t>
      </w:r>
      <w:r w:rsidRPr="000E7ED3">
        <w:rPr>
          <w:rtl/>
          <w:lang/>
        </w:rPr>
        <w:t>الزوج</w:t>
      </w:r>
      <w:r w:rsidRPr="000E7ED3">
        <w:rPr>
          <w:rFonts w:hint="cs"/>
          <w:rtl/>
          <w:lang/>
        </w:rPr>
        <w:t>ين</w:t>
      </w:r>
      <w:r w:rsidRPr="000E7ED3">
        <w:rPr>
          <w:rtl/>
          <w:lang/>
        </w:rPr>
        <w:t xml:space="preserve"> لا </w:t>
      </w:r>
      <w:r w:rsidRPr="000E7ED3">
        <w:rPr>
          <w:rFonts w:hint="cs"/>
          <w:rtl/>
          <w:lang/>
        </w:rPr>
        <w:t xml:space="preserve">يشملها </w:t>
      </w:r>
      <w:r w:rsidRPr="000E7ED3">
        <w:rPr>
          <w:rtl/>
          <w:lang/>
        </w:rPr>
        <w:t xml:space="preserve">القانون المدني </w:t>
      </w:r>
      <w:r w:rsidRPr="000E7ED3">
        <w:rPr>
          <w:rFonts w:hint="cs"/>
          <w:rtl/>
          <w:lang/>
        </w:rPr>
        <w:t>ولا يتناوله</w:t>
      </w:r>
      <w:r w:rsidRPr="000E7ED3">
        <w:rPr>
          <w:rFonts w:hint="eastAsia"/>
          <w:rtl/>
          <w:lang/>
        </w:rPr>
        <w:t>ا</w:t>
      </w:r>
      <w:r w:rsidRPr="000E7ED3">
        <w:rPr>
          <w:rtl/>
          <w:lang/>
        </w:rPr>
        <w:t xml:space="preserve"> </w:t>
      </w:r>
      <w:r w:rsidRPr="000E7ED3">
        <w:rPr>
          <w:rFonts w:hint="cs"/>
          <w:rtl/>
          <w:lang/>
        </w:rPr>
        <w:t>في إعادة الت</w:t>
      </w:r>
      <w:r w:rsidRPr="000E7ED3">
        <w:rPr>
          <w:rtl/>
          <w:lang/>
        </w:rPr>
        <w:t>زو</w:t>
      </w:r>
      <w:r w:rsidRPr="000E7ED3">
        <w:rPr>
          <w:rFonts w:hint="cs"/>
          <w:rtl/>
          <w:lang/>
        </w:rPr>
        <w:t>ي</w:t>
      </w:r>
      <w:r w:rsidRPr="000E7ED3">
        <w:rPr>
          <w:rtl/>
          <w:lang/>
        </w:rPr>
        <w:t>ج القسري للأرملة/</w:t>
      </w:r>
      <w:r w:rsidRPr="000E7ED3">
        <w:rPr>
          <w:rFonts w:hint="cs"/>
          <w:rtl/>
          <w:lang/>
        </w:rPr>
        <w:t>ال</w:t>
      </w:r>
      <w:r w:rsidRPr="000E7ED3">
        <w:rPr>
          <w:rtl/>
          <w:lang/>
        </w:rPr>
        <w:t>أرمل م</w:t>
      </w:r>
      <w:r w:rsidRPr="000E7ED3">
        <w:rPr>
          <w:rFonts w:hint="cs"/>
          <w:rtl/>
          <w:lang/>
        </w:rPr>
        <w:t>ن</w:t>
      </w:r>
      <w:r w:rsidRPr="000E7ED3">
        <w:rPr>
          <w:rtl/>
          <w:lang/>
        </w:rPr>
        <w:t xml:space="preserve"> أخ أو أخت الزوج المتوفى</w:t>
      </w:r>
      <w:r w:rsidRPr="000E7ED3">
        <w:rPr>
          <w:rFonts w:hint="cs"/>
          <w:rtl/>
          <w:lang/>
        </w:rPr>
        <w:t xml:space="preserve"> أو الزوجة المتوفية</w:t>
      </w:r>
      <w:r w:rsidRPr="00B75CEC">
        <w:rPr>
          <w:vertAlign w:val="superscript"/>
          <w:rtl/>
          <w:lang/>
        </w:rPr>
        <w:t>(</w:t>
      </w:r>
      <w:r w:rsidRPr="00B75CEC">
        <w:rPr>
          <w:rStyle w:val="FootnoteReference"/>
          <w:szCs w:val="30"/>
          <w:rtl/>
        </w:rPr>
        <w:footnoteReference w:id="308"/>
      </w:r>
      <w:r w:rsidRPr="00B75CEC">
        <w:rPr>
          <w:vertAlign w:val="superscript"/>
          <w:rtl/>
          <w:lang/>
        </w:rPr>
        <w:t>)</w:t>
      </w:r>
      <w:r w:rsidRPr="000E7ED3">
        <w:rPr>
          <w:rtl/>
          <w:lang/>
        </w:rPr>
        <w:t>.</w:t>
      </w:r>
    </w:p>
    <w:p w:rsidR="003C1BD3" w:rsidRPr="003C1BD3" w:rsidRDefault="003C1BD3" w:rsidP="003C1BD3">
      <w:pPr>
        <w:pStyle w:val="SingleTxt"/>
        <w:spacing w:after="0" w:line="240" w:lineRule="auto"/>
        <w:rPr>
          <w:rFonts w:hint="cs"/>
          <w:rtl/>
          <w:lang/>
        </w:rPr>
      </w:pPr>
      <w:r>
        <w:rPr>
          <w:rFonts w:hint="cs"/>
          <w:noProof/>
          <w:w w:val="100"/>
          <w:rtl/>
        </w:rPr>
        <w:pict>
          <v:line id="_x0000_s1028" style="position:absolute;left:0;text-align:left;z-index:3" from="206.6pt,24pt" to="278.6pt,24pt" strokecolor="#010000" strokeweight=".25pt"/>
        </w:pict>
      </w:r>
    </w:p>
    <w:sectPr w:rsidR="003C1BD3" w:rsidRPr="003C1BD3" w:rsidSect="0025055A">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4-04-28T12:32:00Z" w:initials="Start">
    <w:p w:rsidR="00846BF8" w:rsidRDefault="00846BF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NO&gt;&gt;N1421326A&lt;&lt;ODS JOB NO</w:t>
      </w:r>
      <w:r>
        <w:rPr>
          <w:rtl/>
        </w:rPr>
        <w:t>&gt;&gt;</w:t>
      </w:r>
    </w:p>
    <w:p w:rsidR="00846BF8" w:rsidRDefault="00846BF8">
      <w:pPr>
        <w:pStyle w:val="CommentText"/>
        <w:rPr>
          <w:rtl/>
        </w:rPr>
      </w:pPr>
      <w:r>
        <w:rPr>
          <w:rtl/>
        </w:rPr>
        <w:t>&lt;&lt;</w:t>
      </w:r>
      <w:r>
        <w:t>ODS DOC SYMBOL1&gt;&gt;CEDAW/C/TLS/2-3&lt;&lt;ODS DOC SYMBOL1</w:t>
      </w:r>
      <w:r>
        <w:rPr>
          <w:rtl/>
        </w:rPr>
        <w:t>&gt;&gt;</w:t>
      </w:r>
    </w:p>
    <w:p w:rsidR="00846BF8" w:rsidRDefault="00846BF8">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6BF8" w:rsidRDefault="00846BF8" w:rsidP="00693CF9">
      <w:pPr>
        <w:spacing w:line="240" w:lineRule="auto"/>
      </w:pPr>
      <w:r>
        <w:separator/>
      </w:r>
    </w:p>
  </w:endnote>
  <w:endnote w:type="continuationSeparator" w:id="0">
    <w:p w:rsidR="00846BF8" w:rsidRDefault="00846BF8"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46BF8" w:rsidTr="0025055A">
      <w:tblPrEx>
        <w:tblCellMar>
          <w:top w:w="0" w:type="dxa"/>
          <w:bottom w:w="0" w:type="dxa"/>
        </w:tblCellMar>
      </w:tblPrEx>
      <w:tc>
        <w:tcPr>
          <w:tcW w:w="5033" w:type="dxa"/>
          <w:shd w:val="clear" w:color="auto" w:fill="auto"/>
        </w:tcPr>
        <w:p w:rsidR="00846BF8" w:rsidRPr="00A80A60" w:rsidRDefault="00846BF8" w:rsidP="0025055A">
          <w:pPr>
            <w:pStyle w:val="Footer"/>
            <w:rPr>
              <w:rFonts w:cs="Traditional Arabic"/>
              <w:w w:val="103"/>
            </w:rPr>
          </w:pPr>
          <w:r w:rsidRPr="00A80A60">
            <w:rPr>
              <w:rFonts w:cs="Traditional Arabic"/>
              <w:w w:val="103"/>
            </w:rPr>
            <w:fldChar w:fldCharType="begin"/>
          </w:r>
          <w:r w:rsidRPr="00A80A60">
            <w:rPr>
              <w:rFonts w:cs="Traditional Arabic"/>
              <w:w w:val="103"/>
            </w:rPr>
            <w:instrText xml:space="preserve"> PAGE  \* Arabic  \* MERGEFORMAT </w:instrText>
          </w:r>
          <w:r w:rsidRPr="00A80A60">
            <w:rPr>
              <w:rFonts w:cs="Traditional Arabic"/>
              <w:w w:val="103"/>
            </w:rPr>
            <w:fldChar w:fldCharType="separate"/>
          </w:r>
          <w:r w:rsidRPr="00A80A60">
            <w:rPr>
              <w:rFonts w:cs="Traditional Arabic"/>
              <w:noProof/>
              <w:w w:val="103"/>
            </w:rPr>
            <w:t>2</w:t>
          </w:r>
          <w:r w:rsidRPr="00A80A60">
            <w:rPr>
              <w:rFonts w:cs="Traditional Arabic"/>
              <w:w w:val="103"/>
            </w:rPr>
            <w:fldChar w:fldCharType="end"/>
          </w:r>
          <w:r w:rsidRPr="00A80A60">
            <w:rPr>
              <w:rFonts w:cs="Traditional Arabic"/>
              <w:w w:val="103"/>
            </w:rPr>
            <w:t>/</w:t>
          </w:r>
          <w:fldSimple w:instr=" NUMPAGES  \* Arabic  \* MERGEFORMAT ">
            <w:r w:rsidRPr="00A80A60">
              <w:rPr>
                <w:rFonts w:cs="Traditional Arabic"/>
                <w:noProof/>
                <w:w w:val="103"/>
              </w:rPr>
              <w:t>113</w:t>
            </w:r>
          </w:fldSimple>
        </w:p>
      </w:tc>
      <w:tc>
        <w:tcPr>
          <w:tcW w:w="5033" w:type="dxa"/>
          <w:shd w:val="clear" w:color="auto" w:fill="auto"/>
        </w:tcPr>
        <w:p w:rsidR="00846BF8" w:rsidRPr="00A80A60" w:rsidRDefault="00846BF8" w:rsidP="0025055A">
          <w:pPr>
            <w:pStyle w:val="Footer"/>
            <w:jc w:val="left"/>
            <w:rPr>
              <w:rFonts w:cs="Traditional Arabic"/>
              <w:b w:val="0"/>
              <w:w w:val="103"/>
            </w:rPr>
          </w:pPr>
          <w:fldSimple w:instr=" DOCVARIABLE &quot;FooterJN&quot; \* MERGEFORMAT ">
            <w:r w:rsidRPr="00A80A60">
              <w:rPr>
                <w:rFonts w:cs="Traditional Arabic"/>
                <w:b w:val="0"/>
                <w:w w:val="103"/>
              </w:rPr>
              <w:t>14-21326</w:t>
            </w:r>
          </w:fldSimple>
        </w:p>
      </w:tc>
    </w:tr>
  </w:tbl>
  <w:p w:rsidR="00846BF8" w:rsidRPr="0025055A" w:rsidRDefault="00846BF8" w:rsidP="0025055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46BF8" w:rsidTr="0025055A">
      <w:tblPrEx>
        <w:tblCellMar>
          <w:top w:w="0" w:type="dxa"/>
          <w:bottom w:w="0" w:type="dxa"/>
        </w:tblCellMar>
      </w:tblPrEx>
      <w:tc>
        <w:tcPr>
          <w:tcW w:w="5033" w:type="dxa"/>
          <w:shd w:val="clear" w:color="auto" w:fill="auto"/>
        </w:tcPr>
        <w:p w:rsidR="00846BF8" w:rsidRPr="00A80A60" w:rsidRDefault="00846BF8" w:rsidP="0025055A">
          <w:pPr>
            <w:pStyle w:val="Footer"/>
            <w:rPr>
              <w:rFonts w:cs="Traditional Arabic"/>
              <w:b w:val="0"/>
              <w:w w:val="103"/>
            </w:rPr>
          </w:pPr>
          <w:fldSimple w:instr=" DOCVARIABLE &quot;FooterJN&quot; \* MERGEFORMAT ">
            <w:r w:rsidRPr="00A80A60">
              <w:rPr>
                <w:rFonts w:cs="Traditional Arabic"/>
                <w:b w:val="0"/>
                <w:w w:val="103"/>
              </w:rPr>
              <w:t>14-21326</w:t>
            </w:r>
          </w:fldSimple>
        </w:p>
      </w:tc>
      <w:tc>
        <w:tcPr>
          <w:tcW w:w="5033" w:type="dxa"/>
          <w:shd w:val="clear" w:color="auto" w:fill="auto"/>
        </w:tcPr>
        <w:p w:rsidR="00846BF8" w:rsidRPr="00A80A60" w:rsidRDefault="00846BF8" w:rsidP="0025055A">
          <w:pPr>
            <w:pStyle w:val="Footer"/>
            <w:jc w:val="left"/>
            <w:rPr>
              <w:rFonts w:cs="Traditional Arabic"/>
              <w:w w:val="103"/>
            </w:rPr>
          </w:pPr>
          <w:r w:rsidRPr="00A80A60">
            <w:rPr>
              <w:rFonts w:cs="Traditional Arabic"/>
              <w:w w:val="103"/>
            </w:rPr>
            <w:fldChar w:fldCharType="begin"/>
          </w:r>
          <w:r w:rsidRPr="00A80A60">
            <w:rPr>
              <w:rFonts w:cs="Traditional Arabic"/>
              <w:w w:val="103"/>
            </w:rPr>
            <w:instrText xml:space="preserve"> PAGE  \* Arabic  \* MERGEFORMAT </w:instrText>
          </w:r>
          <w:r w:rsidRPr="00A80A60">
            <w:rPr>
              <w:rFonts w:cs="Traditional Arabic"/>
              <w:w w:val="103"/>
            </w:rPr>
            <w:fldChar w:fldCharType="separate"/>
          </w:r>
          <w:r w:rsidRPr="00A80A60">
            <w:rPr>
              <w:rFonts w:cs="Traditional Arabic"/>
              <w:noProof/>
              <w:w w:val="103"/>
            </w:rPr>
            <w:t>113</w:t>
          </w:r>
          <w:r w:rsidRPr="00A80A60">
            <w:rPr>
              <w:rFonts w:cs="Traditional Arabic"/>
              <w:w w:val="103"/>
            </w:rPr>
            <w:fldChar w:fldCharType="end"/>
          </w:r>
          <w:r w:rsidRPr="00A80A60">
            <w:rPr>
              <w:rFonts w:cs="Traditional Arabic"/>
              <w:w w:val="103"/>
            </w:rPr>
            <w:t>/</w:t>
          </w:r>
          <w:fldSimple w:instr=" NUMPAGES  \* Arabic  \* MERGEFORMAT ">
            <w:r w:rsidRPr="00A80A60">
              <w:rPr>
                <w:rFonts w:cs="Traditional Arabic"/>
                <w:noProof/>
                <w:w w:val="103"/>
              </w:rPr>
              <w:t>113</w:t>
            </w:r>
          </w:fldSimple>
        </w:p>
      </w:tc>
    </w:tr>
  </w:tbl>
  <w:p w:rsidR="00846BF8" w:rsidRPr="0025055A" w:rsidRDefault="00846BF8" w:rsidP="0025055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846BF8" w:rsidTr="00B574EE">
      <w:tblPrEx>
        <w:tblCellMar>
          <w:top w:w="0" w:type="dxa"/>
          <w:bottom w:w="0" w:type="dxa"/>
        </w:tblCellMar>
      </w:tblPrEx>
      <w:trPr>
        <w:jc w:val="right"/>
      </w:trPr>
      <w:tc>
        <w:tcPr>
          <w:tcW w:w="3744" w:type="dxa"/>
        </w:tcPr>
        <w:p w:rsidR="00846BF8" w:rsidRDefault="00846BF8" w:rsidP="0025055A">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846BF8" w:rsidRDefault="00846BF8" w:rsidP="00846BF8">
          <w:pPr>
            <w:pStyle w:val="ReleaseDate"/>
          </w:pPr>
          <w:r>
            <w:t>280414    1202</w:t>
          </w:r>
          <w:bookmarkStart w:id="0" w:name="TmpSave"/>
          <w:bookmarkEnd w:id="0"/>
          <w:r>
            <w:t xml:space="preserve">14    </w:t>
          </w:r>
          <w:fldSimple w:instr=" DOCVARIABLE &quot;jobn&quot; \* MERGEFORMAT ">
            <w:r>
              <w:t>14-21326 (A)</w:t>
            </w:r>
          </w:fldSimple>
        </w:p>
        <w:p w:rsidR="00846BF8" w:rsidRPr="00A80A60" w:rsidRDefault="00846BF8" w:rsidP="0025055A">
          <w:pPr>
            <w:pStyle w:val="Footer"/>
            <w:spacing w:before="80"/>
            <w:rPr>
              <w:rFonts w:ascii="Barcode 3 of 9 by request" w:hAnsi="Barcode 3 of 9 by request" w:cs="Traditional Arabic"/>
              <w:sz w:val="24"/>
            </w:rPr>
          </w:pPr>
          <w:fldSimple w:instr=" DOCVARIABLE &quot;Barcode&quot; \* MERGEFORMAT ">
            <w:r w:rsidRPr="00A80A60">
              <w:rPr>
                <w:rFonts w:ascii="Barcode 3 of 9 by request" w:hAnsi="Barcode 3 of 9 by request" w:cs="Traditional Arabic"/>
                <w:sz w:val="24"/>
              </w:rPr>
              <w:t>*1421326*</w:t>
            </w:r>
          </w:fldSimple>
        </w:p>
      </w:tc>
    </w:tr>
  </w:tbl>
  <w:p w:rsidR="00846BF8" w:rsidRPr="0025055A" w:rsidRDefault="00846BF8" w:rsidP="0025055A">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6BF8" w:rsidRPr="00CE34C8" w:rsidRDefault="00846BF8" w:rsidP="00CE34C8">
      <w:pPr>
        <w:pStyle w:val="Footer"/>
        <w:bidi/>
        <w:spacing w:after="80"/>
        <w:ind w:left="792"/>
        <w:jc w:val="left"/>
        <w:rPr>
          <w:sz w:val="16"/>
        </w:rPr>
      </w:pPr>
      <w:r w:rsidRPr="00CE34C8">
        <w:rPr>
          <w:sz w:val="16"/>
          <w:rtl/>
        </w:rPr>
        <w:t>__________</w:t>
      </w:r>
    </w:p>
  </w:footnote>
  <w:footnote w:type="continuationSeparator" w:id="0">
    <w:p w:rsidR="00846BF8" w:rsidRPr="00CE34C8" w:rsidRDefault="00846BF8" w:rsidP="00CE34C8">
      <w:pPr>
        <w:pStyle w:val="Footer"/>
        <w:bidi/>
        <w:spacing w:after="80"/>
        <w:ind w:left="792"/>
        <w:jc w:val="left"/>
        <w:rPr>
          <w:sz w:val="16"/>
        </w:rPr>
      </w:pPr>
      <w:r w:rsidRPr="00CE34C8">
        <w:rPr>
          <w:sz w:val="16"/>
          <w:rtl/>
        </w:rPr>
        <w:t>__________</w:t>
      </w:r>
    </w:p>
  </w:footnote>
  <w:footnote w:id="1">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lang w:val="es-ES"/>
        </w:rPr>
        <w:t>‘</w:t>
      </w:r>
      <w:r w:rsidRPr="0060789F">
        <w:rPr>
          <w:i/>
          <w:w w:val="103"/>
          <w:lang w:val="es-ES"/>
        </w:rPr>
        <w:t>Consituição anotada da República Democrática de Timor-Leste’</w:t>
      </w:r>
      <w:r w:rsidRPr="0060789F">
        <w:rPr>
          <w:w w:val="103"/>
          <w:lang w:val="es-ES"/>
        </w:rPr>
        <w:t>, Pedro Carlos Bacelar de Vasconcelos, Braga</w:t>
      </w:r>
      <w:r w:rsidRPr="0060789F">
        <w:rPr>
          <w:rFonts w:hint="cs"/>
          <w:w w:val="103"/>
          <w:rtl/>
          <w:lang w:val="es-ES"/>
        </w:rPr>
        <w:t>، تشرين الأول/أكتوبر 2011، ص. 68.</w:t>
      </w:r>
    </w:p>
  </w:footnote>
  <w:footnote w:id="2">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المرجع نفسه، ص. 70.</w:t>
      </w:r>
    </w:p>
  </w:footnote>
  <w:footnote w:id="3">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رد مكتب أمين المظالم المعني بالعدالة وحقوق الإنسان على استبيان اللجنة المعنية بالقضاء على التمييز ضد</w:t>
      </w:r>
      <w:r w:rsidRPr="0060789F">
        <w:rPr>
          <w:rFonts w:hint="eastAsia"/>
          <w:w w:val="103"/>
          <w:rtl/>
        </w:rPr>
        <w:t> </w:t>
      </w:r>
      <w:r w:rsidRPr="0060789F">
        <w:rPr>
          <w:rFonts w:hint="cs"/>
          <w:w w:val="103"/>
          <w:rtl/>
        </w:rPr>
        <w:t>المرأة.</w:t>
      </w:r>
    </w:p>
  </w:footnote>
  <w:footnote w:id="4">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مقابلة أجريت في 16 أيار/مايو 2013 مع شارلمان صوفيا غوميز، المستشارة القانونية للشؤون الجنسانية في البرلمان الوطني ديلي.</w:t>
      </w:r>
    </w:p>
  </w:footnote>
  <w:footnote w:id="5">
    <w:p w:rsidR="00846BF8" w:rsidRPr="0060789F" w:rsidRDefault="00846BF8" w:rsidP="0060789F">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التقرير السنوي لعام 2009، نائبة وزيرة الدولة لشؤون تعزيز المساواة بين الجنسين، جمهورية تيمور - ليشتي الديمقراطية، الحكومة الدستورية الرابعة، ديلي، 2010.</w:t>
      </w:r>
    </w:p>
  </w:footnote>
  <w:footnote w:id="6">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w:t>
      </w:r>
      <w:r w:rsidRPr="0060789F">
        <w:rPr>
          <w:rFonts w:hint="cs"/>
          <w:i/>
          <w:iCs/>
          <w:w w:val="103"/>
          <w:rtl/>
        </w:rPr>
        <w:t>الميزانية الحكومية للفترة المالية 2007-2012</w:t>
      </w:r>
      <w:r w:rsidRPr="0060789F">
        <w:rPr>
          <w:rFonts w:hint="cs"/>
          <w:w w:val="103"/>
          <w:rtl/>
        </w:rPr>
        <w:t>‘ (التي عُرضت على البرلمان خلال استعراض اللجنة لميزانية</w:t>
      </w:r>
      <w:r w:rsidRPr="0060789F">
        <w:rPr>
          <w:rFonts w:hint="eastAsia"/>
          <w:w w:val="103"/>
          <w:rtl/>
        </w:rPr>
        <w:t> </w:t>
      </w:r>
      <w:r w:rsidRPr="0060789F">
        <w:rPr>
          <w:rFonts w:hint="cs"/>
          <w:w w:val="103"/>
          <w:rtl/>
        </w:rPr>
        <w:t>الوزارة لعام 2013)، المديرية الوطنية للإدارة المالية، وزارة الدولة لتعزيز المساواة بين الجنسين، ديلي، 2013.</w:t>
      </w:r>
    </w:p>
  </w:footnote>
  <w:footnote w:id="7">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 xml:space="preserve">البوابة الإلكترونية لشفافية ميزانية تيمور - ليشتي: </w:t>
      </w:r>
      <w:hyperlink r:id="rId1" w:history="1">
        <w:r w:rsidRPr="0060789F">
          <w:rPr>
            <w:rStyle w:val="Hyperlink"/>
            <w:w w:val="98"/>
            <w:sz w:val="18"/>
            <w:szCs w:val="18"/>
          </w:rPr>
          <w:t>http://budgettransparency.gov.tl/publicTransparency/</w:t>
        </w:r>
        <w:r w:rsidRPr="0060789F">
          <w:rPr>
            <w:rStyle w:val="Hyperlink"/>
            <w:rFonts w:hint="cs"/>
            <w:w w:val="98"/>
            <w:sz w:val="18"/>
            <w:szCs w:val="18"/>
            <w:rtl/>
          </w:rPr>
          <w:t xml:space="preserve"> </w:t>
        </w:r>
        <w:r w:rsidRPr="0060789F">
          <w:rPr>
            <w:rStyle w:val="Hyperlink"/>
            <w:w w:val="98"/>
            <w:sz w:val="18"/>
            <w:szCs w:val="18"/>
          </w:rPr>
          <w:t>transparencyNavigation?fiscalYearId=82&amp;isInflow=false</w:t>
        </w:r>
      </w:hyperlink>
      <w:r w:rsidRPr="0060789F">
        <w:rPr>
          <w:rFonts w:hint="cs"/>
          <w:w w:val="98"/>
          <w:sz w:val="26"/>
          <w:rtl/>
        </w:rPr>
        <w:t>؛ أتيح الاطلاع عليها في 16 كانون الثاني/</w:t>
      </w:r>
      <w:r w:rsidRPr="0060789F">
        <w:rPr>
          <w:w w:val="98"/>
          <w:sz w:val="26"/>
          <w:rtl/>
        </w:rPr>
        <w:br/>
      </w:r>
      <w:r w:rsidRPr="0060789F">
        <w:rPr>
          <w:rFonts w:hint="cs"/>
          <w:w w:val="98"/>
          <w:sz w:val="26"/>
          <w:rtl/>
        </w:rPr>
        <w:t>يناير 2013.</w:t>
      </w:r>
    </w:p>
  </w:footnote>
  <w:footnote w:id="8">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مذكرة توضيحية بشأن تنفيذ ميزانية وزارة الدولة لتعزيز المساواة بين الجنسين لعام 2012 (التي عُرضت على البرلمان خلال استعراض اللجنة لميزانية الوزارة لعام 2013)، المديرية الوطنية للإدارة المالية، وزارة الدولة لتعزيز المساواة بين الجنسين، ديلي، 2013.</w:t>
      </w:r>
    </w:p>
  </w:footnote>
  <w:footnote w:id="9">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بيانات مستمدة من وزارة الدولة لتعزيز المساواة بين الجنسين (رد مفتش الوزارة ومراجع حساباتها على استبيان اللجنة المعنية بالقضاء على التمييز ضد المرأة)، ديلي، 2012.</w:t>
      </w:r>
    </w:p>
  </w:footnote>
  <w:footnote w:id="10">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”مذكرة التفاهم المبرمة بين حكومة جمهورية تيمور - ليشتي الديمقراطية وحكومة جمهورية إندونيسيا بشأن التعاون في مجال تمكين المرأة وتعزيز المساواة بين الجنسين</w:t>
      </w:r>
      <w:r w:rsidRPr="0060789F">
        <w:rPr>
          <w:rFonts w:hint="eastAsia"/>
          <w:w w:val="103"/>
          <w:rtl/>
        </w:rPr>
        <w:t>“، جاكرتا، 2012.</w:t>
      </w:r>
    </w:p>
  </w:footnote>
  <w:footnote w:id="11">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الخطة الإنمائية الاستراتيجية لتيمور - ليشتي للفترة 2011-2030، مكتب رئيس الوزراء، ديلي، 2010.</w:t>
      </w:r>
    </w:p>
  </w:footnote>
  <w:footnote w:id="12">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”مذكرات موجهة إلى وزير الدولة بشأن قرار الوزارة المنقح المتعلق بآلية منسقي الشؤون الجنسانية</w:t>
      </w:r>
      <w:r w:rsidRPr="0060789F">
        <w:rPr>
          <w:rFonts w:hint="eastAsia"/>
          <w:w w:val="103"/>
          <w:rtl/>
        </w:rPr>
        <w:t>“، وزارة الدولة لتعزيز المساواة بين الجنسين، ديلي، 2011.</w:t>
      </w:r>
    </w:p>
  </w:footnote>
  <w:footnote w:id="13">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Report on the Gender Working Group Mechanism and Gender Mainstreaming efforts by Ministries, Secretaries of States and Districts – 2012, SEPI, Jan. 2013</w:t>
      </w:r>
      <w:r w:rsidRPr="0060789F">
        <w:rPr>
          <w:rFonts w:hint="cs"/>
          <w:w w:val="103"/>
          <w:rtl/>
        </w:rPr>
        <w:t>.</w:t>
      </w:r>
    </w:p>
  </w:footnote>
  <w:footnote w:id="14">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المرجع نفسه.</w:t>
      </w:r>
    </w:p>
  </w:footnote>
  <w:footnote w:id="15">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المرجع نفسه.</w:t>
      </w:r>
    </w:p>
  </w:footnote>
  <w:footnote w:id="16">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المرجع نفسه.</w:t>
      </w:r>
    </w:p>
  </w:footnote>
  <w:footnote w:id="17">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Response to CEDAW questionnaire, Department of liaison – SEPI, Dili, Nov. 2012</w:t>
      </w:r>
      <w:r w:rsidRPr="0060789F">
        <w:rPr>
          <w:rFonts w:hint="cs"/>
          <w:w w:val="103"/>
          <w:rtl/>
        </w:rPr>
        <w:t>.</w:t>
      </w:r>
    </w:p>
  </w:footnote>
  <w:footnote w:id="18">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Preamble of the Parliamentary Resolution N°12/2010 on the 19th of May 2010, Dili, 2010</w:t>
      </w:r>
      <w:r w:rsidRPr="0060789F">
        <w:rPr>
          <w:rFonts w:hint="cs"/>
          <w:w w:val="103"/>
          <w:rtl/>
        </w:rPr>
        <w:t>.</w:t>
      </w:r>
    </w:p>
  </w:footnote>
  <w:footnote w:id="19">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 xml:space="preserve">يرجى الرجوع إلى التقرير الأولي - فرع المنظمات غير الحكومية النسائية </w:t>
      </w:r>
      <w:r w:rsidRPr="0060789F">
        <w:rPr>
          <w:w w:val="103"/>
        </w:rPr>
        <w:t>Women’s NGOs</w:t>
      </w:r>
      <w:r w:rsidRPr="0060789F">
        <w:rPr>
          <w:rFonts w:hint="cs"/>
          <w:w w:val="103"/>
          <w:rtl/>
        </w:rPr>
        <w:t>، صفحة 68.</w:t>
      </w:r>
    </w:p>
  </w:footnote>
  <w:footnote w:id="20">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الملاحظات التي أدلى بها وزير الدولة لتعزيز المساواة في مناسبة اجتماع الشركاء الإنمائيين، ديلي، آذار/مارس</w:t>
      </w:r>
      <w:r w:rsidRPr="0060789F">
        <w:rPr>
          <w:rFonts w:hint="eastAsia"/>
          <w:w w:val="103"/>
          <w:rtl/>
        </w:rPr>
        <w:t> 2012.</w:t>
      </w:r>
    </w:p>
  </w:footnote>
  <w:footnote w:id="21">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 xml:space="preserve">حلقة عمل بشأن </w:t>
      </w:r>
      <w:r w:rsidRPr="0060789F">
        <w:rPr>
          <w:rFonts w:hint="eastAsia"/>
          <w:w w:val="103"/>
          <w:rtl/>
        </w:rPr>
        <w:t>”الدروس المستفادة</w:t>
      </w:r>
      <w:r w:rsidRPr="0060789F">
        <w:rPr>
          <w:rFonts w:hint="cs"/>
          <w:w w:val="103"/>
          <w:rtl/>
        </w:rPr>
        <w:t>“ ما بعد برنامج الأولويات الوطنية، وزارة المالية، ديلي، نيسان/أبريل 2012.</w:t>
      </w:r>
    </w:p>
  </w:footnote>
  <w:footnote w:id="22">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Annual Report 2009 – Secretary of State for the Promotion of Equality, Democratic Republic of Timor-Leste, IVth Constitutional Government, Dili, 2010</w:t>
      </w:r>
      <w:r w:rsidRPr="0060789F">
        <w:rPr>
          <w:rFonts w:hint="cs"/>
          <w:w w:val="103"/>
          <w:rtl/>
        </w:rPr>
        <w:t>.</w:t>
      </w:r>
    </w:p>
  </w:footnote>
  <w:footnote w:id="23">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يرجى الرجوع إلى فرع </w:t>
      </w:r>
      <w:r w:rsidRPr="0060789F">
        <w:rPr>
          <w:rFonts w:hint="cs"/>
          <w:w w:val="103"/>
          <w:rtl/>
        </w:rPr>
        <w:t>”</w:t>
      </w:r>
      <w:r w:rsidRPr="0060789F">
        <w:rPr>
          <w:w w:val="103"/>
          <w:rtl/>
        </w:rPr>
        <w:t>مشاركة المرأة في السياسة</w:t>
      </w:r>
      <w:r w:rsidRPr="0060789F">
        <w:rPr>
          <w:rFonts w:hint="cs"/>
          <w:w w:val="103"/>
          <w:rtl/>
        </w:rPr>
        <w:t>“</w:t>
      </w:r>
      <w:r w:rsidRPr="0060789F">
        <w:rPr>
          <w:w w:val="103"/>
          <w:rtl/>
        </w:rPr>
        <w:t xml:space="preserve"> من هذا التقرير.</w:t>
      </w:r>
    </w:p>
  </w:footnote>
  <w:footnote w:id="24">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Timor-Leste Population Census, National Statistics Directorate - General Directorate of Policy Analysis and Research, Ministry of Finance, Dili, October 2010</w:t>
      </w:r>
      <w:r w:rsidRPr="0060789F">
        <w:rPr>
          <w:rFonts w:hint="cs"/>
          <w:w w:val="103"/>
          <w:rtl/>
        </w:rPr>
        <w:t>.</w:t>
      </w:r>
    </w:p>
  </w:footnote>
  <w:footnote w:id="25">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 xml:space="preserve">مديرية الإحصاءات الوطنية [تيمور - ليشتي] وزارة المالية، [تيمور - ليشتي]، ومؤسسة ماركو الاستشارية المستقلة. 2010 الاستقصاء الديمغرافي والصحي الذي أجري في تيمور - ليشتي للفترة 2009-2010 ديلي، تيمور </w:t>
      </w:r>
      <w:r w:rsidRPr="0060789F">
        <w:rPr>
          <w:w w:val="103"/>
          <w:rtl/>
        </w:rPr>
        <w:t>–</w:t>
      </w:r>
      <w:r w:rsidRPr="0060789F">
        <w:rPr>
          <w:rFonts w:hint="cs"/>
          <w:w w:val="103"/>
          <w:rtl/>
        </w:rPr>
        <w:t xml:space="preserve"> ليشتي، صفحة 17.</w:t>
      </w:r>
    </w:p>
  </w:footnote>
  <w:footnote w:id="26">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يرجى الرجوع إلى فرع التوظيف من هذا التقرير.</w:t>
      </w:r>
    </w:p>
  </w:footnote>
  <w:footnote w:id="27">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فيما يتعلق بقطاع التعليم مثلا، وبالنظر لما يرتبط به من تحديات، أدرجت وزارة التعليم في الخطة الإنمائية الاستراتيجية تعريفا جديدا للمقصود بغاية التعليم الأساسي لفترة السنوات الخمس عشرة المقبلة، بحيث يتسنى لجميع الأطفال، ذكورا ونساءً، إتمام دورة كاملة من التعليم الأساسي مدتها 9 سنوات بحلول عام</w:t>
      </w:r>
      <w:r w:rsidRPr="0060789F">
        <w:rPr>
          <w:rFonts w:hint="cs"/>
          <w:w w:val="103"/>
          <w:rtl/>
        </w:rPr>
        <w:t> </w:t>
      </w:r>
      <w:r w:rsidRPr="0060789F">
        <w:rPr>
          <w:w w:val="103"/>
          <w:rtl/>
        </w:rPr>
        <w:t>2025 والتي سيتمكّن ما نسبته 93 في المائة من جميع أطفال تيمور - ليشتي من إتمامها بحلول عام</w:t>
      </w:r>
      <w:r w:rsidRPr="0060789F">
        <w:rPr>
          <w:rFonts w:hint="cs"/>
          <w:w w:val="103"/>
          <w:rtl/>
        </w:rPr>
        <w:t> </w:t>
      </w:r>
      <w:r w:rsidRPr="0060789F">
        <w:rPr>
          <w:w w:val="103"/>
          <w:rtl/>
        </w:rPr>
        <w:t>2015.</w:t>
      </w:r>
    </w:p>
  </w:footnote>
  <w:footnote w:id="28">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خطة تيمور - ليشتي الإنمائية الاستراتيجية للفترة 2011-2030، مكتب رئيس الوزراء، ديلي، 2010.</w:t>
      </w:r>
    </w:p>
  </w:footnote>
  <w:footnote w:id="29">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rtl/>
        </w:rPr>
      </w:pPr>
      <w:r w:rsidRPr="0060789F">
        <w:rPr>
          <w:rtl/>
        </w:rPr>
        <w:tab/>
        <w:t>(</w:t>
      </w:r>
      <w:r w:rsidRPr="0060789F">
        <w:rPr>
          <w:rStyle w:val="FootnoteReference"/>
          <w:spacing w:val="0"/>
          <w:vertAlign w:val="baseline"/>
          <w:rtl/>
        </w:rPr>
        <w:footnoteRef/>
      </w:r>
      <w:r w:rsidRPr="0060789F">
        <w:rPr>
          <w:rtl/>
        </w:rPr>
        <w:t>)</w:t>
      </w:r>
      <w:r w:rsidRPr="0060789F">
        <w:rPr>
          <w:rtl/>
        </w:rPr>
        <w:tab/>
        <w:t>تقرير تيمور - ليشتي عن الأهداف الإنمائية للألفية لعام 2010، أعدته الأمانة العامة المعنية بالأهداف الإنمائية للألفية، بدعم من فريق الأمم المتحدة القطري ووفد الاتحاد الأوروبي في ديلي، تيمور - ليشتي، 2010.</w:t>
      </w:r>
    </w:p>
  </w:footnote>
  <w:footnote w:id="30">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يرجى الرجوع إلى المادة 8 من الفرع الذي يتناول </w:t>
      </w:r>
      <w:r w:rsidRPr="0060789F">
        <w:rPr>
          <w:rFonts w:hint="cs"/>
          <w:w w:val="103"/>
          <w:rtl/>
        </w:rPr>
        <w:t>”</w:t>
      </w:r>
      <w:r w:rsidRPr="0060789F">
        <w:rPr>
          <w:w w:val="103"/>
          <w:rtl/>
        </w:rPr>
        <w:t>نساء تيمور - ليشتي في المحافل الدولية</w:t>
      </w:r>
      <w:r w:rsidRPr="0060789F">
        <w:rPr>
          <w:rFonts w:hint="cs"/>
          <w:w w:val="103"/>
          <w:rtl/>
        </w:rPr>
        <w:t>“</w:t>
      </w:r>
      <w:r w:rsidRPr="0060789F">
        <w:rPr>
          <w:w w:val="103"/>
          <w:rtl/>
        </w:rPr>
        <w:t xml:space="preserve"> من هذا التقرير.</w:t>
      </w:r>
    </w:p>
  </w:footnote>
  <w:footnote w:id="31">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تقرير موجز عن المشاورات المتعلقة بالأهداف الإنمائية للألفية لما بعد عام 2015 المعقودة في ديلي، تيمور</w:t>
      </w:r>
      <w:r w:rsidRPr="0060789F">
        <w:rPr>
          <w:rFonts w:hint="cs"/>
          <w:w w:val="103"/>
          <w:rtl/>
        </w:rPr>
        <w:t> </w:t>
      </w:r>
      <w:r w:rsidRPr="0060789F">
        <w:rPr>
          <w:w w:val="103"/>
          <w:rtl/>
        </w:rPr>
        <w:t>- ليشتي، في كانون الثاني/يناير 2013.</w:t>
      </w:r>
    </w:p>
  </w:footnote>
  <w:footnote w:id="32">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p>
  </w:footnote>
  <w:footnote w:id="33">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رد وزارة الدولة لتعزيز المساواة ووزارة العدل على الاستبيان الصادر عن اللجنة المعنية بالقضاء على التمييز ضد المرأة، تموز/يوليه 2012.</w:t>
      </w:r>
    </w:p>
  </w:footnote>
  <w:footnote w:id="34">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p>
  </w:footnote>
  <w:footnote w:id="35">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تعزيز قطاع العدل في تيمور - ليشتي، برنامج نظام العدل، مكتب برنامج الأمم المتحدة الإنمائي في تيمور</w:t>
      </w:r>
      <w:r w:rsidRPr="0060789F">
        <w:rPr>
          <w:rFonts w:hint="eastAsia"/>
          <w:w w:val="103"/>
          <w:rtl/>
        </w:rPr>
        <w:t> </w:t>
      </w:r>
      <w:r w:rsidRPr="0060789F">
        <w:rPr>
          <w:w w:val="103"/>
          <w:rtl/>
        </w:rPr>
        <w:t>- ليشتي، ديلي، 2011.</w:t>
      </w:r>
    </w:p>
  </w:footnote>
  <w:footnote w:id="36">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رد وزارة العدل ومركز التدريب القانوني على الاستبيان الصادر عن اللجنة المعنية بالقضاء على التمييز ضد المرأة، تموز/يوليه 2012.</w:t>
      </w:r>
    </w:p>
  </w:footnote>
  <w:footnote w:id="37">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الرد الوارد من المدعية العامة إيفونا غوتيريس، من مكتب المدعي العام، تشرين الثاني/نوفمبر 2012.</w:t>
      </w:r>
    </w:p>
  </w:footnote>
  <w:footnote w:id="38">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الاستقصاء الديمغرافي والصحي في تيمور - ليشتي للفترة 2009-2010، الصفحة 225.</w:t>
      </w:r>
    </w:p>
  </w:footnote>
  <w:footnote w:id="39">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الاستقصاء الديمغرافي والصحي في تيمور - ليشتي للفترة 2009-2010، الصفحة 275.</w:t>
      </w:r>
    </w:p>
  </w:footnote>
  <w:footnote w:id="40">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 الصفحتان 229 و</w:t>
      </w:r>
      <w:r w:rsidRPr="0060789F">
        <w:rPr>
          <w:rFonts w:hint="cs"/>
          <w:w w:val="103"/>
          <w:rtl/>
        </w:rPr>
        <w:t xml:space="preserve"> </w:t>
      </w:r>
      <w:r w:rsidRPr="0060789F">
        <w:rPr>
          <w:w w:val="103"/>
          <w:rtl/>
        </w:rPr>
        <w:t>230.</w:t>
      </w:r>
    </w:p>
  </w:footnote>
  <w:footnote w:id="41">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 الصفحتان 232 و</w:t>
      </w:r>
      <w:r w:rsidRPr="0060789F">
        <w:rPr>
          <w:rFonts w:hint="cs"/>
          <w:w w:val="103"/>
          <w:rtl/>
        </w:rPr>
        <w:t xml:space="preserve"> </w:t>
      </w:r>
      <w:r w:rsidRPr="0060789F">
        <w:rPr>
          <w:w w:val="103"/>
          <w:rtl/>
        </w:rPr>
        <w:t>233.</w:t>
      </w:r>
    </w:p>
  </w:footnote>
  <w:footnote w:id="42">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نظام العدالة في تيمور - ليشتي، تقييم شامل ومستقل للاحتياجات، ديلي، تشرين الأول/أكتوبر 2009، الصفحة 68.</w:t>
      </w:r>
    </w:p>
  </w:footnote>
  <w:footnote w:id="43">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الرد الوارد من مكتب المدعي العام، تشرين الثاني/نوفمبر 2012.</w:t>
      </w:r>
    </w:p>
  </w:footnote>
  <w:footnote w:id="44">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يرجى الرجوع إلى المرفقات - الجدول 1 المعنون: </w:t>
      </w:r>
      <w:r w:rsidRPr="0060789F">
        <w:rPr>
          <w:rFonts w:hint="cs"/>
          <w:w w:val="103"/>
          <w:rtl/>
        </w:rPr>
        <w:t>”</w:t>
      </w:r>
      <w:r w:rsidRPr="0060789F">
        <w:rPr>
          <w:w w:val="103"/>
          <w:rtl/>
        </w:rPr>
        <w:t>حالات العنف الجنساني التي سجلتها الوحدة المعنية بالضعفاء التابعة لشرطة تيمور - ليشتي الوطنية في الفترة ما بين عامي 2009 و</w:t>
      </w:r>
      <w:r w:rsidRPr="0060789F">
        <w:rPr>
          <w:rFonts w:hint="cs"/>
          <w:w w:val="103"/>
          <w:rtl/>
        </w:rPr>
        <w:t xml:space="preserve"> </w:t>
      </w:r>
      <w:r w:rsidRPr="0060789F">
        <w:rPr>
          <w:w w:val="103"/>
          <w:rtl/>
        </w:rPr>
        <w:t>2012</w:t>
      </w:r>
      <w:r w:rsidRPr="0060789F">
        <w:rPr>
          <w:rFonts w:hint="cs"/>
          <w:w w:val="103"/>
          <w:rtl/>
        </w:rPr>
        <w:t>“</w:t>
      </w:r>
      <w:r w:rsidRPr="0060789F">
        <w:rPr>
          <w:w w:val="103"/>
          <w:rtl/>
        </w:rPr>
        <w:t>.</w:t>
      </w:r>
    </w:p>
  </w:footnote>
  <w:footnote w:id="45">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معلومات مستمدة من تقرير قاعدة البيانات الوطنية المشترك بين الوحدة المعنية بالضعفاء وقسم التحقيقات الجنائية الوطنية بشرطة تيمور - ليشتي الوطنية، عن الفترة 2009-2012.</w:t>
      </w:r>
    </w:p>
  </w:footnote>
  <w:footnote w:id="46">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رد وزارة التضامن الاجتماعي على الاستبيان الصادر عن اللجنة المعنية بالقضاء على التمييز ضد المرأة، تشرين الثاني/نوفمبر 2012.</w:t>
      </w:r>
    </w:p>
  </w:footnote>
  <w:footnote w:id="47">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Kovar, Annika. Approaches to Domestic Violence against Women in Timor-Leste: A Review and Critique. Pg 211</w:t>
      </w:r>
      <w:r w:rsidRPr="0060789F">
        <w:rPr>
          <w:rFonts w:hint="cs"/>
          <w:w w:val="103"/>
          <w:rtl/>
        </w:rPr>
        <w:t>.</w:t>
      </w:r>
    </w:p>
  </w:footnote>
  <w:footnote w:id="48">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ديباجة القانون رقم 7/2010 - قانون مكافحة العنف العائلي.</w:t>
      </w:r>
    </w:p>
  </w:footnote>
  <w:footnote w:id="49">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يرجى الرجوع إلى الفرع الذي يتناول مسألة الاتجار بالبشر.</w:t>
      </w:r>
    </w:p>
  </w:footnote>
  <w:footnote w:id="50">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رد وزارة العدل على الاستبيان الصادر عن اللجنة المعنية بالقضاء التمييز ضد المرأة، تموز/يوليه 2012.</w:t>
      </w:r>
    </w:p>
  </w:footnote>
  <w:footnote w:id="51">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الاستقصاء الديمغرافي والصحي للفترة 2009-2010، الصفحة 247.</w:t>
      </w:r>
    </w:p>
  </w:footnote>
  <w:footnote w:id="52">
    <w:p w:rsidR="00846BF8" w:rsidRPr="0060789F" w:rsidRDefault="00846BF8" w:rsidP="00CE34C8">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الرد الوارد من المفتشة داريا خيمينيس من الوحدة المعنية بالضعفاء التابعة لشرطة تيمور - ليشتي الوطنية ومن المفتشة إيفونا غوتيريس من مكتب المدعي العام لتيمور - ليشتي.</w:t>
      </w:r>
    </w:p>
  </w:footnote>
  <w:footnote w:id="53">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رد من وزارة الدولة لتعزيز المساواة بين الجنسين</w:t>
      </w:r>
      <w:r w:rsidRPr="0060789F">
        <w:rPr>
          <w:rFonts w:hint="cs"/>
          <w:w w:val="103"/>
          <w:rtl/>
        </w:rPr>
        <w:t xml:space="preserve"> </w:t>
      </w:r>
      <w:r w:rsidRPr="0060789F">
        <w:rPr>
          <w:w w:val="103"/>
          <w:rtl/>
        </w:rPr>
        <w:t>على تقرير اللجنة المعنية بالقضاء على التمييز ضد المرأة الصادر في أيلول/سبتمبر 2012 مع مقابلة إضافية أجريت مع فيلومينا بابو، رئيسة شؤون التدريب في مكتب وزارة الدولة لتعزيز المساواة بين الجنسين</w:t>
      </w:r>
      <w:r w:rsidRPr="0060789F">
        <w:rPr>
          <w:rFonts w:hint="cs"/>
          <w:w w:val="103"/>
          <w:rtl/>
        </w:rPr>
        <w:t>.</w:t>
      </w:r>
    </w:p>
  </w:footnote>
  <w:footnote w:id="54">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r w:rsidRPr="0060789F">
        <w:rPr>
          <w:rFonts w:hint="cs"/>
          <w:w w:val="103"/>
          <w:rtl/>
        </w:rPr>
        <w:t>.</w:t>
      </w:r>
    </w:p>
  </w:footnote>
  <w:footnote w:id="55">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p>
  </w:footnote>
  <w:footnote w:id="56">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خطة العمل الوطنية بشأن العنف الجنساني، مكتب وزير الدولة لتعزيز المساواة، ديلي، في عام 2012، الصفحة 19</w:t>
      </w:r>
      <w:r w:rsidRPr="0060789F">
        <w:rPr>
          <w:rFonts w:hint="cs"/>
          <w:w w:val="103"/>
          <w:rtl/>
        </w:rPr>
        <w:t>.</w:t>
      </w:r>
    </w:p>
  </w:footnote>
  <w:footnote w:id="57">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 الصفحة 20</w:t>
      </w:r>
      <w:r w:rsidRPr="0060789F">
        <w:rPr>
          <w:rFonts w:hint="cs"/>
          <w:w w:val="103"/>
          <w:rtl/>
        </w:rPr>
        <w:t>.</w:t>
      </w:r>
    </w:p>
  </w:footnote>
  <w:footnote w:id="58">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 الصفحة 21</w:t>
      </w:r>
      <w:r w:rsidRPr="0060789F">
        <w:rPr>
          <w:rFonts w:hint="cs"/>
          <w:w w:val="103"/>
          <w:rtl/>
        </w:rPr>
        <w:t>.</w:t>
      </w:r>
    </w:p>
  </w:footnote>
  <w:footnote w:id="59">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خطة العمل الوطنية بشأن العنف الجنساني، مكتب وزير الدولة لتعزيز المساواة بين الجنسين، ديلي، عام 2012، الصفحة 10</w:t>
      </w:r>
      <w:r w:rsidRPr="0060789F">
        <w:rPr>
          <w:rFonts w:hint="cs"/>
          <w:w w:val="103"/>
          <w:rtl/>
        </w:rPr>
        <w:t>.</w:t>
      </w:r>
    </w:p>
  </w:footnote>
  <w:footnote w:id="60">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w:t>
      </w:r>
      <w:r w:rsidRPr="0060789F">
        <w:rPr>
          <w:rFonts w:hint="cs"/>
          <w:w w:val="103"/>
          <w:rtl/>
        </w:rPr>
        <w:t>ه</w:t>
      </w:r>
      <w:r w:rsidRPr="0060789F">
        <w:rPr>
          <w:w w:val="103"/>
          <w:rtl/>
        </w:rPr>
        <w:t>.</w:t>
      </w:r>
    </w:p>
  </w:footnote>
  <w:footnote w:id="61">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مقابلة مع فيلومينا بابو، رئيس</w:t>
      </w:r>
      <w:r w:rsidRPr="0060789F">
        <w:rPr>
          <w:rFonts w:hint="cs"/>
          <w:w w:val="103"/>
          <w:rtl/>
        </w:rPr>
        <w:t>ة</w:t>
      </w:r>
      <w:r w:rsidRPr="0060789F">
        <w:rPr>
          <w:w w:val="103"/>
          <w:rtl/>
        </w:rPr>
        <w:t xml:space="preserve"> قسم التدريب، في مكتب وزير الدولة لتعزيز المساواة، كانون الأول/ديسمبر</w:t>
      </w:r>
      <w:r w:rsidRPr="0060789F">
        <w:rPr>
          <w:rFonts w:hint="cs"/>
          <w:w w:val="103"/>
          <w:rtl/>
        </w:rPr>
        <w:t> </w:t>
      </w:r>
      <w:r w:rsidRPr="0060789F">
        <w:rPr>
          <w:w w:val="103"/>
          <w:rtl/>
        </w:rPr>
        <w:t>2012</w:t>
      </w:r>
      <w:r w:rsidRPr="0060789F">
        <w:rPr>
          <w:rFonts w:hint="cs"/>
          <w:w w:val="103"/>
          <w:rtl/>
        </w:rPr>
        <w:t>.</w:t>
      </w:r>
    </w:p>
  </w:footnote>
  <w:footnote w:id="62">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رد من وزارة التضامن الاجتماعي على استبيان اللجنة المعنية بالقضاء على التمييز ضد المرأة،</w:t>
      </w:r>
      <w:r w:rsidRPr="0060789F">
        <w:rPr>
          <w:rFonts w:hint="cs"/>
          <w:w w:val="103"/>
          <w:rtl/>
        </w:rPr>
        <w:t xml:space="preserve"> في</w:t>
      </w:r>
      <w:r w:rsidRPr="0060789F">
        <w:rPr>
          <w:w w:val="103"/>
          <w:rtl/>
        </w:rPr>
        <w:t xml:space="preserve"> تشرين الثاني/نوفمبر 2012</w:t>
      </w:r>
      <w:r w:rsidRPr="0060789F">
        <w:rPr>
          <w:rFonts w:hint="cs"/>
          <w:w w:val="103"/>
          <w:rtl/>
        </w:rPr>
        <w:t>.</w:t>
      </w:r>
    </w:p>
  </w:footnote>
  <w:footnote w:id="63">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رد من وزارة التضامن الاجتماعي على استبيان اللجنة المعنية بالقضاء على التمييز ضد المرأة، في تشرين الثاني/نوفمبر 2012</w:t>
      </w:r>
      <w:r w:rsidRPr="0060789F">
        <w:rPr>
          <w:rFonts w:hint="cs"/>
          <w:w w:val="103"/>
          <w:rtl/>
        </w:rPr>
        <w:t>.</w:t>
      </w:r>
    </w:p>
  </w:footnote>
  <w:footnote w:id="64">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w:t>
      </w:r>
      <w:r w:rsidRPr="0060789F">
        <w:rPr>
          <w:rFonts w:hint="cs"/>
          <w:w w:val="103"/>
          <w:rtl/>
        </w:rPr>
        <w:t>ه</w:t>
      </w:r>
      <w:r w:rsidRPr="0060789F">
        <w:rPr>
          <w:w w:val="103"/>
          <w:rtl/>
        </w:rPr>
        <w:t>.</w:t>
      </w:r>
    </w:p>
  </w:footnote>
  <w:footnote w:id="65">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وحدة الأشخاص الضعفاء: تقييم مستقل لدورها وأدائها، منظمة الأمم المتحدة للطفولة (اليونيسيف)، آذار/مارس 2008، الصفحة 3.</w:t>
      </w:r>
    </w:p>
  </w:footnote>
  <w:footnote w:id="66">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انظر </w:t>
      </w:r>
      <w:r w:rsidRPr="0060789F">
        <w:rPr>
          <w:rFonts w:hint="eastAsia"/>
          <w:w w:val="103"/>
          <w:rtl/>
        </w:rPr>
        <w:t>”</w:t>
      </w:r>
      <w:r w:rsidRPr="0060789F">
        <w:rPr>
          <w:w w:val="103"/>
          <w:rtl/>
        </w:rPr>
        <w:t xml:space="preserve">تعزيز نظام العدالة في تيمور </w:t>
      </w:r>
      <w:r w:rsidRPr="0060789F">
        <w:rPr>
          <w:rFonts w:hint="cs"/>
          <w:w w:val="103"/>
          <w:rtl/>
        </w:rPr>
        <w:t xml:space="preserve">- </w:t>
      </w:r>
      <w:r w:rsidRPr="0060789F">
        <w:rPr>
          <w:w w:val="103"/>
          <w:rtl/>
        </w:rPr>
        <w:t>ليشتي</w:t>
      </w:r>
      <w:r w:rsidRPr="0060789F">
        <w:rPr>
          <w:rFonts w:hint="cs"/>
          <w:w w:val="103"/>
          <w:rtl/>
        </w:rPr>
        <w:t xml:space="preserve">“ </w:t>
      </w:r>
      <w:r w:rsidRPr="0060789F">
        <w:rPr>
          <w:w w:val="103"/>
          <w:rtl/>
        </w:rPr>
        <w:t>- التقرير السنوي لبرنامج الأمم المتحدة الإنمائي بشأن تيمور</w:t>
      </w:r>
      <w:r w:rsidRPr="0060789F">
        <w:rPr>
          <w:rFonts w:hint="eastAsia"/>
          <w:w w:val="103"/>
          <w:rtl/>
        </w:rPr>
        <w:t> </w:t>
      </w:r>
      <w:r w:rsidRPr="0060789F">
        <w:rPr>
          <w:w w:val="103"/>
          <w:rtl/>
        </w:rPr>
        <w:t>- ليشتي لعام 2012، كانون الثاني/يناير 2013، ديلي</w:t>
      </w:r>
      <w:r w:rsidRPr="0060789F">
        <w:rPr>
          <w:rFonts w:hint="cs"/>
          <w:w w:val="103"/>
          <w:rtl/>
        </w:rPr>
        <w:t>.</w:t>
      </w:r>
    </w:p>
  </w:footnote>
  <w:footnote w:id="67">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خطة العمل الوطنية بشأن العنف القائم نوع على الجنس، مكتب وزير الدولة لتعزيز المساواة بين الجنسين، ديلي، عام 2012، الصفحة 18</w:t>
      </w:r>
      <w:r w:rsidRPr="0060789F">
        <w:rPr>
          <w:rFonts w:hint="cs"/>
          <w:w w:val="103"/>
          <w:rtl/>
        </w:rPr>
        <w:t>.</w:t>
      </w:r>
    </w:p>
  </w:footnote>
  <w:footnote w:id="68">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‘Strengthening the Justice System in Timor-Leste’, Justice System Programme – UNDP Timor-leste, Dili, 2011</w:t>
      </w:r>
      <w:r w:rsidRPr="0060789F">
        <w:rPr>
          <w:rFonts w:hint="cs"/>
          <w:w w:val="103"/>
          <w:rtl/>
        </w:rPr>
        <w:t>.</w:t>
      </w:r>
    </w:p>
  </w:footnote>
  <w:footnote w:id="69">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انظر </w:t>
      </w:r>
      <w:r w:rsidRPr="0060789F">
        <w:rPr>
          <w:rFonts w:hint="cs"/>
          <w:w w:val="103"/>
          <w:rtl/>
        </w:rPr>
        <w:t>”</w:t>
      </w:r>
      <w:r w:rsidRPr="0060789F">
        <w:rPr>
          <w:w w:val="103"/>
          <w:rtl/>
        </w:rPr>
        <w:t xml:space="preserve">تعزيز نظام العدالة في تيمور </w:t>
      </w:r>
      <w:r w:rsidRPr="0060789F">
        <w:rPr>
          <w:rFonts w:hint="cs"/>
          <w:w w:val="103"/>
          <w:rtl/>
        </w:rPr>
        <w:t xml:space="preserve">- </w:t>
      </w:r>
      <w:r w:rsidRPr="0060789F">
        <w:rPr>
          <w:w w:val="103"/>
          <w:rtl/>
        </w:rPr>
        <w:t>ليشتي</w:t>
      </w:r>
      <w:r w:rsidRPr="0060789F">
        <w:rPr>
          <w:rFonts w:hint="cs"/>
          <w:w w:val="103"/>
          <w:rtl/>
        </w:rPr>
        <w:t xml:space="preserve">“ </w:t>
      </w:r>
      <w:r w:rsidRPr="0060789F">
        <w:rPr>
          <w:w w:val="103"/>
          <w:rtl/>
        </w:rPr>
        <w:t>- التقرير السنوي لبرنامج الأمم المتحدة الإنمائي بشأن تيمور</w:t>
      </w:r>
      <w:r w:rsidRPr="0060789F">
        <w:rPr>
          <w:rFonts w:hint="eastAsia"/>
          <w:w w:val="103"/>
          <w:rtl/>
        </w:rPr>
        <w:t> </w:t>
      </w:r>
      <w:r w:rsidRPr="0060789F">
        <w:rPr>
          <w:w w:val="103"/>
          <w:rtl/>
        </w:rPr>
        <w:t>- ليشتي لعام 2012، كانون الثاني/يناير 2013، ديلي</w:t>
      </w:r>
      <w:r w:rsidRPr="0060789F">
        <w:rPr>
          <w:rFonts w:hint="cs"/>
          <w:w w:val="103"/>
          <w:rtl/>
        </w:rPr>
        <w:t>.</w:t>
      </w:r>
    </w:p>
  </w:footnote>
  <w:footnote w:id="70">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w:t>
      </w:r>
      <w:r w:rsidRPr="0060789F">
        <w:rPr>
          <w:rFonts w:hint="cs"/>
          <w:w w:val="103"/>
          <w:rtl/>
        </w:rPr>
        <w:t xml:space="preserve"> نفسه.</w:t>
      </w:r>
    </w:p>
  </w:footnote>
  <w:footnote w:id="71">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 xml:space="preserve">“UNDP Justice System Programme Supports Legal Outreach Session – Covalima”, web - </w:t>
      </w:r>
      <w:hyperlink r:id="rId2" w:history="1">
        <w:r w:rsidRPr="0060789F">
          <w:rPr>
            <w:rStyle w:val="Hyperlink"/>
            <w:w w:val="103"/>
          </w:rPr>
          <w:t>http://www.tl.undp.org/content/timor_leste/en/home/presscenter/articles/2013/05/03/undp-justice-system-programme-supports-legal-outreach-sessions-in-covalima/</w:t>
        </w:r>
      </w:hyperlink>
      <w:r w:rsidRPr="0060789F">
        <w:rPr>
          <w:w w:val="103"/>
        </w:rPr>
        <w:t>, 03 May 2013</w:t>
      </w:r>
      <w:r w:rsidRPr="0060789F">
        <w:rPr>
          <w:rFonts w:hint="cs"/>
          <w:w w:val="103"/>
          <w:rtl/>
        </w:rPr>
        <w:t>.</w:t>
      </w:r>
    </w:p>
  </w:footnote>
  <w:footnote w:id="72">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معلومات عام 2011 السنوية المقدمة من المدعي العام، 2012، ديلي، تيمور </w:t>
      </w:r>
      <w:r w:rsidRPr="0060789F">
        <w:rPr>
          <w:rFonts w:hint="cs"/>
          <w:w w:val="103"/>
          <w:rtl/>
        </w:rPr>
        <w:t xml:space="preserve">- </w:t>
      </w:r>
      <w:r w:rsidRPr="0060789F">
        <w:rPr>
          <w:w w:val="103"/>
          <w:rtl/>
        </w:rPr>
        <w:t>ليشتي</w:t>
      </w:r>
      <w:r w:rsidRPr="0060789F">
        <w:rPr>
          <w:rFonts w:hint="cs"/>
          <w:w w:val="103"/>
          <w:rtl/>
        </w:rPr>
        <w:t>.</w:t>
      </w:r>
    </w:p>
  </w:footnote>
  <w:footnote w:id="73">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Draft Gender Justice Policy ‘A national policy to reduce violence against women and children’, MoJ, Dili, 2010</w:t>
      </w:r>
      <w:r w:rsidRPr="0060789F">
        <w:rPr>
          <w:rFonts w:hint="cs"/>
          <w:w w:val="103"/>
          <w:rtl/>
        </w:rPr>
        <w:t>.</w:t>
      </w:r>
    </w:p>
  </w:footnote>
  <w:footnote w:id="74">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إحصاءات الشرطة الوطنية - وحدة الأشخاص المستضعفين، ديلي 2013</w:t>
      </w:r>
      <w:r w:rsidRPr="0060789F">
        <w:rPr>
          <w:rFonts w:hint="cs"/>
          <w:w w:val="103"/>
          <w:rtl/>
        </w:rPr>
        <w:t>.</w:t>
      </w:r>
    </w:p>
  </w:footnote>
  <w:footnote w:id="75">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رد من إدارة التدريب بوزارة الدولة لتعزيز المساواة على استبيان اللجنة المعنية بالقضاء على التمييز ضد المرأة، أيلول/سبتمبر 2012.</w:t>
      </w:r>
    </w:p>
  </w:footnote>
  <w:footnote w:id="76">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تقرير وزير الدولة لتعزيز المساواة عن 5 سنوات للفترة 2007-2012، ص. 101</w:t>
      </w:r>
      <w:r w:rsidRPr="0060789F">
        <w:rPr>
          <w:rFonts w:hint="cs"/>
          <w:w w:val="103"/>
          <w:rtl/>
        </w:rPr>
        <w:t>.</w:t>
      </w:r>
    </w:p>
  </w:footnote>
  <w:footnote w:id="77">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الاستقصاء الديمغرافي والصحي لتيمور</w:t>
      </w:r>
      <w:r w:rsidRPr="0060789F">
        <w:rPr>
          <w:rFonts w:hint="cs"/>
          <w:w w:val="103"/>
          <w:rtl/>
        </w:rPr>
        <w:t xml:space="preserve"> </w:t>
      </w:r>
      <w:r w:rsidRPr="0060789F">
        <w:rPr>
          <w:w w:val="103"/>
          <w:rtl/>
        </w:rPr>
        <w:t>-</w:t>
      </w:r>
      <w:r w:rsidRPr="0060789F">
        <w:rPr>
          <w:rFonts w:hint="cs"/>
          <w:w w:val="103"/>
          <w:rtl/>
        </w:rPr>
        <w:t xml:space="preserve"> </w:t>
      </w:r>
      <w:r w:rsidRPr="0060789F">
        <w:rPr>
          <w:w w:val="103"/>
          <w:rtl/>
        </w:rPr>
        <w:t xml:space="preserve">ليشتي للفترة 2009-2010، </w:t>
      </w:r>
      <w:r w:rsidRPr="0060789F">
        <w:rPr>
          <w:rFonts w:hint="cs"/>
          <w:w w:val="103"/>
          <w:rtl/>
        </w:rPr>
        <w:t xml:space="preserve">الصفحة </w:t>
      </w:r>
      <w:r w:rsidRPr="0060789F">
        <w:rPr>
          <w:w w:val="103"/>
          <w:rtl/>
        </w:rPr>
        <w:t>229، العنف العائلي.</w:t>
      </w:r>
    </w:p>
  </w:footnote>
  <w:footnote w:id="78">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المرجع نفسه، </w:t>
      </w:r>
      <w:r w:rsidRPr="0060789F">
        <w:rPr>
          <w:rFonts w:hint="cs"/>
          <w:w w:val="103"/>
          <w:rtl/>
        </w:rPr>
        <w:t>الصفحة</w:t>
      </w:r>
      <w:r w:rsidRPr="0060789F">
        <w:rPr>
          <w:w w:val="103"/>
          <w:rtl/>
        </w:rPr>
        <w:t>245</w:t>
      </w:r>
      <w:r w:rsidRPr="0060789F">
        <w:rPr>
          <w:rFonts w:hint="cs"/>
          <w:w w:val="103"/>
          <w:rtl/>
        </w:rPr>
        <w:t>.</w:t>
      </w:r>
    </w:p>
  </w:footnote>
  <w:footnote w:id="79">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p>
  </w:footnote>
  <w:footnote w:id="80">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المرجع نفسه، </w:t>
      </w:r>
      <w:r w:rsidRPr="0060789F">
        <w:rPr>
          <w:rFonts w:hint="cs"/>
          <w:w w:val="103"/>
          <w:rtl/>
        </w:rPr>
        <w:t>الصفحة</w:t>
      </w:r>
      <w:r w:rsidRPr="0060789F">
        <w:rPr>
          <w:w w:val="103"/>
          <w:rtl/>
        </w:rPr>
        <w:t xml:space="preserve"> 246</w:t>
      </w:r>
      <w:r w:rsidRPr="0060789F">
        <w:rPr>
          <w:rFonts w:hint="cs"/>
          <w:w w:val="103"/>
          <w:rtl/>
        </w:rPr>
        <w:t>.</w:t>
      </w:r>
    </w:p>
  </w:footnote>
  <w:footnote w:id="81">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المرجع نفسه، </w:t>
      </w:r>
      <w:r w:rsidRPr="0060789F">
        <w:rPr>
          <w:rFonts w:hint="cs"/>
          <w:w w:val="103"/>
          <w:rtl/>
        </w:rPr>
        <w:t xml:space="preserve">الصفحة </w:t>
      </w:r>
      <w:r w:rsidRPr="0060789F">
        <w:rPr>
          <w:w w:val="103"/>
          <w:rtl/>
        </w:rPr>
        <w:t>213-215</w:t>
      </w:r>
      <w:r w:rsidRPr="0060789F">
        <w:rPr>
          <w:rFonts w:hint="cs"/>
          <w:w w:val="103"/>
          <w:rtl/>
        </w:rPr>
        <w:t>.</w:t>
      </w:r>
    </w:p>
  </w:footnote>
  <w:footnote w:id="82">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يرجى الاطلاع على المادة 5 </w:t>
      </w:r>
      <w:r w:rsidRPr="0060789F">
        <w:rPr>
          <w:rFonts w:hint="cs"/>
          <w:w w:val="103"/>
          <w:rtl/>
        </w:rPr>
        <w:t>’</w:t>
      </w:r>
      <w:r w:rsidRPr="0060789F">
        <w:rPr>
          <w:w w:val="103"/>
          <w:rtl/>
        </w:rPr>
        <w:t>قولبة أدوار الجنسين والتحيز</w:t>
      </w:r>
      <w:r w:rsidRPr="0060789F">
        <w:rPr>
          <w:rFonts w:hint="cs"/>
          <w:w w:val="103"/>
          <w:rtl/>
        </w:rPr>
        <w:t>‘</w:t>
      </w:r>
      <w:r w:rsidRPr="0060789F">
        <w:rPr>
          <w:w w:val="103"/>
          <w:rtl/>
        </w:rPr>
        <w:t xml:space="preserve"> من هذا التقرير</w:t>
      </w:r>
      <w:r w:rsidRPr="0060789F">
        <w:rPr>
          <w:rFonts w:hint="cs"/>
          <w:w w:val="103"/>
          <w:rtl/>
        </w:rPr>
        <w:t>.</w:t>
      </w:r>
    </w:p>
  </w:footnote>
  <w:footnote w:id="83">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Married-in and Married-out Cultures in TL, Nasrin Khan and Selma Hyati, Fokupers Dili, Apr 2012, pg 35 ; Helpdesk Research Report on VAWG in TL, Huma Haider, AusAID, TL, 05.09.2012, pg 3; 58 ; DHS 2009-10, pg 10</w:t>
      </w:r>
      <w:r w:rsidRPr="0060789F">
        <w:rPr>
          <w:rFonts w:hint="cs"/>
          <w:w w:val="103"/>
          <w:rtl/>
        </w:rPr>
        <w:t>.</w:t>
      </w:r>
    </w:p>
  </w:footnote>
  <w:footnote w:id="84">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w:t>
      </w:r>
      <w:r w:rsidRPr="0060789F">
        <w:rPr>
          <w:w w:val="103"/>
          <w:rtl/>
        </w:rPr>
        <w:t>الخ</w:t>
      </w:r>
      <w:r w:rsidRPr="0060789F">
        <w:rPr>
          <w:rFonts w:hint="cs"/>
          <w:w w:val="103"/>
          <w:rtl/>
        </w:rPr>
        <w:t>ط</w:t>
      </w:r>
      <w:r w:rsidRPr="0060789F">
        <w:rPr>
          <w:w w:val="103"/>
          <w:rtl/>
        </w:rPr>
        <w:t>ة الاستراتيجية لقطاع العدل لتيمور-ليشتي</w:t>
      </w:r>
      <w:r w:rsidRPr="0060789F">
        <w:rPr>
          <w:rFonts w:hint="cs"/>
          <w:w w:val="103"/>
          <w:rtl/>
        </w:rPr>
        <w:t>‘</w:t>
      </w:r>
      <w:r w:rsidRPr="0060789F">
        <w:rPr>
          <w:w w:val="103"/>
          <w:rtl/>
        </w:rPr>
        <w:t>، التي وافق عليها مجلس التنسيق للعدالة، ديلي، 12</w:t>
      </w:r>
      <w:r w:rsidRPr="0060789F">
        <w:rPr>
          <w:rFonts w:hint="cs"/>
          <w:w w:val="103"/>
          <w:rtl/>
        </w:rPr>
        <w:t> </w:t>
      </w:r>
      <w:r w:rsidRPr="0060789F">
        <w:rPr>
          <w:w w:val="103"/>
          <w:rtl/>
        </w:rPr>
        <w:t xml:space="preserve">شباط/فبراير 2010، </w:t>
      </w:r>
      <w:r w:rsidRPr="0060789F">
        <w:rPr>
          <w:rFonts w:hint="cs"/>
          <w:w w:val="103"/>
          <w:rtl/>
        </w:rPr>
        <w:t>الصفحة</w:t>
      </w:r>
      <w:r w:rsidRPr="0060789F">
        <w:rPr>
          <w:w w:val="103"/>
          <w:rtl/>
        </w:rPr>
        <w:t xml:space="preserve"> 71</w:t>
      </w:r>
      <w:r w:rsidRPr="0060789F">
        <w:rPr>
          <w:rFonts w:hint="cs"/>
          <w:w w:val="103"/>
          <w:rtl/>
        </w:rPr>
        <w:t>.</w:t>
      </w:r>
    </w:p>
  </w:footnote>
  <w:footnote w:id="85">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مساهمات وزارة العدل عقب حلقة العمل التشاورية بشأن هذا التقرير، نيلينهو فيتال - المدير الوطني للمشورة القانونية والتشريع، نيسان/أبريل 2013</w:t>
      </w:r>
      <w:r w:rsidRPr="0060789F">
        <w:rPr>
          <w:rFonts w:hint="cs"/>
          <w:w w:val="103"/>
          <w:rtl/>
        </w:rPr>
        <w:t>.</w:t>
      </w:r>
    </w:p>
  </w:footnote>
  <w:footnote w:id="86">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كتاب موافقة بين هيئة الأمم المتحدة للمرأة ووزير الدولة لتعزيز المساواة بشأن تنفيذ برنامج </w:t>
      </w:r>
      <w:r w:rsidRPr="0060789F">
        <w:rPr>
          <w:rFonts w:hint="cs"/>
          <w:w w:val="103"/>
          <w:rtl/>
        </w:rPr>
        <w:t>”</w:t>
      </w:r>
      <w:r w:rsidRPr="0060789F">
        <w:rPr>
          <w:w w:val="103"/>
          <w:rtl/>
        </w:rPr>
        <w:t>من</w:t>
      </w:r>
      <w:r w:rsidRPr="0060789F">
        <w:rPr>
          <w:rFonts w:hint="cs"/>
          <w:w w:val="103"/>
          <w:rtl/>
        </w:rPr>
        <w:t> </w:t>
      </w:r>
      <w:r w:rsidRPr="0060789F">
        <w:rPr>
          <w:w w:val="103"/>
          <w:rtl/>
        </w:rPr>
        <w:t>المجتمعات المحلية إلى المؤسسات الأمنية العالمية: إشراك المرأة في بناء السلام والأمن</w:t>
      </w:r>
      <w:r w:rsidRPr="0060789F">
        <w:rPr>
          <w:rFonts w:hint="cs"/>
          <w:w w:val="103"/>
          <w:rtl/>
        </w:rPr>
        <w:t>“</w:t>
      </w:r>
      <w:r w:rsidRPr="0060789F">
        <w:rPr>
          <w:w w:val="103"/>
          <w:rtl/>
        </w:rPr>
        <w:t>، ديلي، آذار/مارس 2012</w:t>
      </w:r>
      <w:r w:rsidRPr="0060789F">
        <w:rPr>
          <w:rFonts w:hint="cs"/>
          <w:w w:val="103"/>
          <w:rtl/>
        </w:rPr>
        <w:t>.</w:t>
      </w:r>
    </w:p>
  </w:footnote>
  <w:footnote w:id="87">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w:t>
      </w:r>
      <w:r w:rsidRPr="0060789F">
        <w:rPr>
          <w:w w:val="103"/>
        </w:rPr>
        <w:t>Ending the 2006 Internal Displacement Crisis in Timor-Leste: Between Humanitarian Aid and Transitional Justice’, Peter Van der Auweraert, International Organization for Migration (IOM), 2012</w:t>
      </w:r>
      <w:r w:rsidRPr="0060789F">
        <w:rPr>
          <w:rFonts w:hint="cs"/>
          <w:w w:val="103"/>
          <w:rtl/>
        </w:rPr>
        <w:t>.</w:t>
      </w:r>
    </w:p>
  </w:footnote>
  <w:footnote w:id="88">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p>
  </w:footnote>
  <w:footnote w:id="89">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p>
  </w:footnote>
  <w:footnote w:id="90">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Humanitarian update - Timor-Leste, OCHA/UNMIT, Dili, 2008</w:t>
      </w:r>
      <w:r w:rsidRPr="0060789F">
        <w:rPr>
          <w:rFonts w:hint="cs"/>
          <w:w w:val="103"/>
          <w:rtl/>
        </w:rPr>
        <w:t>.</w:t>
      </w:r>
    </w:p>
  </w:footnote>
  <w:footnote w:id="91">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قرار مجلس الأمن 1325 (2000)، الصفحة 2، 31 تشرين الأول/أكتوبر 2000.</w:t>
      </w:r>
    </w:p>
  </w:footnote>
  <w:footnote w:id="92">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قرار الحكومة رقم 24/2009 المؤرخ 18</w:t>
      </w:r>
      <w:r w:rsidRPr="0060789F">
        <w:rPr>
          <w:rFonts w:hint="cs"/>
          <w:w w:val="103"/>
          <w:rtl/>
        </w:rPr>
        <w:t xml:space="preserve"> </w:t>
      </w:r>
      <w:r w:rsidRPr="0060789F">
        <w:rPr>
          <w:w w:val="103"/>
          <w:rtl/>
        </w:rPr>
        <w:t>تشرين الثاني/نوفمبر بشأن الموافقة على السياسة الوطنية حول الثقافة، ديلي، 2009</w:t>
      </w:r>
      <w:r w:rsidRPr="0060789F">
        <w:rPr>
          <w:rFonts w:hint="cs"/>
          <w:w w:val="103"/>
          <w:rtl/>
        </w:rPr>
        <w:t>.</w:t>
      </w:r>
    </w:p>
  </w:footnote>
  <w:footnote w:id="93">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المرجع نفسه، </w:t>
      </w:r>
      <w:r w:rsidRPr="0060789F">
        <w:rPr>
          <w:rFonts w:hint="cs"/>
          <w:w w:val="103"/>
          <w:rtl/>
        </w:rPr>
        <w:t>الصفحة</w:t>
      </w:r>
      <w:r w:rsidRPr="0060789F">
        <w:rPr>
          <w:w w:val="103"/>
          <w:rtl/>
        </w:rPr>
        <w:t xml:space="preserve"> 209</w:t>
      </w:r>
      <w:r w:rsidRPr="0060789F">
        <w:rPr>
          <w:rFonts w:hint="cs"/>
          <w:w w:val="103"/>
          <w:rtl/>
        </w:rPr>
        <w:t>.</w:t>
      </w:r>
    </w:p>
  </w:footnote>
  <w:footnote w:id="94">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 ص. 210</w:t>
      </w:r>
      <w:r w:rsidRPr="0060789F">
        <w:rPr>
          <w:rFonts w:hint="cs"/>
          <w:w w:val="103"/>
          <w:rtl/>
        </w:rPr>
        <w:t>.</w:t>
      </w:r>
    </w:p>
  </w:footnote>
  <w:footnote w:id="95">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 الصفحة 236</w:t>
      </w:r>
      <w:r w:rsidRPr="0060789F">
        <w:rPr>
          <w:rFonts w:hint="cs"/>
          <w:w w:val="103"/>
          <w:rtl/>
        </w:rPr>
        <w:t>.</w:t>
      </w:r>
    </w:p>
  </w:footnote>
  <w:footnote w:id="96">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p>
  </w:footnote>
  <w:footnote w:id="97">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Married-in and Married-out Cultures in TL, Nasrin Khan and Selma Hyati, Fokupers Dili, Apr 2012, pg 35; Helpdesk Research Report on VAWG in TL, Huma Haider, AusAID, TL, 05.09.2012, pg 3; DHS 2009-10, pg 247</w:t>
      </w:r>
      <w:r w:rsidRPr="0060789F">
        <w:rPr>
          <w:w w:val="103"/>
          <w:rtl/>
        </w:rPr>
        <w:t>.</w:t>
      </w:r>
    </w:p>
  </w:footnote>
  <w:footnote w:id="98">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أبدى أحد مسؤول</w:t>
      </w:r>
      <w:r w:rsidRPr="0060789F">
        <w:rPr>
          <w:rFonts w:hint="cs"/>
          <w:w w:val="103"/>
          <w:rtl/>
        </w:rPr>
        <w:t>ي</w:t>
      </w:r>
      <w:r w:rsidRPr="0060789F">
        <w:rPr>
          <w:w w:val="103"/>
          <w:rtl/>
        </w:rPr>
        <w:t xml:space="preserve"> السلطات المحلية، الذي لا يمكنني ذكر اسمه، تصورا سلبيا إزاء العنف العائلي على الفور. وقال إنه </w:t>
      </w:r>
      <w:r w:rsidRPr="0060789F">
        <w:rPr>
          <w:rFonts w:hint="cs"/>
          <w:w w:val="103"/>
          <w:rtl/>
        </w:rPr>
        <w:t>”</w:t>
      </w:r>
      <w:r w:rsidRPr="0060789F">
        <w:rPr>
          <w:w w:val="103"/>
          <w:rtl/>
        </w:rPr>
        <w:t>ليس له الحق في الإبلاغ عن حالات العنف العائلي حتى وإن نص قانون مكافحة العنف العائلي على ذلك</w:t>
      </w:r>
      <w:r w:rsidRPr="0060789F">
        <w:rPr>
          <w:rFonts w:hint="cs"/>
          <w:w w:val="103"/>
          <w:rtl/>
        </w:rPr>
        <w:t>“</w:t>
      </w:r>
      <w:r w:rsidRPr="0060789F">
        <w:rPr>
          <w:w w:val="103"/>
          <w:rtl/>
        </w:rPr>
        <w:t xml:space="preserve">. كما أبدى أحد مديري المدارس الثانوية رأيه وهو </w:t>
      </w:r>
      <w:r w:rsidRPr="0060789F">
        <w:rPr>
          <w:rFonts w:hint="cs"/>
          <w:w w:val="103"/>
          <w:rtl/>
        </w:rPr>
        <w:t>”</w:t>
      </w:r>
      <w:r w:rsidRPr="0060789F">
        <w:rPr>
          <w:w w:val="103"/>
          <w:rtl/>
        </w:rPr>
        <w:t xml:space="preserve">أن العنف العائلي ليس مسألة هامة بالنسبة للحكومة أو لأي شخص آخر للتدخل فيها. فهو مسألة داخلية، مثلما هو الحال بالنسبة </w:t>
      </w:r>
      <w:r w:rsidRPr="0060789F">
        <w:rPr>
          <w:i/>
          <w:iCs/>
          <w:w w:val="103"/>
          <w:rtl/>
        </w:rPr>
        <w:t>لطبق وملعقة يحدثان ضوضاء</w:t>
      </w:r>
      <w:r w:rsidRPr="0060789F">
        <w:rPr>
          <w:rFonts w:hint="cs"/>
          <w:w w:val="103"/>
          <w:rtl/>
        </w:rPr>
        <w:t>“،</w:t>
      </w:r>
      <w:r w:rsidRPr="0060789F">
        <w:rPr>
          <w:w w:val="103"/>
          <w:rtl/>
        </w:rPr>
        <w:t xml:space="preserve"> السيدة إيديلتا رودريغيز - وزيرة الدولة لتعزيز المساواة، حفل افتتاح معرض </w:t>
      </w:r>
      <w:r w:rsidRPr="0060789F">
        <w:rPr>
          <w:w w:val="103"/>
        </w:rPr>
        <w:t>PhotoVoice</w:t>
      </w:r>
      <w:r w:rsidRPr="0060789F">
        <w:rPr>
          <w:w w:val="103"/>
          <w:rtl/>
        </w:rPr>
        <w:t xml:space="preserve"> المعنون </w:t>
      </w:r>
      <w:r w:rsidRPr="0060789F">
        <w:rPr>
          <w:rFonts w:hint="cs"/>
          <w:w w:val="103"/>
          <w:rtl/>
        </w:rPr>
        <w:t>’</w:t>
      </w:r>
      <w:r w:rsidRPr="0060789F">
        <w:rPr>
          <w:w w:val="103"/>
          <w:rtl/>
        </w:rPr>
        <w:t>أصوات من المجتمع المحلي</w:t>
      </w:r>
      <w:r w:rsidRPr="0060789F">
        <w:rPr>
          <w:rFonts w:hint="cs"/>
          <w:w w:val="103"/>
          <w:rtl/>
        </w:rPr>
        <w:t>‘</w:t>
      </w:r>
      <w:r w:rsidRPr="0060789F">
        <w:rPr>
          <w:w w:val="103"/>
          <w:rtl/>
        </w:rPr>
        <w:t>، ديلي، 25 كانون الثاني/يناير 2013</w:t>
      </w:r>
      <w:r w:rsidRPr="0060789F">
        <w:rPr>
          <w:rFonts w:hint="cs"/>
          <w:w w:val="103"/>
          <w:rtl/>
        </w:rPr>
        <w:t>.</w:t>
      </w:r>
    </w:p>
  </w:footnote>
  <w:footnote w:id="99">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sz w:val="18"/>
          <w:szCs w:val="18"/>
        </w:rPr>
        <w:t>‘</w:t>
      </w:r>
      <w:r w:rsidRPr="0060789F">
        <w:rPr>
          <w:w w:val="103"/>
        </w:rPr>
        <w:t>Are Girls and Boys Equally Represented in Education? - A Gender Assessment’, ME, Dili, 2009</w:t>
      </w:r>
      <w:r w:rsidRPr="0060789F">
        <w:rPr>
          <w:rFonts w:hint="cs"/>
          <w:w w:val="103"/>
          <w:rtl/>
        </w:rPr>
        <w:t>.</w:t>
      </w:r>
    </w:p>
  </w:footnote>
  <w:footnote w:id="100">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التقرير السنوي لوزارة الدولة لتعزيز المساواة 2009، الصفحة 26.</w:t>
      </w:r>
    </w:p>
  </w:footnote>
  <w:footnote w:id="101">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مقابلة مع نوغ كاكاسونغكانا، المستشار الإعلامي لوزارة الدولة لتعزيز المساواة. انظر أيضا التقرير السنوي لوزارة الدولة لتعزيز المساواة 2009، الصفحة 26.</w:t>
      </w:r>
    </w:p>
  </w:footnote>
  <w:footnote w:id="102">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دعوة من أجل التدريب على </w:t>
      </w:r>
      <w:r w:rsidRPr="0060789F">
        <w:rPr>
          <w:rFonts w:hint="cs"/>
          <w:w w:val="103"/>
          <w:rtl/>
        </w:rPr>
        <w:t>”</w:t>
      </w:r>
      <w:r w:rsidRPr="0060789F">
        <w:rPr>
          <w:w w:val="103"/>
          <w:rtl/>
        </w:rPr>
        <w:t>التفكير النقدي</w:t>
      </w:r>
      <w:r w:rsidRPr="0060789F">
        <w:rPr>
          <w:rFonts w:hint="cs"/>
          <w:w w:val="103"/>
          <w:rtl/>
        </w:rPr>
        <w:t>“</w:t>
      </w:r>
      <w:r w:rsidRPr="0060789F">
        <w:rPr>
          <w:w w:val="103"/>
          <w:rtl/>
        </w:rPr>
        <w:t>، وزارة المالية، ديلي، كانون الثاني/يناير 2013</w:t>
      </w:r>
      <w:r w:rsidRPr="0060789F">
        <w:rPr>
          <w:rFonts w:hint="cs"/>
          <w:w w:val="103"/>
          <w:rtl/>
        </w:rPr>
        <w:t>.</w:t>
      </w:r>
    </w:p>
  </w:footnote>
  <w:footnote w:id="103">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الاتجار بالبشر في تيمور </w:t>
      </w:r>
      <w:r w:rsidRPr="0060789F">
        <w:rPr>
          <w:rFonts w:hint="cs"/>
          <w:w w:val="103"/>
          <w:rtl/>
        </w:rPr>
        <w:t>-</w:t>
      </w:r>
      <w:r w:rsidRPr="0060789F">
        <w:rPr>
          <w:w w:val="103"/>
          <w:rtl/>
        </w:rPr>
        <w:t xml:space="preserve"> ليشتي، توصيفات لحالات أجريت بمساعدة المنظمة الدولية للهجرة، 2010</w:t>
      </w:r>
      <w:r w:rsidRPr="0060789F">
        <w:rPr>
          <w:rFonts w:hint="cs"/>
          <w:w w:val="103"/>
          <w:rtl/>
        </w:rPr>
        <w:t>.</w:t>
      </w:r>
    </w:p>
  </w:footnote>
  <w:footnote w:id="104">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قانون العقوبات [القانون رقم 19/2009]، 8 نيسان/أبريل 2009 - المادة 163: الاتجار بالبشر</w:t>
      </w:r>
      <w:r w:rsidRPr="0060789F">
        <w:rPr>
          <w:rFonts w:hint="cs"/>
          <w:w w:val="103"/>
          <w:rtl/>
        </w:rPr>
        <w:t>.</w:t>
      </w:r>
    </w:p>
  </w:footnote>
  <w:footnote w:id="105">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القانون رقم 2/2009 المؤرخ 6 أيار/مايو - حماية الشهود</w:t>
      </w:r>
      <w:r w:rsidRPr="0060789F">
        <w:rPr>
          <w:rFonts w:hint="cs"/>
          <w:w w:val="103"/>
          <w:rtl/>
        </w:rPr>
        <w:t>.</w:t>
      </w:r>
    </w:p>
  </w:footnote>
  <w:footnote w:id="106">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مكتب المدعي العام، </w:t>
      </w:r>
      <w:r w:rsidRPr="0060789F">
        <w:rPr>
          <w:rFonts w:hint="cs"/>
          <w:w w:val="103"/>
          <w:rtl/>
        </w:rPr>
        <w:t>”</w:t>
      </w:r>
      <w:r w:rsidRPr="0060789F">
        <w:rPr>
          <w:w w:val="103"/>
          <w:rtl/>
        </w:rPr>
        <w:t>معلومات سنوية</w:t>
      </w:r>
      <w:r w:rsidRPr="0060789F">
        <w:rPr>
          <w:rFonts w:hint="cs"/>
          <w:w w:val="103"/>
          <w:rtl/>
        </w:rPr>
        <w:t>“</w:t>
      </w:r>
      <w:r w:rsidRPr="0060789F">
        <w:rPr>
          <w:w w:val="103"/>
          <w:rtl/>
        </w:rPr>
        <w:t xml:space="preserve"> ديلي، كانون الثاني/يناير 2012</w:t>
      </w:r>
      <w:r w:rsidRPr="0060789F">
        <w:rPr>
          <w:rFonts w:hint="cs"/>
          <w:w w:val="103"/>
          <w:rtl/>
        </w:rPr>
        <w:t>.</w:t>
      </w:r>
    </w:p>
  </w:footnote>
  <w:footnote w:id="107">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الإسهامات التي قدمتها وزارة العدل في أعقاب حلقة عمل تشاورية من أجل إعداد هذا التقرير، نيلينهو</w:t>
      </w:r>
      <w:r w:rsidRPr="0060789F">
        <w:rPr>
          <w:rFonts w:hint="cs"/>
          <w:w w:val="103"/>
          <w:rtl/>
        </w:rPr>
        <w:t> </w:t>
      </w:r>
      <w:r w:rsidRPr="0060789F">
        <w:rPr>
          <w:w w:val="103"/>
          <w:rtl/>
        </w:rPr>
        <w:t>فيتال - المدير الوطني لإدارة المشورة القانونية والتشريعات، نيسان/أبريل 2013</w:t>
      </w:r>
      <w:r w:rsidRPr="0060789F">
        <w:rPr>
          <w:rFonts w:hint="cs"/>
          <w:w w:val="103"/>
          <w:rtl/>
        </w:rPr>
        <w:t>.</w:t>
      </w:r>
    </w:p>
  </w:footnote>
  <w:footnote w:id="108">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قرار البرلمان الوطني رقم 26/2009، المؤرخ 9 أيلول/سبتمبر 2009</w:t>
      </w:r>
      <w:r w:rsidRPr="0060789F">
        <w:rPr>
          <w:rFonts w:hint="cs"/>
          <w:w w:val="103"/>
          <w:rtl/>
        </w:rPr>
        <w:t>.</w:t>
      </w:r>
    </w:p>
  </w:footnote>
  <w:footnote w:id="109">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مقابلة مع جنيس فرنانديس من المنظمة الدولية للهجرة، 15 تشرين الثاني/نوفمبر 2012</w:t>
      </w:r>
      <w:r w:rsidRPr="0060789F">
        <w:rPr>
          <w:rFonts w:hint="cs"/>
          <w:w w:val="103"/>
          <w:rtl/>
        </w:rPr>
        <w:t>.</w:t>
      </w:r>
    </w:p>
  </w:footnote>
  <w:footnote w:id="110">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الإسهامات التي قدمتها وزارة العدل في أعقاب حلقة عمل تشاورية من أجل إعداد هذا التقرير، نيلينهو</w:t>
      </w:r>
      <w:r w:rsidRPr="0060789F">
        <w:rPr>
          <w:rFonts w:hint="cs"/>
          <w:w w:val="103"/>
          <w:rtl/>
        </w:rPr>
        <w:t> </w:t>
      </w:r>
      <w:r w:rsidRPr="0060789F">
        <w:rPr>
          <w:w w:val="103"/>
          <w:rtl/>
        </w:rPr>
        <w:t>فيتال - المدير الوطني لإدارة المشورة القانونية والتشريعات، نيسان/أبريل 2013</w:t>
      </w:r>
      <w:r w:rsidRPr="0060789F">
        <w:rPr>
          <w:rFonts w:hint="cs"/>
          <w:w w:val="103"/>
          <w:rtl/>
        </w:rPr>
        <w:t>.</w:t>
      </w:r>
    </w:p>
  </w:footnote>
  <w:footnote w:id="111">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مشروع القانون الخاص بمنع الاتجار بالأشخاص في تيمور</w:t>
      </w:r>
      <w:r w:rsidRPr="0060789F">
        <w:rPr>
          <w:rFonts w:hint="cs"/>
          <w:w w:val="103"/>
          <w:rtl/>
        </w:rPr>
        <w:t xml:space="preserve"> </w:t>
      </w:r>
      <w:r w:rsidRPr="0060789F">
        <w:rPr>
          <w:w w:val="103"/>
          <w:rtl/>
        </w:rPr>
        <w:t>-</w:t>
      </w:r>
      <w:r w:rsidRPr="0060789F">
        <w:rPr>
          <w:rFonts w:hint="cs"/>
          <w:w w:val="103"/>
          <w:rtl/>
        </w:rPr>
        <w:t xml:space="preserve"> </w:t>
      </w:r>
      <w:r w:rsidRPr="0060789F">
        <w:rPr>
          <w:w w:val="103"/>
          <w:rtl/>
        </w:rPr>
        <w:t>ليشتي وقمعه والمعاقبة عليه، وزارة الخارجية،</w:t>
      </w:r>
      <w:r w:rsidRPr="0060789F">
        <w:rPr>
          <w:rFonts w:hint="cs"/>
          <w:w w:val="103"/>
          <w:rtl/>
        </w:rPr>
        <w:t> </w:t>
      </w:r>
      <w:r w:rsidRPr="0060789F">
        <w:rPr>
          <w:w w:val="103"/>
          <w:rtl/>
        </w:rPr>
        <w:t>2011</w:t>
      </w:r>
      <w:r w:rsidRPr="0060789F">
        <w:rPr>
          <w:rFonts w:hint="cs"/>
          <w:w w:val="103"/>
          <w:rtl/>
        </w:rPr>
        <w:t>.</w:t>
      </w:r>
    </w:p>
  </w:footnote>
  <w:footnote w:id="112">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المنظمة الدولية للهجرة، تقرير عن المداهمات المتعلقة بمكافحة الاتجار بالبشر والتي شنتها الشرطة الوطنية لتيمور</w:t>
      </w:r>
      <w:r w:rsidRPr="0060789F">
        <w:rPr>
          <w:rFonts w:hint="cs"/>
          <w:w w:val="103"/>
          <w:rtl/>
        </w:rPr>
        <w:t xml:space="preserve"> </w:t>
      </w:r>
      <w:r w:rsidRPr="0060789F">
        <w:rPr>
          <w:w w:val="103"/>
          <w:rtl/>
        </w:rPr>
        <w:t>-</w:t>
      </w:r>
      <w:r w:rsidRPr="0060789F">
        <w:rPr>
          <w:rFonts w:hint="cs"/>
          <w:w w:val="103"/>
          <w:rtl/>
        </w:rPr>
        <w:t xml:space="preserve"> </w:t>
      </w:r>
      <w:r w:rsidRPr="0060789F">
        <w:rPr>
          <w:w w:val="103"/>
          <w:rtl/>
        </w:rPr>
        <w:t>ليشتي وشرطة الأمم المتحدة في عام 2009</w:t>
      </w:r>
      <w:r w:rsidRPr="0060789F">
        <w:rPr>
          <w:rFonts w:hint="cs"/>
          <w:w w:val="103"/>
          <w:rtl/>
        </w:rPr>
        <w:t>.</w:t>
      </w:r>
    </w:p>
  </w:footnote>
  <w:footnote w:id="113">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مقابلة مع السيدة إيفونيا غوتيريس، المدعية العامة، 19 تشرين الثاني/نوفمبر 2012</w:t>
      </w:r>
      <w:r w:rsidRPr="0060789F">
        <w:rPr>
          <w:rFonts w:hint="cs"/>
          <w:w w:val="103"/>
          <w:rtl/>
        </w:rPr>
        <w:t>.</w:t>
      </w:r>
    </w:p>
  </w:footnote>
  <w:footnote w:id="114">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مكتب المدعي العام، </w:t>
      </w:r>
      <w:r w:rsidRPr="0060789F">
        <w:rPr>
          <w:rFonts w:hint="cs"/>
          <w:w w:val="103"/>
          <w:rtl/>
        </w:rPr>
        <w:t>”</w:t>
      </w:r>
      <w:r w:rsidRPr="0060789F">
        <w:rPr>
          <w:w w:val="103"/>
          <w:rtl/>
        </w:rPr>
        <w:t>معلومات سنوية</w:t>
      </w:r>
      <w:r w:rsidRPr="0060789F">
        <w:rPr>
          <w:rFonts w:hint="cs"/>
          <w:w w:val="103"/>
          <w:rtl/>
        </w:rPr>
        <w:t>“</w:t>
      </w:r>
      <w:r w:rsidRPr="0060789F">
        <w:rPr>
          <w:w w:val="103"/>
          <w:rtl/>
        </w:rPr>
        <w:t xml:space="preserve"> ديلي، كانون الثاني/يناير 2012</w:t>
      </w:r>
      <w:r w:rsidRPr="0060789F">
        <w:rPr>
          <w:rFonts w:hint="cs"/>
          <w:w w:val="103"/>
          <w:rtl/>
        </w:rPr>
        <w:t>.</w:t>
      </w:r>
    </w:p>
  </w:footnote>
  <w:footnote w:id="115">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مقابلة مع جنيس فرنانديس من المنظمة الدولية للهجرة، 15 تشرين الثاني/نوفمبر 2012</w:t>
      </w:r>
      <w:r w:rsidRPr="0060789F">
        <w:rPr>
          <w:rFonts w:hint="cs"/>
          <w:w w:val="103"/>
          <w:rtl/>
        </w:rPr>
        <w:t>.</w:t>
      </w:r>
    </w:p>
  </w:footnote>
  <w:footnote w:id="116">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الاتجار بالبشر في تيمور </w:t>
      </w:r>
      <w:r w:rsidRPr="0060789F">
        <w:rPr>
          <w:rFonts w:hint="cs"/>
          <w:w w:val="103"/>
          <w:rtl/>
        </w:rPr>
        <w:t>-</w:t>
      </w:r>
      <w:r w:rsidRPr="0060789F">
        <w:rPr>
          <w:w w:val="103"/>
          <w:rtl/>
        </w:rPr>
        <w:t xml:space="preserve"> ليشتي، توصيفات لحالات أجريت بمساعدة المنظمة الدولية للهجرة، 2010</w:t>
      </w:r>
      <w:r w:rsidRPr="0060789F">
        <w:rPr>
          <w:rFonts w:hint="cs"/>
          <w:w w:val="103"/>
          <w:rtl/>
        </w:rPr>
        <w:t>.</w:t>
      </w:r>
    </w:p>
  </w:footnote>
  <w:footnote w:id="117">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حلقة عمل تشاورية - إسهامات مقدمة من مؤسسة ألولا، ديلي، آذار/مارس 2013</w:t>
      </w:r>
      <w:r w:rsidRPr="0060789F">
        <w:rPr>
          <w:rFonts w:hint="cs"/>
          <w:w w:val="103"/>
          <w:rtl/>
        </w:rPr>
        <w:t>.</w:t>
      </w:r>
    </w:p>
  </w:footnote>
  <w:footnote w:id="118">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p>
  </w:footnote>
  <w:footnote w:id="119">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رد وزارة التضامن الاجتماعي على استبيان اللجنة المعنية بالقضاء على التمييز ضد المرأة، عام 2012</w:t>
      </w:r>
      <w:r w:rsidRPr="0060789F">
        <w:rPr>
          <w:rFonts w:hint="cs"/>
          <w:w w:val="103"/>
          <w:rtl/>
        </w:rPr>
        <w:t>.</w:t>
      </w:r>
    </w:p>
  </w:footnote>
  <w:footnote w:id="120">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المعلومات المستكملة للمنظمة الدولية للهجرة بشأن الاتجار بالبشر، عام 2010</w:t>
      </w:r>
      <w:r w:rsidRPr="0060789F">
        <w:rPr>
          <w:rFonts w:hint="cs"/>
          <w:w w:val="103"/>
          <w:rtl/>
        </w:rPr>
        <w:t>.</w:t>
      </w:r>
    </w:p>
  </w:footnote>
  <w:footnote w:id="121">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2"/>
          <w:szCs w:val="18"/>
        </w:rPr>
        <w:t>“</w:t>
      </w:r>
      <w:r w:rsidRPr="0060789F">
        <w:rPr>
          <w:w w:val="102"/>
        </w:rPr>
        <w:t>Goodbye Conflict, Welcome Development” AMP Government Snapshot (2007-2012)-IV Constitutional Government-Dili, 2012</w:t>
      </w:r>
      <w:r w:rsidRPr="0060789F">
        <w:rPr>
          <w:rFonts w:hint="cs"/>
          <w:w w:val="103"/>
          <w:rtl/>
        </w:rPr>
        <w:t>.</w:t>
      </w:r>
    </w:p>
  </w:footnote>
  <w:footnote w:id="122">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szCs w:val="18"/>
        </w:rPr>
        <w:t>“</w:t>
      </w:r>
      <w:r w:rsidRPr="0060789F">
        <w:rPr>
          <w:w w:val="103"/>
        </w:rPr>
        <w:t>Enhancing women’s leadership and participation in the 2012 elections and beyond in Timor-Leste” – National Parliament/UNMIT/SEPI – Timor-Leste, Dili, April 2012</w:t>
      </w:r>
      <w:r w:rsidRPr="0060789F">
        <w:rPr>
          <w:rFonts w:hint="cs"/>
          <w:w w:val="103"/>
          <w:rtl/>
        </w:rPr>
        <w:t>.</w:t>
      </w:r>
    </w:p>
  </w:footnote>
  <w:footnote w:id="123">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القانون رقم 7/2011 المؤرخ 22 حزيران/يونيه، التعديل الثاني للقانون رقم 6/2006 المؤرخ 28 كانون الأول/ديسمبر بشأن قانون انتخابات البرلمان الوطني، يومية الجمهورية، ديلي، حزيران/يونيه 2012</w:t>
      </w:r>
      <w:r w:rsidRPr="0060789F">
        <w:rPr>
          <w:rFonts w:hint="cs"/>
          <w:w w:val="103"/>
          <w:rtl/>
        </w:rPr>
        <w:t>.</w:t>
      </w:r>
    </w:p>
  </w:footnote>
  <w:footnote w:id="124">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1"/>
        </w:rPr>
        <w:t>Estatuto do Grupo das Mulheres Parlamentares de Timor-Leste, Amendment from the March 12th, 2008 – Dili, 2008</w:t>
      </w:r>
      <w:r w:rsidRPr="0060789F">
        <w:rPr>
          <w:rFonts w:hint="cs"/>
          <w:w w:val="103"/>
          <w:rtl/>
        </w:rPr>
        <w:t>.</w:t>
      </w:r>
    </w:p>
  </w:footnote>
  <w:footnote w:id="125">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الانتخابات البرلمانية لعام 2012 في تيمور</w:t>
      </w:r>
      <w:r w:rsidRPr="0060789F">
        <w:rPr>
          <w:rFonts w:hint="cs"/>
          <w:w w:val="103"/>
          <w:rtl/>
        </w:rPr>
        <w:t xml:space="preserve"> </w:t>
      </w:r>
      <w:r w:rsidRPr="0060789F">
        <w:rPr>
          <w:w w:val="103"/>
          <w:rtl/>
        </w:rPr>
        <w:t>-</w:t>
      </w:r>
      <w:r w:rsidRPr="0060789F">
        <w:rPr>
          <w:rFonts w:hint="cs"/>
          <w:w w:val="103"/>
          <w:rtl/>
        </w:rPr>
        <w:t xml:space="preserve"> </w:t>
      </w:r>
      <w:r w:rsidRPr="0060789F">
        <w:rPr>
          <w:w w:val="103"/>
          <w:rtl/>
        </w:rPr>
        <w:t>ليشتي: تحليل من منظور المساواة بين الجنسين، البرنامج المتكامل للمرأة في السياسة وصنع القرار، هيئة الأمم المتحدة للمرأة، ديلي، تشرين الأول/أكتوبر 2012</w:t>
      </w:r>
      <w:r w:rsidRPr="0060789F">
        <w:rPr>
          <w:rFonts w:hint="cs"/>
          <w:w w:val="103"/>
          <w:rtl/>
        </w:rPr>
        <w:t>.</w:t>
      </w:r>
    </w:p>
  </w:footnote>
  <w:footnote w:id="126">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المنهاج السياسي للمنظمات النسائية من الأحزاب السياسية بشأن الانتخابات البرلمانية للفترة</w:t>
      </w:r>
      <w:r w:rsidRPr="0060789F">
        <w:rPr>
          <w:rFonts w:hint="cs"/>
          <w:w w:val="103"/>
          <w:rtl/>
        </w:rPr>
        <w:br/>
      </w:r>
      <w:r w:rsidRPr="0060789F">
        <w:rPr>
          <w:w w:val="103"/>
          <w:rtl/>
        </w:rPr>
        <w:t>2012-2017، ديلي</w:t>
      </w:r>
      <w:r w:rsidRPr="0060789F">
        <w:rPr>
          <w:rFonts w:hint="cs"/>
          <w:w w:val="103"/>
          <w:rtl/>
        </w:rPr>
        <w:t>.</w:t>
      </w:r>
    </w:p>
  </w:footnote>
  <w:footnote w:id="127">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التقرير الصادر عن مشروع </w:t>
      </w:r>
      <w:r w:rsidRPr="0060789F">
        <w:rPr>
          <w:rFonts w:hint="cs"/>
          <w:w w:val="103"/>
          <w:rtl/>
        </w:rPr>
        <w:t>”</w:t>
      </w:r>
      <w:r w:rsidRPr="0060789F">
        <w:rPr>
          <w:w w:val="103"/>
          <w:rtl/>
        </w:rPr>
        <w:t>تعزيز الدور القيادي للمرأة ومشاركتها في انتخابات عام 2012 وما بعدها في تيمور</w:t>
      </w:r>
      <w:r w:rsidRPr="0060789F">
        <w:rPr>
          <w:rFonts w:hint="cs"/>
          <w:w w:val="103"/>
          <w:rtl/>
        </w:rPr>
        <w:t xml:space="preserve"> - </w:t>
      </w:r>
      <w:r w:rsidRPr="0060789F">
        <w:rPr>
          <w:w w:val="103"/>
          <w:rtl/>
        </w:rPr>
        <w:t>ليشتي</w:t>
      </w:r>
      <w:r w:rsidRPr="0060789F">
        <w:rPr>
          <w:rFonts w:hint="cs"/>
          <w:w w:val="103"/>
          <w:rtl/>
        </w:rPr>
        <w:t>“</w:t>
      </w:r>
      <w:r w:rsidRPr="0060789F">
        <w:rPr>
          <w:w w:val="103"/>
          <w:rtl/>
        </w:rPr>
        <w:t>، نيسان/أبريل 2012، ديلي</w:t>
      </w:r>
      <w:r w:rsidRPr="0060789F">
        <w:rPr>
          <w:rFonts w:hint="cs"/>
          <w:w w:val="103"/>
          <w:rtl/>
        </w:rPr>
        <w:t>.</w:t>
      </w:r>
    </w:p>
  </w:footnote>
  <w:footnote w:id="128">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حسابات المجلس الانتخابي الوطني/وزارة الدولة لتعزيز المساواة لعام 2010</w:t>
      </w:r>
      <w:r w:rsidRPr="0060789F">
        <w:rPr>
          <w:rFonts w:hint="cs"/>
          <w:w w:val="103"/>
          <w:rtl/>
        </w:rPr>
        <w:t>.</w:t>
      </w:r>
    </w:p>
  </w:footnote>
  <w:footnote w:id="129">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قانون الانتخابات القروية 2/2004 المنقح بالقانون رقم 3/2009 بشأن القادة المجتمعيين وانتخابهم، حزيران/يونيه 2009</w:t>
      </w:r>
      <w:r w:rsidRPr="0060789F">
        <w:rPr>
          <w:rFonts w:hint="cs"/>
          <w:w w:val="103"/>
          <w:rtl/>
        </w:rPr>
        <w:t>.</w:t>
      </w:r>
    </w:p>
  </w:footnote>
  <w:footnote w:id="130">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الانتخابات المجتمعية لعام 2009 التي نظمتها </w:t>
      </w:r>
      <w:r w:rsidRPr="0060789F">
        <w:rPr>
          <w:w w:val="103"/>
        </w:rPr>
        <w:t>UNEST</w:t>
      </w:r>
      <w:r w:rsidRPr="0060789F">
        <w:rPr>
          <w:w w:val="103"/>
          <w:rtl/>
        </w:rPr>
        <w:t xml:space="preserve"> - كتيب مشاركة المرأة</w:t>
      </w:r>
      <w:r w:rsidRPr="0060789F">
        <w:rPr>
          <w:rFonts w:hint="cs"/>
          <w:w w:val="103"/>
          <w:rtl/>
        </w:rPr>
        <w:t>.</w:t>
      </w:r>
    </w:p>
  </w:footnote>
  <w:footnote w:id="131">
    <w:p w:rsidR="00846BF8" w:rsidRPr="0060789F" w:rsidRDefault="00846BF8" w:rsidP="009862F2">
      <w:pPr>
        <w:pStyle w:val="FootnoteText"/>
        <w:tabs>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مذكرة التفاهم بين وزارة الدولة لتعزيز المساواة ومنظمة السلام والتنمية، ديلي، شباط/فبراير 2011</w:t>
      </w:r>
      <w:r w:rsidRPr="0060789F">
        <w:rPr>
          <w:rFonts w:hint="cs"/>
          <w:w w:val="103"/>
          <w:rtl/>
        </w:rPr>
        <w:t>.</w:t>
      </w:r>
    </w:p>
  </w:footnote>
  <w:footnote w:id="132">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مقابلة مع جوليا سينسيني رئيسة منظمة السلام والتنمية في تيمور</w:t>
      </w:r>
      <w:r w:rsidRPr="0060789F">
        <w:rPr>
          <w:rFonts w:hint="cs"/>
          <w:w w:val="103"/>
          <w:rtl/>
        </w:rPr>
        <w:t xml:space="preserve"> </w:t>
      </w:r>
      <w:r w:rsidRPr="0060789F">
        <w:rPr>
          <w:w w:val="103"/>
          <w:rtl/>
        </w:rPr>
        <w:t>-</w:t>
      </w:r>
      <w:r w:rsidRPr="0060789F">
        <w:rPr>
          <w:rFonts w:hint="cs"/>
          <w:w w:val="103"/>
          <w:rtl/>
        </w:rPr>
        <w:t xml:space="preserve"> </w:t>
      </w:r>
      <w:r w:rsidRPr="0060789F">
        <w:rPr>
          <w:w w:val="103"/>
          <w:rtl/>
        </w:rPr>
        <w:t>ليشتي، كانون الأول/ديسمبر 2012</w:t>
      </w:r>
      <w:r w:rsidRPr="0060789F">
        <w:rPr>
          <w:rFonts w:hint="cs"/>
          <w:w w:val="103"/>
          <w:rtl/>
        </w:rPr>
        <w:t>.</w:t>
      </w:r>
    </w:p>
  </w:footnote>
  <w:footnote w:id="133">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المرسوم بقانون رقم 4/2012 بشأن </w:t>
      </w:r>
      <w:r w:rsidRPr="0060789F">
        <w:rPr>
          <w:rFonts w:hint="cs"/>
          <w:w w:val="103"/>
          <w:rtl/>
        </w:rPr>
        <w:t>’</w:t>
      </w:r>
      <w:r w:rsidRPr="0060789F">
        <w:rPr>
          <w:w w:val="103"/>
          <w:rtl/>
        </w:rPr>
        <w:t>التخطيط الإنمائي المتكامل للمقاطعات</w:t>
      </w:r>
      <w:r w:rsidRPr="0060789F">
        <w:rPr>
          <w:rFonts w:hint="cs"/>
          <w:w w:val="103"/>
          <w:rtl/>
        </w:rPr>
        <w:t>‘</w:t>
      </w:r>
      <w:r w:rsidRPr="0060789F">
        <w:rPr>
          <w:w w:val="103"/>
          <w:rtl/>
        </w:rPr>
        <w:t xml:space="preserve">، كانون الثاني/يناير 2012، ديلي، تيمور </w:t>
      </w:r>
      <w:r w:rsidRPr="0060789F">
        <w:rPr>
          <w:rFonts w:hint="cs"/>
          <w:w w:val="103"/>
          <w:rtl/>
        </w:rPr>
        <w:t>-</w:t>
      </w:r>
      <w:r w:rsidRPr="0060789F">
        <w:rPr>
          <w:w w:val="103"/>
          <w:rtl/>
        </w:rPr>
        <w:t xml:space="preserve"> ليشتي</w:t>
      </w:r>
      <w:r w:rsidRPr="0060789F">
        <w:rPr>
          <w:rFonts w:hint="cs"/>
          <w:w w:val="103"/>
          <w:rtl/>
        </w:rPr>
        <w:t>.</w:t>
      </w:r>
    </w:p>
  </w:footnote>
  <w:footnote w:id="134">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خطاب المدير العام بشأن </w:t>
      </w:r>
      <w:r w:rsidRPr="0060789F">
        <w:rPr>
          <w:rFonts w:hint="cs"/>
          <w:w w:val="103"/>
          <w:rtl/>
        </w:rPr>
        <w:t>’</w:t>
      </w:r>
      <w:r w:rsidRPr="0060789F">
        <w:rPr>
          <w:w w:val="103"/>
          <w:rtl/>
        </w:rPr>
        <w:t>الدور القيادي للمرأة ومشاركتها</w:t>
      </w:r>
      <w:r w:rsidRPr="0060789F">
        <w:rPr>
          <w:rFonts w:hint="cs"/>
          <w:w w:val="103"/>
          <w:rtl/>
        </w:rPr>
        <w:t>‘</w:t>
      </w:r>
      <w:r w:rsidRPr="0060789F">
        <w:rPr>
          <w:w w:val="103"/>
          <w:rtl/>
        </w:rPr>
        <w:t xml:space="preserve"> في المؤتمر الإقليمي الثاني، سييم ريب، كمبوديا، 23-25 تشرين الأول/أكتوبر 2012</w:t>
      </w:r>
      <w:r w:rsidRPr="0060789F">
        <w:rPr>
          <w:rFonts w:hint="cs"/>
          <w:w w:val="103"/>
          <w:rtl/>
        </w:rPr>
        <w:t>.</w:t>
      </w:r>
    </w:p>
  </w:footnote>
  <w:footnote w:id="135">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وزير الدولة لشؤون مجلس الوزراء والمتحدث الرسمي باسم حكومة تيمور</w:t>
      </w:r>
      <w:r w:rsidRPr="0060789F">
        <w:rPr>
          <w:rFonts w:hint="cs"/>
          <w:w w:val="103"/>
          <w:rtl/>
        </w:rPr>
        <w:t xml:space="preserve"> </w:t>
      </w:r>
      <w:r w:rsidRPr="0060789F">
        <w:rPr>
          <w:w w:val="103"/>
          <w:rtl/>
        </w:rPr>
        <w:t>-</w:t>
      </w:r>
      <w:r w:rsidRPr="0060789F">
        <w:rPr>
          <w:rFonts w:hint="cs"/>
          <w:w w:val="103"/>
          <w:rtl/>
        </w:rPr>
        <w:t xml:space="preserve"> </w:t>
      </w:r>
      <w:r w:rsidRPr="0060789F">
        <w:rPr>
          <w:w w:val="103"/>
          <w:rtl/>
        </w:rPr>
        <w:t>ليشتي، أغيو بيريرا، 29</w:t>
      </w:r>
      <w:r w:rsidRPr="0060789F">
        <w:rPr>
          <w:rFonts w:hint="cs"/>
          <w:w w:val="103"/>
          <w:rtl/>
        </w:rPr>
        <w:t> </w:t>
      </w:r>
      <w:r w:rsidRPr="0060789F">
        <w:rPr>
          <w:w w:val="103"/>
          <w:rtl/>
        </w:rPr>
        <w:t>حزيران/يونيه 2010، ديلي، تيمور</w:t>
      </w:r>
      <w:r w:rsidRPr="0060789F">
        <w:rPr>
          <w:rFonts w:hint="cs"/>
          <w:w w:val="103"/>
          <w:rtl/>
        </w:rPr>
        <w:t xml:space="preserve"> </w:t>
      </w:r>
      <w:r w:rsidRPr="0060789F">
        <w:rPr>
          <w:w w:val="103"/>
          <w:rtl/>
        </w:rPr>
        <w:t>-</w:t>
      </w:r>
      <w:r w:rsidRPr="0060789F">
        <w:rPr>
          <w:rFonts w:hint="cs"/>
          <w:w w:val="103"/>
          <w:rtl/>
        </w:rPr>
        <w:t xml:space="preserve"> </w:t>
      </w:r>
      <w:r w:rsidRPr="0060789F">
        <w:rPr>
          <w:w w:val="103"/>
          <w:rtl/>
        </w:rPr>
        <w:t>ليشتي</w:t>
      </w:r>
      <w:r w:rsidRPr="0060789F">
        <w:rPr>
          <w:rFonts w:hint="cs"/>
          <w:w w:val="103"/>
          <w:rtl/>
        </w:rPr>
        <w:t>.</w:t>
      </w:r>
    </w:p>
  </w:footnote>
  <w:footnote w:id="136">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p>
  </w:footnote>
  <w:footnote w:id="137">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رد وزارة الخارجية على استبيان اللجنة المعنية بالقضاء على التمييز ضد المرأة (ميلينا رانجيل)، عام 2012</w:t>
      </w:r>
      <w:r w:rsidRPr="0060789F">
        <w:rPr>
          <w:rFonts w:hint="cs"/>
          <w:w w:val="103"/>
          <w:rtl/>
        </w:rPr>
        <w:t>.</w:t>
      </w:r>
    </w:p>
  </w:footnote>
  <w:footnote w:id="138">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القائمة الدبلوماسية لوزارة الشؤون الخارجية، ديلي، 2013</w:t>
      </w:r>
      <w:r w:rsidRPr="0060789F">
        <w:rPr>
          <w:rFonts w:hint="cs"/>
          <w:w w:val="103"/>
          <w:rtl/>
        </w:rPr>
        <w:t>.</w:t>
      </w:r>
    </w:p>
  </w:footnote>
  <w:footnote w:id="139">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w:t>
      </w:r>
      <w:r w:rsidRPr="0060789F">
        <w:rPr>
          <w:w w:val="103"/>
          <w:rtl/>
        </w:rPr>
        <w:t>وداعا للنزاع، ومرحبا بالتنمية</w:t>
      </w:r>
      <w:r w:rsidRPr="0060789F">
        <w:rPr>
          <w:rFonts w:hint="cs"/>
          <w:w w:val="103"/>
          <w:rtl/>
        </w:rPr>
        <w:t>“</w:t>
      </w:r>
      <w:r w:rsidRPr="0060789F">
        <w:rPr>
          <w:w w:val="103"/>
          <w:rtl/>
        </w:rPr>
        <w:t xml:space="preserve"> - الخطة الاستراتيجية الإنمائية الوطنية 2007-2012، الصفحة 8</w:t>
      </w:r>
      <w:r w:rsidRPr="0060789F">
        <w:rPr>
          <w:rFonts w:hint="cs"/>
          <w:w w:val="103"/>
          <w:rtl/>
        </w:rPr>
        <w:t>.</w:t>
      </w:r>
    </w:p>
  </w:footnote>
  <w:footnote w:id="140">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مقابلة مع السيد أوغوستو باريتو لوبيز، الإدارة الوطنية للمراسم - وزارة التعليم، السيد أنطونيو لوبيس وزارة التعليم - بشأن تنفيذ الخطة الاستراتيجية الوطنية للتعيلم للفترة 2010-2030، شباط/</w:t>
      </w:r>
      <w:r w:rsidRPr="0060789F">
        <w:rPr>
          <w:rFonts w:hint="cs"/>
          <w:w w:val="103"/>
          <w:rtl/>
        </w:rPr>
        <w:t xml:space="preserve"> </w:t>
      </w:r>
      <w:r w:rsidRPr="0060789F">
        <w:rPr>
          <w:w w:val="103"/>
          <w:rtl/>
        </w:rPr>
        <w:t>فبراير</w:t>
      </w:r>
      <w:r w:rsidRPr="0060789F">
        <w:rPr>
          <w:rFonts w:hint="cs"/>
          <w:w w:val="103"/>
          <w:rtl/>
        </w:rPr>
        <w:t> </w:t>
      </w:r>
      <w:r w:rsidRPr="0060789F">
        <w:rPr>
          <w:w w:val="103"/>
          <w:rtl/>
        </w:rPr>
        <w:t>2013</w:t>
      </w:r>
      <w:r w:rsidRPr="0060789F">
        <w:rPr>
          <w:rFonts w:hint="cs"/>
          <w:w w:val="103"/>
          <w:rtl/>
        </w:rPr>
        <w:t>.</w:t>
      </w:r>
    </w:p>
  </w:footnote>
  <w:footnote w:id="141">
    <w:p w:rsidR="00846BF8" w:rsidRPr="0060789F" w:rsidRDefault="00846BF8" w:rsidP="009862F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الخطة الاستراتيجية التعليمية الوطنية 2010-2030 (نص موجز)، وزارة التعليم، ديلي، 2011</w:t>
      </w:r>
      <w:r w:rsidRPr="0060789F">
        <w:rPr>
          <w:rFonts w:hint="cs"/>
          <w:w w:val="103"/>
          <w:rtl/>
        </w:rPr>
        <w:t>.</w:t>
      </w:r>
    </w:p>
  </w:footnote>
  <w:footnote w:id="142">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موجز الالتحاق بالتعليم الأساسي عام 2011 في جميع المدارس (العامة والخاصة والكاثوليكية)، نظام معلومات إدارة التعليم، وزارة التعليم، ديلي، 2013.</w:t>
      </w:r>
    </w:p>
  </w:footnote>
  <w:footnote w:id="143">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الخطة الإنمائية الوطنية الاستراتيجية، الفترة 2011-2030، الصفحتان 19-20، مقابلة مع أوغوستو باريتو لوبيز، المديرية الوطنية للبروتوكول، وأنطونيو لوبيز، وزارة التعليم، شباط/فبراير 2013.</w:t>
      </w:r>
    </w:p>
  </w:footnote>
  <w:footnote w:id="144">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Diresaun Nasional ba Planu Estatistiku no Teknolojia Informasaun, SIGE/EMIS, ME 2011 – 2012, February 2013</w:t>
      </w:r>
      <w:r w:rsidRPr="0060789F">
        <w:rPr>
          <w:rFonts w:hint="cs"/>
          <w:w w:val="103"/>
          <w:rtl/>
        </w:rPr>
        <w:t>.</w:t>
      </w:r>
    </w:p>
  </w:footnote>
  <w:footnote w:id="145">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تعداد سكان تيمور</w:t>
      </w:r>
      <w:r w:rsidRPr="0060789F">
        <w:rPr>
          <w:rFonts w:hint="cs"/>
          <w:w w:val="103"/>
          <w:rtl/>
        </w:rPr>
        <w:t xml:space="preserve"> </w:t>
      </w:r>
      <w:r w:rsidRPr="0060789F">
        <w:rPr>
          <w:w w:val="103"/>
          <w:rtl/>
        </w:rPr>
        <w:t>-</w:t>
      </w:r>
      <w:r w:rsidRPr="0060789F">
        <w:rPr>
          <w:rFonts w:hint="cs"/>
          <w:w w:val="103"/>
          <w:rtl/>
        </w:rPr>
        <w:t xml:space="preserve"> </w:t>
      </w:r>
      <w:r w:rsidRPr="0060789F">
        <w:rPr>
          <w:w w:val="103"/>
          <w:rtl/>
        </w:rPr>
        <w:t>ليشتي لعام 2010، مديرية الإحصاءات الوطنية، المديرية العامة لتحليل السياسات والبحوث، وزارة المالية، ديلي، تشرين الأول/أكتوبر 2010</w:t>
      </w:r>
      <w:r w:rsidRPr="0060789F">
        <w:rPr>
          <w:rFonts w:hint="cs"/>
          <w:w w:val="103"/>
          <w:rtl/>
        </w:rPr>
        <w:t>.</w:t>
      </w:r>
    </w:p>
  </w:footnote>
  <w:footnote w:id="146">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r w:rsidRPr="0060789F">
        <w:rPr>
          <w:rFonts w:hint="cs"/>
          <w:w w:val="103"/>
          <w:rtl/>
        </w:rPr>
        <w:t>.</w:t>
      </w:r>
    </w:p>
  </w:footnote>
  <w:footnote w:id="147">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الخطة الإنمائية الاستراتيجية الوطنية، الفترة 2011-2030، الصفحتان 19-20.</w:t>
      </w:r>
    </w:p>
  </w:footnote>
  <w:footnote w:id="148">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مقابلة مع أوغوستو باريتو لوبيز، المديرية الوطنية للبروتوكول، وزارة التعليم، وأنطونيو لوبيز، المستشار بوزارة التعليم في شباط/فبراير 2013</w:t>
      </w:r>
      <w:r w:rsidRPr="0060789F">
        <w:rPr>
          <w:rFonts w:hint="cs"/>
          <w:w w:val="103"/>
          <w:rtl/>
        </w:rPr>
        <w:t>.</w:t>
      </w:r>
    </w:p>
  </w:footnote>
  <w:footnote w:id="149">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r w:rsidRPr="0060789F">
        <w:rPr>
          <w:rFonts w:hint="cs"/>
          <w:w w:val="103"/>
          <w:rtl/>
        </w:rPr>
        <w:t>.</w:t>
      </w:r>
    </w:p>
  </w:footnote>
  <w:footnote w:id="150">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r w:rsidRPr="0060789F">
        <w:rPr>
          <w:rFonts w:hint="cs"/>
          <w:w w:val="103"/>
          <w:rtl/>
        </w:rPr>
        <w:t>.</w:t>
      </w:r>
    </w:p>
  </w:footnote>
  <w:footnote w:id="151">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مقابلة مع  فيلومينو لورديس من المديرية الوطنية للتعليم المستمر، وزارة التعليم، شباط/فبراير 2013</w:t>
      </w:r>
      <w:r w:rsidRPr="0060789F">
        <w:rPr>
          <w:rFonts w:hint="cs"/>
          <w:w w:val="103"/>
          <w:rtl/>
        </w:rPr>
        <w:t>.</w:t>
      </w:r>
    </w:p>
  </w:footnote>
  <w:footnote w:id="152">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r w:rsidRPr="0060789F">
        <w:rPr>
          <w:rFonts w:hint="cs"/>
          <w:w w:val="103"/>
          <w:rtl/>
        </w:rPr>
        <w:t>.</w:t>
      </w:r>
    </w:p>
  </w:footnote>
  <w:footnote w:id="153">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r w:rsidRPr="0060789F">
        <w:rPr>
          <w:rFonts w:hint="cs"/>
          <w:w w:val="103"/>
          <w:rtl/>
        </w:rPr>
        <w:t>.</w:t>
      </w:r>
    </w:p>
  </w:footnote>
  <w:footnote w:id="154">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بيانات المديرية الوطنية للخطة الإحصائية والمعلومات التكنولوجية، إدارة نظام معلومات إدارة التعليم، وزارة التعليم، 2011-2012، شباط/فبراير 2013</w:t>
      </w:r>
      <w:r w:rsidRPr="0060789F">
        <w:rPr>
          <w:rFonts w:hint="cs"/>
          <w:w w:val="103"/>
          <w:rtl/>
        </w:rPr>
        <w:t>.</w:t>
      </w:r>
    </w:p>
  </w:footnote>
  <w:footnote w:id="155">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الوكالة الأمريكية للتنمية الدولية، مشروع تعليمي يبقي الأطفال في المدارس، تشرين الأول/أكتوبر 2012، تم الاطلاع عليه في 21 شباط/فبراير 2013، من الرابط </w:t>
      </w:r>
      <w:r w:rsidRPr="0060789F">
        <w:rPr>
          <w:w w:val="103"/>
        </w:rPr>
        <w:t>http://timor-leste.usaid.gov/node/554</w:t>
      </w:r>
      <w:r w:rsidRPr="0060789F">
        <w:rPr>
          <w:rFonts w:hint="cs"/>
          <w:w w:val="103"/>
          <w:rtl/>
        </w:rPr>
        <w:t>.</w:t>
      </w:r>
    </w:p>
  </w:footnote>
  <w:footnote w:id="156">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حلقة العمل الاستشارية المعنية بالتقرير الدوري الجامع الثاني والثالث بشأن اتفاقية القضاء على التمييز ضد المرأة، 13-14 آذار/مارس 2013</w:t>
      </w:r>
      <w:r w:rsidRPr="0060789F">
        <w:rPr>
          <w:rFonts w:hint="cs"/>
          <w:w w:val="103"/>
          <w:rtl/>
        </w:rPr>
        <w:t>.</w:t>
      </w:r>
    </w:p>
  </w:footnote>
  <w:footnote w:id="157">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مقابلة مع باولو هنريك، مدير التعليم الثانوي العام الوطني، وزارة التعليم، شباط/فبراير 2013، وزارة التعليم في حلقة العمل الاستشارية المعنية بالتقرير الدوري الجامع الثاني والثالث بشأن اتفاقية القضاء على التمييز ضد المرأة، 13-14 آذار/مارس 2013</w:t>
      </w:r>
      <w:r w:rsidRPr="0060789F">
        <w:rPr>
          <w:rFonts w:hint="cs"/>
          <w:w w:val="103"/>
          <w:rtl/>
        </w:rPr>
        <w:t>.</w:t>
      </w:r>
    </w:p>
  </w:footnote>
  <w:footnote w:id="158">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MSS in the Consultative Workshop on CEDAW 2</w:t>
      </w:r>
      <w:r w:rsidRPr="0060789F">
        <w:rPr>
          <w:w w:val="103"/>
          <w:vertAlign w:val="superscript"/>
        </w:rPr>
        <w:t>nd</w:t>
      </w:r>
      <w:r w:rsidRPr="0060789F">
        <w:rPr>
          <w:w w:val="103"/>
        </w:rPr>
        <w:t xml:space="preserve"> and 3</w:t>
      </w:r>
      <w:r w:rsidRPr="0060789F">
        <w:rPr>
          <w:w w:val="103"/>
          <w:vertAlign w:val="superscript"/>
        </w:rPr>
        <w:t>rd</w:t>
      </w:r>
      <w:r w:rsidRPr="0060789F">
        <w:rPr>
          <w:w w:val="103"/>
        </w:rPr>
        <w:t xml:space="preserve"> Combined Periodic Report, 13–14 of March 2013/Timor-Leste Child’s Code (Draft – version for public distribution), May 2011, Dili, Timor-Leste, Pg. 17</w:t>
      </w:r>
      <w:r w:rsidRPr="0060789F">
        <w:rPr>
          <w:rFonts w:hint="cs"/>
          <w:w w:val="103"/>
          <w:rtl/>
        </w:rPr>
        <w:t>.</w:t>
      </w:r>
    </w:p>
  </w:footnote>
  <w:footnote w:id="159">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TL NHDP, 2011, p. 22, based on EMIS Report 2009</w:t>
      </w:r>
      <w:r w:rsidRPr="0060789F">
        <w:rPr>
          <w:rFonts w:hint="cs"/>
          <w:w w:val="103"/>
          <w:rtl/>
        </w:rPr>
        <w:t>.</w:t>
      </w:r>
    </w:p>
  </w:footnote>
  <w:footnote w:id="160">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وزارة التعليم، المعهد الوطني لتدريب المعلمين والمهنيين، اقتباس من /</w:t>
      </w:r>
      <w:r w:rsidRPr="0060789F">
        <w:rPr>
          <w:w w:val="103"/>
        </w:rPr>
        <w:t>http://www.infordepe.gov.tl</w:t>
      </w:r>
      <w:r w:rsidRPr="0060789F">
        <w:rPr>
          <w:w w:val="103"/>
          <w:rtl/>
        </w:rPr>
        <w:t>. أيضا، مقابلة مع المديرية الوطنية للسياسات والتخطيط، شباط/فبراير 2012</w:t>
      </w:r>
      <w:r w:rsidRPr="0060789F">
        <w:rPr>
          <w:rFonts w:hint="cs"/>
          <w:w w:val="103"/>
          <w:rtl/>
        </w:rPr>
        <w:t>.</w:t>
      </w:r>
    </w:p>
  </w:footnote>
  <w:footnote w:id="161">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المفتشية العامة، وزارة التعليم، آذار/مارس 2013</w:t>
      </w:r>
      <w:r w:rsidRPr="0060789F">
        <w:rPr>
          <w:rFonts w:hint="cs"/>
          <w:w w:val="103"/>
          <w:rtl/>
        </w:rPr>
        <w:t>.</w:t>
      </w:r>
    </w:p>
  </w:footnote>
  <w:footnote w:id="162">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مقابلة مع إيفاريستو ماريا دي خيسوس، مكتب المفتش العام للتعليم، وزارة التعليم، آذار/مارس 2013</w:t>
      </w:r>
      <w:r w:rsidRPr="0060789F">
        <w:rPr>
          <w:rFonts w:hint="cs"/>
          <w:w w:val="103"/>
          <w:rtl/>
        </w:rPr>
        <w:t>.</w:t>
      </w:r>
    </w:p>
  </w:footnote>
  <w:footnote w:id="163">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r w:rsidRPr="0060789F">
        <w:rPr>
          <w:rFonts w:hint="cs"/>
          <w:w w:val="103"/>
          <w:rtl/>
        </w:rPr>
        <w:t>.</w:t>
      </w:r>
    </w:p>
  </w:footnote>
  <w:footnote w:id="164">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استعراض عام لحالات العنف في مدارس تيمور</w:t>
      </w:r>
      <w:r w:rsidRPr="0060789F">
        <w:rPr>
          <w:rFonts w:hint="cs"/>
          <w:w w:val="103"/>
          <w:rtl/>
        </w:rPr>
        <w:t xml:space="preserve"> </w:t>
      </w:r>
      <w:r w:rsidRPr="0060789F">
        <w:rPr>
          <w:w w:val="103"/>
          <w:rtl/>
        </w:rPr>
        <w:t>-</w:t>
      </w:r>
      <w:r w:rsidRPr="0060789F">
        <w:rPr>
          <w:rFonts w:hint="cs"/>
          <w:w w:val="103"/>
          <w:rtl/>
        </w:rPr>
        <w:t xml:space="preserve"> </w:t>
      </w:r>
      <w:r w:rsidRPr="0060789F">
        <w:rPr>
          <w:w w:val="103"/>
          <w:rtl/>
        </w:rPr>
        <w:t>ليشتي عام 2012، ديوان المفتش العام للتعليم، وزارة التعليم، ديلي، عام 2013.</w:t>
      </w:r>
    </w:p>
  </w:footnote>
  <w:footnote w:id="165">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r w:rsidRPr="0060789F">
        <w:rPr>
          <w:rFonts w:hint="cs"/>
          <w:w w:val="103"/>
          <w:rtl/>
        </w:rPr>
        <w:t>.</w:t>
      </w:r>
    </w:p>
  </w:footnote>
  <w:footnote w:id="166">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مقابلة مع مدير السياسات العامة والتخطيط، المديرية الوطنية للمدارس الثانوية العامة، والمديرية الوطنية للمفتش العام، والمديرية الوطنية للتعليم المستمر، شباط/فبراير 2012</w:t>
      </w:r>
      <w:r w:rsidRPr="0060789F">
        <w:rPr>
          <w:rFonts w:hint="cs"/>
          <w:w w:val="103"/>
          <w:rtl/>
        </w:rPr>
        <w:t>.</w:t>
      </w:r>
    </w:p>
  </w:footnote>
  <w:footnote w:id="167">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p>
  </w:footnote>
  <w:footnote w:id="168">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وزارة التعليم، المفتشية العامة للتعليم، مقابلة مع إيفاريستو ماريا دي خيسوس، شباط/فبراير 2013</w:t>
      </w:r>
      <w:r w:rsidRPr="0060789F">
        <w:rPr>
          <w:rFonts w:hint="cs"/>
          <w:w w:val="103"/>
          <w:rtl/>
        </w:rPr>
        <w:t>.</w:t>
      </w:r>
    </w:p>
  </w:footnote>
  <w:footnote w:id="169">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p>
  </w:footnote>
  <w:footnote w:id="170">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 المادة 6 (1)</w:t>
      </w:r>
      <w:r w:rsidRPr="0060789F">
        <w:rPr>
          <w:rFonts w:hint="cs"/>
          <w:w w:val="103"/>
          <w:rtl/>
        </w:rPr>
        <w:t>.</w:t>
      </w:r>
    </w:p>
  </w:footnote>
  <w:footnote w:id="171">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 المادة 6 (2) و</w:t>
      </w:r>
      <w:r w:rsidRPr="0060789F">
        <w:rPr>
          <w:rFonts w:hint="cs"/>
          <w:w w:val="103"/>
          <w:rtl/>
        </w:rPr>
        <w:t xml:space="preserve"> </w:t>
      </w:r>
      <w:r w:rsidRPr="0060789F">
        <w:rPr>
          <w:w w:val="103"/>
          <w:rtl/>
        </w:rPr>
        <w:t>(4).</w:t>
      </w:r>
    </w:p>
  </w:footnote>
  <w:footnote w:id="172">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 المادة 7 (1) و</w:t>
      </w:r>
      <w:r w:rsidRPr="0060789F">
        <w:rPr>
          <w:rFonts w:hint="cs"/>
          <w:w w:val="103"/>
          <w:rtl/>
        </w:rPr>
        <w:t xml:space="preserve"> </w:t>
      </w:r>
      <w:r w:rsidRPr="0060789F">
        <w:rPr>
          <w:w w:val="103"/>
          <w:rtl/>
        </w:rPr>
        <w:t>(2) و</w:t>
      </w:r>
      <w:r w:rsidRPr="0060789F">
        <w:rPr>
          <w:rFonts w:hint="cs"/>
          <w:w w:val="103"/>
          <w:rtl/>
        </w:rPr>
        <w:t xml:space="preserve"> </w:t>
      </w:r>
      <w:r w:rsidRPr="0060789F">
        <w:rPr>
          <w:w w:val="103"/>
          <w:rtl/>
        </w:rPr>
        <w:t>(3)</w:t>
      </w:r>
      <w:r w:rsidRPr="0060789F">
        <w:rPr>
          <w:rFonts w:hint="cs"/>
          <w:w w:val="103"/>
          <w:rtl/>
        </w:rPr>
        <w:t>.</w:t>
      </w:r>
    </w:p>
  </w:footnote>
  <w:footnote w:id="173">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مقابلة مع فرناندو بيس، الممثل القطري لمنظمة العمل الدولية في تيمور</w:t>
      </w:r>
      <w:r w:rsidRPr="0060789F">
        <w:rPr>
          <w:rFonts w:hint="cs"/>
          <w:w w:val="103"/>
          <w:rtl/>
        </w:rPr>
        <w:t xml:space="preserve"> </w:t>
      </w:r>
      <w:r w:rsidRPr="0060789F">
        <w:rPr>
          <w:w w:val="103"/>
          <w:rtl/>
        </w:rPr>
        <w:t>-</w:t>
      </w:r>
      <w:r w:rsidRPr="0060789F">
        <w:rPr>
          <w:rFonts w:hint="cs"/>
          <w:w w:val="103"/>
          <w:rtl/>
        </w:rPr>
        <w:t xml:space="preserve"> </w:t>
      </w:r>
      <w:r w:rsidRPr="0060789F">
        <w:rPr>
          <w:w w:val="103"/>
          <w:rtl/>
        </w:rPr>
        <w:t>ليشتي، ديلي، أيار/مايو 2013</w:t>
      </w:r>
      <w:r w:rsidRPr="0060789F">
        <w:rPr>
          <w:rFonts w:hint="cs"/>
          <w:w w:val="103"/>
          <w:rtl/>
        </w:rPr>
        <w:t>.</w:t>
      </w:r>
    </w:p>
  </w:footnote>
  <w:footnote w:id="174">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w:t>
      </w:r>
      <w:r w:rsidRPr="0060789F">
        <w:rPr>
          <w:w w:val="103"/>
          <w:rtl/>
        </w:rPr>
        <w:t>وداعا للنزاع، ومرحبا بالتنمية</w:t>
      </w:r>
      <w:r w:rsidRPr="0060789F">
        <w:rPr>
          <w:rFonts w:hint="cs"/>
          <w:w w:val="103"/>
          <w:rtl/>
        </w:rPr>
        <w:t>“</w:t>
      </w:r>
      <w:r w:rsidRPr="0060789F">
        <w:rPr>
          <w:w w:val="103"/>
          <w:rtl/>
        </w:rPr>
        <w:t xml:space="preserve"> لمحة عن الحكومة (2007-2012)</w:t>
      </w:r>
      <w:r w:rsidRPr="0060789F">
        <w:rPr>
          <w:rFonts w:hint="cs"/>
          <w:w w:val="103"/>
          <w:rtl/>
        </w:rPr>
        <w:t xml:space="preserve"> -</w:t>
      </w:r>
      <w:r w:rsidRPr="0060789F">
        <w:rPr>
          <w:w w:val="103"/>
          <w:rtl/>
        </w:rPr>
        <w:t xml:space="preserve"> الحكومة الدستورية</w:t>
      </w:r>
      <w:r w:rsidRPr="0060789F">
        <w:rPr>
          <w:rFonts w:hint="cs"/>
          <w:w w:val="103"/>
          <w:rtl/>
        </w:rPr>
        <w:t xml:space="preserve"> الرابعة</w:t>
      </w:r>
      <w:r w:rsidRPr="0060789F">
        <w:rPr>
          <w:w w:val="103"/>
          <w:rtl/>
        </w:rPr>
        <w:t xml:space="preserve">، ديلي، 2012، ص 1، الجزء </w:t>
      </w:r>
      <w:r w:rsidRPr="0060789F">
        <w:rPr>
          <w:rFonts w:hint="cs"/>
          <w:w w:val="103"/>
          <w:rtl/>
        </w:rPr>
        <w:t>88.</w:t>
      </w:r>
    </w:p>
  </w:footnote>
  <w:footnote w:id="175">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البرلمان الوطني، القانون رقم 5/2009، 15 تموز/يوليه، ديلي، تيمور</w:t>
      </w:r>
      <w:r w:rsidRPr="0060789F">
        <w:rPr>
          <w:rFonts w:hint="cs"/>
          <w:w w:val="103"/>
          <w:rtl/>
        </w:rPr>
        <w:t xml:space="preserve"> - </w:t>
      </w:r>
      <w:r w:rsidRPr="0060789F">
        <w:rPr>
          <w:w w:val="103"/>
          <w:rtl/>
        </w:rPr>
        <w:t>ليشتي</w:t>
      </w:r>
      <w:r w:rsidRPr="0060789F">
        <w:rPr>
          <w:rFonts w:hint="cs"/>
          <w:w w:val="103"/>
          <w:rtl/>
        </w:rPr>
        <w:t>.</w:t>
      </w:r>
    </w:p>
  </w:footnote>
  <w:footnote w:id="176">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المرسوم بقانون رقم 19/2010 لاعتماد المفتشية العامة للعمالة، كانون الأول/ديسمبر 2010، ديلي،</w:t>
      </w:r>
      <w:r w:rsidRPr="0060789F">
        <w:rPr>
          <w:rFonts w:hint="cs"/>
          <w:w w:val="103"/>
          <w:rtl/>
        </w:rPr>
        <w:t> </w:t>
      </w:r>
      <w:r w:rsidRPr="0060789F">
        <w:rPr>
          <w:w w:val="103"/>
          <w:rtl/>
        </w:rPr>
        <w:t>2010</w:t>
      </w:r>
      <w:r w:rsidRPr="0060789F">
        <w:rPr>
          <w:rFonts w:hint="cs"/>
          <w:w w:val="103"/>
          <w:rtl/>
        </w:rPr>
        <w:t>.</w:t>
      </w:r>
    </w:p>
  </w:footnote>
  <w:footnote w:id="177">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w:t>
      </w:r>
      <w:r w:rsidRPr="0060789F">
        <w:rPr>
          <w:w w:val="103"/>
          <w:rtl/>
        </w:rPr>
        <w:t>وداعا للنزاع، ومرحبا بالتنمية</w:t>
      </w:r>
      <w:r w:rsidRPr="0060789F">
        <w:rPr>
          <w:rFonts w:hint="cs"/>
          <w:w w:val="103"/>
          <w:rtl/>
        </w:rPr>
        <w:t>“</w:t>
      </w:r>
      <w:r w:rsidRPr="0060789F">
        <w:rPr>
          <w:w w:val="103"/>
          <w:rtl/>
        </w:rPr>
        <w:t xml:space="preserve"> لمحة عن الحكومة (2007-2012) - الحكومة الدستورية الرابعة، ديلي، 2012، ص 1، الجزء 89</w:t>
      </w:r>
      <w:r w:rsidRPr="0060789F">
        <w:rPr>
          <w:rFonts w:hint="cs"/>
          <w:w w:val="103"/>
          <w:rtl/>
        </w:rPr>
        <w:t>.</w:t>
      </w:r>
    </w:p>
  </w:footnote>
  <w:footnote w:id="178">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رد لجنة الخدمة العامة على استبيان اتفاقية القضاء على التمييز ضد المرأة، ديلي، 2012</w:t>
      </w:r>
      <w:r w:rsidRPr="0060789F">
        <w:rPr>
          <w:rFonts w:hint="cs"/>
          <w:w w:val="103"/>
          <w:rtl/>
        </w:rPr>
        <w:t>.</w:t>
      </w:r>
    </w:p>
  </w:footnote>
  <w:footnote w:id="179">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حسابات الدراسة الاستقصائية لقوة العمل، استنادا إلى البيانات المنشورة في التقرير المعني بالدراسة الاستقصائية لقوة العمل عام 2010 (المديرية الوطنية للإحصاءات)</w:t>
      </w:r>
      <w:r w:rsidRPr="0060789F">
        <w:rPr>
          <w:rFonts w:hint="cs"/>
          <w:w w:val="103"/>
          <w:rtl/>
        </w:rPr>
        <w:t>.</w:t>
      </w:r>
    </w:p>
  </w:footnote>
  <w:footnote w:id="180">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الدراسة الاستقصائية لقوة العمل في تيمور</w:t>
      </w:r>
      <w:r w:rsidRPr="0060789F">
        <w:rPr>
          <w:rFonts w:hint="cs"/>
          <w:w w:val="103"/>
          <w:rtl/>
        </w:rPr>
        <w:t xml:space="preserve"> -</w:t>
      </w:r>
      <w:r w:rsidRPr="0060789F">
        <w:rPr>
          <w:w w:val="103"/>
          <w:rtl/>
        </w:rPr>
        <w:t xml:space="preserve"> ليشتي عام 2010، الصفحة 7</w:t>
      </w:r>
      <w:r w:rsidRPr="0060789F">
        <w:rPr>
          <w:rFonts w:hint="cs"/>
          <w:w w:val="103"/>
          <w:rtl/>
        </w:rPr>
        <w:t>.</w:t>
      </w:r>
    </w:p>
  </w:footnote>
  <w:footnote w:id="181">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 الصفحة 32</w:t>
      </w:r>
      <w:r w:rsidRPr="0060789F">
        <w:rPr>
          <w:rFonts w:hint="cs"/>
          <w:w w:val="103"/>
          <w:rtl/>
        </w:rPr>
        <w:t>.</w:t>
      </w:r>
    </w:p>
  </w:footnote>
  <w:footnote w:id="182">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 ص 28.</w:t>
      </w:r>
    </w:p>
  </w:footnote>
  <w:footnote w:id="183">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تعداد سكان تيمور</w:t>
      </w:r>
      <w:r w:rsidRPr="0060789F">
        <w:rPr>
          <w:rFonts w:hint="cs"/>
          <w:w w:val="103"/>
          <w:rtl/>
        </w:rPr>
        <w:t xml:space="preserve"> </w:t>
      </w:r>
      <w:r w:rsidRPr="0060789F">
        <w:rPr>
          <w:w w:val="103"/>
          <w:rtl/>
        </w:rPr>
        <w:t>-</w:t>
      </w:r>
      <w:r w:rsidRPr="0060789F">
        <w:rPr>
          <w:rFonts w:hint="cs"/>
          <w:w w:val="103"/>
          <w:rtl/>
        </w:rPr>
        <w:t xml:space="preserve"> </w:t>
      </w:r>
      <w:r w:rsidRPr="0060789F">
        <w:rPr>
          <w:w w:val="103"/>
          <w:rtl/>
        </w:rPr>
        <w:t>ليشتي لعام 2010، مديرية الإحصاءات الوطنية، المديرية العامة لتحليل السياسات والبحوث، وزارة المالية، ديلي، تشرين الأول/أكتوبر 2010</w:t>
      </w:r>
      <w:r w:rsidRPr="0060789F">
        <w:rPr>
          <w:rFonts w:hint="cs"/>
          <w:w w:val="103"/>
          <w:rtl/>
        </w:rPr>
        <w:t>.</w:t>
      </w:r>
    </w:p>
  </w:footnote>
  <w:footnote w:id="184">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الدراسة الاستقصائية لقوة العمل في تيمور </w:t>
      </w:r>
      <w:r w:rsidRPr="0060789F">
        <w:rPr>
          <w:rFonts w:hint="cs"/>
          <w:w w:val="103"/>
          <w:rtl/>
        </w:rPr>
        <w:t xml:space="preserve">- </w:t>
      </w:r>
      <w:r w:rsidRPr="0060789F">
        <w:rPr>
          <w:w w:val="103"/>
          <w:rtl/>
        </w:rPr>
        <w:t>ليشتي عام 2010، الصفحة 31</w:t>
      </w:r>
      <w:r w:rsidRPr="0060789F">
        <w:rPr>
          <w:rFonts w:hint="cs"/>
          <w:w w:val="103"/>
          <w:rtl/>
        </w:rPr>
        <w:t>.</w:t>
      </w:r>
    </w:p>
  </w:footnote>
  <w:footnote w:id="185">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تعداد سكان تيمور</w:t>
      </w:r>
      <w:r w:rsidRPr="0060789F">
        <w:rPr>
          <w:rFonts w:hint="cs"/>
          <w:w w:val="103"/>
          <w:rtl/>
        </w:rPr>
        <w:t xml:space="preserve"> </w:t>
      </w:r>
      <w:r w:rsidRPr="0060789F">
        <w:rPr>
          <w:w w:val="103"/>
          <w:rtl/>
        </w:rPr>
        <w:t>-</w:t>
      </w:r>
      <w:r w:rsidRPr="0060789F">
        <w:rPr>
          <w:rFonts w:hint="cs"/>
          <w:w w:val="103"/>
          <w:rtl/>
        </w:rPr>
        <w:t xml:space="preserve"> </w:t>
      </w:r>
      <w:r w:rsidRPr="0060789F">
        <w:rPr>
          <w:w w:val="103"/>
          <w:rtl/>
        </w:rPr>
        <w:t>ليشتي لعام 2010، مديرية الإحصاءات الوطنية، المديرية العامة لتحليل السياسات والبحوث، وزارة المالية، ديلي، تشرين الأول/أكتوبر 2010</w:t>
      </w:r>
      <w:r w:rsidRPr="0060789F">
        <w:rPr>
          <w:rFonts w:hint="cs"/>
          <w:w w:val="103"/>
          <w:rtl/>
        </w:rPr>
        <w:t>.</w:t>
      </w:r>
    </w:p>
  </w:footnote>
  <w:footnote w:id="186">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الدراسة الاستقصائية لقوة العمل في تيمور</w:t>
      </w:r>
      <w:r w:rsidRPr="0060789F">
        <w:rPr>
          <w:rFonts w:hint="cs"/>
          <w:w w:val="103"/>
          <w:rtl/>
        </w:rPr>
        <w:t xml:space="preserve"> - </w:t>
      </w:r>
      <w:r w:rsidRPr="0060789F">
        <w:rPr>
          <w:w w:val="103"/>
          <w:rtl/>
        </w:rPr>
        <w:t>ليشتي عام 2010، الصفحة 40</w:t>
      </w:r>
      <w:r w:rsidRPr="0060789F">
        <w:rPr>
          <w:rFonts w:hint="cs"/>
          <w:w w:val="103"/>
          <w:rtl/>
        </w:rPr>
        <w:t>.</w:t>
      </w:r>
    </w:p>
  </w:footnote>
  <w:footnote w:id="187">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 الصفحة 40</w:t>
      </w:r>
      <w:r w:rsidRPr="0060789F">
        <w:rPr>
          <w:rFonts w:hint="cs"/>
          <w:w w:val="103"/>
          <w:rtl/>
        </w:rPr>
        <w:t>.</w:t>
      </w:r>
    </w:p>
  </w:footnote>
  <w:footnote w:id="188">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المرجع نفسه، الصفحة 42.</w:t>
      </w:r>
    </w:p>
  </w:footnote>
  <w:footnote w:id="189">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 الصفحة 55</w:t>
      </w:r>
      <w:r w:rsidRPr="0060789F">
        <w:rPr>
          <w:rFonts w:hint="cs"/>
          <w:w w:val="103"/>
          <w:rtl/>
        </w:rPr>
        <w:t>.</w:t>
      </w:r>
    </w:p>
  </w:footnote>
  <w:footnote w:id="190">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 الصفحة 8</w:t>
      </w:r>
      <w:r w:rsidRPr="0060789F">
        <w:rPr>
          <w:rFonts w:hint="cs"/>
          <w:w w:val="103"/>
          <w:rtl/>
        </w:rPr>
        <w:t>.</w:t>
      </w:r>
    </w:p>
  </w:footnote>
  <w:footnote w:id="191">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تعداد سكان تيمور</w:t>
      </w:r>
      <w:r w:rsidRPr="0060789F">
        <w:rPr>
          <w:rFonts w:hint="cs"/>
          <w:w w:val="103"/>
          <w:rtl/>
        </w:rPr>
        <w:t xml:space="preserve"> </w:t>
      </w:r>
      <w:r w:rsidRPr="0060789F">
        <w:rPr>
          <w:w w:val="103"/>
          <w:rtl/>
        </w:rPr>
        <w:t>-</w:t>
      </w:r>
      <w:r w:rsidRPr="0060789F">
        <w:rPr>
          <w:rFonts w:hint="cs"/>
          <w:w w:val="103"/>
          <w:rtl/>
        </w:rPr>
        <w:t xml:space="preserve"> </w:t>
      </w:r>
      <w:r w:rsidRPr="0060789F">
        <w:rPr>
          <w:w w:val="103"/>
          <w:rtl/>
        </w:rPr>
        <w:t>ليشتي لعام 2010، مديرية الإحصاءات الوطنية، المديرية العامة لتحليل السياسات والبحوث، وزارة المالية، ديلي، تشرين الأول/أكتوبر 2010</w:t>
      </w:r>
      <w:r w:rsidRPr="0060789F">
        <w:rPr>
          <w:rFonts w:hint="cs"/>
          <w:w w:val="103"/>
          <w:rtl/>
        </w:rPr>
        <w:t>.</w:t>
      </w:r>
    </w:p>
  </w:footnote>
  <w:footnote w:id="192">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p>
  </w:footnote>
  <w:footnote w:id="193">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استنادا إلى بيانات لجنة الخدمة العامة لعام 2011</w:t>
      </w:r>
      <w:r w:rsidRPr="0060789F">
        <w:rPr>
          <w:rFonts w:hint="cs"/>
          <w:w w:val="103"/>
          <w:rtl/>
        </w:rPr>
        <w:t>.</w:t>
      </w:r>
    </w:p>
  </w:footnote>
  <w:footnote w:id="194">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دراسة الأثر المترتب لمدة عشر سنوات بشأن تنفيذ قرار مجلس الأمن 1325، الصفحة 25، عام 2010</w:t>
      </w:r>
      <w:r w:rsidRPr="0060789F">
        <w:rPr>
          <w:rFonts w:hint="cs"/>
          <w:w w:val="103"/>
          <w:rtl/>
        </w:rPr>
        <w:t>.</w:t>
      </w:r>
    </w:p>
  </w:footnote>
  <w:footnote w:id="195">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تعداد سكان تيمور</w:t>
      </w:r>
      <w:r w:rsidRPr="0060789F">
        <w:rPr>
          <w:rFonts w:hint="cs"/>
          <w:w w:val="103"/>
          <w:rtl/>
        </w:rPr>
        <w:t xml:space="preserve"> </w:t>
      </w:r>
      <w:r w:rsidRPr="0060789F">
        <w:rPr>
          <w:w w:val="103"/>
          <w:rtl/>
        </w:rPr>
        <w:t>-</w:t>
      </w:r>
      <w:r w:rsidRPr="0060789F">
        <w:rPr>
          <w:rFonts w:hint="cs"/>
          <w:w w:val="103"/>
          <w:rtl/>
        </w:rPr>
        <w:t xml:space="preserve"> </w:t>
      </w:r>
      <w:r w:rsidRPr="0060789F">
        <w:rPr>
          <w:w w:val="103"/>
          <w:rtl/>
        </w:rPr>
        <w:t>ليشتي لعام 2010، مديرية الإحصاءات الوطنية، المديرية العامة لتحليل السياسات والبحوث، وزارة المالية، ديلي، تشرين الأول/أكتوبر 2010</w:t>
      </w:r>
      <w:r w:rsidRPr="0060789F">
        <w:rPr>
          <w:rFonts w:hint="cs"/>
          <w:w w:val="103"/>
          <w:rtl/>
        </w:rPr>
        <w:t>.</w:t>
      </w:r>
    </w:p>
  </w:footnote>
  <w:footnote w:id="196">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p>
  </w:footnote>
  <w:footnote w:id="197">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المرجع نفسه.</w:t>
      </w:r>
    </w:p>
  </w:footnote>
  <w:footnote w:id="198">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w w:val="103"/>
          <w:rtl/>
        </w:rPr>
        <w:t>المرجع نفسه، الصفحتان 5-6.</w:t>
      </w:r>
    </w:p>
  </w:footnote>
  <w:footnote w:id="199">
    <w:p w:rsidR="00846BF8" w:rsidRPr="0060789F" w:rsidRDefault="00846BF8" w:rsidP="00987D55">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تقرير قاعدة بيانات معهد تنمية الأعمال التجارية لعام 2012، وزير الدولة لتعزيز القطاع الخاص، ديلي، عام 2013</w:t>
      </w:r>
      <w:r w:rsidRPr="0060789F">
        <w:rPr>
          <w:rFonts w:hint="cs"/>
          <w:w w:val="103"/>
          <w:rtl/>
        </w:rPr>
        <w:t>.</w:t>
      </w:r>
    </w:p>
  </w:footnote>
  <w:footnote w:id="200">
    <w:p w:rsidR="00846BF8" w:rsidRPr="0060789F" w:rsidRDefault="00846BF8" w:rsidP="0008348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المرسوم بقانون رقم 29/2008 المتعلق بإنشاء صندوق التوظيف والتدريب المهني، ديلي، 2008</w:t>
      </w:r>
      <w:r w:rsidRPr="0060789F">
        <w:rPr>
          <w:rFonts w:hint="cs"/>
          <w:w w:val="103"/>
          <w:rtl/>
        </w:rPr>
        <w:t>.</w:t>
      </w:r>
    </w:p>
  </w:footnote>
  <w:footnote w:id="201">
    <w:p w:rsidR="00846BF8" w:rsidRPr="0060789F" w:rsidRDefault="00846BF8" w:rsidP="0008348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استعراض نتائج التدريب المتعلقة بالتعليم والتدريب في المجالين التقني والمهني لعام 2009، أمانة الدولة لسياسات التدريب المهني والتوظيف، ديلي، 2009</w:t>
      </w:r>
      <w:r w:rsidRPr="0060789F">
        <w:rPr>
          <w:rFonts w:hint="cs"/>
          <w:w w:val="103"/>
          <w:rtl/>
        </w:rPr>
        <w:t>.</w:t>
      </w:r>
    </w:p>
  </w:footnote>
  <w:footnote w:id="202">
    <w:p w:rsidR="00846BF8" w:rsidRPr="0060789F" w:rsidRDefault="00846BF8" w:rsidP="0008348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Labour Market Information Systems Project, Project Progress Report, July – December 2010, Annex I: Gender Tables, Dili, pg. 7</w:t>
      </w:r>
      <w:r w:rsidRPr="0060789F">
        <w:rPr>
          <w:w w:val="103"/>
          <w:rtl/>
        </w:rPr>
        <w:t>.</w:t>
      </w:r>
    </w:p>
  </w:footnote>
  <w:footnote w:id="203">
    <w:p w:rsidR="00846BF8" w:rsidRPr="0060789F" w:rsidRDefault="00846BF8" w:rsidP="0008348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الاستقصاء الديمغرافي والصحي 2009-2010، الصفحة 121</w:t>
      </w:r>
      <w:r w:rsidRPr="0060789F">
        <w:rPr>
          <w:rFonts w:hint="cs"/>
          <w:w w:val="103"/>
          <w:rtl/>
        </w:rPr>
        <w:t>.</w:t>
      </w:r>
    </w:p>
  </w:footnote>
  <w:footnote w:id="204">
    <w:p w:rsidR="00846BF8" w:rsidRPr="0060789F" w:rsidRDefault="00846BF8" w:rsidP="0008348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National Health Sector Strategic Plan, Maternal Health section, Ministry of Health, Dili, 2011, p.47</w:t>
      </w:r>
      <w:r w:rsidRPr="0060789F">
        <w:rPr>
          <w:rFonts w:hint="cs"/>
          <w:w w:val="103"/>
          <w:rtl/>
        </w:rPr>
        <w:t>.</w:t>
      </w:r>
    </w:p>
  </w:footnote>
  <w:footnote w:id="205">
    <w:p w:rsidR="00846BF8" w:rsidRPr="0060789F" w:rsidRDefault="00846BF8" w:rsidP="00083488">
      <w:pPr>
        <w:pStyle w:val="FootnoteText"/>
        <w:tabs>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  </w:t>
      </w:r>
      <w:r w:rsidRPr="0060789F">
        <w:rPr>
          <w:w w:val="103"/>
        </w:rPr>
        <w:t>Health Statistics Report – 2011’ (</w:t>
      </w:r>
      <w:r w:rsidRPr="0060789F">
        <w:rPr>
          <w:i/>
          <w:iCs/>
          <w:w w:val="103"/>
        </w:rPr>
        <w:t>Relatório Estatistika Saúde - 2012</w:t>
      </w:r>
      <w:r w:rsidRPr="0060789F">
        <w:rPr>
          <w:w w:val="103"/>
        </w:rPr>
        <w:t>), Ministry of Health, Cabinet for health information system and epidemiological tracking, Dili, 2012, p.17; and ‘Health Statistics Report – 2012’ (</w:t>
      </w:r>
      <w:r w:rsidRPr="0060789F">
        <w:rPr>
          <w:i/>
          <w:iCs/>
          <w:w w:val="103"/>
        </w:rPr>
        <w:t>Relatório Estatistika Saúde - 2011</w:t>
      </w:r>
      <w:r w:rsidRPr="0060789F">
        <w:rPr>
          <w:w w:val="103"/>
        </w:rPr>
        <w:t>), Ministry of Health, Cabinet for health information system and epidemiological tracking, Dili, 2013, p.17</w:t>
      </w:r>
      <w:r w:rsidRPr="0060789F">
        <w:rPr>
          <w:rFonts w:hint="cs"/>
          <w:w w:val="103"/>
          <w:rtl/>
        </w:rPr>
        <w:t>.</w:t>
      </w:r>
    </w:p>
  </w:footnote>
  <w:footnote w:id="206">
    <w:p w:rsidR="00846BF8" w:rsidRPr="0060789F" w:rsidRDefault="00846BF8" w:rsidP="0008348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الاستقصاء الديمغرافي والصحي 2009-</w:t>
      </w:r>
      <w:r w:rsidRPr="0060789F">
        <w:rPr>
          <w:rFonts w:hint="cs"/>
          <w:w w:val="103"/>
          <w:rtl/>
        </w:rPr>
        <w:t>2010</w:t>
      </w:r>
      <w:r w:rsidRPr="0060789F">
        <w:rPr>
          <w:w w:val="103"/>
          <w:rtl/>
        </w:rPr>
        <w:t>، الصفحة 113</w:t>
      </w:r>
      <w:r w:rsidRPr="0060789F">
        <w:rPr>
          <w:rFonts w:hint="cs"/>
          <w:w w:val="103"/>
          <w:rtl/>
        </w:rPr>
        <w:t>.</w:t>
      </w:r>
    </w:p>
  </w:footnote>
  <w:footnote w:id="207">
    <w:p w:rsidR="00846BF8" w:rsidRPr="0060789F" w:rsidRDefault="00846BF8" w:rsidP="0008348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 صفحة 121</w:t>
      </w:r>
      <w:r w:rsidRPr="0060789F">
        <w:rPr>
          <w:rFonts w:hint="cs"/>
          <w:w w:val="103"/>
          <w:rtl/>
        </w:rPr>
        <w:t>.</w:t>
      </w:r>
    </w:p>
  </w:footnote>
  <w:footnote w:id="208">
    <w:p w:rsidR="00846BF8" w:rsidRPr="0060789F" w:rsidRDefault="00846BF8" w:rsidP="0008348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Health Statistics Report – 2011’ (</w:t>
      </w:r>
      <w:r w:rsidRPr="0060789F">
        <w:rPr>
          <w:i/>
          <w:iCs/>
          <w:w w:val="103"/>
        </w:rPr>
        <w:t>Relatório Estatistika Saúde - 2012</w:t>
      </w:r>
      <w:r w:rsidRPr="0060789F">
        <w:rPr>
          <w:w w:val="103"/>
        </w:rPr>
        <w:t>), Ministry of Health, Cabinet for health information system and epidemiological tracking, Dili, 2012, p.14; and ‘Health Statistics Report – 2012’ (</w:t>
      </w:r>
      <w:r w:rsidRPr="0060789F">
        <w:rPr>
          <w:i/>
          <w:iCs/>
          <w:w w:val="103"/>
        </w:rPr>
        <w:t>Relatório Estatistika Saúde - 2011</w:t>
      </w:r>
      <w:r w:rsidRPr="0060789F">
        <w:rPr>
          <w:w w:val="103"/>
        </w:rPr>
        <w:t>), Ministry of Health, Cabinet for health information system and epidemiological tracking, Dili, 2013, p.14</w:t>
      </w:r>
      <w:r w:rsidRPr="0060789F">
        <w:rPr>
          <w:rFonts w:hint="cs"/>
          <w:w w:val="103"/>
          <w:rtl/>
        </w:rPr>
        <w:t>.</w:t>
      </w:r>
    </w:p>
  </w:footnote>
  <w:footnote w:id="209">
    <w:p w:rsidR="00846BF8" w:rsidRPr="0060789F" w:rsidRDefault="00846BF8" w:rsidP="0008348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 207 و 208 صفحة 15</w:t>
      </w:r>
      <w:r w:rsidRPr="0060789F">
        <w:rPr>
          <w:rFonts w:hint="cs"/>
          <w:w w:val="103"/>
          <w:rtl/>
        </w:rPr>
        <w:t>.</w:t>
      </w:r>
    </w:p>
  </w:footnote>
  <w:footnote w:id="210">
    <w:p w:rsidR="00846BF8" w:rsidRPr="0060789F" w:rsidRDefault="00846BF8" w:rsidP="00083488">
      <w:pPr>
        <w:pStyle w:val="FootnoteText"/>
        <w:tabs>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Health Statistics Report – 2011’ (Relatório Estatistika Saúde - 2011), Ministry of Health, Cabinet for health information system and epidemiological tracking, Dili, 2012, p.2</w:t>
      </w:r>
      <w:r w:rsidRPr="0060789F">
        <w:rPr>
          <w:rFonts w:hint="cs"/>
          <w:w w:val="103"/>
          <w:rtl/>
        </w:rPr>
        <w:t>،.</w:t>
      </w:r>
    </w:p>
  </w:footnote>
  <w:footnote w:id="211">
    <w:p w:rsidR="00846BF8" w:rsidRPr="0060789F" w:rsidRDefault="00846BF8" w:rsidP="0008348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مقابلة مع السيد خواو دا سيلفا، وزارة الصحة</w:t>
      </w:r>
      <w:r w:rsidRPr="0060789F">
        <w:rPr>
          <w:rFonts w:hint="cs"/>
          <w:w w:val="103"/>
          <w:rtl/>
        </w:rPr>
        <w:t xml:space="preserve"> </w:t>
      </w:r>
      <w:r w:rsidRPr="0060789F">
        <w:rPr>
          <w:w w:val="103"/>
          <w:rtl/>
        </w:rPr>
        <w:t>- إدارة نظام المعلومات الإدارية الصحية، ديلي، شباط/</w:t>
      </w:r>
      <w:r w:rsidRPr="0060789F">
        <w:rPr>
          <w:rFonts w:hint="cs"/>
          <w:w w:val="103"/>
          <w:rtl/>
        </w:rPr>
        <w:t xml:space="preserve"> </w:t>
      </w:r>
      <w:r w:rsidRPr="0060789F">
        <w:rPr>
          <w:w w:val="103"/>
          <w:rtl/>
        </w:rPr>
        <w:t>فبراير</w:t>
      </w:r>
      <w:r w:rsidRPr="0060789F">
        <w:rPr>
          <w:rFonts w:hint="cs"/>
          <w:w w:val="103"/>
          <w:rtl/>
        </w:rPr>
        <w:t> </w:t>
      </w:r>
      <w:r w:rsidRPr="0060789F">
        <w:rPr>
          <w:w w:val="103"/>
          <w:rtl/>
        </w:rPr>
        <w:t>2013</w:t>
      </w:r>
      <w:r w:rsidRPr="0060789F">
        <w:rPr>
          <w:rFonts w:hint="cs"/>
          <w:w w:val="103"/>
          <w:rtl/>
        </w:rPr>
        <w:t>.</w:t>
      </w:r>
    </w:p>
  </w:footnote>
  <w:footnote w:id="212">
    <w:p w:rsidR="00846BF8" w:rsidRPr="0060789F" w:rsidRDefault="00846BF8" w:rsidP="0008348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مقابلة أجريت مع نائبة وزير الصحة، السيدة ناتاليا دي أروخو، ديلي، كانون الثاني/يناير 2013</w:t>
      </w:r>
      <w:r w:rsidRPr="0060789F">
        <w:rPr>
          <w:rFonts w:hint="cs"/>
          <w:w w:val="103"/>
          <w:rtl/>
        </w:rPr>
        <w:t>.</w:t>
      </w:r>
    </w:p>
  </w:footnote>
  <w:footnote w:id="213">
    <w:p w:rsidR="00846BF8" w:rsidRPr="0060789F" w:rsidRDefault="00846BF8" w:rsidP="0008348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مقابلة مع مسليزا فيتال، وزارة الصحة، الإدارة المعنية بصحة الأم والطفل، ديلي، شباط/فبراير 2013</w:t>
      </w:r>
      <w:r w:rsidRPr="0060789F">
        <w:rPr>
          <w:rFonts w:hint="cs"/>
          <w:w w:val="103"/>
          <w:rtl/>
        </w:rPr>
        <w:t>.</w:t>
      </w:r>
    </w:p>
  </w:footnote>
  <w:footnote w:id="214">
    <w:p w:rsidR="00846BF8" w:rsidRPr="0060789F" w:rsidRDefault="00846BF8" w:rsidP="0008348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Goodbye conflict, Welcome development report, AMP government snapshot (2007-2012), Dili, 2012</w:t>
      </w:r>
      <w:r w:rsidRPr="0060789F">
        <w:rPr>
          <w:w w:val="103"/>
          <w:rtl/>
        </w:rPr>
        <w:t xml:space="preserve"> تقرير بعنوان </w:t>
      </w:r>
      <w:r w:rsidRPr="0060789F">
        <w:rPr>
          <w:rFonts w:hint="cs"/>
          <w:w w:val="103"/>
          <w:rtl/>
        </w:rPr>
        <w:t>”</w:t>
      </w:r>
      <w:r w:rsidRPr="0060789F">
        <w:rPr>
          <w:w w:val="103"/>
          <w:rtl/>
        </w:rPr>
        <w:t>وداعا للنزاع، ومرحبا بالتنمية</w:t>
      </w:r>
      <w:r w:rsidRPr="0060789F">
        <w:rPr>
          <w:rFonts w:hint="cs"/>
          <w:w w:val="103"/>
          <w:rtl/>
        </w:rPr>
        <w:t>“</w:t>
      </w:r>
      <w:r w:rsidRPr="0060789F">
        <w:rPr>
          <w:w w:val="103"/>
          <w:rtl/>
        </w:rPr>
        <w:t xml:space="preserve"> (2007-2012) تقرير سريع صادر عن حكومة التحالف، ديلي،</w:t>
      </w:r>
      <w:r w:rsidRPr="0060789F">
        <w:rPr>
          <w:rFonts w:hint="cs"/>
          <w:w w:val="103"/>
          <w:rtl/>
        </w:rPr>
        <w:t> </w:t>
      </w:r>
      <w:r w:rsidRPr="0060789F">
        <w:rPr>
          <w:w w:val="103"/>
          <w:rtl/>
        </w:rPr>
        <w:t>2012</w:t>
      </w:r>
      <w:r w:rsidRPr="0060789F">
        <w:rPr>
          <w:rFonts w:hint="cs"/>
          <w:w w:val="103"/>
          <w:rtl/>
        </w:rPr>
        <w:t>.</w:t>
      </w:r>
    </w:p>
  </w:footnote>
  <w:footnote w:id="215">
    <w:p w:rsidR="00846BF8" w:rsidRPr="0060789F" w:rsidRDefault="00846BF8" w:rsidP="0008348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Health Sector Strategic Plan Support Project’, The World Bank, 2012</w:t>
      </w:r>
      <w:r w:rsidRPr="0060789F">
        <w:rPr>
          <w:rFonts w:hint="cs"/>
          <w:w w:val="103"/>
          <w:rtl/>
        </w:rPr>
        <w:t>،</w:t>
      </w:r>
      <w:r w:rsidRPr="0060789F">
        <w:rPr>
          <w:w w:val="103"/>
          <w:rtl/>
        </w:rPr>
        <w:t xml:space="preserve"> مشروع دعم الخطة الاستراتيجية لقطاع الصحة، البنك الدولي،</w:t>
      </w:r>
      <w:r w:rsidRPr="0060789F">
        <w:rPr>
          <w:rFonts w:hint="cs"/>
          <w:w w:val="103"/>
          <w:rtl/>
        </w:rPr>
        <w:t> </w:t>
      </w:r>
      <w:r w:rsidRPr="0060789F">
        <w:rPr>
          <w:w w:val="103"/>
          <w:rtl/>
        </w:rPr>
        <w:t>2012</w:t>
      </w:r>
      <w:r w:rsidRPr="0060789F">
        <w:rPr>
          <w:rFonts w:hint="cs"/>
          <w:w w:val="103"/>
          <w:rtl/>
        </w:rPr>
        <w:t>.</w:t>
      </w:r>
    </w:p>
  </w:footnote>
  <w:footnote w:id="216">
    <w:p w:rsidR="00846BF8" w:rsidRPr="0060789F" w:rsidRDefault="00846BF8" w:rsidP="0008348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Goodbye conflict, Welcome development’ report, AMP government snapshot (2007-2012), Dili, 2012</w:t>
      </w:r>
      <w:r w:rsidRPr="0060789F">
        <w:rPr>
          <w:rFonts w:hint="cs"/>
          <w:w w:val="103"/>
          <w:rtl/>
        </w:rPr>
        <w:t>.</w:t>
      </w:r>
    </w:p>
  </w:footnote>
  <w:footnote w:id="217">
    <w:p w:rsidR="00846BF8" w:rsidRPr="0060789F" w:rsidRDefault="00846BF8" w:rsidP="0008348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Health Sector Strategic Plan Support Project, The World Bank, 2012</w:t>
      </w:r>
      <w:r w:rsidRPr="0060789F">
        <w:rPr>
          <w:rFonts w:hint="cs"/>
          <w:w w:val="103"/>
          <w:rtl/>
        </w:rPr>
        <w:t>.</w:t>
      </w:r>
    </w:p>
  </w:footnote>
  <w:footnote w:id="218">
    <w:p w:rsidR="00846BF8" w:rsidRPr="0060789F" w:rsidRDefault="00846BF8" w:rsidP="0008348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Goodbye conflict, Welcome development’ report, AMP government snapshot (2007-2012), Dili, 2012</w:t>
      </w:r>
      <w:r w:rsidRPr="0060789F">
        <w:rPr>
          <w:rFonts w:hint="cs"/>
          <w:w w:val="103"/>
          <w:rtl/>
        </w:rPr>
        <w:t>.</w:t>
      </w:r>
    </w:p>
  </w:footnote>
  <w:footnote w:id="219">
    <w:p w:rsidR="00846BF8" w:rsidRPr="0060789F" w:rsidRDefault="00846BF8" w:rsidP="0008348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Health Statistics Report – 2011’ (</w:t>
      </w:r>
      <w:r w:rsidRPr="0060789F">
        <w:rPr>
          <w:i/>
          <w:iCs/>
          <w:w w:val="103"/>
        </w:rPr>
        <w:t>Relatório Estatistika Saúde - 2011</w:t>
      </w:r>
      <w:r w:rsidRPr="0060789F">
        <w:rPr>
          <w:w w:val="103"/>
        </w:rPr>
        <w:t>), Ministry of Health, Cabinet for health information system and epidemiological tracking, Dili, 2012, p.8</w:t>
      </w:r>
      <w:r w:rsidRPr="0060789F">
        <w:rPr>
          <w:rFonts w:hint="cs"/>
          <w:w w:val="103"/>
          <w:rtl/>
        </w:rPr>
        <w:t>.</w:t>
      </w:r>
    </w:p>
  </w:footnote>
  <w:footnote w:id="220">
    <w:p w:rsidR="00846BF8" w:rsidRPr="0060789F" w:rsidRDefault="00846BF8" w:rsidP="0008348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w w:val="103"/>
        </w:rPr>
        <w:t>National Health Sector Strategic Plan, situation analysis section, Ministry of Health, Dili, 2011, p.12</w:t>
      </w:r>
      <w:r w:rsidRPr="0060789F">
        <w:rPr>
          <w:rFonts w:hint="cs"/>
          <w:w w:val="103"/>
          <w:rtl/>
        </w:rPr>
        <w:t>.</w:t>
      </w:r>
    </w:p>
  </w:footnote>
  <w:footnote w:id="221">
    <w:p w:rsidR="00846BF8" w:rsidRPr="0060789F" w:rsidRDefault="00846BF8" w:rsidP="00083488">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 الصفحة 71</w:t>
      </w:r>
      <w:r w:rsidRPr="0060789F">
        <w:rPr>
          <w:rFonts w:hint="cs"/>
          <w:w w:val="103"/>
          <w:rtl/>
        </w:rPr>
        <w:t>.</w:t>
      </w:r>
    </w:p>
  </w:footnote>
  <w:footnote w:id="222">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lang w:bidi="ar-EG"/>
        </w:rPr>
        <w:t>(</w:t>
      </w:r>
      <w:r w:rsidRPr="0060789F">
        <w:rPr>
          <w:rStyle w:val="FootnoteReference"/>
          <w:spacing w:val="0"/>
          <w:w w:val="103"/>
          <w:vertAlign w:val="baseline"/>
          <w:rtl/>
        </w:rPr>
        <w:footnoteRef/>
      </w:r>
      <w:r w:rsidRPr="0060789F">
        <w:rPr>
          <w:w w:val="103"/>
          <w:rtl/>
          <w:lang w:bidi="ar-EG"/>
        </w:rPr>
        <w:t>)</w:t>
      </w:r>
      <w:r w:rsidRPr="0060789F">
        <w:rPr>
          <w:w w:val="103"/>
          <w:rtl/>
        </w:rPr>
        <w:tab/>
        <w:t>الاستقصاء الديمغرافي والصحي لعام 2009، ص 100.</w:t>
      </w:r>
    </w:p>
  </w:footnote>
  <w:footnote w:id="223">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rPr>
      </w:pPr>
      <w:r w:rsidRPr="0060789F">
        <w:rPr>
          <w:rtl/>
        </w:rPr>
        <w:tab/>
      </w:r>
      <w:r w:rsidRPr="0060789F">
        <w:rPr>
          <w:w w:val="103"/>
          <w:rtl/>
          <w:lang w:bidi="ar-EG"/>
        </w:rPr>
        <w:t>(</w:t>
      </w:r>
      <w:r w:rsidRPr="0060789F">
        <w:rPr>
          <w:rStyle w:val="FootnoteReference"/>
          <w:spacing w:val="0"/>
          <w:w w:val="103"/>
          <w:vertAlign w:val="baseline"/>
          <w:rtl/>
        </w:rPr>
        <w:footnoteRef/>
      </w:r>
      <w:r w:rsidRPr="0060789F">
        <w:rPr>
          <w:w w:val="103"/>
          <w:rtl/>
          <w:lang w:bidi="ar-EG"/>
        </w:rPr>
        <w:t>)</w:t>
      </w:r>
      <w:r w:rsidRPr="0060789F">
        <w:rPr>
          <w:w w:val="103"/>
          <w:rtl/>
        </w:rPr>
        <w:tab/>
      </w:r>
      <w:r w:rsidRPr="0060789F">
        <w:rPr>
          <w:rFonts w:hint="cs"/>
          <w:rtl/>
        </w:rPr>
        <w:t>المرجع نفسه، ص 101.</w:t>
      </w:r>
    </w:p>
  </w:footnote>
  <w:footnote w:id="224">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lang w:bidi="ar-EG"/>
        </w:rPr>
        <w:t>(</w:t>
      </w:r>
      <w:r w:rsidRPr="0060789F">
        <w:rPr>
          <w:rStyle w:val="FootnoteReference"/>
          <w:spacing w:val="0"/>
          <w:w w:val="103"/>
          <w:vertAlign w:val="baseline"/>
          <w:rtl/>
        </w:rPr>
        <w:footnoteRef/>
      </w:r>
      <w:r w:rsidRPr="0060789F">
        <w:rPr>
          <w:w w:val="103"/>
          <w:rtl/>
          <w:lang w:bidi="ar-EG"/>
        </w:rPr>
        <w:t>)</w:t>
      </w:r>
      <w:r w:rsidRPr="0060789F">
        <w:rPr>
          <w:w w:val="103"/>
          <w:rtl/>
        </w:rPr>
        <w:tab/>
        <w:t>المرجع نفسه.</w:t>
      </w:r>
    </w:p>
  </w:footnote>
  <w:footnote w:id="225">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lang w:bidi="ar-EG"/>
        </w:rPr>
        <w:t>(</w:t>
      </w:r>
      <w:r w:rsidRPr="0060789F">
        <w:rPr>
          <w:rStyle w:val="FootnoteReference"/>
          <w:spacing w:val="0"/>
          <w:w w:val="103"/>
          <w:vertAlign w:val="baseline"/>
          <w:rtl/>
        </w:rPr>
        <w:footnoteRef/>
      </w:r>
      <w:r w:rsidRPr="0060789F">
        <w:rPr>
          <w:w w:val="103"/>
          <w:rtl/>
          <w:lang w:bidi="ar-EG"/>
        </w:rPr>
        <w:t>)</w:t>
      </w:r>
      <w:r w:rsidRPr="0060789F">
        <w:rPr>
          <w:w w:val="103"/>
          <w:rtl/>
        </w:rPr>
        <w:tab/>
        <w:t>المرجع نفسه، ص 66</w:t>
      </w:r>
      <w:r w:rsidRPr="0060789F">
        <w:rPr>
          <w:rFonts w:hint="cs"/>
          <w:w w:val="103"/>
          <w:rtl/>
        </w:rPr>
        <w:t>.</w:t>
      </w:r>
    </w:p>
  </w:footnote>
  <w:footnote w:id="226">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lang w:bidi="ar-EG"/>
        </w:rPr>
        <w:t>(</w:t>
      </w:r>
      <w:r w:rsidRPr="0060789F">
        <w:rPr>
          <w:rStyle w:val="FootnoteReference"/>
          <w:spacing w:val="0"/>
          <w:w w:val="103"/>
          <w:vertAlign w:val="baseline"/>
          <w:rtl/>
        </w:rPr>
        <w:footnoteRef/>
      </w:r>
      <w:r w:rsidRPr="0060789F">
        <w:rPr>
          <w:w w:val="103"/>
          <w:rtl/>
          <w:lang w:bidi="ar-EG"/>
        </w:rPr>
        <w:t>)</w:t>
      </w:r>
      <w:r w:rsidRPr="0060789F">
        <w:rPr>
          <w:w w:val="103"/>
          <w:rtl/>
        </w:rPr>
        <w:tab/>
        <w:t>المرجع نفسه، 207 و 208، ص 28</w:t>
      </w:r>
      <w:r w:rsidRPr="0060789F">
        <w:rPr>
          <w:rFonts w:hint="cs"/>
          <w:w w:val="103"/>
          <w:rtl/>
        </w:rPr>
        <w:t>.</w:t>
      </w:r>
    </w:p>
  </w:footnote>
  <w:footnote w:id="227">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 ص 95</w:t>
      </w:r>
      <w:r w:rsidRPr="0060789F">
        <w:rPr>
          <w:rFonts w:hint="cs"/>
          <w:w w:val="103"/>
          <w:rtl/>
        </w:rPr>
        <w:t>.</w:t>
      </w:r>
    </w:p>
  </w:footnote>
  <w:footnote w:id="228">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lang w:bidi="ar-EG"/>
        </w:rPr>
        <w:t>(</w:t>
      </w:r>
      <w:r w:rsidRPr="0060789F">
        <w:rPr>
          <w:rStyle w:val="FootnoteReference"/>
          <w:spacing w:val="0"/>
          <w:w w:val="103"/>
          <w:vertAlign w:val="baseline"/>
          <w:rtl/>
        </w:rPr>
        <w:footnoteRef/>
      </w:r>
      <w:r w:rsidRPr="0060789F">
        <w:rPr>
          <w:w w:val="103"/>
          <w:rtl/>
          <w:lang w:bidi="ar-EG"/>
        </w:rPr>
        <w:t>)</w:t>
      </w:r>
      <w:r w:rsidRPr="0060789F">
        <w:rPr>
          <w:w w:val="103"/>
          <w:rtl/>
        </w:rPr>
        <w:tab/>
      </w:r>
      <w:r w:rsidRPr="0060789F">
        <w:t>‘Goodbye conflict, Welcome development’ report, AMP government snapshot (2007-2012), Dili, 2012</w:t>
      </w:r>
      <w:r w:rsidRPr="0060789F">
        <w:rPr>
          <w:rFonts w:hint="cs"/>
          <w:rtl/>
        </w:rPr>
        <w:t>.</w:t>
      </w:r>
    </w:p>
  </w:footnote>
  <w:footnote w:id="229">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rtl/>
          <w:lang w:bidi="ar-EG"/>
        </w:rPr>
        <w:t>إحصاءات إدارة الصحة العقلية بوزارة الصحة، ديلي، 2013.</w:t>
      </w:r>
    </w:p>
  </w:footnote>
  <w:footnote w:id="230">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sz w:val="18"/>
          <w:szCs w:val="18"/>
        </w:rPr>
        <w:t>World Bank, “A 2009 update of poverty incidence in Timor-Leste using the Survey-to-Survey Imputation Method”</w:t>
      </w:r>
      <w:r w:rsidRPr="0060789F">
        <w:rPr>
          <w:rFonts w:hint="cs"/>
          <w:sz w:val="26"/>
          <w:rtl/>
        </w:rPr>
        <w:t>. وقد تم تحديد خط الفقر الوطني بمبلغ 0.88 دولارا أمريكيا للفرد يوميا في عام</w:t>
      </w:r>
      <w:r w:rsidRPr="0060789F">
        <w:rPr>
          <w:rFonts w:hint="eastAsia"/>
          <w:sz w:val="26"/>
          <w:rtl/>
        </w:rPr>
        <w:t> </w:t>
      </w:r>
      <w:r w:rsidRPr="0060789F">
        <w:rPr>
          <w:rFonts w:hint="cs"/>
          <w:sz w:val="26"/>
          <w:rtl/>
        </w:rPr>
        <w:t>2007.</w:t>
      </w:r>
    </w:p>
  </w:footnote>
  <w:footnote w:id="231">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lang w:bidi="ar-EG"/>
        </w:rPr>
        <w:t>(</w:t>
      </w:r>
      <w:r w:rsidRPr="0060789F">
        <w:rPr>
          <w:rStyle w:val="FootnoteReference"/>
          <w:spacing w:val="0"/>
          <w:w w:val="103"/>
          <w:vertAlign w:val="baseline"/>
          <w:rtl/>
        </w:rPr>
        <w:footnoteRef/>
      </w:r>
      <w:r w:rsidRPr="0060789F">
        <w:rPr>
          <w:w w:val="103"/>
          <w:rtl/>
          <w:lang w:bidi="ar-EG"/>
        </w:rPr>
        <w:t>)</w:t>
      </w:r>
      <w:r w:rsidRPr="0060789F">
        <w:rPr>
          <w:w w:val="103"/>
          <w:rtl/>
        </w:rPr>
        <w:tab/>
      </w:r>
      <w:r w:rsidRPr="0060789F">
        <w:rPr>
          <w:szCs w:val="18"/>
        </w:rPr>
        <w:t>Report of the Special Rapporteur on extreme poverty and human rights, Magdalena Sepúlveda Carmona, May 2012</w:t>
      </w:r>
      <w:r w:rsidRPr="0060789F">
        <w:rPr>
          <w:rFonts w:hint="cs"/>
          <w:szCs w:val="18"/>
          <w:rtl/>
        </w:rPr>
        <w:t>.</w:t>
      </w:r>
    </w:p>
  </w:footnote>
  <w:footnote w:id="232">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szCs w:val="18"/>
        </w:rPr>
        <w:t>Timor-Leste Census 2010, Volume 2, Dili, p.54</w:t>
      </w:r>
      <w:r w:rsidRPr="0060789F">
        <w:rPr>
          <w:rFonts w:hint="cs"/>
          <w:szCs w:val="18"/>
          <w:rtl/>
        </w:rPr>
        <w:t>.</w:t>
      </w:r>
    </w:p>
  </w:footnote>
  <w:footnote w:id="233">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lang w:bidi="ar-EG"/>
        </w:rPr>
        <w:t>(</w:t>
      </w:r>
      <w:r w:rsidRPr="0060789F">
        <w:rPr>
          <w:rStyle w:val="FootnoteReference"/>
          <w:spacing w:val="0"/>
          <w:w w:val="103"/>
          <w:vertAlign w:val="baseline"/>
          <w:rtl/>
        </w:rPr>
        <w:footnoteRef/>
      </w:r>
      <w:r w:rsidRPr="0060789F">
        <w:rPr>
          <w:w w:val="103"/>
          <w:rtl/>
          <w:lang w:bidi="ar-EG"/>
        </w:rPr>
        <w:t>)</w:t>
      </w:r>
      <w:r w:rsidRPr="0060789F">
        <w:rPr>
          <w:w w:val="103"/>
          <w:rtl/>
        </w:rPr>
        <w:tab/>
      </w:r>
      <w:r w:rsidRPr="0060789F">
        <w:rPr>
          <w:szCs w:val="18"/>
        </w:rPr>
        <w:t>MSS annual gender report – 2010/11, Ministry of Social Solidarity, Dili, 2012, p.12</w:t>
      </w:r>
      <w:r w:rsidRPr="0060789F">
        <w:rPr>
          <w:rFonts w:hint="cs"/>
          <w:szCs w:val="18"/>
          <w:rtl/>
        </w:rPr>
        <w:t>.</w:t>
      </w:r>
    </w:p>
  </w:footnote>
  <w:footnote w:id="234">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rtl/>
        </w:rPr>
        <w:t>المرجع نفسه.</w:t>
      </w:r>
    </w:p>
  </w:footnote>
  <w:footnote w:id="235">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szCs w:val="18"/>
        </w:rPr>
        <w:t>Timor-Leste Census 2010, Volume 3, Dili, p.340</w:t>
      </w:r>
      <w:r w:rsidRPr="0060789F">
        <w:rPr>
          <w:rFonts w:hint="cs"/>
          <w:sz w:val="26"/>
          <w:rtl/>
        </w:rPr>
        <w:t>. ونظرا لأن من الممكن أن يعاني الشخص من نوع واحد أو عدة أنواع من الإعاقة، فإن مجموع هذه الأرقام يتجاوز العدد الإجمالي للأشخاص ذوي الإعاقة.</w:t>
      </w:r>
    </w:p>
  </w:footnote>
  <w:footnote w:id="236">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lang w:bidi="ar-EG"/>
        </w:rPr>
        <w:t>(</w:t>
      </w:r>
      <w:r w:rsidRPr="0060789F">
        <w:rPr>
          <w:rStyle w:val="FootnoteReference"/>
          <w:spacing w:val="0"/>
          <w:w w:val="103"/>
          <w:vertAlign w:val="baseline"/>
          <w:rtl/>
        </w:rPr>
        <w:footnoteRef/>
      </w:r>
      <w:r w:rsidRPr="0060789F">
        <w:rPr>
          <w:w w:val="103"/>
          <w:rtl/>
          <w:lang w:bidi="ar-EG"/>
        </w:rPr>
        <w:t>)</w:t>
      </w:r>
      <w:r w:rsidRPr="0060789F">
        <w:rPr>
          <w:w w:val="103"/>
          <w:rtl/>
        </w:rPr>
        <w:tab/>
      </w:r>
      <w:r w:rsidRPr="0060789F">
        <w:rPr>
          <w:szCs w:val="18"/>
        </w:rPr>
        <w:t>MSS annual gender report – 2010/11, Ministry of Social Solidarity, Dili, 2012, p.13</w:t>
      </w:r>
      <w:r w:rsidRPr="0060789F">
        <w:rPr>
          <w:rFonts w:hint="cs"/>
          <w:szCs w:val="18"/>
          <w:rtl/>
        </w:rPr>
        <w:t>.</w:t>
      </w:r>
    </w:p>
  </w:footnote>
  <w:footnote w:id="237">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szCs w:val="18"/>
        </w:rPr>
        <w:t>Programme of the Vth Constitutional Government, 2012-2017, Dili, 2012 , pg. 20</w:t>
      </w:r>
      <w:r w:rsidRPr="0060789F">
        <w:rPr>
          <w:rFonts w:hint="cs"/>
          <w:szCs w:val="18"/>
          <w:rtl/>
        </w:rPr>
        <w:t>.</w:t>
      </w:r>
    </w:p>
  </w:footnote>
  <w:footnote w:id="238">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rFonts w:hint="cs"/>
          <w:rtl/>
          <w:lang w:bidi="ar-EG"/>
        </w:rPr>
        <w:t>لم تعد موجودة في الحكومة الدستورية الخامسة.</w:t>
      </w:r>
    </w:p>
  </w:footnote>
  <w:footnote w:id="239">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szCs w:val="18"/>
        </w:rPr>
        <w:t>SEPI – Monitoring and Evaluation Department’s response to CEDAW questionnaire, Dili, Nov. 2012</w:t>
      </w:r>
      <w:r w:rsidRPr="0060789F">
        <w:rPr>
          <w:rFonts w:hint="cs"/>
          <w:szCs w:val="18"/>
          <w:rtl/>
        </w:rPr>
        <w:t>.</w:t>
      </w:r>
    </w:p>
  </w:footnote>
  <w:footnote w:id="240">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t>Gender-sensitive Targets and Indicators in the 2011 National Priorities, Ministry of Finance, Dili, 2011</w:t>
      </w:r>
      <w:r w:rsidRPr="0060789F">
        <w:rPr>
          <w:rFonts w:hint="cs"/>
          <w:rtl/>
        </w:rPr>
        <w:t>.</w:t>
      </w:r>
    </w:p>
  </w:footnote>
  <w:footnote w:id="241">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rPr>
          <w:szCs w:val="18"/>
        </w:rPr>
        <w:t>Timor-Leste Strategic Development Plan 2011-2030, Office of the Prime Minister, Dili, 2011</w:t>
      </w:r>
      <w:r w:rsidRPr="0060789F">
        <w:rPr>
          <w:rFonts w:hint="cs"/>
          <w:szCs w:val="18"/>
          <w:rtl/>
        </w:rPr>
        <w:t>.</w:t>
      </w:r>
    </w:p>
  </w:footnote>
  <w:footnote w:id="242">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t>Decree-Law N° 3/2011 on ‘Transformation of the Institute of Microfinance into a public company limited capital’, Dili, Jan. 2011</w:t>
      </w:r>
      <w:r w:rsidRPr="0060789F">
        <w:rPr>
          <w:rFonts w:hint="cs"/>
          <w:rtl/>
        </w:rPr>
        <w:t>.</w:t>
      </w:r>
    </w:p>
  </w:footnote>
  <w:footnote w:id="243">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t>Programme of the Vth Constitutional Government of Timor-Leste, Office of the Prime Minister, Dili, 2012</w:t>
      </w:r>
      <w:r w:rsidRPr="0060789F">
        <w:rPr>
          <w:rFonts w:hint="cs"/>
          <w:rtl/>
        </w:rPr>
        <w:t>.</w:t>
      </w:r>
    </w:p>
  </w:footnote>
  <w:footnote w:id="244">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r>
      <w:r w:rsidRPr="0060789F">
        <w:t>INFUSE Outreach reporting data, Dili, Feb. 2013</w:t>
      </w:r>
      <w:r w:rsidRPr="0060789F">
        <w:rPr>
          <w:rFonts w:hint="cs"/>
          <w:rtl/>
        </w:rPr>
        <w:t>.</w:t>
      </w:r>
    </w:p>
  </w:footnote>
  <w:footnote w:id="245">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تطوير التأمين البالغ الصغر في تيمور</w:t>
      </w:r>
      <w:r w:rsidRPr="0060789F">
        <w:rPr>
          <w:rFonts w:hint="cs"/>
          <w:w w:val="103"/>
          <w:rtl/>
        </w:rPr>
        <w:t xml:space="preserve"> </w:t>
      </w:r>
      <w:r w:rsidRPr="0060789F">
        <w:rPr>
          <w:w w:val="103"/>
          <w:rtl/>
        </w:rPr>
        <w:t>-</w:t>
      </w:r>
      <w:r w:rsidRPr="0060789F">
        <w:rPr>
          <w:rFonts w:hint="cs"/>
          <w:w w:val="103"/>
          <w:rtl/>
        </w:rPr>
        <w:t xml:space="preserve"> </w:t>
      </w:r>
      <w:r w:rsidRPr="0060789F">
        <w:rPr>
          <w:w w:val="103"/>
          <w:rtl/>
        </w:rPr>
        <w:t>ليشتي، مذكرات محورية - برنامج الإدماج المالي لمنطقة المحيط الهادئ، تشرين الثاني/نوفمبر 2012</w:t>
      </w:r>
      <w:r w:rsidRPr="0060789F">
        <w:rPr>
          <w:rFonts w:hint="cs"/>
          <w:w w:val="103"/>
          <w:rtl/>
        </w:rPr>
        <w:t>.</w:t>
      </w:r>
    </w:p>
  </w:footnote>
  <w:footnote w:id="246">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r>
      <w:r w:rsidRPr="0060789F">
        <w:rPr>
          <w:w w:val="103"/>
        </w:rPr>
        <w:t>‘New micro-insurance protects women’s livelihoods’, INFUSE/UNDP Timor-Leste, Dili, Jan. 2013</w:t>
      </w:r>
      <w:r w:rsidRPr="0060789F">
        <w:rPr>
          <w:rFonts w:hint="cs"/>
          <w:w w:val="103"/>
          <w:rtl/>
        </w:rPr>
        <w:t>.</w:t>
      </w:r>
    </w:p>
  </w:footnote>
  <w:footnote w:id="247">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تطوير التأمين البالغ الصغر في تيمور</w:t>
      </w:r>
      <w:r w:rsidRPr="0060789F">
        <w:rPr>
          <w:rFonts w:hint="cs"/>
          <w:w w:val="103"/>
          <w:rtl/>
        </w:rPr>
        <w:t xml:space="preserve"> </w:t>
      </w:r>
      <w:r w:rsidRPr="0060789F">
        <w:rPr>
          <w:w w:val="103"/>
          <w:rtl/>
        </w:rPr>
        <w:t>-</w:t>
      </w:r>
      <w:r w:rsidRPr="0060789F">
        <w:rPr>
          <w:rFonts w:hint="cs"/>
          <w:w w:val="103"/>
          <w:rtl/>
        </w:rPr>
        <w:t xml:space="preserve"> </w:t>
      </w:r>
      <w:r w:rsidRPr="0060789F">
        <w:rPr>
          <w:w w:val="103"/>
          <w:rtl/>
        </w:rPr>
        <w:t>ليشتي، مذكرات محورية - برنامج الإدماج المالي لمنطقة المحيط الهادئ، تشرين الثاني/نوفمبر 2012</w:t>
      </w:r>
    </w:p>
  </w:footnote>
  <w:footnote w:id="248">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تعداد عام 2010، المجلد 1، ديلي، 2010، الصفحة 11</w:t>
      </w:r>
      <w:r w:rsidRPr="0060789F">
        <w:rPr>
          <w:rFonts w:hint="cs"/>
          <w:w w:val="103"/>
          <w:rtl/>
        </w:rPr>
        <w:t>.</w:t>
      </w:r>
    </w:p>
  </w:footnote>
  <w:footnote w:id="249">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 xml:space="preserve">تقرير مجلس الوزراء، كانون الثاني/يناير 2013، </w:t>
      </w:r>
      <w:hyperlink r:id="rId3" w:history="1">
        <w:r w:rsidRPr="0060789F">
          <w:rPr>
            <w:rStyle w:val="Hyperlink"/>
            <w:w w:val="103"/>
          </w:rPr>
          <w:t>http://timor-leste.gov.tl/?p=7699&amp;amp;lang=en</w:t>
        </w:r>
      </w:hyperlink>
      <w:r w:rsidRPr="0060789F">
        <w:rPr>
          <w:rFonts w:hint="cs"/>
          <w:w w:val="103"/>
          <w:rtl/>
        </w:rPr>
        <w:t xml:space="preserve"> (1</w:t>
      </w:r>
      <w:r w:rsidRPr="0060789F">
        <w:rPr>
          <w:rFonts w:hint="eastAsia"/>
          <w:w w:val="103"/>
          <w:rtl/>
        </w:rPr>
        <w:t> </w:t>
      </w:r>
      <w:r w:rsidRPr="0060789F">
        <w:rPr>
          <w:w w:val="103"/>
          <w:rtl/>
        </w:rPr>
        <w:t>آذار/مارس 2013)</w:t>
      </w:r>
      <w:r w:rsidRPr="0060789F">
        <w:rPr>
          <w:rFonts w:hint="cs"/>
          <w:w w:val="103"/>
          <w:rtl/>
        </w:rPr>
        <w:t>.</w:t>
      </w:r>
    </w:p>
  </w:footnote>
  <w:footnote w:id="250">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المرجع نفسه.</w:t>
      </w:r>
    </w:p>
  </w:footnote>
  <w:footnote w:id="251">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 xml:space="preserve">معلومات مقدمة من برنامج بيسيك في حلقة العمل التشاورية الوطنية المتعلقة بالتقرير الدوري للجنة المعنية بالقضاء على التمييز ضد المرأة، 13-14 آذار/مارس 2013 وتم الحصول على معلومات أيضا من تقرير </w:t>
      </w:r>
      <w:r w:rsidRPr="0060789F">
        <w:rPr>
          <w:rFonts w:hint="cs"/>
          <w:w w:val="103"/>
          <w:rtl/>
        </w:rPr>
        <w:t>”</w:t>
      </w:r>
      <w:r w:rsidRPr="0060789F">
        <w:rPr>
          <w:w w:val="103"/>
          <w:rtl/>
        </w:rPr>
        <w:t>التنمية المستدامة في تيمور</w:t>
      </w:r>
      <w:r w:rsidRPr="0060789F">
        <w:rPr>
          <w:rFonts w:hint="cs"/>
          <w:w w:val="103"/>
          <w:rtl/>
        </w:rPr>
        <w:t xml:space="preserve"> </w:t>
      </w:r>
      <w:r w:rsidRPr="0060789F">
        <w:rPr>
          <w:w w:val="103"/>
          <w:rtl/>
        </w:rPr>
        <w:t>-</w:t>
      </w:r>
      <w:r w:rsidRPr="0060789F">
        <w:rPr>
          <w:rFonts w:hint="cs"/>
          <w:w w:val="103"/>
          <w:rtl/>
        </w:rPr>
        <w:t xml:space="preserve"> </w:t>
      </w:r>
      <w:r w:rsidRPr="0060789F">
        <w:rPr>
          <w:w w:val="103"/>
          <w:rtl/>
        </w:rPr>
        <w:t>ليشتي: التقرير الوطني المقدم إلى مؤتمر الأمم المتحدة للتنمية المستدامة</w:t>
      </w:r>
      <w:r w:rsidRPr="0060789F">
        <w:rPr>
          <w:rFonts w:hint="cs"/>
          <w:w w:val="103"/>
          <w:rtl/>
        </w:rPr>
        <w:t>“</w:t>
      </w:r>
      <w:r w:rsidRPr="0060789F">
        <w:rPr>
          <w:w w:val="103"/>
          <w:rtl/>
        </w:rPr>
        <w:t xml:space="preserve"> في</w:t>
      </w:r>
      <w:r w:rsidRPr="0060789F">
        <w:rPr>
          <w:rFonts w:hint="cs"/>
          <w:w w:val="103"/>
          <w:rtl/>
        </w:rPr>
        <w:t> </w:t>
      </w:r>
      <w:r w:rsidRPr="0060789F">
        <w:rPr>
          <w:w w:val="103"/>
          <w:rtl/>
        </w:rPr>
        <w:t>الفترة السابقة لمؤتمر ريو +</w:t>
      </w:r>
      <w:r w:rsidRPr="0060789F">
        <w:rPr>
          <w:rFonts w:hint="cs"/>
          <w:w w:val="103"/>
          <w:rtl/>
        </w:rPr>
        <w:t xml:space="preserve"> </w:t>
      </w:r>
      <w:r w:rsidRPr="0060789F">
        <w:rPr>
          <w:w w:val="103"/>
          <w:rtl/>
        </w:rPr>
        <w:t>20، شباط/فبراير 2012، الصفحات 42-44</w:t>
      </w:r>
      <w:r w:rsidRPr="0060789F">
        <w:rPr>
          <w:rFonts w:hint="cs"/>
          <w:w w:val="103"/>
          <w:rtl/>
        </w:rPr>
        <w:t>.</w:t>
      </w:r>
    </w:p>
  </w:footnote>
  <w:footnote w:id="252">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رد وزارة البنية الأساسية على استبيان اللجنة المعنية بالقضاء على التمييز ضد المرأة، آب/أغسطس 2012 مشفوعا بمعلومات إضافية من برنامج بيسيك في حلقة العمل الاستشارية للجنة المعنية بالقضاء على التمييز ضد المرأة، 13-14 آذار/مارس 2013.</w:t>
      </w:r>
    </w:p>
  </w:footnote>
  <w:footnote w:id="253">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إسهامات مقدمة من جوانا موت، مستشارة المسائل الجنسانية والإدماج الاجتماعي في برنامج بيسيك، ديلي، أيار/مايو 2013</w:t>
      </w:r>
      <w:r w:rsidRPr="0060789F">
        <w:rPr>
          <w:rFonts w:hint="cs"/>
          <w:w w:val="103"/>
          <w:rtl/>
        </w:rPr>
        <w:t>.</w:t>
      </w:r>
    </w:p>
  </w:footnote>
  <w:footnote w:id="254">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 xml:space="preserve">تقرير </w:t>
      </w:r>
      <w:r w:rsidRPr="0060789F">
        <w:rPr>
          <w:rFonts w:hint="cs"/>
          <w:w w:val="103"/>
          <w:rtl/>
        </w:rPr>
        <w:t>”</w:t>
      </w:r>
      <w:r w:rsidRPr="0060789F">
        <w:rPr>
          <w:w w:val="103"/>
          <w:rtl/>
        </w:rPr>
        <w:t>التنمية المستدامة في تيمور-ليشتي: التقرير الوطني المقدم إلى مؤتمر الأمم المتحدة للتنمية المستدامة</w:t>
      </w:r>
      <w:r w:rsidRPr="0060789F">
        <w:rPr>
          <w:rFonts w:hint="cs"/>
          <w:w w:val="103"/>
          <w:rtl/>
        </w:rPr>
        <w:t>“</w:t>
      </w:r>
      <w:r w:rsidRPr="0060789F">
        <w:rPr>
          <w:w w:val="103"/>
          <w:rtl/>
        </w:rPr>
        <w:t xml:space="preserve"> في الفترة السابقة لمؤتمر ريو +</w:t>
      </w:r>
      <w:r w:rsidRPr="0060789F">
        <w:rPr>
          <w:rFonts w:hint="cs"/>
          <w:w w:val="103"/>
          <w:rtl/>
        </w:rPr>
        <w:t xml:space="preserve"> </w:t>
      </w:r>
      <w:r w:rsidRPr="0060789F">
        <w:rPr>
          <w:w w:val="103"/>
          <w:rtl/>
        </w:rPr>
        <w:t>20، شباط/فبراير 2012، الصفحة 36.</w:t>
      </w:r>
    </w:p>
  </w:footnote>
  <w:footnote w:id="255">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رد وزارة الزراعة ومصائد الأسماك على استبيان لجنة وضع المرأة، آب/أغسطس 2011، تشرين</w:t>
      </w:r>
      <w:r w:rsidRPr="0060789F">
        <w:rPr>
          <w:rFonts w:hint="cs"/>
          <w:w w:val="103"/>
          <w:rtl/>
        </w:rPr>
        <w:t> </w:t>
      </w:r>
      <w:r w:rsidRPr="0060789F">
        <w:rPr>
          <w:w w:val="103"/>
          <w:rtl/>
        </w:rPr>
        <w:t>الأول/أكتوبر 2012</w:t>
      </w:r>
      <w:r w:rsidRPr="0060789F">
        <w:rPr>
          <w:rFonts w:hint="cs"/>
          <w:w w:val="103"/>
          <w:rtl/>
        </w:rPr>
        <w:t>.</w:t>
      </w:r>
    </w:p>
  </w:footnote>
  <w:footnote w:id="256">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المرجع نفسه، الصفحة 166‏</w:t>
      </w:r>
      <w:r w:rsidRPr="0060789F">
        <w:rPr>
          <w:w w:val="103"/>
          <w:cs/>
        </w:rPr>
        <w:t>‎</w:t>
      </w:r>
      <w:r w:rsidRPr="0060789F">
        <w:rPr>
          <w:w w:val="103"/>
          <w:rtl/>
        </w:rPr>
        <w:t>.</w:t>
      </w:r>
    </w:p>
  </w:footnote>
  <w:footnote w:id="257">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المرجع نفسه، الصفحة 165‏</w:t>
      </w:r>
      <w:r w:rsidRPr="0060789F">
        <w:rPr>
          <w:w w:val="103"/>
          <w:cs/>
        </w:rPr>
        <w:t>‎</w:t>
      </w:r>
      <w:r w:rsidRPr="0060789F">
        <w:rPr>
          <w:w w:val="103"/>
          <w:rtl/>
        </w:rPr>
        <w:t>.</w:t>
      </w:r>
    </w:p>
  </w:footnote>
  <w:footnote w:id="258">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المرجع نفسه، الصفحة 166‏</w:t>
      </w:r>
      <w:r w:rsidRPr="0060789F">
        <w:rPr>
          <w:w w:val="103"/>
          <w:cs/>
        </w:rPr>
        <w:t>‎</w:t>
      </w:r>
      <w:r w:rsidRPr="0060789F">
        <w:rPr>
          <w:w w:val="103"/>
          <w:rtl/>
        </w:rPr>
        <w:t>.</w:t>
      </w:r>
    </w:p>
  </w:footnote>
  <w:footnote w:id="259">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الاستقصاء الديمغرافي والصحي 2009-1</w:t>
      </w:r>
      <w:r w:rsidRPr="0060789F">
        <w:rPr>
          <w:rFonts w:hint="cs"/>
          <w:w w:val="103"/>
          <w:rtl/>
        </w:rPr>
        <w:t>،</w:t>
      </w:r>
      <w:r w:rsidRPr="0060789F">
        <w:rPr>
          <w:w w:val="103"/>
          <w:rtl/>
        </w:rPr>
        <w:t xml:space="preserve"> الصفحة 147.</w:t>
      </w:r>
    </w:p>
  </w:footnote>
  <w:footnote w:id="260">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المرجع نفسه، الصفحة 150‏</w:t>
      </w:r>
      <w:r w:rsidRPr="0060789F">
        <w:rPr>
          <w:w w:val="103"/>
          <w:cs/>
        </w:rPr>
        <w:t>‎</w:t>
      </w:r>
      <w:r w:rsidRPr="0060789F">
        <w:rPr>
          <w:w w:val="103"/>
          <w:rtl/>
        </w:rPr>
        <w:t>.</w:t>
      </w:r>
    </w:p>
  </w:footnote>
  <w:footnote w:id="261">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 xml:space="preserve">المرجع نفسه، الصفحة 147 (الشركاء الرئيسيون في بدء برامج لمعالجة مشكلة سوء التغذية هم منظمة الصحة العالمية، واليونيسيف، وبرنامج الأغذية العالمي، ووكالة التنمية الدولية التابعة للولايات المتحدة، ومنظمة </w:t>
      </w:r>
      <w:r w:rsidRPr="0060789F">
        <w:rPr>
          <w:rFonts w:hint="cs"/>
          <w:w w:val="103"/>
          <w:rtl/>
        </w:rPr>
        <w:t>”</w:t>
      </w:r>
      <w:r w:rsidRPr="0060789F">
        <w:rPr>
          <w:w w:val="103"/>
          <w:rtl/>
        </w:rPr>
        <w:t>كير</w:t>
      </w:r>
      <w:r w:rsidRPr="0060789F">
        <w:rPr>
          <w:rFonts w:hint="cs"/>
          <w:w w:val="103"/>
          <w:rtl/>
        </w:rPr>
        <w:t>“</w:t>
      </w:r>
      <w:r w:rsidRPr="0060789F">
        <w:rPr>
          <w:w w:val="103"/>
          <w:rtl/>
        </w:rPr>
        <w:t xml:space="preserve"> الدولية ، ومنظمة أوكسفام، ومنظمة الرؤية العالمية، ومؤسسة ألولا، ومنظمة ميديكو دو موندو </w:t>
      </w:r>
      <w:r w:rsidRPr="0060789F">
        <w:rPr>
          <w:w w:val="103"/>
        </w:rPr>
        <w:t>Medico do Mundo</w:t>
      </w:r>
      <w:r w:rsidRPr="0060789F">
        <w:rPr>
          <w:w w:val="103"/>
          <w:rtl/>
        </w:rPr>
        <w:t>، ومنظمة المساعدة في مجال الصحة المتكاملة في تيمور - ليشتي (تايس</w:t>
      </w:r>
      <w:r w:rsidRPr="0060789F">
        <w:rPr>
          <w:w w:val="103"/>
        </w:rPr>
        <w:t>TAIS</w:t>
      </w:r>
      <w:r w:rsidRPr="0060789F">
        <w:rPr>
          <w:w w:val="103"/>
          <w:rtl/>
        </w:rPr>
        <w:t>)، ومنظمات غير حكومية وطنية ودولية أخرى)</w:t>
      </w:r>
      <w:r w:rsidRPr="0060789F">
        <w:rPr>
          <w:rFonts w:hint="cs"/>
          <w:w w:val="103"/>
          <w:rtl/>
        </w:rPr>
        <w:t>.</w:t>
      </w:r>
    </w:p>
  </w:footnote>
  <w:footnote w:id="262">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التقييم الجنساني القطري الذي أجرته الوكالة اليابانية للتعاون الدولي في تيمور</w:t>
      </w:r>
      <w:r w:rsidRPr="0060789F">
        <w:rPr>
          <w:rFonts w:hint="cs"/>
          <w:w w:val="103"/>
          <w:rtl/>
        </w:rPr>
        <w:t xml:space="preserve"> </w:t>
      </w:r>
      <w:r w:rsidRPr="0060789F">
        <w:rPr>
          <w:w w:val="103"/>
          <w:rtl/>
        </w:rPr>
        <w:t>-</w:t>
      </w:r>
      <w:r w:rsidRPr="0060789F">
        <w:rPr>
          <w:rFonts w:hint="cs"/>
          <w:w w:val="103"/>
          <w:rtl/>
        </w:rPr>
        <w:t xml:space="preserve"> </w:t>
      </w:r>
      <w:r w:rsidRPr="0060789F">
        <w:rPr>
          <w:w w:val="103"/>
          <w:rtl/>
        </w:rPr>
        <w:t>ليشتي، 2011 الصفحتان 23-24</w:t>
      </w:r>
      <w:r w:rsidRPr="0060789F">
        <w:rPr>
          <w:rFonts w:hint="cs"/>
          <w:w w:val="103"/>
          <w:rtl/>
        </w:rPr>
        <w:t>.</w:t>
      </w:r>
    </w:p>
  </w:footnote>
  <w:footnote w:id="263">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الخطة الإنمائية الاستراتيجية للفترة 2011-2030، الجزء 3 - تطوير الهياكل الأساسية - الطرق الريفية، الصفحة 76.</w:t>
      </w:r>
    </w:p>
  </w:footnote>
  <w:footnote w:id="264">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الطرق من أجل التنمية، وثيقة المشروع لعام 2012، الصفحة 3.</w:t>
      </w:r>
    </w:p>
  </w:footnote>
  <w:footnote w:id="265">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الخطة الإنمائية الاستراتيجية للفترة 2011-2030، الجزء 3 - تطوير الهياكل الأساسية - الطرق الريفية، الصفحة 76.</w:t>
      </w:r>
    </w:p>
  </w:footnote>
  <w:footnote w:id="266">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الإسهامات التي قدمتها وزارة الدولة لسياسة التدريب المهني والتوظيف خلال حلقة العمل التشاورية التي تمخضت عن هذا التقرير، 13-14 آذار/مارس 2012</w:t>
      </w:r>
      <w:r w:rsidRPr="0060789F">
        <w:rPr>
          <w:rFonts w:hint="cs"/>
          <w:w w:val="103"/>
          <w:rtl/>
        </w:rPr>
        <w:t>.</w:t>
      </w:r>
    </w:p>
  </w:footnote>
  <w:footnote w:id="267">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المرجع نفسه.</w:t>
      </w:r>
    </w:p>
  </w:footnote>
  <w:footnote w:id="268">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الطرق من أجل التنمية، وثيقة المشروع لعام 2012، الصفحة 1.</w:t>
      </w:r>
    </w:p>
  </w:footnote>
  <w:footnote w:id="269">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المرجع نفسه، الصفحة 3‏</w:t>
      </w:r>
      <w:r w:rsidRPr="0060789F">
        <w:rPr>
          <w:w w:val="103"/>
          <w:cs/>
        </w:rPr>
        <w:t>‎</w:t>
      </w:r>
      <w:r w:rsidRPr="0060789F">
        <w:rPr>
          <w:w w:val="103"/>
          <w:rtl/>
        </w:rPr>
        <w:t>.</w:t>
      </w:r>
    </w:p>
  </w:footnote>
  <w:footnote w:id="270">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تعداد سكان تيمور</w:t>
      </w:r>
      <w:r w:rsidRPr="0060789F">
        <w:rPr>
          <w:rFonts w:hint="cs"/>
          <w:w w:val="103"/>
          <w:rtl/>
        </w:rPr>
        <w:t xml:space="preserve"> </w:t>
      </w:r>
      <w:r w:rsidRPr="0060789F">
        <w:rPr>
          <w:w w:val="103"/>
          <w:rtl/>
        </w:rPr>
        <w:t>-</w:t>
      </w:r>
      <w:r w:rsidRPr="0060789F">
        <w:rPr>
          <w:rFonts w:hint="cs"/>
          <w:w w:val="103"/>
          <w:rtl/>
        </w:rPr>
        <w:t xml:space="preserve"> </w:t>
      </w:r>
      <w:r w:rsidRPr="0060789F">
        <w:rPr>
          <w:w w:val="103"/>
          <w:rtl/>
        </w:rPr>
        <w:t>ليشتي لعام 2010، مديرية الإحصاءات الوطنية - المديرية العامة لتحليل السياسات والبحوث، وزارة المالية، ديلي، تشرين الأول/أكتوبر 2010؛ الخطة الإنمائية الاستراتيجية للفترة</w:t>
      </w:r>
      <w:r w:rsidRPr="0060789F">
        <w:rPr>
          <w:rFonts w:hint="cs"/>
          <w:w w:val="103"/>
          <w:rtl/>
        </w:rPr>
        <w:br/>
      </w:r>
      <w:r w:rsidRPr="0060789F">
        <w:rPr>
          <w:w w:val="103"/>
          <w:rtl/>
        </w:rPr>
        <w:t>2011-2030، الصفحة 79</w:t>
      </w:r>
      <w:r w:rsidRPr="0060789F">
        <w:rPr>
          <w:rFonts w:hint="cs"/>
          <w:w w:val="103"/>
          <w:rtl/>
        </w:rPr>
        <w:t>.</w:t>
      </w:r>
    </w:p>
  </w:footnote>
  <w:footnote w:id="271">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المرجع نفسه.</w:t>
      </w:r>
    </w:p>
  </w:footnote>
  <w:footnote w:id="272">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تعداد عام 2010، الخطة الإنمائية الاستراتيجية للفترة 2011-2030، الصفحة 81.</w:t>
      </w:r>
    </w:p>
  </w:footnote>
  <w:footnote w:id="273">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برنامج بيسيك (مقابلة مع جوانا موت وأوسكار دا سيلفا)، معلومات مستندة إلى تعداد عام 2010</w:t>
      </w:r>
      <w:r w:rsidRPr="0060789F">
        <w:rPr>
          <w:rFonts w:hint="cs"/>
          <w:w w:val="103"/>
          <w:rtl/>
        </w:rPr>
        <w:t>.</w:t>
      </w:r>
    </w:p>
  </w:footnote>
  <w:footnote w:id="274">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المرجع نفسه، وجرى الحصول على المعلومات أيضا من حلقة العمل التشاورية التي نظمتها اللجنة المعنية بالقضاء على التمييز ضد المرأة، 13-14 آذار/مارس 2013.</w:t>
      </w:r>
    </w:p>
  </w:footnote>
  <w:footnote w:id="275">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الخطة الإنمائية الاستراتيجية للفترة 2011 - 2030، الصفحة 80.</w:t>
      </w:r>
    </w:p>
  </w:footnote>
  <w:footnote w:id="276">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رد وزارة الهياكل الأساسية على استبيان اللجنة المعنية بالقضاء على التمييز ضد المرأة، آب/أغسطس</w:t>
      </w:r>
      <w:r w:rsidRPr="0060789F">
        <w:rPr>
          <w:rFonts w:hint="cs"/>
          <w:w w:val="103"/>
          <w:rtl/>
        </w:rPr>
        <w:t> </w:t>
      </w:r>
      <w:r w:rsidRPr="0060789F">
        <w:rPr>
          <w:w w:val="103"/>
          <w:rtl/>
        </w:rPr>
        <w:t>2012</w:t>
      </w:r>
      <w:r w:rsidRPr="0060789F">
        <w:rPr>
          <w:rFonts w:hint="cs"/>
          <w:w w:val="103"/>
          <w:rtl/>
        </w:rPr>
        <w:t>.</w:t>
      </w:r>
    </w:p>
  </w:footnote>
  <w:footnote w:id="277">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lang w:val="es-ES"/>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r>
      <w:r w:rsidRPr="0060789F">
        <w:rPr>
          <w:w w:val="103"/>
          <w:lang w:val="es-ES"/>
        </w:rPr>
        <w:t>SIBS – Sistema Informasaun Bee no Saneamento</w:t>
      </w:r>
      <w:r w:rsidRPr="0060789F">
        <w:rPr>
          <w:rFonts w:hint="cs"/>
          <w:w w:val="103"/>
          <w:rtl/>
          <w:lang w:val="es-ES"/>
        </w:rPr>
        <w:t>.</w:t>
      </w:r>
    </w:p>
  </w:footnote>
  <w:footnote w:id="278">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eastAsia="zh-TW"/>
        </w:rPr>
        <w:t>(</w:t>
      </w:r>
      <w:r w:rsidRPr="0060789F">
        <w:rPr>
          <w:rStyle w:val="FootnoteReference"/>
          <w:spacing w:val="0"/>
          <w:w w:val="103"/>
          <w:vertAlign w:val="baseline"/>
          <w:rtl/>
          <w:lang w:eastAsia="zh-TW"/>
        </w:rPr>
        <w:footnoteRef/>
      </w:r>
      <w:r w:rsidRPr="0060789F">
        <w:rPr>
          <w:w w:val="103"/>
          <w:rtl/>
          <w:lang w:eastAsia="zh-TW"/>
        </w:rPr>
        <w:t>)</w:t>
      </w:r>
      <w:r w:rsidRPr="0060789F">
        <w:rPr>
          <w:w w:val="103"/>
          <w:rtl/>
        </w:rPr>
        <w:tab/>
        <w:t>وزارة البنية الأساسية، آب/أغسطس 2012، وبرنامج بيسيك، من حلقة العمل التشاورية اللجنة المعنية بالقضاء على التمييز ضد المرأة، آذار/مارس 2013</w:t>
      </w:r>
      <w:r w:rsidRPr="0060789F">
        <w:rPr>
          <w:rFonts w:hint="cs"/>
          <w:w w:val="103"/>
          <w:rtl/>
        </w:rPr>
        <w:t>.</w:t>
      </w:r>
    </w:p>
  </w:footnote>
  <w:footnote w:id="279">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وزارة الدولة لسياسة التدريب المهني والتوظيف، حلقة عمل تشاورية بشأن التقريرين الدوريين الثاني والثالث عن تنفيذ اتفاقية القضاء على جميع أشكال التميز ضد المرأة، 13 و 14 آذار/مارس 2013</w:t>
      </w:r>
      <w:r w:rsidRPr="0060789F">
        <w:rPr>
          <w:rFonts w:hint="cs"/>
          <w:w w:val="103"/>
          <w:rtl/>
        </w:rPr>
        <w:t>.</w:t>
      </w:r>
    </w:p>
  </w:footnote>
  <w:footnote w:id="280">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ردّ وزارة الدولة للتنمية الاقتصادية على أسئلة لجنة اتفاقية القضاء على جميع أشكال التميز ضد المرأة، آب/أغسطس 2012</w:t>
      </w:r>
      <w:r w:rsidRPr="0060789F">
        <w:rPr>
          <w:rFonts w:hint="cs"/>
          <w:w w:val="103"/>
          <w:rtl/>
        </w:rPr>
        <w:t>.</w:t>
      </w:r>
    </w:p>
  </w:footnote>
  <w:footnote w:id="281">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r w:rsidRPr="0060789F">
        <w:rPr>
          <w:rFonts w:hint="cs"/>
          <w:w w:val="103"/>
          <w:rtl/>
        </w:rPr>
        <w:t>.</w:t>
      </w:r>
    </w:p>
  </w:footnote>
  <w:footnote w:id="282">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وزارة الدولة للمساواة بين الجنسين، مقابلة مع أرماندو دا كوستا ردًّا على أسئلة لجنة اتفاقية القضاء على جميع أشكال التميز ضد المرأة</w:t>
      </w:r>
      <w:r w:rsidRPr="0060789F">
        <w:rPr>
          <w:rFonts w:hint="cs"/>
          <w:w w:val="103"/>
          <w:rtl/>
        </w:rPr>
        <w:t>.</w:t>
      </w:r>
    </w:p>
  </w:footnote>
  <w:footnote w:id="283">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ردّ وزارة الزراعة ومصائد الأسماك على أسئلة لجنة اتفاقية القضاء على جميع أشكال التميز ضد المرأة، ديلي، أيلول/سبتمبر 2012</w:t>
      </w:r>
      <w:r w:rsidRPr="0060789F">
        <w:rPr>
          <w:rFonts w:hint="cs"/>
          <w:w w:val="103"/>
          <w:rtl/>
        </w:rPr>
        <w:t>.</w:t>
      </w:r>
    </w:p>
  </w:footnote>
  <w:footnote w:id="284">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w w:val="103"/>
          <w:rtl/>
        </w:rPr>
        <w:tab/>
        <w:t>(</w:t>
      </w:r>
      <w:r w:rsidRPr="0060789F">
        <w:rPr>
          <w:rtl/>
        </w:rPr>
        <w:footnoteRef/>
      </w:r>
      <w:r w:rsidRPr="0060789F">
        <w:rPr>
          <w:w w:val="103"/>
          <w:rtl/>
        </w:rPr>
        <w:t>)</w:t>
      </w:r>
      <w:r w:rsidRPr="0060789F">
        <w:rPr>
          <w:w w:val="103"/>
          <w:rtl/>
        </w:rPr>
        <w:tab/>
      </w:r>
      <w:r w:rsidRPr="0060789F">
        <w:rPr>
          <w:rFonts w:hint="cs"/>
          <w:w w:val="103"/>
          <w:rtl/>
        </w:rPr>
        <w:t>’</w:t>
      </w:r>
      <w:r w:rsidRPr="0060789F">
        <w:rPr>
          <w:w w:val="103"/>
        </w:rPr>
        <w:t>Married-in and Married-out culture report</w:t>
      </w:r>
      <w:r w:rsidRPr="0060789F">
        <w:rPr>
          <w:rFonts w:hint="cs"/>
          <w:w w:val="103"/>
          <w:rtl/>
        </w:rPr>
        <w:t>‘،</w:t>
      </w:r>
      <w:r w:rsidRPr="0060789F">
        <w:rPr>
          <w:w w:val="103"/>
          <w:rtl/>
        </w:rPr>
        <w:t xml:space="preserve"> نسرين خان وسلمى حياتي، فوكوبرز، ديلي، نيسان/</w:t>
      </w:r>
      <w:r w:rsidRPr="0060789F">
        <w:rPr>
          <w:rFonts w:hint="cs"/>
          <w:w w:val="103"/>
          <w:rtl/>
        </w:rPr>
        <w:t xml:space="preserve"> </w:t>
      </w:r>
      <w:r w:rsidRPr="0060789F">
        <w:rPr>
          <w:w w:val="103"/>
          <w:rtl/>
        </w:rPr>
        <w:t>أبريل</w:t>
      </w:r>
      <w:r w:rsidRPr="0060789F">
        <w:rPr>
          <w:rFonts w:hint="cs"/>
          <w:w w:val="103"/>
          <w:rtl/>
        </w:rPr>
        <w:t> </w:t>
      </w:r>
      <w:r w:rsidRPr="0060789F">
        <w:rPr>
          <w:w w:val="103"/>
          <w:rtl/>
        </w:rPr>
        <w:t xml:space="preserve">2012 </w:t>
      </w:r>
      <w:r w:rsidRPr="0060789F">
        <w:rPr>
          <w:rFonts w:hint="cs"/>
          <w:w w:val="103"/>
          <w:rtl/>
        </w:rPr>
        <w:t>الصفحة</w:t>
      </w:r>
      <w:r w:rsidRPr="0060789F">
        <w:rPr>
          <w:w w:val="103"/>
          <w:rtl/>
        </w:rPr>
        <w:t xml:space="preserve"> 46</w:t>
      </w:r>
      <w:r w:rsidRPr="0060789F">
        <w:rPr>
          <w:rFonts w:hint="cs"/>
          <w:w w:val="103"/>
          <w:rtl/>
        </w:rPr>
        <w:t>.</w:t>
      </w:r>
    </w:p>
  </w:footnote>
  <w:footnote w:id="285">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ردّ وزارة العدل على أسئلة لجنة اتفاقية القضاء على جميع أشكال التميز ضد المرأة، ديلي، أيلول/</w:t>
      </w:r>
      <w:r w:rsidRPr="0060789F">
        <w:rPr>
          <w:rFonts w:hint="cs"/>
          <w:w w:val="103"/>
          <w:rtl/>
        </w:rPr>
        <w:t xml:space="preserve"> </w:t>
      </w:r>
      <w:r w:rsidRPr="0060789F">
        <w:rPr>
          <w:w w:val="103"/>
          <w:rtl/>
        </w:rPr>
        <w:t>سبتمبر</w:t>
      </w:r>
      <w:r w:rsidRPr="0060789F">
        <w:rPr>
          <w:rFonts w:hint="cs"/>
          <w:w w:val="103"/>
          <w:rtl/>
        </w:rPr>
        <w:t> </w:t>
      </w:r>
      <w:r w:rsidRPr="0060789F">
        <w:rPr>
          <w:w w:val="103"/>
          <w:rtl/>
        </w:rPr>
        <w:t>2012</w:t>
      </w:r>
      <w:r w:rsidRPr="0060789F">
        <w:rPr>
          <w:rFonts w:hint="cs"/>
          <w:w w:val="103"/>
          <w:rtl/>
        </w:rPr>
        <w:t>.</w:t>
      </w:r>
    </w:p>
  </w:footnote>
  <w:footnote w:id="286">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الاستقصاء الديمغرافي والصحي للفترة  2009-2010، ديلي، 2010</w:t>
      </w:r>
      <w:r w:rsidRPr="0060789F">
        <w:rPr>
          <w:rFonts w:hint="cs"/>
          <w:w w:val="103"/>
          <w:rtl/>
        </w:rPr>
        <w:t>.</w:t>
      </w:r>
    </w:p>
  </w:footnote>
  <w:footnote w:id="287">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نسرين خان وسلمى حياتي، </w:t>
      </w:r>
      <w:r w:rsidRPr="0060789F">
        <w:rPr>
          <w:w w:val="103"/>
        </w:rPr>
        <w:t>Bride-Price and Domestic Violence in Timor-Leste</w:t>
      </w:r>
      <w:r w:rsidRPr="0060789F">
        <w:rPr>
          <w:rFonts w:hint="cs"/>
          <w:w w:val="103"/>
          <w:rtl/>
        </w:rPr>
        <w:t>،</w:t>
      </w:r>
      <w:r w:rsidRPr="0060789F">
        <w:rPr>
          <w:w w:val="103"/>
          <w:rtl/>
        </w:rPr>
        <w:t xml:space="preserve"> نيسان/أبريل 2012</w:t>
      </w:r>
      <w:r w:rsidRPr="0060789F">
        <w:rPr>
          <w:rFonts w:hint="cs"/>
          <w:w w:val="103"/>
          <w:rtl/>
        </w:rPr>
        <w:t>،</w:t>
      </w:r>
      <w:r w:rsidRPr="0060789F">
        <w:rPr>
          <w:w w:val="103"/>
          <w:rtl/>
        </w:rPr>
        <w:t xml:space="preserve"> </w:t>
      </w:r>
      <w:r w:rsidRPr="0060789F">
        <w:rPr>
          <w:rFonts w:hint="cs"/>
          <w:w w:val="103"/>
          <w:rtl/>
        </w:rPr>
        <w:t>الصفحتان</w:t>
      </w:r>
      <w:r w:rsidRPr="0060789F">
        <w:rPr>
          <w:w w:val="103"/>
          <w:rtl/>
        </w:rPr>
        <w:t xml:space="preserve"> 24 و 29</w:t>
      </w:r>
      <w:r w:rsidRPr="0060789F">
        <w:rPr>
          <w:rFonts w:hint="cs"/>
          <w:w w:val="103"/>
          <w:rtl/>
        </w:rPr>
        <w:t>.</w:t>
      </w:r>
    </w:p>
  </w:footnote>
  <w:footnote w:id="288">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نسرين خان وسلمى حياتي، </w:t>
      </w:r>
      <w:r w:rsidRPr="0060789F">
        <w:rPr>
          <w:w w:val="103"/>
        </w:rPr>
        <w:t>Bride-Price and Domestic Violence in Timor-Leste</w:t>
      </w:r>
      <w:r w:rsidRPr="0060789F">
        <w:rPr>
          <w:rFonts w:hint="cs"/>
          <w:w w:val="103"/>
          <w:rtl/>
        </w:rPr>
        <w:t>،</w:t>
      </w:r>
      <w:r w:rsidRPr="0060789F">
        <w:rPr>
          <w:w w:val="103"/>
          <w:rtl/>
        </w:rPr>
        <w:t xml:space="preserve"> نيسان/أبريل 2012</w:t>
      </w:r>
      <w:r w:rsidRPr="0060789F">
        <w:rPr>
          <w:rFonts w:hint="cs"/>
          <w:w w:val="103"/>
          <w:rtl/>
        </w:rPr>
        <w:t>،</w:t>
      </w:r>
      <w:r w:rsidRPr="0060789F">
        <w:rPr>
          <w:w w:val="103"/>
          <w:rtl/>
        </w:rPr>
        <w:t xml:space="preserve"> </w:t>
      </w:r>
      <w:r w:rsidRPr="0060789F">
        <w:rPr>
          <w:rFonts w:hint="cs"/>
          <w:w w:val="103"/>
          <w:rtl/>
        </w:rPr>
        <w:t xml:space="preserve">الصفحة </w:t>
      </w:r>
      <w:r w:rsidRPr="0060789F">
        <w:rPr>
          <w:w w:val="103"/>
          <w:rtl/>
        </w:rPr>
        <w:t>23</w:t>
      </w:r>
      <w:r w:rsidRPr="0060789F">
        <w:rPr>
          <w:rFonts w:hint="cs"/>
          <w:w w:val="103"/>
          <w:rtl/>
        </w:rPr>
        <w:t xml:space="preserve">. </w:t>
      </w:r>
    </w:p>
  </w:footnote>
  <w:footnote w:id="289">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وثيقة أساسية موحّدة لعام 2007، الزواج </w:t>
      </w:r>
      <w:r w:rsidRPr="0060789F">
        <w:rPr>
          <w:rFonts w:hint="cs"/>
          <w:w w:val="103"/>
          <w:rtl/>
        </w:rPr>
        <w:t>-</w:t>
      </w:r>
      <w:r w:rsidRPr="0060789F">
        <w:rPr>
          <w:w w:val="103"/>
          <w:rtl/>
        </w:rPr>
        <w:t xml:space="preserve"> السن الدنيا</w:t>
      </w:r>
      <w:r w:rsidRPr="0060789F">
        <w:rPr>
          <w:rFonts w:hint="cs"/>
          <w:w w:val="103"/>
          <w:rtl/>
        </w:rPr>
        <w:t>، الصفحة</w:t>
      </w:r>
      <w:r w:rsidRPr="0060789F">
        <w:rPr>
          <w:w w:val="103"/>
          <w:rtl/>
        </w:rPr>
        <w:t xml:space="preserve"> 155</w:t>
      </w:r>
      <w:r w:rsidRPr="0060789F">
        <w:rPr>
          <w:rFonts w:hint="cs"/>
          <w:w w:val="103"/>
          <w:rtl/>
        </w:rPr>
        <w:t>.</w:t>
      </w:r>
    </w:p>
  </w:footnote>
  <w:footnote w:id="290">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رد وزارة العدل، تموز/يوليه 2012 ومجموعة برلمانيات تيمور</w:t>
      </w:r>
      <w:r w:rsidRPr="0060789F">
        <w:rPr>
          <w:rFonts w:hint="cs"/>
          <w:w w:val="103"/>
          <w:rtl/>
        </w:rPr>
        <w:t xml:space="preserve"> </w:t>
      </w:r>
      <w:r w:rsidRPr="0060789F">
        <w:rPr>
          <w:w w:val="103"/>
          <w:rtl/>
        </w:rPr>
        <w:t>-</w:t>
      </w:r>
      <w:r w:rsidRPr="0060789F">
        <w:rPr>
          <w:rFonts w:hint="cs"/>
          <w:w w:val="103"/>
          <w:rtl/>
        </w:rPr>
        <w:t xml:space="preserve"> </w:t>
      </w:r>
      <w:r w:rsidRPr="0060789F">
        <w:rPr>
          <w:w w:val="103"/>
          <w:rtl/>
        </w:rPr>
        <w:t>ليشتي تشرين الأول/أكتوبر 2012.</w:t>
      </w:r>
    </w:p>
  </w:footnote>
  <w:footnote w:id="291">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الاستقصاء الديمغرافي والصحي للفترة  2009-2010، </w:t>
      </w:r>
      <w:r w:rsidRPr="0060789F">
        <w:rPr>
          <w:rFonts w:hint="cs"/>
          <w:w w:val="103"/>
          <w:rtl/>
        </w:rPr>
        <w:t>الصفحة</w:t>
      </w:r>
      <w:r w:rsidRPr="0060789F">
        <w:rPr>
          <w:w w:val="103"/>
          <w:rtl/>
        </w:rPr>
        <w:t xml:space="preserve"> 82</w:t>
      </w:r>
      <w:r w:rsidRPr="0060789F">
        <w:rPr>
          <w:rFonts w:hint="cs"/>
          <w:w w:val="103"/>
          <w:rtl/>
        </w:rPr>
        <w:t>.</w:t>
      </w:r>
    </w:p>
  </w:footnote>
  <w:footnote w:id="292">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المرجع نفسه</w:t>
      </w:r>
      <w:r w:rsidRPr="0060789F">
        <w:rPr>
          <w:rFonts w:hint="cs"/>
          <w:w w:val="103"/>
          <w:rtl/>
        </w:rPr>
        <w:t>.</w:t>
      </w:r>
    </w:p>
  </w:footnote>
  <w:footnote w:id="293">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المرجع نفسه </w:t>
      </w:r>
      <w:r w:rsidRPr="0060789F">
        <w:rPr>
          <w:rFonts w:hint="cs"/>
          <w:w w:val="103"/>
          <w:rtl/>
        </w:rPr>
        <w:t xml:space="preserve">الصفحة </w:t>
      </w:r>
      <w:r w:rsidRPr="0060789F">
        <w:rPr>
          <w:w w:val="103"/>
          <w:rtl/>
        </w:rPr>
        <w:t>113</w:t>
      </w:r>
      <w:r w:rsidRPr="0060789F">
        <w:rPr>
          <w:rFonts w:hint="cs"/>
          <w:w w:val="103"/>
          <w:rtl/>
        </w:rPr>
        <w:t>.</w:t>
      </w:r>
    </w:p>
  </w:footnote>
  <w:footnote w:id="294">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المؤتمر الوطني النسائي لتيمور</w:t>
      </w:r>
      <w:r w:rsidRPr="0060789F">
        <w:rPr>
          <w:rFonts w:hint="cs"/>
          <w:w w:val="103"/>
          <w:rtl/>
        </w:rPr>
        <w:t xml:space="preserve"> </w:t>
      </w:r>
      <w:r w:rsidRPr="0060789F">
        <w:rPr>
          <w:w w:val="103"/>
          <w:rtl/>
        </w:rPr>
        <w:t>-</w:t>
      </w:r>
      <w:r w:rsidRPr="0060789F">
        <w:rPr>
          <w:rFonts w:hint="cs"/>
          <w:w w:val="103"/>
          <w:rtl/>
        </w:rPr>
        <w:t xml:space="preserve"> </w:t>
      </w:r>
      <w:r w:rsidRPr="0060789F">
        <w:rPr>
          <w:w w:val="103"/>
          <w:rtl/>
        </w:rPr>
        <w:t>ليشتي، خطة عمل للفترة 2008-2012، النساء والقطاع الثقافي، النشاط</w:t>
      </w:r>
      <w:r w:rsidRPr="0060789F">
        <w:rPr>
          <w:rFonts w:hint="cs"/>
          <w:w w:val="103"/>
          <w:rtl/>
        </w:rPr>
        <w:t> </w:t>
      </w:r>
      <w:r w:rsidRPr="0060789F">
        <w:rPr>
          <w:w w:val="103"/>
          <w:rtl/>
        </w:rPr>
        <w:t xml:space="preserve">5، </w:t>
      </w:r>
      <w:r w:rsidRPr="0060789F">
        <w:rPr>
          <w:rFonts w:hint="cs"/>
          <w:w w:val="103"/>
          <w:rtl/>
        </w:rPr>
        <w:t xml:space="preserve">الصفحة </w:t>
      </w:r>
      <w:r w:rsidRPr="0060789F">
        <w:rPr>
          <w:w w:val="103"/>
          <w:rtl/>
        </w:rPr>
        <w:t>9</w:t>
      </w:r>
      <w:r w:rsidRPr="0060789F">
        <w:rPr>
          <w:rFonts w:hint="cs"/>
          <w:w w:val="103"/>
          <w:rtl/>
        </w:rPr>
        <w:t>.</w:t>
      </w:r>
    </w:p>
  </w:footnote>
  <w:footnote w:id="295">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المرجع نفسه </w:t>
      </w:r>
      <w:r w:rsidRPr="0060789F">
        <w:rPr>
          <w:rFonts w:hint="cs"/>
          <w:w w:val="103"/>
          <w:rtl/>
        </w:rPr>
        <w:t>الصفحة</w:t>
      </w:r>
      <w:r w:rsidRPr="0060789F">
        <w:rPr>
          <w:w w:val="103"/>
          <w:rtl/>
        </w:rPr>
        <w:t xml:space="preserve"> 29</w:t>
      </w:r>
      <w:r w:rsidRPr="0060789F">
        <w:rPr>
          <w:rFonts w:hint="cs"/>
          <w:w w:val="103"/>
          <w:rtl/>
        </w:rPr>
        <w:t>.</w:t>
      </w:r>
    </w:p>
  </w:footnote>
  <w:footnote w:id="296">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ردّ وزارة العدل على أسئلة لجنة اتفاقية القضاء على جميع أشكال التميز ضد المرأة، ديلي، أيلول/</w:t>
      </w:r>
      <w:r w:rsidRPr="0060789F">
        <w:rPr>
          <w:rFonts w:hint="cs"/>
          <w:w w:val="103"/>
          <w:rtl/>
        </w:rPr>
        <w:t xml:space="preserve"> </w:t>
      </w:r>
      <w:r w:rsidRPr="0060789F">
        <w:rPr>
          <w:w w:val="103"/>
          <w:rtl/>
        </w:rPr>
        <w:t>سبتمبر</w:t>
      </w:r>
      <w:r w:rsidRPr="0060789F">
        <w:rPr>
          <w:rFonts w:hint="cs"/>
          <w:w w:val="103"/>
          <w:rtl/>
        </w:rPr>
        <w:t> </w:t>
      </w:r>
      <w:r w:rsidRPr="0060789F">
        <w:rPr>
          <w:w w:val="103"/>
          <w:rtl/>
        </w:rPr>
        <w:t>2012</w:t>
      </w:r>
      <w:r w:rsidRPr="0060789F">
        <w:rPr>
          <w:rFonts w:hint="cs"/>
          <w:w w:val="103"/>
          <w:rtl/>
        </w:rPr>
        <w:t>.</w:t>
      </w:r>
    </w:p>
  </w:footnote>
  <w:footnote w:id="297">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نسرين خان وسلمى حياتي، </w:t>
      </w:r>
      <w:r w:rsidRPr="0060789F">
        <w:rPr>
          <w:w w:val="103"/>
        </w:rPr>
        <w:t>Bride-Price and Domestic Violence in Timor-Leste</w:t>
      </w:r>
      <w:r w:rsidRPr="0060789F">
        <w:rPr>
          <w:rFonts w:hint="cs"/>
          <w:w w:val="103"/>
          <w:rtl/>
        </w:rPr>
        <w:t>،</w:t>
      </w:r>
      <w:r w:rsidRPr="0060789F">
        <w:rPr>
          <w:w w:val="103"/>
          <w:rtl/>
        </w:rPr>
        <w:t xml:space="preserve"> نيسان/أبريل 2012</w:t>
      </w:r>
      <w:r w:rsidRPr="0060789F">
        <w:rPr>
          <w:rFonts w:hint="cs"/>
          <w:w w:val="103"/>
          <w:rtl/>
        </w:rPr>
        <w:t>،</w:t>
      </w:r>
      <w:r w:rsidRPr="0060789F">
        <w:rPr>
          <w:w w:val="103"/>
          <w:rtl/>
        </w:rPr>
        <w:t xml:space="preserve"> </w:t>
      </w:r>
      <w:r w:rsidRPr="0060789F">
        <w:rPr>
          <w:rFonts w:hint="cs"/>
          <w:w w:val="103"/>
          <w:rtl/>
        </w:rPr>
        <w:t xml:space="preserve">الصفحة </w:t>
      </w:r>
      <w:r w:rsidRPr="0060789F">
        <w:rPr>
          <w:w w:val="103"/>
          <w:rtl/>
        </w:rPr>
        <w:t>23</w:t>
      </w:r>
      <w:r w:rsidRPr="0060789F">
        <w:rPr>
          <w:rFonts w:hint="cs"/>
          <w:w w:val="103"/>
          <w:rtl/>
        </w:rPr>
        <w:t>.</w:t>
      </w:r>
    </w:p>
  </w:footnote>
  <w:footnote w:id="298">
    <w:p w:rsidR="00846BF8" w:rsidRPr="0060789F" w:rsidRDefault="00846BF8" w:rsidP="009943B2">
      <w:pPr>
        <w:pStyle w:val="FootnoteText"/>
        <w:tabs>
          <w:tab w:val="clear" w:pos="418"/>
          <w:tab w:val="right" w:pos="1195"/>
          <w:tab w:val="left" w:pos="1267"/>
          <w:tab w:val="left" w:pos="1656"/>
          <w:tab w:val="left" w:pos="2088"/>
        </w:tabs>
        <w:spacing w:after="80"/>
        <w:ind w:left="1267" w:right="1267" w:hanging="547"/>
        <w:rPr>
          <w:rFonts w:hint="cs"/>
          <w:w w:val="103"/>
        </w:rPr>
      </w:pPr>
      <w:r w:rsidRPr="0060789F">
        <w:rPr>
          <w:rtl/>
        </w:rPr>
        <w:tab/>
      </w:r>
      <w:r w:rsidRPr="0060789F">
        <w:rPr>
          <w:w w:val="103"/>
          <w:rtl/>
        </w:rPr>
        <w:t>(</w:t>
      </w:r>
      <w:r w:rsidRPr="0060789F">
        <w:rPr>
          <w:rStyle w:val="FootnoteReference"/>
          <w:spacing w:val="0"/>
          <w:w w:val="103"/>
          <w:vertAlign w:val="baseline"/>
          <w:rtl/>
        </w:rPr>
        <w:footnoteRef/>
      </w:r>
      <w:r w:rsidRPr="0060789F">
        <w:rPr>
          <w:w w:val="103"/>
          <w:rtl/>
        </w:rPr>
        <w:t>)</w:t>
      </w:r>
      <w:r w:rsidRPr="0060789F">
        <w:rPr>
          <w:w w:val="103"/>
          <w:rtl/>
        </w:rPr>
        <w:tab/>
        <w:t xml:space="preserve">فريق العمل المعني بالجنسانية وقانون الأراضي، </w:t>
      </w:r>
      <w:r w:rsidRPr="0060789F">
        <w:rPr>
          <w:w w:val="103"/>
        </w:rPr>
        <w:t>Working Group; Strengthening Women’s Rights to Land and Property: Recommendation to the Draft RDTL Civil Code 13</w:t>
      </w:r>
      <w:r w:rsidRPr="0060789F">
        <w:rPr>
          <w:rFonts w:hint="cs"/>
          <w:w w:val="103"/>
          <w:rtl/>
        </w:rPr>
        <w:t>،</w:t>
      </w:r>
      <w:r w:rsidRPr="0060789F">
        <w:rPr>
          <w:w w:val="103"/>
          <w:rtl/>
        </w:rPr>
        <w:t xml:space="preserve"> شباط/فبراير 2009، </w:t>
      </w:r>
      <w:r w:rsidRPr="0060789F">
        <w:rPr>
          <w:rFonts w:hint="cs"/>
          <w:w w:val="103"/>
          <w:rtl/>
        </w:rPr>
        <w:t xml:space="preserve">الصفحة </w:t>
      </w:r>
      <w:r w:rsidRPr="0060789F">
        <w:rPr>
          <w:w w:val="103"/>
          <w:rtl/>
        </w:rPr>
        <w:t>. 2</w:t>
      </w:r>
      <w:r w:rsidRPr="0060789F">
        <w:rPr>
          <w:rFonts w:hint="cs"/>
          <w:w w:val="103"/>
          <w:rtl/>
        </w:rPr>
        <w:t>.</w:t>
      </w:r>
    </w:p>
  </w:footnote>
  <w:footnote w:id="299">
    <w:p w:rsidR="00846BF8" w:rsidRPr="0060789F" w:rsidRDefault="00846BF8" w:rsidP="003C1BD3">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rPr>
        <w:t>(</w:t>
      </w:r>
      <w:r w:rsidRPr="0060789F">
        <w:rPr>
          <w:rStyle w:val="FootnoteReference"/>
          <w:spacing w:val="0"/>
          <w:w w:val="103"/>
          <w:vertAlign w:val="baseline"/>
          <w:rtl/>
        </w:rPr>
        <w:footnoteRef/>
      </w:r>
      <w:r w:rsidRPr="0060789F">
        <w:rPr>
          <w:w w:val="103"/>
          <w:rtl/>
          <w:lang/>
        </w:rPr>
        <w:t>)</w:t>
      </w:r>
      <w:r w:rsidRPr="0060789F">
        <w:rPr>
          <w:w w:val="103"/>
          <w:rtl/>
        </w:rPr>
        <w:tab/>
      </w:r>
      <w:r w:rsidRPr="0060789F">
        <w:rPr>
          <w:w w:val="103"/>
        </w:rPr>
        <w:t>Nasrin Khan and Selma Hyati, Bride-Price and Domestic Violence in Timor-Leste, April 2012, p. 41</w:t>
      </w:r>
      <w:r w:rsidRPr="0060789F">
        <w:rPr>
          <w:rFonts w:hint="cs"/>
          <w:w w:val="103"/>
          <w:rtl/>
        </w:rPr>
        <w:t>.</w:t>
      </w:r>
    </w:p>
  </w:footnote>
  <w:footnote w:id="300">
    <w:p w:rsidR="00846BF8" w:rsidRPr="0060789F" w:rsidRDefault="00846BF8" w:rsidP="003C1BD3">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rPr>
        <w:t>(</w:t>
      </w:r>
      <w:r w:rsidRPr="0060789F">
        <w:rPr>
          <w:rStyle w:val="FootnoteReference"/>
          <w:spacing w:val="0"/>
          <w:w w:val="103"/>
          <w:vertAlign w:val="baseline"/>
          <w:rtl/>
        </w:rPr>
        <w:footnoteRef/>
      </w:r>
      <w:r w:rsidRPr="0060789F">
        <w:rPr>
          <w:w w:val="103"/>
          <w:rtl/>
          <w:lang/>
        </w:rPr>
        <w:t>)</w:t>
      </w:r>
      <w:r w:rsidRPr="0060789F">
        <w:rPr>
          <w:w w:val="103"/>
          <w:rtl/>
        </w:rPr>
        <w:tab/>
        <w:t>رد وزارة العدل على استبيان اللجنة المعنية بالقضاء على التمييز ضد المرأة، تموز/يوليه 2012.</w:t>
      </w:r>
    </w:p>
  </w:footnote>
  <w:footnote w:id="301">
    <w:p w:rsidR="00846BF8" w:rsidRPr="0060789F" w:rsidRDefault="00846BF8" w:rsidP="003C1BD3">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rPr>
        <w:t>(</w:t>
      </w:r>
      <w:r w:rsidRPr="0060789F">
        <w:rPr>
          <w:rStyle w:val="FootnoteReference"/>
          <w:spacing w:val="0"/>
          <w:w w:val="103"/>
          <w:vertAlign w:val="baseline"/>
          <w:rtl/>
        </w:rPr>
        <w:footnoteRef/>
      </w:r>
      <w:r w:rsidRPr="0060789F">
        <w:rPr>
          <w:w w:val="103"/>
          <w:rtl/>
          <w:lang/>
        </w:rPr>
        <w:t>)</w:t>
      </w:r>
      <w:r w:rsidRPr="0060789F">
        <w:rPr>
          <w:w w:val="103"/>
          <w:rtl/>
        </w:rPr>
        <w:tab/>
      </w:r>
      <w:r w:rsidRPr="0060789F">
        <w:rPr>
          <w:rFonts w:hint="cs"/>
          <w:w w:val="103"/>
          <w:rtl/>
        </w:rPr>
        <w:t>المرجع نفسه.</w:t>
      </w:r>
    </w:p>
  </w:footnote>
  <w:footnote w:id="302">
    <w:p w:rsidR="00846BF8" w:rsidRPr="0060789F" w:rsidRDefault="00846BF8" w:rsidP="003C1BD3">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rPr>
        <w:t>(</w:t>
      </w:r>
      <w:r w:rsidRPr="0060789F">
        <w:rPr>
          <w:rStyle w:val="FootnoteReference"/>
          <w:spacing w:val="0"/>
          <w:w w:val="103"/>
          <w:vertAlign w:val="baseline"/>
          <w:rtl/>
        </w:rPr>
        <w:footnoteRef/>
      </w:r>
      <w:r w:rsidRPr="0060789F">
        <w:rPr>
          <w:w w:val="103"/>
          <w:rtl/>
          <w:lang/>
        </w:rPr>
        <w:t>)</w:t>
      </w:r>
      <w:r w:rsidRPr="0060789F">
        <w:rPr>
          <w:w w:val="103"/>
          <w:rtl/>
        </w:rPr>
        <w:tab/>
        <w:t>المرجع نفسه.</w:t>
      </w:r>
    </w:p>
  </w:footnote>
  <w:footnote w:id="303">
    <w:p w:rsidR="00846BF8" w:rsidRPr="0060789F" w:rsidRDefault="00846BF8" w:rsidP="003C1BD3">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rPr>
        <w:t>(</w:t>
      </w:r>
      <w:r w:rsidRPr="0060789F">
        <w:rPr>
          <w:rStyle w:val="FootnoteReference"/>
          <w:spacing w:val="0"/>
          <w:w w:val="103"/>
          <w:vertAlign w:val="baseline"/>
          <w:rtl/>
        </w:rPr>
        <w:footnoteRef/>
      </w:r>
      <w:r w:rsidRPr="0060789F">
        <w:rPr>
          <w:w w:val="103"/>
          <w:rtl/>
          <w:lang/>
        </w:rPr>
        <w:t>)</w:t>
      </w:r>
      <w:r w:rsidRPr="0060789F">
        <w:rPr>
          <w:w w:val="103"/>
          <w:rtl/>
        </w:rPr>
        <w:tab/>
      </w:r>
      <w:r w:rsidRPr="0060789F">
        <w:rPr>
          <w:w w:val="103"/>
        </w:rPr>
        <w:t>Nasrin Khan and Selma Hyati, Bride-Price and Domestic Violence in Timor-Leste, April 2012, p. 40</w:t>
      </w:r>
      <w:r w:rsidRPr="0060789F">
        <w:rPr>
          <w:rFonts w:hint="cs"/>
          <w:w w:val="103"/>
          <w:rtl/>
        </w:rPr>
        <w:t>.</w:t>
      </w:r>
    </w:p>
  </w:footnote>
  <w:footnote w:id="304">
    <w:p w:rsidR="00846BF8" w:rsidRPr="0060789F" w:rsidRDefault="00846BF8" w:rsidP="003C1BD3">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rPr>
        <w:t>(</w:t>
      </w:r>
      <w:r w:rsidRPr="0060789F">
        <w:rPr>
          <w:rStyle w:val="FootnoteReference"/>
          <w:spacing w:val="0"/>
          <w:w w:val="103"/>
          <w:vertAlign w:val="baseline"/>
          <w:rtl/>
        </w:rPr>
        <w:footnoteRef/>
      </w:r>
      <w:r w:rsidRPr="0060789F">
        <w:rPr>
          <w:w w:val="103"/>
          <w:rtl/>
          <w:lang/>
        </w:rPr>
        <w:t>)</w:t>
      </w:r>
      <w:r w:rsidRPr="0060789F">
        <w:rPr>
          <w:w w:val="103"/>
          <w:rtl/>
        </w:rPr>
        <w:tab/>
      </w:r>
      <w:r w:rsidRPr="0060789F">
        <w:rPr>
          <w:rFonts w:hint="cs"/>
          <w:rtl/>
        </w:rPr>
        <w:t>المرجع نفسه.</w:t>
      </w:r>
    </w:p>
  </w:footnote>
  <w:footnote w:id="305">
    <w:p w:rsidR="00846BF8" w:rsidRPr="0060789F" w:rsidRDefault="00846BF8" w:rsidP="003C1BD3">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rPr>
        <w:t>(</w:t>
      </w:r>
      <w:r w:rsidRPr="0060789F">
        <w:rPr>
          <w:rStyle w:val="FootnoteReference"/>
          <w:spacing w:val="0"/>
          <w:w w:val="103"/>
          <w:vertAlign w:val="baseline"/>
          <w:rtl/>
        </w:rPr>
        <w:footnoteRef/>
      </w:r>
      <w:r w:rsidRPr="0060789F">
        <w:rPr>
          <w:w w:val="103"/>
          <w:rtl/>
          <w:lang/>
        </w:rPr>
        <w:t>)</w:t>
      </w:r>
      <w:r w:rsidRPr="0060789F">
        <w:rPr>
          <w:w w:val="103"/>
          <w:rtl/>
        </w:rPr>
        <w:tab/>
      </w:r>
      <w:r w:rsidRPr="0060789F">
        <w:rPr>
          <w:rFonts w:hint="cs"/>
          <w:rtl/>
        </w:rPr>
        <w:t>المرجع نفسه</w:t>
      </w:r>
      <w:r w:rsidRPr="0060789F">
        <w:rPr>
          <w:rFonts w:hint="cs"/>
          <w:w w:val="103"/>
          <w:rtl/>
        </w:rPr>
        <w:t xml:space="preserve"> </w:t>
      </w:r>
      <w:r w:rsidRPr="0060789F">
        <w:rPr>
          <w:w w:val="103"/>
          <w:rtl/>
        </w:rPr>
        <w:t>مجموعة برلمانيات تيمور</w:t>
      </w:r>
      <w:r w:rsidRPr="0060789F">
        <w:rPr>
          <w:rFonts w:hint="cs"/>
          <w:w w:val="103"/>
          <w:rtl/>
        </w:rPr>
        <w:t xml:space="preserve"> </w:t>
      </w:r>
      <w:r w:rsidRPr="0060789F">
        <w:rPr>
          <w:w w:val="103"/>
          <w:rtl/>
        </w:rPr>
        <w:t>-</w:t>
      </w:r>
      <w:r w:rsidRPr="0060789F">
        <w:rPr>
          <w:rFonts w:hint="cs"/>
          <w:w w:val="103"/>
          <w:rtl/>
        </w:rPr>
        <w:t xml:space="preserve"> </w:t>
      </w:r>
      <w:r w:rsidRPr="0060789F">
        <w:rPr>
          <w:w w:val="103"/>
          <w:rtl/>
        </w:rPr>
        <w:t>ليشتي، تشرين الثاني/نوفمبر.</w:t>
      </w:r>
    </w:p>
  </w:footnote>
  <w:footnote w:id="306">
    <w:p w:rsidR="00846BF8" w:rsidRPr="0060789F" w:rsidRDefault="00846BF8" w:rsidP="003C1BD3">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rPr>
        <w:t>(</w:t>
      </w:r>
      <w:r w:rsidRPr="0060789F">
        <w:rPr>
          <w:rStyle w:val="FootnoteReference"/>
          <w:spacing w:val="0"/>
          <w:w w:val="103"/>
          <w:vertAlign w:val="baseline"/>
          <w:rtl/>
        </w:rPr>
        <w:footnoteRef/>
      </w:r>
      <w:r w:rsidRPr="0060789F">
        <w:rPr>
          <w:w w:val="103"/>
          <w:rtl/>
          <w:lang/>
        </w:rPr>
        <w:t>)</w:t>
      </w:r>
      <w:r w:rsidRPr="0060789F">
        <w:rPr>
          <w:w w:val="103"/>
          <w:rtl/>
        </w:rPr>
        <w:tab/>
      </w:r>
      <w:r w:rsidRPr="0060789F">
        <w:rPr>
          <w:rFonts w:hint="cs"/>
          <w:rtl/>
        </w:rPr>
        <w:t>المرجع نفسه.</w:t>
      </w:r>
    </w:p>
  </w:footnote>
  <w:footnote w:id="307">
    <w:p w:rsidR="00846BF8" w:rsidRPr="0060789F" w:rsidRDefault="00846BF8" w:rsidP="003C1BD3">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rPr>
        <w:t>(</w:t>
      </w:r>
      <w:r w:rsidRPr="0060789F">
        <w:rPr>
          <w:rStyle w:val="FootnoteReference"/>
          <w:spacing w:val="0"/>
          <w:w w:val="103"/>
          <w:vertAlign w:val="baseline"/>
          <w:rtl/>
        </w:rPr>
        <w:footnoteRef/>
      </w:r>
      <w:r w:rsidRPr="0060789F">
        <w:rPr>
          <w:w w:val="103"/>
          <w:rtl/>
          <w:lang/>
        </w:rPr>
        <w:t>)</w:t>
      </w:r>
      <w:r w:rsidRPr="0060789F">
        <w:rPr>
          <w:w w:val="103"/>
          <w:rtl/>
        </w:rPr>
        <w:tab/>
        <w:t>رد وارد من وزارة العدل، تموز/يوليه 2012.</w:t>
      </w:r>
    </w:p>
  </w:footnote>
  <w:footnote w:id="308">
    <w:p w:rsidR="00846BF8" w:rsidRPr="0060789F" w:rsidRDefault="00846BF8" w:rsidP="003C1BD3">
      <w:pPr>
        <w:pStyle w:val="FootnoteText"/>
        <w:tabs>
          <w:tab w:val="clear" w:pos="418"/>
          <w:tab w:val="right" w:pos="1195"/>
          <w:tab w:val="left" w:pos="1267"/>
          <w:tab w:val="left" w:pos="1656"/>
          <w:tab w:val="left" w:pos="2088"/>
        </w:tabs>
        <w:spacing w:after="80"/>
        <w:ind w:left="1267" w:right="1267" w:hanging="547"/>
        <w:rPr>
          <w:rFonts w:hint="cs"/>
          <w:w w:val="103"/>
          <w:rtl/>
        </w:rPr>
      </w:pPr>
      <w:r w:rsidRPr="0060789F">
        <w:rPr>
          <w:rtl/>
        </w:rPr>
        <w:tab/>
      </w:r>
      <w:r w:rsidRPr="0060789F">
        <w:rPr>
          <w:w w:val="103"/>
          <w:rtl/>
          <w:lang/>
        </w:rPr>
        <w:t>(</w:t>
      </w:r>
      <w:r w:rsidRPr="0060789F">
        <w:rPr>
          <w:rStyle w:val="FootnoteReference"/>
          <w:spacing w:val="0"/>
          <w:w w:val="103"/>
          <w:vertAlign w:val="baseline"/>
          <w:rtl/>
        </w:rPr>
        <w:footnoteRef/>
      </w:r>
      <w:r w:rsidRPr="0060789F">
        <w:rPr>
          <w:w w:val="103"/>
          <w:rtl/>
          <w:lang/>
        </w:rPr>
        <w:t>)</w:t>
      </w:r>
      <w:r w:rsidRPr="0060789F">
        <w:rPr>
          <w:w w:val="103"/>
          <w:rtl/>
        </w:rPr>
        <w:tab/>
        <w:t>إسهامات</w:t>
      </w:r>
      <w:r w:rsidRPr="0060789F">
        <w:rPr>
          <w:rFonts w:hint="cs"/>
          <w:w w:val="103"/>
          <w:rtl/>
        </w:rPr>
        <w:t xml:space="preserve"> </w:t>
      </w:r>
      <w:r w:rsidRPr="0060789F">
        <w:rPr>
          <w:w w:val="103"/>
          <w:rtl/>
        </w:rPr>
        <w:t>قدمها المجتمع المدني وأمين المظالم لحقوق الإنسان والعدالة خلال حلقة العمل التشاورية بخصوص تقرير اللجنة المعنية بالقضاء على التمييز ضد المرأة، المعقودة في ديلي في 14 آذار/مارس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846BF8" w:rsidTr="0025055A">
      <w:tblPrEx>
        <w:tblCellMar>
          <w:top w:w="0" w:type="dxa"/>
          <w:bottom w:w="0" w:type="dxa"/>
        </w:tblCellMar>
      </w:tblPrEx>
      <w:trPr>
        <w:trHeight w:hRule="exact" w:val="864"/>
        <w:jc w:val="center"/>
      </w:trPr>
      <w:tc>
        <w:tcPr>
          <w:tcW w:w="4925" w:type="dxa"/>
          <w:shd w:val="clear" w:color="auto" w:fill="auto"/>
          <w:vAlign w:val="bottom"/>
        </w:tcPr>
        <w:p w:rsidR="00846BF8" w:rsidRPr="00A80A60" w:rsidRDefault="00846BF8" w:rsidP="0025055A">
          <w:pPr>
            <w:pStyle w:val="Header"/>
            <w:bidi/>
            <w:rPr>
              <w:rFonts w:cs="Traditional Arabic"/>
            </w:rPr>
          </w:pPr>
        </w:p>
      </w:tc>
      <w:tc>
        <w:tcPr>
          <w:tcW w:w="4925" w:type="dxa"/>
          <w:shd w:val="clear" w:color="auto" w:fill="auto"/>
          <w:vAlign w:val="bottom"/>
        </w:tcPr>
        <w:p w:rsidR="00846BF8" w:rsidRPr="00A80A60" w:rsidRDefault="00846BF8" w:rsidP="0025055A">
          <w:pPr>
            <w:pStyle w:val="Header"/>
            <w:spacing w:after="80"/>
            <w:rPr>
              <w:rFonts w:cs="Traditional Arabic"/>
              <w:w w:val="103"/>
            </w:rPr>
          </w:pPr>
          <w:fldSimple w:instr=" DOCVARIABLE sss1  \* MERGEFORMAT ">
            <w:r w:rsidRPr="00A80A60">
              <w:rPr>
                <w:rFonts w:cs="Traditional Arabic"/>
                <w:w w:val="103"/>
              </w:rPr>
              <w:t>CEDAW/C/TLS/2-3</w:t>
            </w:r>
          </w:fldSimple>
        </w:p>
      </w:tc>
    </w:tr>
  </w:tbl>
  <w:p w:rsidR="00846BF8" w:rsidRPr="0025055A" w:rsidRDefault="00846BF8" w:rsidP="0025055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846BF8" w:rsidTr="0025055A">
      <w:tblPrEx>
        <w:tblCellMar>
          <w:top w:w="0" w:type="dxa"/>
          <w:bottom w:w="0" w:type="dxa"/>
        </w:tblCellMar>
      </w:tblPrEx>
      <w:trPr>
        <w:trHeight w:hRule="exact" w:val="864"/>
        <w:jc w:val="center"/>
      </w:trPr>
      <w:tc>
        <w:tcPr>
          <w:tcW w:w="4925" w:type="dxa"/>
          <w:shd w:val="clear" w:color="auto" w:fill="auto"/>
          <w:vAlign w:val="bottom"/>
        </w:tcPr>
        <w:p w:rsidR="00846BF8" w:rsidRPr="00A80A60" w:rsidRDefault="00846BF8" w:rsidP="0025055A">
          <w:pPr>
            <w:pStyle w:val="Header"/>
            <w:spacing w:after="80"/>
            <w:jc w:val="left"/>
            <w:rPr>
              <w:rFonts w:cs="Traditional Arabic"/>
              <w:w w:val="103"/>
            </w:rPr>
          </w:pPr>
          <w:fldSimple w:instr=" DOCVARIABLE sss1  \* MERGEFORMAT ">
            <w:r w:rsidRPr="00A80A60">
              <w:rPr>
                <w:rFonts w:cs="Traditional Arabic"/>
                <w:w w:val="103"/>
              </w:rPr>
              <w:t>CEDAW/C/TLS/2-3</w:t>
            </w:r>
          </w:fldSimple>
        </w:p>
      </w:tc>
      <w:tc>
        <w:tcPr>
          <w:tcW w:w="4925" w:type="dxa"/>
          <w:shd w:val="clear" w:color="auto" w:fill="auto"/>
          <w:vAlign w:val="bottom"/>
        </w:tcPr>
        <w:p w:rsidR="00846BF8" w:rsidRPr="00A80A60" w:rsidRDefault="00846BF8" w:rsidP="0025055A">
          <w:pPr>
            <w:pStyle w:val="Header"/>
            <w:rPr>
              <w:rFonts w:cs="Traditional Arabic"/>
            </w:rPr>
          </w:pPr>
        </w:p>
      </w:tc>
    </w:tr>
  </w:tbl>
  <w:p w:rsidR="00846BF8" w:rsidRPr="0025055A" w:rsidRDefault="00846BF8" w:rsidP="0025055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846BF8" w:rsidTr="0025055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46BF8" w:rsidRPr="00A80A60" w:rsidRDefault="00846BF8" w:rsidP="0025055A">
          <w:pPr>
            <w:pStyle w:val="Header"/>
            <w:spacing w:after="120"/>
            <w:rPr>
              <w:rFonts w:cs="Traditional Arabic"/>
            </w:rPr>
          </w:pPr>
        </w:p>
      </w:tc>
      <w:tc>
        <w:tcPr>
          <w:tcW w:w="1786" w:type="dxa"/>
          <w:tcBorders>
            <w:bottom w:val="single" w:sz="4" w:space="0" w:color="auto"/>
          </w:tcBorders>
          <w:shd w:val="clear" w:color="auto" w:fill="auto"/>
          <w:vAlign w:val="bottom"/>
        </w:tcPr>
        <w:p w:rsidR="00846BF8" w:rsidRPr="0025055A" w:rsidRDefault="00846BF8" w:rsidP="0025055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46BF8" w:rsidRPr="00A80A60" w:rsidRDefault="00846BF8" w:rsidP="0025055A">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846BF8" w:rsidRPr="0025055A" w:rsidRDefault="00846BF8" w:rsidP="0025055A">
          <w:pPr>
            <w:spacing w:line="380" w:lineRule="exact"/>
            <w:jc w:val="right"/>
          </w:pPr>
          <w:r>
            <w:rPr>
              <w:sz w:val="40"/>
            </w:rPr>
            <w:t>CEDAW</w:t>
          </w:r>
          <w:r>
            <w:t>/C/TLS/2-3</w:t>
          </w:r>
        </w:p>
      </w:tc>
    </w:tr>
    <w:tr w:rsidR="00846BF8" w:rsidRPr="0025055A" w:rsidTr="0025055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46BF8" w:rsidRPr="00A80A60" w:rsidRDefault="00846BF8" w:rsidP="0025055A">
          <w:pPr>
            <w:pStyle w:val="Header"/>
            <w:spacing w:before="109"/>
            <w:rPr>
              <w:rFonts w:cs="Traditional Arabic"/>
            </w:rPr>
          </w:pPr>
          <w:r w:rsidRPr="00A80A60">
            <w:rPr>
              <w:rFonts w:cs="Traditional Arabic"/>
            </w:rPr>
            <w:t xml:space="preserve"> </w:t>
          </w:r>
          <w:r w:rsidRPr="00A80A60">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46BF8" w:rsidRPr="00A80A60" w:rsidRDefault="00846BF8" w:rsidP="0025055A">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846BF8" w:rsidRPr="0025055A" w:rsidRDefault="00846BF8" w:rsidP="0025055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46BF8" w:rsidRPr="00A80A60" w:rsidRDefault="00846BF8" w:rsidP="0025055A">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846BF8" w:rsidRDefault="00846BF8" w:rsidP="0025055A">
          <w:pPr>
            <w:pStyle w:val="Distribution"/>
            <w:bidi w:val="0"/>
            <w:spacing w:before="240"/>
          </w:pPr>
          <w:r>
            <w:t>Distr.: General</w:t>
          </w:r>
        </w:p>
        <w:p w:rsidR="00846BF8" w:rsidRDefault="00846BF8" w:rsidP="0025055A">
          <w:pPr>
            <w:pStyle w:val="Publication"/>
            <w:bidi w:val="0"/>
          </w:pPr>
          <w:r>
            <w:t>22 January 2014</w:t>
          </w:r>
        </w:p>
        <w:p w:rsidR="00846BF8" w:rsidRDefault="00846BF8" w:rsidP="0025055A">
          <w:pPr>
            <w:bidi w:val="0"/>
            <w:spacing w:line="240" w:lineRule="exact"/>
            <w:jc w:val="left"/>
          </w:pPr>
          <w:r>
            <w:t>Arabic</w:t>
          </w:r>
        </w:p>
        <w:p w:rsidR="00846BF8" w:rsidRDefault="00846BF8" w:rsidP="0025055A">
          <w:pPr>
            <w:pStyle w:val="Original"/>
            <w:bidi w:val="0"/>
          </w:pPr>
          <w:r>
            <w:t>Original: English</w:t>
          </w:r>
        </w:p>
        <w:p w:rsidR="00846BF8" w:rsidRPr="0025055A" w:rsidRDefault="00846BF8" w:rsidP="0025055A">
          <w:pPr>
            <w:bidi w:val="0"/>
            <w:spacing w:line="240" w:lineRule="exact"/>
            <w:jc w:val="left"/>
          </w:pPr>
        </w:p>
      </w:tc>
    </w:tr>
  </w:tbl>
  <w:p w:rsidR="00846BF8" w:rsidRPr="0025055A" w:rsidRDefault="00846BF8" w:rsidP="0025055A">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D6B35"/>
    <w:multiLevelType w:val="hybridMultilevel"/>
    <w:tmpl w:val="9C2CB6F0"/>
    <w:lvl w:ilvl="0" w:tplc="9406550E">
      <w:start w:val="319"/>
      <w:numFmt w:val="decimal"/>
      <w:lvlText w:val="%1- "/>
      <w:lvlJc w:val="left"/>
      <w:pPr>
        <w:tabs>
          <w:tab w:val="num" w:pos="1854"/>
        </w:tabs>
        <w:ind w:left="1854" w:hanging="360"/>
      </w:pPr>
      <w:rPr>
        <w:rFonts w:hint="default"/>
        <w:b w:val="0"/>
        <w:bCs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1326*"/>
    <w:docVar w:name="CreationDt" w:val="28/04/2014 12:32 PM"/>
    <w:docVar w:name="DocCategory" w:val="Doc"/>
    <w:docVar w:name="DocType" w:val="Final"/>
    <w:docVar w:name="FooterJN" w:val="14-21326"/>
    <w:docVar w:name="jobn" w:val="14-21326 (A)"/>
    <w:docVar w:name="jobnDT" w:val="14-21326 (A)   280414"/>
    <w:docVar w:name="jobnDTDT" w:val="14-21326 (A)   280414   280414"/>
    <w:docVar w:name="JobNo" w:val="1421326A"/>
    <w:docVar w:name="OandT" w:val="Mohammed Anas Wardeh"/>
    <w:docVar w:name="sss1" w:val="CEDAW/C/TLS/2-3"/>
    <w:docVar w:name="sss2" w:val="-"/>
    <w:docVar w:name="Symbol1" w:val="CEDAW/C/TLS/2-3"/>
    <w:docVar w:name="Symbol2" w:val="-"/>
  </w:docVars>
  <w:rsids>
    <w:rsidRoot w:val="00A530EF"/>
    <w:rsid w:val="000170D3"/>
    <w:rsid w:val="00030872"/>
    <w:rsid w:val="000311C9"/>
    <w:rsid w:val="000330DC"/>
    <w:rsid w:val="00042425"/>
    <w:rsid w:val="00047F6A"/>
    <w:rsid w:val="0005137B"/>
    <w:rsid w:val="00056AA7"/>
    <w:rsid w:val="0006648F"/>
    <w:rsid w:val="00070E09"/>
    <w:rsid w:val="00083488"/>
    <w:rsid w:val="00087310"/>
    <w:rsid w:val="0009732C"/>
    <w:rsid w:val="000A34C7"/>
    <w:rsid w:val="000B640C"/>
    <w:rsid w:val="000C4EED"/>
    <w:rsid w:val="000D2CEC"/>
    <w:rsid w:val="00101EE8"/>
    <w:rsid w:val="00113349"/>
    <w:rsid w:val="0012522B"/>
    <w:rsid w:val="0012757F"/>
    <w:rsid w:val="001519A9"/>
    <w:rsid w:val="001568A8"/>
    <w:rsid w:val="00163BC5"/>
    <w:rsid w:val="00165F18"/>
    <w:rsid w:val="001737F8"/>
    <w:rsid w:val="001775EA"/>
    <w:rsid w:val="0018030C"/>
    <w:rsid w:val="00182D99"/>
    <w:rsid w:val="00187870"/>
    <w:rsid w:val="001C7CC8"/>
    <w:rsid w:val="001E5A5A"/>
    <w:rsid w:val="001E5A7A"/>
    <w:rsid w:val="001F6786"/>
    <w:rsid w:val="00236A29"/>
    <w:rsid w:val="002416C5"/>
    <w:rsid w:val="0025002E"/>
    <w:rsid w:val="0025055A"/>
    <w:rsid w:val="0025236C"/>
    <w:rsid w:val="00252D19"/>
    <w:rsid w:val="00266F59"/>
    <w:rsid w:val="00272B6C"/>
    <w:rsid w:val="0027623A"/>
    <w:rsid w:val="00290F2F"/>
    <w:rsid w:val="002937DA"/>
    <w:rsid w:val="002A09C6"/>
    <w:rsid w:val="002C2AF2"/>
    <w:rsid w:val="002C4E1B"/>
    <w:rsid w:val="002D58BC"/>
    <w:rsid w:val="002E1490"/>
    <w:rsid w:val="002E750A"/>
    <w:rsid w:val="002F0573"/>
    <w:rsid w:val="00312162"/>
    <w:rsid w:val="00312525"/>
    <w:rsid w:val="003501D5"/>
    <w:rsid w:val="00351324"/>
    <w:rsid w:val="003676A8"/>
    <w:rsid w:val="00371AC4"/>
    <w:rsid w:val="00376CFA"/>
    <w:rsid w:val="00383A67"/>
    <w:rsid w:val="00383CA8"/>
    <w:rsid w:val="00383EF3"/>
    <w:rsid w:val="003A65ED"/>
    <w:rsid w:val="003C1BD3"/>
    <w:rsid w:val="003D4612"/>
    <w:rsid w:val="003E1BB9"/>
    <w:rsid w:val="003E26D7"/>
    <w:rsid w:val="003E6DF8"/>
    <w:rsid w:val="003F4B8C"/>
    <w:rsid w:val="00401BDF"/>
    <w:rsid w:val="00407A86"/>
    <w:rsid w:val="00411BBD"/>
    <w:rsid w:val="00415922"/>
    <w:rsid w:val="00423BD7"/>
    <w:rsid w:val="0042757D"/>
    <w:rsid w:val="00437C14"/>
    <w:rsid w:val="004527C9"/>
    <w:rsid w:val="00453069"/>
    <w:rsid w:val="00475FF1"/>
    <w:rsid w:val="0048330E"/>
    <w:rsid w:val="00483F5B"/>
    <w:rsid w:val="00490874"/>
    <w:rsid w:val="00494EE2"/>
    <w:rsid w:val="00496E83"/>
    <w:rsid w:val="004A2886"/>
    <w:rsid w:val="004B14A0"/>
    <w:rsid w:val="004B1CBB"/>
    <w:rsid w:val="004C2B57"/>
    <w:rsid w:val="004D1B0C"/>
    <w:rsid w:val="004F0D2B"/>
    <w:rsid w:val="004F1402"/>
    <w:rsid w:val="004F571B"/>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2ECE"/>
    <w:rsid w:val="005C5805"/>
    <w:rsid w:val="005C7ED8"/>
    <w:rsid w:val="005D61FB"/>
    <w:rsid w:val="006007BD"/>
    <w:rsid w:val="006074D5"/>
    <w:rsid w:val="0060789F"/>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1531E"/>
    <w:rsid w:val="0071645B"/>
    <w:rsid w:val="00716E9D"/>
    <w:rsid w:val="00747B9E"/>
    <w:rsid w:val="007524BE"/>
    <w:rsid w:val="007525FA"/>
    <w:rsid w:val="00770CF8"/>
    <w:rsid w:val="00774FF0"/>
    <w:rsid w:val="00784F2B"/>
    <w:rsid w:val="00786F0C"/>
    <w:rsid w:val="0079046D"/>
    <w:rsid w:val="00793829"/>
    <w:rsid w:val="0079753A"/>
    <w:rsid w:val="007A296C"/>
    <w:rsid w:val="007A6DD9"/>
    <w:rsid w:val="007D489C"/>
    <w:rsid w:val="007D60E0"/>
    <w:rsid w:val="007D6B8D"/>
    <w:rsid w:val="007E32B9"/>
    <w:rsid w:val="0081284F"/>
    <w:rsid w:val="00814843"/>
    <w:rsid w:val="008170DE"/>
    <w:rsid w:val="00830E32"/>
    <w:rsid w:val="00845A14"/>
    <w:rsid w:val="00846BF8"/>
    <w:rsid w:val="0085331D"/>
    <w:rsid w:val="00853F0F"/>
    <w:rsid w:val="0085592A"/>
    <w:rsid w:val="00873A11"/>
    <w:rsid w:val="00873AF9"/>
    <w:rsid w:val="0088317F"/>
    <w:rsid w:val="008A3FCA"/>
    <w:rsid w:val="008D1C04"/>
    <w:rsid w:val="008F04A0"/>
    <w:rsid w:val="008F419C"/>
    <w:rsid w:val="008F64A7"/>
    <w:rsid w:val="0090012B"/>
    <w:rsid w:val="0090351F"/>
    <w:rsid w:val="00964FA8"/>
    <w:rsid w:val="00970BAD"/>
    <w:rsid w:val="009768D1"/>
    <w:rsid w:val="00981E99"/>
    <w:rsid w:val="009829B7"/>
    <w:rsid w:val="009862F2"/>
    <w:rsid w:val="00987D55"/>
    <w:rsid w:val="009927C0"/>
    <w:rsid w:val="009943B2"/>
    <w:rsid w:val="00996063"/>
    <w:rsid w:val="009961E6"/>
    <w:rsid w:val="009A2B93"/>
    <w:rsid w:val="009B6C65"/>
    <w:rsid w:val="009B752D"/>
    <w:rsid w:val="009C0017"/>
    <w:rsid w:val="009C15F4"/>
    <w:rsid w:val="009D62A3"/>
    <w:rsid w:val="009E2A1F"/>
    <w:rsid w:val="009E5241"/>
    <w:rsid w:val="009F231F"/>
    <w:rsid w:val="009F5698"/>
    <w:rsid w:val="00A00F36"/>
    <w:rsid w:val="00A37C4B"/>
    <w:rsid w:val="00A44507"/>
    <w:rsid w:val="00A47282"/>
    <w:rsid w:val="00A51F30"/>
    <w:rsid w:val="00A530EF"/>
    <w:rsid w:val="00A56F63"/>
    <w:rsid w:val="00A66F66"/>
    <w:rsid w:val="00A71AE5"/>
    <w:rsid w:val="00A77F16"/>
    <w:rsid w:val="00A80A60"/>
    <w:rsid w:val="00A819EB"/>
    <w:rsid w:val="00A90909"/>
    <w:rsid w:val="00A92827"/>
    <w:rsid w:val="00AA1E16"/>
    <w:rsid w:val="00AC002C"/>
    <w:rsid w:val="00AC2EE0"/>
    <w:rsid w:val="00AC6CDD"/>
    <w:rsid w:val="00AD1A68"/>
    <w:rsid w:val="00AD38D0"/>
    <w:rsid w:val="00AE108C"/>
    <w:rsid w:val="00AE5AE2"/>
    <w:rsid w:val="00AF1A53"/>
    <w:rsid w:val="00AF7AC7"/>
    <w:rsid w:val="00B05ADC"/>
    <w:rsid w:val="00B272BE"/>
    <w:rsid w:val="00B36AFF"/>
    <w:rsid w:val="00B574EE"/>
    <w:rsid w:val="00B5784C"/>
    <w:rsid w:val="00B9542C"/>
    <w:rsid w:val="00B95560"/>
    <w:rsid w:val="00BA7FAB"/>
    <w:rsid w:val="00BC2F4C"/>
    <w:rsid w:val="00BC4A05"/>
    <w:rsid w:val="00BC567D"/>
    <w:rsid w:val="00BF0B15"/>
    <w:rsid w:val="00C12CBB"/>
    <w:rsid w:val="00C25A2D"/>
    <w:rsid w:val="00C260F8"/>
    <w:rsid w:val="00C3050C"/>
    <w:rsid w:val="00C43FBE"/>
    <w:rsid w:val="00C449C6"/>
    <w:rsid w:val="00C564B0"/>
    <w:rsid w:val="00C61F0B"/>
    <w:rsid w:val="00C6283F"/>
    <w:rsid w:val="00C71487"/>
    <w:rsid w:val="00C814A5"/>
    <w:rsid w:val="00C84B2B"/>
    <w:rsid w:val="00C855F6"/>
    <w:rsid w:val="00C96573"/>
    <w:rsid w:val="00CA4791"/>
    <w:rsid w:val="00CC547F"/>
    <w:rsid w:val="00CD0BB8"/>
    <w:rsid w:val="00CD3849"/>
    <w:rsid w:val="00CE34C8"/>
    <w:rsid w:val="00CF7384"/>
    <w:rsid w:val="00D16A98"/>
    <w:rsid w:val="00D2343D"/>
    <w:rsid w:val="00D30EAE"/>
    <w:rsid w:val="00D318F1"/>
    <w:rsid w:val="00D3311D"/>
    <w:rsid w:val="00D40B0E"/>
    <w:rsid w:val="00D44FE0"/>
    <w:rsid w:val="00D4694F"/>
    <w:rsid w:val="00D66413"/>
    <w:rsid w:val="00DA66B7"/>
    <w:rsid w:val="00DB0865"/>
    <w:rsid w:val="00DB0C91"/>
    <w:rsid w:val="00DB4263"/>
    <w:rsid w:val="00DB7206"/>
    <w:rsid w:val="00DC5C1E"/>
    <w:rsid w:val="00DE5433"/>
    <w:rsid w:val="00DE68A7"/>
    <w:rsid w:val="00DF5A43"/>
    <w:rsid w:val="00DF5F38"/>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3D88"/>
    <w:rsid w:val="00EB4992"/>
    <w:rsid w:val="00EC7919"/>
    <w:rsid w:val="00ED3C2E"/>
    <w:rsid w:val="00EF2E52"/>
    <w:rsid w:val="00F031FB"/>
    <w:rsid w:val="00F32E4A"/>
    <w:rsid w:val="00F36D8C"/>
    <w:rsid w:val="00F93545"/>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351324"/>
    <w:pPr>
      <w:tabs>
        <w:tab w:val="left" w:pos="1267"/>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SingleTxt"/>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25055A"/>
    <w:rPr>
      <w:rFonts w:cs="Times New Roman"/>
      <w:szCs w:val="20"/>
      <w:lang/>
    </w:rPr>
  </w:style>
  <w:style w:type="character" w:customStyle="1" w:styleId="CommentTextChar">
    <w:name w:val="Comment Text Char"/>
    <w:link w:val="CommentText"/>
    <w:rsid w:val="0025055A"/>
    <w:rPr>
      <w:w w:val="103"/>
      <w:kern w:val="14"/>
    </w:rPr>
  </w:style>
  <w:style w:type="paragraph" w:styleId="CommentSubject">
    <w:name w:val="annotation subject"/>
    <w:basedOn w:val="CommentText"/>
    <w:next w:val="CommentText"/>
    <w:link w:val="CommentSubjectChar"/>
    <w:rsid w:val="0025055A"/>
    <w:rPr>
      <w:b/>
      <w:bCs/>
    </w:rPr>
  </w:style>
  <w:style w:type="character" w:customStyle="1" w:styleId="CommentSubjectChar">
    <w:name w:val="Comment Subject Char"/>
    <w:link w:val="CommentSubject"/>
    <w:rsid w:val="0025055A"/>
    <w:rPr>
      <w:b/>
      <w:bCs/>
      <w:w w:val="103"/>
      <w:kern w:val="14"/>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9943B2"/>
    <w:rPr>
      <w:kern w:val="14"/>
      <w:sz w:val="17"/>
      <w:szCs w:val="26"/>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ar/A/RES/27/2011"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timor-leste.gov.tl/?p=7699&amp;amp;lang=en" TargetMode="External"/><Relationship Id="rId2" Type="http://schemas.openxmlformats.org/officeDocument/2006/relationships/hyperlink" Target="http://www.tl.undp.org/content/timor_leste/en/home/presscenter/articles/2013/05/03/undp-justice-system-programme-supports-legal-outreach-sessions-in-covalima/" TargetMode="External"/><Relationship Id="rId1" Type="http://schemas.openxmlformats.org/officeDocument/2006/relationships/hyperlink" Target="http://budgettransparency.gov.tl/publicTransparency/%20transparencyNavigation?fiscalYearId=82&amp;isInflow=fals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62</TotalTime>
  <Pages>1</Pages>
  <Words>26500</Words>
  <Characters>151050</Characters>
  <Application>Microsoft Office Outlook</Application>
  <DocSecurity>4</DocSecurity>
  <Lines>1258</Lines>
  <Paragraphs>354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177196</CharactersWithSpaces>
  <SharedDoc>false</SharedDoc>
  <HLinks>
    <vt:vector size="24" baseType="variant">
      <vt:variant>
        <vt:i4>2359404</vt:i4>
      </vt:variant>
      <vt:variant>
        <vt:i4>0</vt:i4>
      </vt:variant>
      <vt:variant>
        <vt:i4>0</vt:i4>
      </vt:variant>
      <vt:variant>
        <vt:i4>5</vt:i4>
      </vt:variant>
      <vt:variant>
        <vt:lpwstr>http://undocs.org/ar/A/RES/27/2011</vt:lpwstr>
      </vt:variant>
      <vt:variant>
        <vt:lpwstr/>
      </vt:variant>
      <vt:variant>
        <vt:i4>1900563</vt:i4>
      </vt:variant>
      <vt:variant>
        <vt:i4>6</vt:i4>
      </vt:variant>
      <vt:variant>
        <vt:i4>0</vt:i4>
      </vt:variant>
      <vt:variant>
        <vt:i4>5</vt:i4>
      </vt:variant>
      <vt:variant>
        <vt:lpwstr>http://timor-leste.gov.tl/?p=7699&amp;amp;lang=en</vt:lpwstr>
      </vt:variant>
      <vt:variant>
        <vt:lpwstr/>
      </vt:variant>
      <vt:variant>
        <vt:i4>2555919</vt:i4>
      </vt:variant>
      <vt:variant>
        <vt:i4>3</vt:i4>
      </vt:variant>
      <vt:variant>
        <vt:i4>0</vt:i4>
      </vt:variant>
      <vt:variant>
        <vt:i4>5</vt:i4>
      </vt:variant>
      <vt:variant>
        <vt:lpwstr>http://www.tl.undp.org/content/timor_leste/en/home/presscenter/articles/2013/05/03/undp-justice-system-programme-supports-legal-outreach-sessions-in-covalima/</vt:lpwstr>
      </vt:variant>
      <vt:variant>
        <vt:lpwstr/>
      </vt:variant>
      <vt:variant>
        <vt:i4>2555956</vt:i4>
      </vt:variant>
      <vt:variant>
        <vt:i4>0</vt:i4>
      </vt:variant>
      <vt:variant>
        <vt:i4>0</vt:i4>
      </vt:variant>
      <vt:variant>
        <vt:i4>5</vt:i4>
      </vt:variant>
      <vt:variant>
        <vt:lpwstr>http://budgettransparency.gov.tl/publicTransparency/ transparencyNavigation?fiscalYearId=82&amp;isInflow=false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Mohammed Anas Wardeh</dc:creator>
  <cp:keywords/>
  <cp:lastModifiedBy>Front Desk 1</cp:lastModifiedBy>
  <cp:revision>19</cp:revision>
  <cp:lastPrinted>2014-04-28T20:52:00Z</cp:lastPrinted>
  <dcterms:created xsi:type="dcterms:W3CDTF">2014-04-28T17:24:00Z</dcterms:created>
  <dcterms:modified xsi:type="dcterms:W3CDTF">2014-04-28T21:10:00Z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1421326</vt:lpwstr>
  </property>
  <property fmtid="{D5CDD505-2E9C-101B-9397-08002B2CF9AE}" pid="3" name="Symbol1">
    <vt:lpwstr>CEDAW/C/TLS/2-3</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28 April 2014</vt:lpwstr>
  </property>
  <property fmtid="{D5CDD505-2E9C-101B-9397-08002B2CF9AE}" pid="8" name="Original">
    <vt:lpwstr>English</vt:lpwstr>
  </property>
  <property fmtid="{D5CDD505-2E9C-101B-9397-08002B2CF9AE}" pid="9" name="Release Date">
    <vt:lpwstr>280414</vt:lpwstr>
  </property>
  <property fmtid="{D5CDD505-2E9C-101B-9397-08002B2CF9AE}" pid="10" name="Comment">
    <vt:lpwstr>فاينال</vt:lpwstr>
  </property>
  <property fmtid="{D5CDD505-2E9C-101B-9397-08002B2CF9AE}" pid="11" name="DraftPages">
    <vt:lpwstr> </vt:lpwstr>
  </property>
  <property fmtid="{D5CDD505-2E9C-101B-9397-08002B2CF9AE}" pid="12" name="Operator">
    <vt:lpwstr>مصطفى</vt:lpwstr>
  </property>
</Properties>
</file>