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43861</w:t>
                  </w:r>
                  <w:r>
                    <w:rPr>
                      <w:lang w:val="en-US"/>
                    </w:rPr>
                    <w:fldChar w:fldCharType="end"/>
                  </w:r>
                  <w:r>
                    <w:rPr>
                      <w:lang w:val="en-US"/>
                    </w:rPr>
                    <w:t xml:space="preserve">   (R)    290906    031006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551928"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CERD/C/KOR/14</w:t>
            </w:r>
            <w:r>
              <w:rPr>
                <w:sz w:val="22"/>
                <w:lang w:val="en-US"/>
              </w:rPr>
              <w:fldChar w:fldCharType="end"/>
            </w:r>
          </w:p>
          <w:p w:rsidR="00000000" w:rsidRDefault="00000000">
            <w:pPr>
              <w:spacing w:line="216" w:lineRule="auto"/>
              <w:rPr>
                <w:sz w:val="22"/>
                <w:lang w:val="en-US"/>
              </w:rPr>
            </w:pPr>
            <w:r>
              <w:rPr>
                <w:sz w:val="22"/>
              </w:rPr>
              <w:t xml:space="preserve">18 </w:t>
            </w:r>
            <w:r>
              <w:rPr>
                <w:sz w:val="22"/>
                <w:lang w:val="en-US"/>
              </w:rPr>
              <w:t>August 2006</w:t>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spacing w:line="240" w:lineRule="auto"/>
        <w:rPr>
          <w:lang w:val="en-US"/>
        </w:rPr>
      </w:pPr>
      <w:r>
        <w:t>КОМИТЕТ</w:t>
      </w:r>
      <w:r>
        <w:rPr>
          <w:lang w:val="en-US"/>
        </w:rPr>
        <w:t xml:space="preserve"> </w:t>
      </w:r>
      <w:r>
        <w:t>ПО</w:t>
      </w:r>
      <w:r>
        <w:rPr>
          <w:lang w:val="en-US"/>
        </w:rPr>
        <w:t xml:space="preserve"> </w:t>
      </w:r>
      <w:r>
        <w:t>ЛИКВИДАЦИИ</w:t>
      </w:r>
    </w:p>
    <w:p w:rsidR="00000000" w:rsidRDefault="00000000">
      <w:pPr>
        <w:spacing w:line="240" w:lineRule="auto"/>
      </w:pPr>
      <w:r>
        <w:t>РАСОВОЙ ДИСКРИМИНАЦИИ</w:t>
      </w:r>
    </w:p>
    <w:p w:rsidR="00000000" w:rsidRDefault="00000000">
      <w:pPr>
        <w:spacing w:line="240" w:lineRule="auto"/>
      </w:pPr>
    </w:p>
    <w:p w:rsidR="00000000" w:rsidRDefault="00000000">
      <w:pPr>
        <w:spacing w:line="240" w:lineRule="auto"/>
      </w:pPr>
    </w:p>
    <w:p w:rsidR="00000000" w:rsidRDefault="00000000"/>
    <w:p w:rsidR="00000000" w:rsidRDefault="00000000">
      <w:pPr>
        <w:pStyle w:val="10"/>
        <w:rPr>
          <w:bCs/>
        </w:rPr>
      </w:pPr>
      <w:r>
        <w:rPr>
          <w:bCs/>
        </w:rPr>
        <w:t>ДОКЛАДЫ, ПРЕДСТАВЛЕННЫЕ ГОСУДАРСТВАМИ-УЧАСТНИКАМИ</w:t>
      </w:r>
    </w:p>
    <w:p w:rsidR="00000000" w:rsidRDefault="00000000">
      <w:pPr>
        <w:pStyle w:val="10"/>
        <w:rPr>
          <w:bCs/>
        </w:rPr>
      </w:pPr>
      <w:r>
        <w:rPr>
          <w:bCs/>
        </w:rPr>
        <w:t>В СООТВЕТСТВИИ СО СТАТЬЕЙ 9 КОНВЕНЦИИ</w:t>
      </w:r>
    </w:p>
    <w:p w:rsidR="00000000" w:rsidRDefault="00000000">
      <w:pPr>
        <w:pStyle w:val="10"/>
        <w:rPr>
          <w:bCs/>
        </w:rPr>
      </w:pPr>
    </w:p>
    <w:p w:rsidR="00000000" w:rsidRDefault="00000000">
      <w:pPr>
        <w:pStyle w:val="11"/>
      </w:pPr>
      <w:r>
        <w:t>Четырнадцатые периодические доклады государств-участников</w:t>
      </w:r>
      <w:r>
        <w:rPr>
          <w:u w:val="none"/>
        </w:rPr>
        <w:t>,</w:t>
      </w:r>
    </w:p>
    <w:p w:rsidR="00000000" w:rsidRDefault="00000000">
      <w:pPr>
        <w:pStyle w:val="11"/>
      </w:pPr>
      <w:r>
        <w:t>подлежавшие представлению в 2006 году</w:t>
      </w:r>
    </w:p>
    <w:p w:rsidR="00000000" w:rsidRDefault="00000000">
      <w:pPr>
        <w:pStyle w:val="11"/>
      </w:pPr>
    </w:p>
    <w:p w:rsidR="00000000" w:rsidRDefault="00000000">
      <w:pPr>
        <w:jc w:val="center"/>
        <w:rPr>
          <w:u w:val="single"/>
        </w:rPr>
      </w:pPr>
      <w:r>
        <w:rPr>
          <w:u w:val="single"/>
        </w:rPr>
        <w:t>Добавление</w:t>
      </w:r>
    </w:p>
    <w:p w:rsidR="00000000" w:rsidRDefault="00000000">
      <w:pPr>
        <w:jc w:val="center"/>
        <w:rPr>
          <w:szCs w:val="24"/>
          <w:u w:val="single"/>
        </w:rPr>
      </w:pPr>
    </w:p>
    <w:p w:rsidR="00000000" w:rsidRDefault="00000000">
      <w:pPr>
        <w:pStyle w:val="10"/>
        <w:rPr>
          <w:bCs/>
        </w:rPr>
      </w:pPr>
      <w:r>
        <w:rPr>
          <w:bCs/>
          <w:szCs w:val="24"/>
        </w:rPr>
        <w:t>РЕСПУБЛИКА КОРЕЯ</w:t>
      </w:r>
      <w:r>
        <w:rPr>
          <w:bCs/>
        </w:rPr>
        <w:t>*</w:t>
      </w:r>
    </w:p>
    <w:p w:rsidR="00000000" w:rsidRDefault="00000000">
      <w:pPr>
        <w:jc w:val="center"/>
      </w:pPr>
    </w:p>
    <w:p w:rsidR="00000000" w:rsidRDefault="00000000">
      <w:pPr>
        <w:jc w:val="right"/>
      </w:pPr>
      <w:r>
        <w:t>[3 июля 2006 года]</w:t>
      </w:r>
    </w:p>
    <w:p w:rsidR="00000000" w:rsidRDefault="00000000"/>
    <w:p w:rsidR="00000000" w:rsidRDefault="00000000"/>
    <w:p w:rsidR="00000000" w:rsidRDefault="00000000">
      <w:pPr>
        <w:spacing w:line="240" w:lineRule="auto"/>
      </w:pPr>
    </w:p>
    <w:p w:rsidR="00000000" w:rsidRDefault="00000000">
      <w:pPr>
        <w:spacing w:line="240" w:lineRule="auto"/>
      </w:pPr>
    </w:p>
    <w:p w:rsidR="00000000" w:rsidRDefault="00000000">
      <w:pPr>
        <w:spacing w:line="240" w:lineRule="auto"/>
        <w:rPr>
          <w:lang w:val="en-US"/>
        </w:rPr>
      </w:pPr>
    </w:p>
    <w:p w:rsidR="00000000" w:rsidRDefault="00000000">
      <w:pPr>
        <w:spacing w:line="240" w:lineRule="auto"/>
        <w:rPr>
          <w:lang w:val="en-US"/>
        </w:rPr>
      </w:pPr>
    </w:p>
    <w:p w:rsidR="00000000" w:rsidRDefault="00000000">
      <w:pPr>
        <w:spacing w:line="240" w:lineRule="auto"/>
        <w:rPr>
          <w:lang w:val="en-US"/>
        </w:rPr>
      </w:pPr>
    </w:p>
    <w:p w:rsidR="00000000" w:rsidRDefault="00000000">
      <w:pPr>
        <w:pStyle w:val="FootnoteText"/>
      </w:pPr>
      <w:r>
        <w:t>______________________</w:t>
      </w:r>
    </w:p>
    <w:p w:rsidR="00000000" w:rsidRDefault="00000000">
      <w:pPr>
        <w:spacing w:line="240" w:lineRule="auto"/>
        <w:rPr>
          <w:szCs w:val="22"/>
        </w:rPr>
      </w:pPr>
      <w:r>
        <w:rPr>
          <w:b/>
          <w:bCs/>
        </w:rPr>
        <w:t>*</w:t>
      </w:r>
      <w:r>
        <w:tab/>
      </w:r>
      <w:r>
        <w:rPr>
          <w:szCs w:val="22"/>
        </w:rPr>
        <w:t>Настоящий документ содержит сведенные воедино тринадцатый и четырнадцатый периодические доклады Республики Кореи, подлежавшие представлению 4 января 2006 года.  Двенадцатый периодический доклад Республики Кореи и краткие отчеты о заседаниях, на которых Комитет рассмотрел этот доклад, см. в документах CERD/C/426/Add.2 и CERD/C/SR.1593.</w:t>
      </w:r>
    </w:p>
    <w:p w:rsidR="00000000" w:rsidRDefault="00000000">
      <w:pPr>
        <w:spacing w:line="240" w:lineRule="auto"/>
        <w:rPr>
          <w:szCs w:val="22"/>
        </w:rPr>
      </w:pPr>
    </w:p>
    <w:p w:rsidR="00000000" w:rsidRDefault="00000000">
      <w:pPr>
        <w:tabs>
          <w:tab w:val="clear" w:pos="6237"/>
          <w:tab w:val="left" w:pos="5940"/>
          <w:tab w:val="center" w:pos="6660"/>
          <w:tab w:val="center" w:pos="8100"/>
        </w:tabs>
        <w:spacing w:line="240" w:lineRule="auto"/>
        <w:jc w:val="center"/>
        <w:rPr>
          <w:b/>
          <w:szCs w:val="22"/>
        </w:rPr>
      </w:pPr>
      <w:r>
        <w:rPr>
          <w:szCs w:val="22"/>
        </w:rPr>
        <w:br w:type="page"/>
      </w:r>
      <w:r>
        <w:rPr>
          <w:b/>
          <w:szCs w:val="22"/>
        </w:rPr>
        <w:t>СОДЕРЖАНИЕ</w:t>
      </w:r>
    </w:p>
    <w:p w:rsidR="00000000" w:rsidRDefault="00000000">
      <w:pPr>
        <w:tabs>
          <w:tab w:val="clear" w:pos="6237"/>
          <w:tab w:val="left" w:pos="5940"/>
          <w:tab w:val="center" w:pos="6660"/>
          <w:tab w:val="center" w:pos="8100"/>
        </w:tabs>
        <w:spacing w:line="240" w:lineRule="auto"/>
        <w:jc w:val="center"/>
        <w:rPr>
          <w:b/>
          <w:sz w:val="22"/>
          <w:szCs w:val="22"/>
        </w:rPr>
      </w:pPr>
    </w:p>
    <w:p w:rsidR="00000000" w:rsidRDefault="00000000">
      <w:pPr>
        <w:tabs>
          <w:tab w:val="clear" w:pos="6237"/>
          <w:tab w:val="left" w:pos="567"/>
          <w:tab w:val="left" w:pos="1134"/>
          <w:tab w:val="left" w:pos="1701"/>
          <w:tab w:val="left" w:pos="2268"/>
          <w:tab w:val="center" w:pos="8039"/>
          <w:tab w:val="center" w:pos="9122"/>
        </w:tabs>
        <w:spacing w:line="240" w:lineRule="auto"/>
        <w:rPr>
          <w:bCs/>
          <w:i/>
          <w:iCs/>
          <w:szCs w:val="22"/>
        </w:rPr>
      </w:pPr>
      <w:r>
        <w:rPr>
          <w:b/>
          <w:sz w:val="22"/>
          <w:szCs w:val="22"/>
        </w:rPr>
        <w:tab/>
      </w:r>
      <w:r>
        <w:rPr>
          <w:b/>
          <w:sz w:val="22"/>
          <w:szCs w:val="22"/>
        </w:rPr>
        <w:tab/>
      </w:r>
      <w:r>
        <w:rPr>
          <w:b/>
          <w:sz w:val="22"/>
          <w:szCs w:val="22"/>
        </w:rPr>
        <w:tab/>
      </w:r>
      <w:r>
        <w:rPr>
          <w:b/>
          <w:sz w:val="22"/>
          <w:szCs w:val="22"/>
        </w:rPr>
        <w:tab/>
      </w:r>
      <w:r>
        <w:rPr>
          <w:b/>
          <w:sz w:val="22"/>
          <w:szCs w:val="22"/>
        </w:rPr>
        <w:tab/>
      </w:r>
      <w:r>
        <w:rPr>
          <w:bCs/>
          <w:i/>
          <w:iCs/>
          <w:szCs w:val="22"/>
        </w:rPr>
        <w:t>Пункты</w:t>
      </w:r>
      <w:r>
        <w:rPr>
          <w:bCs/>
          <w:i/>
          <w:iCs/>
          <w:szCs w:val="22"/>
        </w:rPr>
        <w:tab/>
        <w:t>Стр.</w:t>
      </w:r>
    </w:p>
    <w:p w:rsidR="00000000" w:rsidRDefault="00000000">
      <w:pPr>
        <w:tabs>
          <w:tab w:val="clear" w:pos="6237"/>
          <w:tab w:val="left" w:pos="567"/>
          <w:tab w:val="left" w:pos="1134"/>
          <w:tab w:val="left" w:pos="1701"/>
          <w:tab w:val="left" w:pos="2268"/>
          <w:tab w:val="center" w:pos="8039"/>
          <w:tab w:val="center" w:pos="9122"/>
        </w:tabs>
        <w:spacing w:line="240" w:lineRule="auto"/>
        <w:rPr>
          <w:b/>
          <w:sz w:val="22"/>
          <w:szCs w:val="22"/>
        </w:rPr>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rPr>
          <w:sz w:val="22"/>
          <w:szCs w:val="22"/>
        </w:rPr>
      </w:pPr>
    </w:p>
    <w:p w:rsidR="00000000" w:rsidRDefault="00000000">
      <w:pPr>
        <w:tabs>
          <w:tab w:val="clear" w:pos="6237"/>
          <w:tab w:val="left" w:pos="5940"/>
          <w:tab w:val="center" w:pos="6660"/>
          <w:tab w:val="center" w:pos="8100"/>
        </w:tabs>
        <w:spacing w:line="240" w:lineRule="auto"/>
        <w:jc w:val="center"/>
        <w:rPr>
          <w:sz w:val="22"/>
          <w:szCs w:val="22"/>
        </w:rPr>
      </w:pPr>
    </w:p>
    <w:p w:rsidR="00000000" w:rsidRDefault="00000000">
      <w:pPr>
        <w:tabs>
          <w:tab w:val="clear" w:pos="1134"/>
          <w:tab w:val="clear" w:pos="1701"/>
          <w:tab w:val="clear" w:pos="2268"/>
          <w:tab w:val="clear" w:pos="6237"/>
          <w:tab w:val="decimal" w:pos="567"/>
          <w:tab w:val="right" w:leader="dot" w:pos="7172"/>
          <w:tab w:val="center" w:pos="8039"/>
          <w:tab w:val="center" w:pos="9122"/>
        </w:tabs>
        <w:spacing w:line="240" w:lineRule="auto"/>
        <w:rPr>
          <w:szCs w:val="22"/>
        </w:rPr>
      </w:pPr>
      <w:r>
        <w:rPr>
          <w:szCs w:val="22"/>
        </w:rPr>
        <w:t xml:space="preserve">Введение </w:t>
      </w:r>
      <w:r>
        <w:rPr>
          <w:szCs w:val="22"/>
        </w:rPr>
        <w:tab/>
      </w:r>
      <w:r>
        <w:rPr>
          <w:szCs w:val="22"/>
        </w:rPr>
        <w:tab/>
        <w:t>1 - 3</w:t>
      </w:r>
      <w:r>
        <w:rPr>
          <w:szCs w:val="22"/>
        </w:rPr>
        <w:tab/>
        <w:t>3</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rPr>
          <w:szCs w:val="22"/>
        </w:rPr>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rPr>
          <w:szCs w:val="22"/>
        </w:rPr>
      </w:pPr>
      <w:r>
        <w:rPr>
          <w:szCs w:val="22"/>
        </w:rPr>
        <w:tab/>
        <w:t>I.</w:t>
      </w:r>
      <w:r>
        <w:rPr>
          <w:szCs w:val="22"/>
        </w:rPr>
        <w:tab/>
        <w:t xml:space="preserve">ОБЩИЕ СВЕДЕНИЯ </w:t>
      </w:r>
      <w:r>
        <w:rPr>
          <w:szCs w:val="22"/>
        </w:rPr>
        <w:tab/>
      </w:r>
      <w:r>
        <w:rPr>
          <w:szCs w:val="22"/>
        </w:rPr>
        <w:tab/>
        <w:t>4 - 23</w:t>
      </w:r>
      <w:r>
        <w:rPr>
          <w:szCs w:val="22"/>
        </w:rPr>
        <w:tab/>
        <w:t>3</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rPr>
          <w:szCs w:val="22"/>
        </w:rPr>
      </w:pPr>
      <w:r>
        <w:rPr>
          <w:szCs w:val="22"/>
        </w:rPr>
        <w:tab/>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rPr>
          <w:szCs w:val="22"/>
        </w:rPr>
      </w:pPr>
      <w:r>
        <w:rPr>
          <w:szCs w:val="22"/>
        </w:rPr>
        <w:tab/>
      </w:r>
      <w:r>
        <w:rPr>
          <w:szCs w:val="22"/>
        </w:rPr>
        <w:tab/>
        <w:t>А.</w:t>
      </w:r>
      <w:r>
        <w:rPr>
          <w:szCs w:val="22"/>
          <w:lang w:val="en-US"/>
        </w:rPr>
        <w:tab/>
      </w:r>
      <w:r>
        <w:rPr>
          <w:szCs w:val="22"/>
        </w:rPr>
        <w:t xml:space="preserve">Население </w:t>
      </w:r>
      <w:r>
        <w:rPr>
          <w:szCs w:val="22"/>
        </w:rPr>
        <w:tab/>
      </w:r>
      <w:r>
        <w:rPr>
          <w:szCs w:val="22"/>
        </w:rPr>
        <w:tab/>
        <w:t>4</w:t>
      </w:r>
      <w:r>
        <w:rPr>
          <w:szCs w:val="22"/>
          <w:lang w:val="en-US"/>
        </w:rPr>
        <w:t xml:space="preserve"> </w:t>
      </w:r>
      <w:r>
        <w:rPr>
          <w:szCs w:val="22"/>
        </w:rPr>
        <w:t>-</w:t>
      </w:r>
      <w:r>
        <w:rPr>
          <w:szCs w:val="22"/>
          <w:lang w:val="en-US"/>
        </w:rPr>
        <w:t xml:space="preserve"> </w:t>
      </w:r>
      <w:r>
        <w:rPr>
          <w:szCs w:val="22"/>
        </w:rPr>
        <w:t>5</w:t>
      </w:r>
      <w:r>
        <w:rPr>
          <w:szCs w:val="22"/>
        </w:rPr>
        <w:tab/>
        <w:t>3</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rPr>
          <w:szCs w:val="22"/>
        </w:rPr>
      </w:pPr>
      <w:r>
        <w:rPr>
          <w:szCs w:val="22"/>
        </w:rPr>
        <w:tab/>
      </w:r>
      <w:r>
        <w:rPr>
          <w:szCs w:val="22"/>
          <w:lang w:val="en-US"/>
        </w:rPr>
        <w:tab/>
      </w:r>
      <w:r>
        <w:rPr>
          <w:szCs w:val="22"/>
        </w:rPr>
        <w:t xml:space="preserve">B.  </w:t>
      </w:r>
      <w:r>
        <w:rPr>
          <w:szCs w:val="22"/>
          <w:lang w:val="en-US"/>
        </w:rPr>
        <w:tab/>
      </w:r>
      <w:r>
        <w:rPr>
          <w:szCs w:val="22"/>
        </w:rPr>
        <w:t xml:space="preserve">Уважение прав человека </w:t>
      </w:r>
      <w:r>
        <w:rPr>
          <w:szCs w:val="22"/>
        </w:rPr>
        <w:tab/>
      </w:r>
      <w:r>
        <w:rPr>
          <w:szCs w:val="22"/>
        </w:rPr>
        <w:tab/>
        <w:t>6 - 12</w:t>
      </w:r>
      <w:r>
        <w:rPr>
          <w:szCs w:val="22"/>
        </w:rPr>
        <w:tab/>
        <w:t>4</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rPr>
          <w:szCs w:val="22"/>
        </w:rPr>
      </w:pPr>
      <w:r>
        <w:rPr>
          <w:szCs w:val="22"/>
        </w:rPr>
        <w:tab/>
      </w:r>
      <w:r>
        <w:rPr>
          <w:szCs w:val="22"/>
        </w:rPr>
        <w:tab/>
        <w:t xml:space="preserve">С.  </w:t>
      </w:r>
      <w:r>
        <w:rPr>
          <w:szCs w:val="22"/>
          <w:lang w:val="en-US"/>
        </w:rPr>
        <w:tab/>
      </w:r>
      <w:r>
        <w:rPr>
          <w:szCs w:val="22"/>
        </w:rPr>
        <w:t xml:space="preserve">Иностранцы </w:t>
      </w:r>
      <w:r>
        <w:rPr>
          <w:szCs w:val="22"/>
        </w:rPr>
        <w:tab/>
      </w:r>
      <w:r>
        <w:rPr>
          <w:szCs w:val="22"/>
        </w:rPr>
        <w:tab/>
        <w:t>13</w:t>
      </w:r>
      <w:r>
        <w:rPr>
          <w:szCs w:val="22"/>
          <w:lang w:val="en-US"/>
        </w:rPr>
        <w:t xml:space="preserve"> </w:t>
      </w:r>
      <w:r>
        <w:rPr>
          <w:szCs w:val="22"/>
        </w:rPr>
        <w:t>-</w:t>
      </w:r>
      <w:r>
        <w:rPr>
          <w:szCs w:val="22"/>
          <w:lang w:val="en-US"/>
        </w:rPr>
        <w:t xml:space="preserve"> </w:t>
      </w:r>
      <w:r>
        <w:rPr>
          <w:szCs w:val="22"/>
        </w:rPr>
        <w:t>21</w:t>
      </w:r>
      <w:r>
        <w:rPr>
          <w:szCs w:val="22"/>
          <w:lang w:val="en-US"/>
        </w:rPr>
        <w:tab/>
      </w:r>
      <w:r>
        <w:rPr>
          <w:szCs w:val="22"/>
        </w:rPr>
        <w:t>5</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rPr>
          <w:szCs w:val="22"/>
        </w:rPr>
      </w:pPr>
      <w:r>
        <w:rPr>
          <w:szCs w:val="22"/>
        </w:rPr>
        <w:tab/>
      </w:r>
      <w:r>
        <w:rPr>
          <w:szCs w:val="22"/>
          <w:lang w:val="en-US"/>
        </w:rPr>
        <w:tab/>
      </w:r>
      <w:r>
        <w:rPr>
          <w:szCs w:val="22"/>
        </w:rPr>
        <w:t xml:space="preserve">D.  </w:t>
      </w:r>
      <w:r>
        <w:rPr>
          <w:szCs w:val="22"/>
          <w:lang w:val="en-US"/>
        </w:rPr>
        <w:tab/>
      </w:r>
      <w:r>
        <w:rPr>
          <w:szCs w:val="22"/>
        </w:rPr>
        <w:t xml:space="preserve">Беженцы </w:t>
      </w:r>
      <w:r>
        <w:rPr>
          <w:szCs w:val="22"/>
        </w:rPr>
        <w:tab/>
      </w:r>
      <w:r>
        <w:rPr>
          <w:szCs w:val="22"/>
        </w:rPr>
        <w:tab/>
        <w:t>22 - 23</w:t>
      </w:r>
      <w:r>
        <w:rPr>
          <w:szCs w:val="22"/>
        </w:rPr>
        <w:tab/>
        <w:t>7</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rPr>
          <w:szCs w:val="22"/>
        </w:rPr>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rPr>
          <w:szCs w:val="22"/>
        </w:rPr>
      </w:pPr>
      <w:r>
        <w:rPr>
          <w:szCs w:val="22"/>
        </w:rPr>
        <w:tab/>
      </w:r>
      <w:r>
        <w:rPr>
          <w:szCs w:val="22"/>
          <w:lang w:val="en-US"/>
        </w:rPr>
        <w:t>II</w:t>
      </w:r>
      <w:r>
        <w:rPr>
          <w:szCs w:val="22"/>
        </w:rPr>
        <w:t>.</w:t>
      </w:r>
      <w:r>
        <w:rPr>
          <w:szCs w:val="22"/>
        </w:rPr>
        <w:tab/>
        <w:t>ИНФОРМАЦИЯ, КАСАЮЩАЯСЯ СТАТЕЙ 2-7</w:t>
      </w:r>
      <w:r>
        <w:rPr>
          <w:szCs w:val="22"/>
        </w:rPr>
        <w:br/>
      </w:r>
      <w:r>
        <w:rPr>
          <w:szCs w:val="22"/>
        </w:rPr>
        <w:tab/>
      </w:r>
      <w:r>
        <w:rPr>
          <w:szCs w:val="22"/>
        </w:rPr>
        <w:tab/>
        <w:t xml:space="preserve">КОНВЕНЦИИ </w:t>
      </w:r>
      <w:r>
        <w:rPr>
          <w:szCs w:val="22"/>
        </w:rPr>
        <w:tab/>
      </w:r>
      <w:r>
        <w:rPr>
          <w:szCs w:val="22"/>
        </w:rPr>
        <w:tab/>
        <w:t>24 - 97</w:t>
      </w:r>
      <w:r>
        <w:rPr>
          <w:szCs w:val="22"/>
        </w:rPr>
        <w:tab/>
        <w:t>8</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40" w:lineRule="auto"/>
        <w:rPr>
          <w:szCs w:val="22"/>
        </w:rPr>
      </w:pP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40" w:lineRule="auto"/>
        <w:rPr>
          <w:szCs w:val="22"/>
        </w:rPr>
      </w:pPr>
      <w:r>
        <w:rPr>
          <w:szCs w:val="22"/>
        </w:rPr>
        <w:tab/>
      </w:r>
      <w:r>
        <w:rPr>
          <w:szCs w:val="22"/>
        </w:rPr>
        <w:tab/>
        <w:t xml:space="preserve">Статья 2 </w:t>
      </w:r>
      <w:r>
        <w:rPr>
          <w:szCs w:val="22"/>
        </w:rPr>
        <w:tab/>
      </w:r>
      <w:r>
        <w:rPr>
          <w:szCs w:val="22"/>
        </w:rPr>
        <w:tab/>
        <w:t>24 - 53</w:t>
      </w:r>
      <w:r>
        <w:rPr>
          <w:szCs w:val="22"/>
        </w:rPr>
        <w:tab/>
        <w:t>8</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40" w:lineRule="auto"/>
        <w:rPr>
          <w:szCs w:val="22"/>
        </w:rPr>
      </w:pPr>
      <w:r>
        <w:rPr>
          <w:szCs w:val="22"/>
        </w:rPr>
        <w:tab/>
      </w:r>
      <w:r>
        <w:rPr>
          <w:szCs w:val="22"/>
        </w:rPr>
        <w:tab/>
        <w:t xml:space="preserve">Статья 3 </w:t>
      </w:r>
      <w:r>
        <w:rPr>
          <w:szCs w:val="22"/>
        </w:rPr>
        <w:tab/>
      </w:r>
      <w:r>
        <w:rPr>
          <w:szCs w:val="22"/>
        </w:rPr>
        <w:tab/>
        <w:t>54 - 58</w:t>
      </w:r>
      <w:r>
        <w:rPr>
          <w:szCs w:val="22"/>
        </w:rPr>
        <w:tab/>
        <w:t>15</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40" w:lineRule="auto"/>
        <w:rPr>
          <w:szCs w:val="22"/>
        </w:rPr>
      </w:pPr>
      <w:r>
        <w:rPr>
          <w:szCs w:val="22"/>
        </w:rPr>
        <w:tab/>
      </w:r>
      <w:r>
        <w:rPr>
          <w:szCs w:val="22"/>
        </w:rPr>
        <w:tab/>
        <w:t xml:space="preserve">Статья 4 </w:t>
      </w:r>
      <w:r>
        <w:rPr>
          <w:szCs w:val="22"/>
        </w:rPr>
        <w:tab/>
      </w:r>
      <w:r>
        <w:rPr>
          <w:szCs w:val="22"/>
        </w:rPr>
        <w:tab/>
        <w:t>59 - 61</w:t>
      </w:r>
      <w:r>
        <w:rPr>
          <w:szCs w:val="22"/>
        </w:rPr>
        <w:tab/>
        <w:t>16</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40" w:lineRule="auto"/>
        <w:rPr>
          <w:szCs w:val="22"/>
        </w:rPr>
      </w:pPr>
      <w:r>
        <w:rPr>
          <w:szCs w:val="22"/>
        </w:rPr>
        <w:tab/>
      </w:r>
      <w:r>
        <w:rPr>
          <w:szCs w:val="22"/>
        </w:rPr>
        <w:tab/>
        <w:t xml:space="preserve">Статья 5 </w:t>
      </w:r>
      <w:r>
        <w:rPr>
          <w:szCs w:val="22"/>
        </w:rPr>
        <w:tab/>
      </w:r>
      <w:r>
        <w:rPr>
          <w:szCs w:val="22"/>
        </w:rPr>
        <w:tab/>
        <w:t>62 - 74</w:t>
      </w:r>
      <w:r>
        <w:rPr>
          <w:szCs w:val="22"/>
        </w:rPr>
        <w:tab/>
        <w:t>16</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40" w:lineRule="auto"/>
        <w:rPr>
          <w:szCs w:val="22"/>
        </w:rPr>
      </w:pPr>
      <w:r>
        <w:rPr>
          <w:szCs w:val="22"/>
        </w:rPr>
        <w:tab/>
      </w:r>
      <w:r>
        <w:rPr>
          <w:szCs w:val="22"/>
        </w:rPr>
        <w:tab/>
        <w:t xml:space="preserve">Статья 6 </w:t>
      </w:r>
      <w:r>
        <w:rPr>
          <w:szCs w:val="22"/>
        </w:rPr>
        <w:tab/>
      </w:r>
      <w:r>
        <w:rPr>
          <w:szCs w:val="22"/>
        </w:rPr>
        <w:tab/>
        <w:t>75 - 88</w:t>
      </w:r>
      <w:r>
        <w:rPr>
          <w:szCs w:val="22"/>
        </w:rPr>
        <w:tab/>
        <w:t>19</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40" w:lineRule="auto"/>
        <w:rPr>
          <w:szCs w:val="22"/>
        </w:rPr>
      </w:pPr>
      <w:r>
        <w:rPr>
          <w:szCs w:val="22"/>
        </w:rPr>
        <w:tab/>
      </w:r>
      <w:r>
        <w:rPr>
          <w:szCs w:val="22"/>
        </w:rPr>
        <w:tab/>
        <w:t xml:space="preserve">Статья 7 </w:t>
      </w:r>
      <w:r>
        <w:rPr>
          <w:szCs w:val="22"/>
        </w:rPr>
        <w:tab/>
      </w:r>
      <w:r>
        <w:rPr>
          <w:szCs w:val="22"/>
        </w:rPr>
        <w:tab/>
        <w:t>89 - 97</w:t>
      </w:r>
      <w:r>
        <w:rPr>
          <w:szCs w:val="22"/>
        </w:rPr>
        <w:tab/>
        <w:t>23</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rPr>
          <w:szCs w:val="22"/>
        </w:rPr>
      </w:pPr>
    </w:p>
    <w:p w:rsidR="00000000" w:rsidRDefault="00000000">
      <w:pPr>
        <w:jc w:val="center"/>
        <w:rPr>
          <w:b/>
        </w:rPr>
      </w:pPr>
      <w:r>
        <w:br w:type="page"/>
      </w:r>
      <w:r>
        <w:rPr>
          <w:b/>
        </w:rPr>
        <w:t>Введение</w:t>
      </w:r>
    </w:p>
    <w:p w:rsidR="00000000" w:rsidRDefault="00000000">
      <w:pPr>
        <w:jc w:val="center"/>
        <w:rPr>
          <w:b/>
          <w:bCs/>
        </w:rPr>
      </w:pPr>
    </w:p>
    <w:p w:rsidR="00000000" w:rsidRDefault="00000000">
      <w:r>
        <w:t>1.</w:t>
      </w:r>
      <w:r>
        <w:tab/>
        <w:t>В соответствии с пунктом 1 статьи 9 Международной конвенции о ликвидации всех форм расовой дискриминации (далее именуется "Конвенция") Республика Корея представляет свои тринадцатый и четырнадцатый периодические доклады, содержащие обновленную информацию по всем вопросам, которые Комитет по ликвидации расовой дискриминации (далее именуется "Комитет") поднял в своих заключительных замечаниях (CERD/C63/СО/9) к сведенным воедино одиннадцатому и двенадцатому докладам Республики Кореи (CERD/C/426/Add.2).</w:t>
      </w:r>
    </w:p>
    <w:p w:rsidR="00000000" w:rsidRDefault="00000000"/>
    <w:p w:rsidR="00000000" w:rsidRDefault="00000000">
      <w:r>
        <w:t>2.</w:t>
      </w:r>
      <w:r>
        <w:tab/>
        <w:t>Информация, содержащаяся в настоящем докладе, изложена в соответствии с принятыми Комитетом в декабре 2000 года пересмотренными общими руководящими принципами, которые касаются формы и содержания докладов, подлежащих представлению государствами-участниками (CERD/C/70/Rev.5).</w:t>
      </w:r>
    </w:p>
    <w:p w:rsidR="00000000" w:rsidRDefault="00000000"/>
    <w:p w:rsidR="00000000" w:rsidRDefault="00000000">
      <w:r>
        <w:t>3.</w:t>
      </w:r>
      <w:r>
        <w:tab/>
        <w:t>Настоящий доклад посвящен главным образом законодательным, судебным, административным и иным мерам, которые были приняты правительством Республики Кореи в порядке практического осуществления положений Конвенции, а также прогрессу, достигнутому в период с 2003 по 2005 год.</w:t>
      </w:r>
    </w:p>
    <w:p w:rsidR="00000000" w:rsidRDefault="00000000"/>
    <w:p w:rsidR="00000000" w:rsidRDefault="00000000">
      <w:pPr>
        <w:pStyle w:val="10"/>
        <w:keepNext/>
        <w:rPr>
          <w:bCs/>
        </w:rPr>
      </w:pPr>
      <w:r>
        <w:rPr>
          <w:bCs/>
        </w:rPr>
        <w:t>I.</w:t>
      </w:r>
      <w:r>
        <w:rPr>
          <w:bCs/>
        </w:rPr>
        <w:tab/>
        <w:t>ОБЩИЕ СВЕДЕНИЯ</w:t>
      </w:r>
    </w:p>
    <w:p w:rsidR="00000000" w:rsidRDefault="00000000">
      <w:pPr>
        <w:pStyle w:val="10"/>
        <w:keepNext/>
        <w:rPr>
          <w:bCs/>
        </w:rPr>
      </w:pPr>
    </w:p>
    <w:p w:rsidR="00000000" w:rsidRDefault="00000000">
      <w:pPr>
        <w:keepNext/>
        <w:jc w:val="center"/>
        <w:rPr>
          <w:b/>
          <w:bCs/>
        </w:rPr>
      </w:pPr>
      <w:r>
        <w:rPr>
          <w:b/>
          <w:bCs/>
        </w:rPr>
        <w:t>А. Население</w:t>
      </w:r>
    </w:p>
    <w:p w:rsidR="00000000" w:rsidRDefault="00000000">
      <w:pPr>
        <w:keepNext/>
        <w:jc w:val="center"/>
        <w:rPr>
          <w:b/>
          <w:bCs/>
        </w:rPr>
      </w:pPr>
    </w:p>
    <w:p w:rsidR="00000000" w:rsidRDefault="00000000">
      <w:pPr>
        <w:keepNext/>
      </w:pPr>
      <w:r>
        <w:t>4.</w:t>
      </w:r>
      <w:r>
        <w:tab/>
        <w:t>Республика Корея - этнически однородная страна, численность населения которой на ноябрь 2005 года составляла 47 254 000 человек.  В то же время документов, дающих четкое представление об этническом составе населения, не имеется, поскольку выяснение этнической принадлежности при переписи населения в Республике Корее не производится.</w:t>
      </w:r>
    </w:p>
    <w:p w:rsidR="00000000" w:rsidRDefault="00000000"/>
    <w:p w:rsidR="00000000" w:rsidRDefault="00000000">
      <w:r>
        <w:t>5.</w:t>
      </w:r>
      <w:r>
        <w:tab/>
        <w:t>На декабрь 2005 года общее число натурализовавшихся граждан составило примерно 38 020 человек;  это число увеличилось с 5 986 человек в 2003 году за счет лиц, приобретших гражданство в результате вступления в брак с гражданами Республики Кореи, и проживающих за рубежом корейцев второго поколения, которые пожелали натурализоваться.  На 2006 год намечено проведение переписи, посвященной положению дел с семьями эмигрантов, которая, как ожидается, даст более полную картину в отношении тех, кто получил гражданство путем вступления в брак с гражданами Республики Кореи.</w:t>
      </w:r>
    </w:p>
    <w:p w:rsidR="00000000" w:rsidRDefault="00000000"/>
    <w:p w:rsidR="00000000" w:rsidRDefault="00000000">
      <w:pPr>
        <w:keepNext/>
        <w:jc w:val="center"/>
      </w:pPr>
      <w:r>
        <w:rPr>
          <w:b/>
        </w:rPr>
        <w:t xml:space="preserve">В. </w:t>
      </w:r>
      <w:r>
        <w:rPr>
          <w:b/>
        </w:rPr>
        <w:tab/>
        <w:t xml:space="preserve"> Уважение прав человека</w:t>
      </w:r>
    </w:p>
    <w:p w:rsidR="00000000" w:rsidRDefault="00000000">
      <w:pPr>
        <w:keepNext/>
      </w:pPr>
    </w:p>
    <w:p w:rsidR="00000000" w:rsidRDefault="00000000">
      <w:pPr>
        <w:keepNext/>
      </w:pPr>
      <w:r>
        <w:t>6.</w:t>
      </w:r>
      <w:r>
        <w:tab/>
        <w:t>Республика Корея является демократической страной с президентской системой правления, основанной на принципе сдержек и противовесов.  Высшей суверенной властью наделен народ, а законодательная, исполнительная и судебная ветви власти представлены, соответственно, Национальным собранием, администрацией и судами.</w:t>
      </w:r>
    </w:p>
    <w:p w:rsidR="00000000" w:rsidRDefault="00000000"/>
    <w:p w:rsidR="00000000" w:rsidRDefault="00000000">
      <w:r>
        <w:t>7.</w:t>
      </w:r>
      <w:r>
        <w:tab/>
        <w:t>Правительство Республики Кореи (далее именуется "правительство") предпринимает усилия по обеспечению всем гражданам всесторонней защиты их основных прав человека.  Правительство принимает внутри страны самые разнообразные меры по поощрению демократизации и прав человека и, считая поощрение прав человека одной из своих главных внешнеполитических целей, активно участвует в международной деятельности по укреплению прав человека, проводимой под мудрым руководством Организации Объединенных Наций.</w:t>
      </w:r>
    </w:p>
    <w:p w:rsidR="00000000" w:rsidRDefault="00000000"/>
    <w:p w:rsidR="00000000" w:rsidRDefault="00000000">
      <w:pPr>
        <w:keepNext/>
      </w:pPr>
      <w:r>
        <w:rPr>
          <w:b/>
        </w:rPr>
        <w:t>Положения Конституции, касающиеся уважения прав человека</w:t>
      </w:r>
    </w:p>
    <w:p w:rsidR="00000000" w:rsidRDefault="00000000">
      <w:pPr>
        <w:keepNext/>
      </w:pPr>
    </w:p>
    <w:p w:rsidR="00000000" w:rsidRDefault="00000000">
      <w:pPr>
        <w:keepNext/>
      </w:pPr>
      <w:r>
        <w:t>8.</w:t>
      </w:r>
      <w:r>
        <w:tab/>
        <w:t>Основополагающими принципами Конституции Республики Кореи являются уважение человеческого достоинства, ценность человеческой личности и равенство всех перед законом.  Эти конституционные принципы защиты прав человека последовательно воплощены в национальном законодательстве, а также во всех сферах жизни общества, включая политическую, экономическую, социальную и культурную.</w:t>
      </w:r>
    </w:p>
    <w:p w:rsidR="00000000" w:rsidRDefault="00000000"/>
    <w:p w:rsidR="00000000" w:rsidRDefault="00000000">
      <w:r>
        <w:t>9.</w:t>
      </w:r>
      <w:r>
        <w:tab/>
        <w:t>Пункт 1 статьи 11 Конституции предусматривает, что "все граждане равны перед законом, и в политической, экономической, социальной и культурной жизни запрещены все формы дискриминации по признаку пола, религии или социального положения".  Хотя расовая дискриминация в Конституции конкретно не упоминается, считается, что этот вопрос охватывается всеобъемлющими положениями пункта 1 статьи 37 Конституции о недопустимости неуважения свобод и прав граждан на том основании, что они конкретно не упомянуты в Конституции.</w:t>
      </w:r>
    </w:p>
    <w:p w:rsidR="00000000" w:rsidRDefault="00000000"/>
    <w:p w:rsidR="00000000" w:rsidRDefault="00000000">
      <w:r>
        <w:t>10.</w:t>
      </w:r>
      <w:r>
        <w:tab/>
        <w:t>Пункт 1 статьи 6 Конституции гласит, что "договоры, должным образом заключенные и введенные в действие в соответствии с Конституцией, а также общепризнанные нормы международного права имеют такую же силу, что и национальные законы Республики Кореи".  Конвенция была ратифицирована и введена в действие правительством с согласия Национального собрания.  Соответственно, она имеет силу национального закона и не требует принятия никаких дополнительных законодательных актов.</w:t>
      </w:r>
    </w:p>
    <w:p w:rsidR="00000000" w:rsidRDefault="00000000"/>
    <w:p w:rsidR="00000000" w:rsidRDefault="00000000">
      <w:r>
        <w:t>11.</w:t>
      </w:r>
      <w:r>
        <w:tab/>
        <w:t>Закрепленные в Конституции принцип уважения прав человека и принцип равенства всех перед законом действуют также в отношении иностранцев.  Проживающим в Республике Корее иностранцам гарантированы основные права человека за исключением тех прав, которые по своему характеру считаются относящимися только к гражданам Республики Кореи.  Поскольку предпосылкой для реализации некоторых прав, например, права голоса, права занимать государственные посты, а также право выполнять официальные функции является гражданство, такие права к иностранцам не относятся.</w:t>
      </w:r>
    </w:p>
    <w:p w:rsidR="00000000" w:rsidRDefault="00000000"/>
    <w:p w:rsidR="00000000" w:rsidRDefault="00000000">
      <w:r>
        <w:rPr>
          <w:b/>
        </w:rPr>
        <w:t>Деятельность Национальной комиссии по правам человека</w:t>
      </w:r>
    </w:p>
    <w:p w:rsidR="00000000" w:rsidRDefault="00000000"/>
    <w:p w:rsidR="00000000" w:rsidRDefault="00000000">
      <w:r>
        <w:t>12.</w:t>
      </w:r>
      <w:r>
        <w:tab/>
        <w:t>Национальная комиссия по правам человека была учреждена в ноябре 2005 года на основании принятого в мае 2005 года Закона о Национальной комиссии по правам человека в качестве всеобъемлющего правозащитного органа, который занимается всеми относящимися к защите прав человека вопросами, включая соблюдение внутри страны международных договоров по правам человека.  Закон прямо запрещает дискриминацию по признаку расы, цвета кожи, родового, национального или этнического происхождения и создает основу для признания подобных актов незаконными и влекущими наказание в соответствии с требованиями статьи 4 Конвенции.  Руководствуясь положениями Закона, Комиссия активно занимается вопросами, относящими к трудящимся-иностранцам и этническим меньшинствам (подробная информация о Законе приводится в пунктах 23</w:t>
      </w:r>
      <w:r>
        <w:noBreakHyphen/>
        <w:t>26 представленного Республикой Кореей одиннадцатого периодического доклада в рамках Конвенции).</w:t>
      </w:r>
    </w:p>
    <w:p w:rsidR="00000000" w:rsidRDefault="00000000"/>
    <w:p w:rsidR="00000000" w:rsidRDefault="00000000">
      <w:pPr>
        <w:keepNext/>
        <w:jc w:val="center"/>
      </w:pPr>
      <w:r>
        <w:rPr>
          <w:b/>
        </w:rPr>
        <w:t xml:space="preserve">С.  </w:t>
      </w:r>
      <w:r>
        <w:rPr>
          <w:b/>
        </w:rPr>
        <w:tab/>
        <w:t>Иностранцы</w:t>
      </w:r>
    </w:p>
    <w:p w:rsidR="00000000" w:rsidRDefault="00000000">
      <w:pPr>
        <w:keepNext/>
      </w:pPr>
    </w:p>
    <w:p w:rsidR="00000000" w:rsidRDefault="00000000">
      <w:pPr>
        <w:keepNext/>
      </w:pPr>
      <w:r>
        <w:t>13.</w:t>
      </w:r>
      <w:r>
        <w:tab/>
        <w:t>В последнее время в Республике Корее наблюдается быстрый рост численности иностранцев, и в частности трудящихся-мигрантов.  На октябрь 2005 года в Республике Корее проживало в общей сложности 711 869 иностранцев (приблизительно 2% общей численности населения)</w:t>
      </w:r>
      <w:r>
        <w:rPr>
          <w:rStyle w:val="EndnoteReference"/>
        </w:rPr>
        <w:endnoteReference w:id="1"/>
      </w:r>
      <w:r>
        <w:t>.  В разбивке по национальности наиболее многочисленной группой были китайцы (36,9% от общего числа), за которыми следовали американцы (14,8%), филиппинцы (5,1%) и японцы (4,2%).</w:t>
      </w:r>
    </w:p>
    <w:p w:rsidR="00000000" w:rsidRDefault="00000000"/>
    <w:p w:rsidR="00000000" w:rsidRDefault="00000000">
      <w:pPr>
        <w:rPr>
          <w:b/>
        </w:rPr>
      </w:pPr>
      <w:r>
        <w:rPr>
          <w:b/>
        </w:rPr>
        <w:t>Таблица 1.  Иностранцы, проживающие в Республике Корее (на октябрь 2005 года)</w:t>
      </w:r>
    </w:p>
    <w:p w:rsidR="00000000" w:rsidRDefault="00000000"/>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368"/>
        <w:gridCol w:w="2008"/>
        <w:gridCol w:w="2336"/>
        <w:gridCol w:w="2025"/>
      </w:tblGrid>
      <w:tr w:rsidR="00000000">
        <w:tblPrEx>
          <w:tblCellMar>
            <w:top w:w="0" w:type="dxa"/>
            <w:bottom w:w="0" w:type="dxa"/>
          </w:tblCellMar>
        </w:tblPrEx>
        <w:trPr>
          <w:cantSplit/>
          <w:jc w:val="center"/>
        </w:trPr>
        <w:tc>
          <w:tcPr>
            <w:tcW w:w="1368" w:type="dxa"/>
            <w:vMerge w:val="restart"/>
            <w:tcBorders>
              <w:top w:val="single" w:sz="4" w:space="0" w:color="auto"/>
              <w:right w:val="single" w:sz="4" w:space="0" w:color="auto"/>
            </w:tcBorders>
            <w:tcMar>
              <w:left w:w="79" w:type="dxa"/>
              <w:right w:w="79" w:type="dxa"/>
            </w:tcMar>
            <w:vAlign w:val="center"/>
          </w:tcPr>
          <w:p w:rsidR="00000000" w:rsidRDefault="00000000">
            <w:pPr>
              <w:jc w:val="center"/>
              <w:rPr>
                <w:b/>
              </w:rPr>
            </w:pPr>
            <w:r>
              <w:rPr>
                <w:b/>
              </w:rPr>
              <w:t>Всего</w:t>
            </w:r>
          </w:p>
        </w:tc>
        <w:tc>
          <w:tcPr>
            <w:tcW w:w="4344" w:type="dxa"/>
            <w:gridSpan w:val="2"/>
            <w:tcBorders>
              <w:top w:val="single" w:sz="4" w:space="0" w:color="auto"/>
              <w:left w:val="single" w:sz="4" w:space="0" w:color="auto"/>
              <w:bottom w:val="single" w:sz="4" w:space="0" w:color="auto"/>
              <w:right w:val="single" w:sz="4" w:space="0" w:color="auto"/>
            </w:tcBorders>
            <w:tcMar>
              <w:left w:w="79" w:type="dxa"/>
              <w:right w:w="79" w:type="dxa"/>
            </w:tcMar>
          </w:tcPr>
          <w:p w:rsidR="00000000" w:rsidRDefault="00000000">
            <w:pPr>
              <w:jc w:val="center"/>
              <w:rPr>
                <w:b/>
              </w:rPr>
            </w:pPr>
            <w:r>
              <w:rPr>
                <w:b/>
              </w:rPr>
              <w:t>Проживают на законных основаниях</w:t>
            </w:r>
          </w:p>
        </w:tc>
        <w:tc>
          <w:tcPr>
            <w:tcW w:w="2025" w:type="dxa"/>
            <w:vMerge w:val="restart"/>
            <w:tcBorders>
              <w:top w:val="single" w:sz="4" w:space="0" w:color="auto"/>
              <w:left w:val="single" w:sz="4" w:space="0" w:color="auto"/>
            </w:tcBorders>
            <w:tcMar>
              <w:left w:w="79" w:type="dxa"/>
              <w:right w:w="79" w:type="dxa"/>
            </w:tcMar>
            <w:vAlign w:val="center"/>
          </w:tcPr>
          <w:p w:rsidR="00000000" w:rsidRDefault="00000000">
            <w:pPr>
              <w:jc w:val="center"/>
              <w:rPr>
                <w:b/>
              </w:rPr>
            </w:pPr>
            <w:r>
              <w:rPr>
                <w:b/>
              </w:rPr>
              <w:t>Проживают нелегально</w:t>
            </w:r>
          </w:p>
        </w:tc>
      </w:tr>
      <w:tr w:rsidR="00000000">
        <w:tblPrEx>
          <w:tblCellMar>
            <w:top w:w="0" w:type="dxa"/>
            <w:bottom w:w="0" w:type="dxa"/>
          </w:tblCellMar>
        </w:tblPrEx>
        <w:trPr>
          <w:cantSplit/>
          <w:jc w:val="center"/>
        </w:trPr>
        <w:tc>
          <w:tcPr>
            <w:tcW w:w="1368" w:type="dxa"/>
            <w:vMerge/>
            <w:tcBorders>
              <w:bottom w:val="single" w:sz="4" w:space="0" w:color="auto"/>
              <w:right w:val="single" w:sz="4" w:space="0" w:color="auto"/>
            </w:tcBorders>
            <w:tcMar>
              <w:left w:w="79" w:type="dxa"/>
              <w:right w:w="79" w:type="dxa"/>
            </w:tcMar>
          </w:tcPr>
          <w:p w:rsidR="00000000" w:rsidRDefault="00000000">
            <w:pPr>
              <w:jc w:val="center"/>
              <w:rPr>
                <w:b/>
              </w:rPr>
            </w:pPr>
          </w:p>
        </w:tc>
        <w:tc>
          <w:tcPr>
            <w:tcW w:w="2008" w:type="dxa"/>
            <w:tcBorders>
              <w:top w:val="single" w:sz="4" w:space="0" w:color="auto"/>
              <w:left w:val="single" w:sz="4" w:space="0" w:color="auto"/>
              <w:bottom w:val="single" w:sz="4" w:space="0" w:color="auto"/>
              <w:right w:val="single" w:sz="4" w:space="0" w:color="auto"/>
            </w:tcBorders>
            <w:tcMar>
              <w:left w:w="79" w:type="dxa"/>
              <w:right w:w="79" w:type="dxa"/>
            </w:tcMar>
          </w:tcPr>
          <w:p w:rsidR="00000000" w:rsidRDefault="00000000">
            <w:pPr>
              <w:jc w:val="center"/>
            </w:pPr>
            <w:r>
              <w:t>Прошли регистрацию</w:t>
            </w:r>
          </w:p>
        </w:tc>
        <w:tc>
          <w:tcPr>
            <w:tcW w:w="2336" w:type="dxa"/>
            <w:tcBorders>
              <w:top w:val="single" w:sz="4" w:space="0" w:color="auto"/>
              <w:left w:val="single" w:sz="4" w:space="0" w:color="auto"/>
              <w:bottom w:val="single" w:sz="4" w:space="0" w:color="auto"/>
              <w:right w:val="single" w:sz="4" w:space="0" w:color="auto"/>
            </w:tcBorders>
            <w:tcMar>
              <w:left w:w="79" w:type="dxa"/>
              <w:right w:w="79" w:type="dxa"/>
            </w:tcMar>
          </w:tcPr>
          <w:p w:rsidR="00000000" w:rsidRDefault="00000000">
            <w:pPr>
              <w:jc w:val="center"/>
            </w:pPr>
            <w:r>
              <w:t>Прочие</w:t>
            </w:r>
          </w:p>
        </w:tc>
        <w:tc>
          <w:tcPr>
            <w:tcW w:w="2025" w:type="dxa"/>
            <w:vMerge/>
            <w:tcBorders>
              <w:left w:val="single" w:sz="4" w:space="0" w:color="auto"/>
              <w:bottom w:val="single" w:sz="4" w:space="0" w:color="auto"/>
            </w:tcBorders>
            <w:tcMar>
              <w:left w:w="79" w:type="dxa"/>
              <w:right w:w="79" w:type="dxa"/>
            </w:tcMar>
          </w:tcPr>
          <w:p w:rsidR="00000000" w:rsidRDefault="00000000">
            <w:pPr>
              <w:jc w:val="center"/>
            </w:pPr>
          </w:p>
        </w:tc>
      </w:tr>
      <w:tr w:rsidR="00000000">
        <w:tblPrEx>
          <w:tblCellMar>
            <w:top w:w="0" w:type="dxa"/>
            <w:bottom w:w="0" w:type="dxa"/>
          </w:tblCellMar>
        </w:tblPrEx>
        <w:trPr>
          <w:cantSplit/>
          <w:jc w:val="center"/>
        </w:trPr>
        <w:tc>
          <w:tcPr>
            <w:tcW w:w="1368" w:type="dxa"/>
            <w:vMerge w:val="restart"/>
            <w:tcBorders>
              <w:top w:val="single" w:sz="4" w:space="0" w:color="auto"/>
              <w:right w:val="single" w:sz="4" w:space="0" w:color="auto"/>
            </w:tcBorders>
            <w:tcMar>
              <w:left w:w="79" w:type="dxa"/>
              <w:right w:w="79" w:type="dxa"/>
            </w:tcMar>
            <w:vAlign w:val="center"/>
          </w:tcPr>
          <w:p w:rsidR="00000000" w:rsidRDefault="00000000">
            <w:pPr>
              <w:jc w:val="center"/>
            </w:pPr>
            <w:r>
              <w:t>711 869</w:t>
            </w:r>
          </w:p>
        </w:tc>
        <w:tc>
          <w:tcPr>
            <w:tcW w:w="2008" w:type="dxa"/>
            <w:tcBorders>
              <w:top w:val="single" w:sz="4" w:space="0" w:color="auto"/>
              <w:left w:val="single" w:sz="4" w:space="0" w:color="auto"/>
              <w:bottom w:val="single" w:sz="4" w:space="0" w:color="auto"/>
              <w:right w:val="single" w:sz="4" w:space="0" w:color="auto"/>
            </w:tcBorders>
            <w:tcMar>
              <w:left w:w="79" w:type="dxa"/>
              <w:right w:w="79" w:type="dxa"/>
            </w:tcMar>
          </w:tcPr>
          <w:p w:rsidR="00000000" w:rsidRDefault="00000000">
            <w:pPr>
              <w:jc w:val="center"/>
            </w:pPr>
            <w:r>
              <w:t>353 172</w:t>
            </w:r>
          </w:p>
        </w:tc>
        <w:tc>
          <w:tcPr>
            <w:tcW w:w="2336" w:type="dxa"/>
            <w:tcBorders>
              <w:top w:val="single" w:sz="4" w:space="0" w:color="auto"/>
              <w:left w:val="single" w:sz="4" w:space="0" w:color="auto"/>
              <w:bottom w:val="single" w:sz="4" w:space="0" w:color="auto"/>
              <w:right w:val="single" w:sz="4" w:space="0" w:color="auto"/>
            </w:tcBorders>
            <w:tcMar>
              <w:left w:w="79" w:type="dxa"/>
              <w:right w:w="79" w:type="dxa"/>
            </w:tcMar>
          </w:tcPr>
          <w:p w:rsidR="00000000" w:rsidRDefault="00000000">
            <w:pPr>
              <w:jc w:val="center"/>
            </w:pPr>
            <w:r>
              <w:t>172 083</w:t>
            </w:r>
          </w:p>
        </w:tc>
        <w:tc>
          <w:tcPr>
            <w:tcW w:w="2025" w:type="dxa"/>
            <w:vMerge w:val="restart"/>
            <w:tcBorders>
              <w:top w:val="single" w:sz="4" w:space="0" w:color="auto"/>
              <w:left w:val="single" w:sz="4" w:space="0" w:color="auto"/>
            </w:tcBorders>
            <w:tcMar>
              <w:left w:w="79" w:type="dxa"/>
              <w:right w:w="79" w:type="dxa"/>
            </w:tcMar>
            <w:vAlign w:val="center"/>
          </w:tcPr>
          <w:p w:rsidR="00000000" w:rsidRDefault="00000000">
            <w:pPr>
              <w:jc w:val="center"/>
            </w:pPr>
            <w:r>
              <w:t>186 614</w:t>
            </w:r>
          </w:p>
        </w:tc>
      </w:tr>
      <w:tr w:rsidR="00000000">
        <w:tblPrEx>
          <w:tblCellMar>
            <w:top w:w="0" w:type="dxa"/>
            <w:bottom w:w="0" w:type="dxa"/>
          </w:tblCellMar>
        </w:tblPrEx>
        <w:trPr>
          <w:cantSplit/>
          <w:jc w:val="center"/>
        </w:trPr>
        <w:tc>
          <w:tcPr>
            <w:tcW w:w="1368" w:type="dxa"/>
            <w:vMerge/>
            <w:tcBorders>
              <w:right w:val="single" w:sz="4" w:space="0" w:color="auto"/>
            </w:tcBorders>
            <w:tcMar>
              <w:left w:w="79" w:type="dxa"/>
              <w:right w:w="79" w:type="dxa"/>
            </w:tcMar>
          </w:tcPr>
          <w:p w:rsidR="00000000" w:rsidRDefault="00000000">
            <w:pPr>
              <w:jc w:val="center"/>
            </w:pPr>
          </w:p>
        </w:tc>
        <w:tc>
          <w:tcPr>
            <w:tcW w:w="4344" w:type="dxa"/>
            <w:gridSpan w:val="2"/>
            <w:tcBorders>
              <w:top w:val="single" w:sz="4" w:space="0" w:color="auto"/>
              <w:left w:val="single" w:sz="4" w:space="0" w:color="auto"/>
              <w:bottom w:val="single" w:sz="4" w:space="0" w:color="auto"/>
              <w:right w:val="single" w:sz="4" w:space="0" w:color="auto"/>
            </w:tcBorders>
            <w:tcMar>
              <w:left w:w="79" w:type="dxa"/>
              <w:right w:w="79" w:type="dxa"/>
            </w:tcMar>
          </w:tcPr>
          <w:p w:rsidR="00000000" w:rsidRDefault="00000000">
            <w:pPr>
              <w:jc w:val="center"/>
            </w:pPr>
            <w:r>
              <w:t>525 255</w:t>
            </w:r>
          </w:p>
        </w:tc>
        <w:tc>
          <w:tcPr>
            <w:tcW w:w="2025" w:type="dxa"/>
            <w:vMerge/>
            <w:tcBorders>
              <w:left w:val="single" w:sz="4" w:space="0" w:color="auto"/>
            </w:tcBorders>
            <w:tcMar>
              <w:left w:w="79" w:type="dxa"/>
              <w:right w:w="79" w:type="dxa"/>
            </w:tcMar>
          </w:tcPr>
          <w:p w:rsidR="00000000" w:rsidRDefault="00000000">
            <w:pPr>
              <w:jc w:val="center"/>
            </w:pPr>
          </w:p>
        </w:tc>
      </w:tr>
    </w:tbl>
    <w:p w:rsidR="00000000" w:rsidRDefault="00000000">
      <w:r>
        <w:t>14.</w:t>
      </w:r>
      <w:r>
        <w:tab/>
        <w:t>В Республике Корее действует иммиграционный режим, при котором категория вида на жительство служит основой, определяющей порядок въезда иностранцев в страну и их пребывания в ней.  Государство контролирует въезд и продолжительность пребывания иностранцев исходя из положений Закона о контроле над иммиграцией и Указа о применении Закона о контроле над иммиграцией, где режим пребывания соотносится с теми видами деятельности, которыми иностранцам разрешено заниматься.  Въезд в Республику Корею или пребывание в ней иностранцам разрешено в том случае, если они отвечают требованиям режима проживания, установленного в законодательстве об иммиграции, за исключением тех случаев, когда другими законами предусмотрено иное.</w:t>
      </w:r>
    </w:p>
    <w:p w:rsidR="00000000" w:rsidRDefault="00000000"/>
    <w:p w:rsidR="00000000" w:rsidRDefault="00000000">
      <w:r>
        <w:t>15.</w:t>
      </w:r>
      <w:r>
        <w:tab/>
        <w:t>Всем иностранцам, находящимся на территории страны более 91 дня, предлагается пройти регистрацию в местном отделении иммиграционной службы в соответствии со статьей 31 Закона о контроле над иммиграцией и статьей 40 Указа о применении Закона о контроле над иммиграцией.</w:t>
      </w:r>
    </w:p>
    <w:p w:rsidR="00000000" w:rsidRDefault="00000000"/>
    <w:p w:rsidR="00000000" w:rsidRDefault="00000000">
      <w:r>
        <w:t>16.</w:t>
      </w:r>
      <w:r>
        <w:tab/>
        <w:t>Согласно данным, представленным министерством юстиции, число прошедших регистрацию иностранцев в стране возрастает и на октябрь 2005 года достигло уровня в 481 611 человек.  В разбивке по национальности наиболее многочисленной группой являются китайцы (33,1% от общего числа), за которыми следуют американцы (16,5%), филиппинцы (5,8%) и японцы (5,3%).</w:t>
      </w:r>
    </w:p>
    <w:p w:rsidR="00000000" w:rsidRDefault="00000000"/>
    <w:p w:rsidR="00000000" w:rsidRDefault="00000000">
      <w:r>
        <w:t>17.</w:t>
      </w:r>
      <w:r>
        <w:tab/>
        <w:t>На октябрь 2005 года в Республике Корее проживало 24 588 этнических китайцев, которых обычно называют "хуакио"</w:t>
      </w:r>
      <w:r>
        <w:rPr>
          <w:rStyle w:val="EndnoteReference"/>
        </w:rPr>
        <w:endnoteReference w:id="2"/>
      </w:r>
      <w:r>
        <w:t>.  Хуакио по большей части селятся в крупных городах; их численность в Сеуле составляет приблизительно 8903, в Инчхоне – 2 929, в Кванджу – 2 290, в Пусане – 1 874 и в Тэгу – 979 человек.  Следует добавить, что, поскольку в основном они не претендуют на натурализацию, хотя и удовлетворяют необходимым критериям для этого, большинство из них с точки зрения закона считаются иностранцами.</w:t>
      </w:r>
    </w:p>
    <w:p w:rsidR="00000000" w:rsidRDefault="00000000"/>
    <w:p w:rsidR="00000000" w:rsidRDefault="00000000">
      <w:r>
        <w:t>18.</w:t>
      </w:r>
      <w:r>
        <w:tab/>
        <w:t>Общая численность иностранцев, которые в нарушение иммиграционного законодательства Республики Кореи задержались в стране после истечения срока их пребывания, постоянно росло, достигнув наивысшего уровня в 306 382 человека в августе 2003 года.  Затем это число временно снизилось, когда в сентябре 2003 года была проведена легализация примерно 184 000 иностранцев, находившихся в стране в нарушение иммиграционного законодательства.  Однако те, кому был предоставлен легальный статус, вновь нарушили отведенные им сроки пребывания, вследствие чего численность иностранцев, нарушающих иммиграционное законодательство, продолжала возрастать до первой половины 2005 года (см. ниже, таблица 2).</w:t>
      </w:r>
    </w:p>
    <w:p w:rsidR="00000000" w:rsidRDefault="00000000"/>
    <w:p w:rsidR="00000000" w:rsidRDefault="00000000">
      <w:r>
        <w:t>19.</w:t>
      </w:r>
      <w:r>
        <w:tab/>
        <w:t>По состоянию на октябрь 2005 года в общей сложности 186 614 иностранцев оставались в стране по истечении разрешенного им срока пребывания;  среди них самой многочисленной группой были китайцы – 80 404 человека</w:t>
      </w:r>
      <w:r>
        <w:rPr>
          <w:rStyle w:val="EndnoteReference"/>
        </w:rPr>
        <w:endnoteReference w:id="3"/>
      </w:r>
      <w:r>
        <w:t>, за которыми следовали выходцы из Бангладеш – 14 455, филиппинцы – 13 651, тайцы – 11 541, вьетнамцы – 10 877 и монголы – 10 563 человека.</w:t>
      </w:r>
    </w:p>
    <w:p w:rsidR="00000000" w:rsidRDefault="00000000"/>
    <w:p w:rsidR="00000000" w:rsidRDefault="00000000">
      <w:pPr>
        <w:rPr>
          <w:b/>
        </w:rPr>
      </w:pPr>
      <w:r>
        <w:rPr>
          <w:b/>
        </w:rPr>
        <w:t>Таблица 2.  Численность нелегально проживающих в стране лиц в разбивке по годам</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8"/>
        <w:gridCol w:w="1077"/>
        <w:gridCol w:w="1080"/>
        <w:gridCol w:w="1080"/>
        <w:gridCol w:w="1080"/>
        <w:gridCol w:w="1080"/>
        <w:gridCol w:w="1080"/>
        <w:gridCol w:w="1355"/>
      </w:tblGrid>
      <w:tr w:rsidR="00000000">
        <w:tblPrEx>
          <w:tblCellMar>
            <w:top w:w="0" w:type="dxa"/>
            <w:bottom w:w="0" w:type="dxa"/>
          </w:tblCellMar>
        </w:tblPrEx>
        <w:trPr>
          <w:trHeight w:val="362"/>
        </w:trPr>
        <w:tc>
          <w:tcPr>
            <w:tcW w:w="808" w:type="dxa"/>
            <w:vAlign w:val="bottom"/>
          </w:tcPr>
          <w:p w:rsidR="00000000" w:rsidRDefault="00000000">
            <w:pPr>
              <w:keepNext/>
              <w:keepLines/>
              <w:rPr>
                <w:b/>
              </w:rPr>
            </w:pPr>
            <w:r>
              <w:rPr>
                <w:b/>
              </w:rPr>
              <w:t>Год</w:t>
            </w:r>
          </w:p>
        </w:tc>
        <w:tc>
          <w:tcPr>
            <w:tcW w:w="1077" w:type="dxa"/>
            <w:vAlign w:val="bottom"/>
          </w:tcPr>
          <w:p w:rsidR="00000000" w:rsidRDefault="00000000">
            <w:pPr>
              <w:keepNext/>
              <w:keepLines/>
              <w:jc w:val="center"/>
              <w:rPr>
                <w:b/>
              </w:rPr>
            </w:pPr>
            <w:r>
              <w:rPr>
                <w:b/>
              </w:rPr>
              <w:t>1999</w:t>
            </w:r>
          </w:p>
        </w:tc>
        <w:tc>
          <w:tcPr>
            <w:tcW w:w="1080" w:type="dxa"/>
            <w:vAlign w:val="bottom"/>
          </w:tcPr>
          <w:p w:rsidR="00000000" w:rsidRDefault="00000000">
            <w:pPr>
              <w:keepNext/>
              <w:keepLines/>
              <w:jc w:val="center"/>
              <w:rPr>
                <w:b/>
              </w:rPr>
            </w:pPr>
            <w:r>
              <w:rPr>
                <w:b/>
              </w:rPr>
              <w:t>2000</w:t>
            </w:r>
          </w:p>
        </w:tc>
        <w:tc>
          <w:tcPr>
            <w:tcW w:w="1080" w:type="dxa"/>
            <w:vAlign w:val="bottom"/>
          </w:tcPr>
          <w:p w:rsidR="00000000" w:rsidRDefault="00000000">
            <w:pPr>
              <w:keepNext/>
              <w:keepLines/>
              <w:jc w:val="center"/>
              <w:rPr>
                <w:b/>
              </w:rPr>
            </w:pPr>
            <w:r>
              <w:rPr>
                <w:b/>
              </w:rPr>
              <w:t>2001</w:t>
            </w:r>
          </w:p>
        </w:tc>
        <w:tc>
          <w:tcPr>
            <w:tcW w:w="1080" w:type="dxa"/>
            <w:vAlign w:val="bottom"/>
          </w:tcPr>
          <w:p w:rsidR="00000000" w:rsidRDefault="00000000">
            <w:pPr>
              <w:keepNext/>
              <w:keepLines/>
              <w:jc w:val="center"/>
              <w:rPr>
                <w:b/>
              </w:rPr>
            </w:pPr>
            <w:r>
              <w:rPr>
                <w:b/>
              </w:rPr>
              <w:t>2002</w:t>
            </w:r>
          </w:p>
        </w:tc>
        <w:tc>
          <w:tcPr>
            <w:tcW w:w="1080" w:type="dxa"/>
            <w:vAlign w:val="bottom"/>
          </w:tcPr>
          <w:p w:rsidR="00000000" w:rsidRDefault="00000000">
            <w:pPr>
              <w:keepNext/>
              <w:keepLines/>
              <w:jc w:val="center"/>
              <w:rPr>
                <w:b/>
              </w:rPr>
            </w:pPr>
            <w:r>
              <w:rPr>
                <w:b/>
              </w:rPr>
              <w:t>2003</w:t>
            </w:r>
          </w:p>
        </w:tc>
        <w:tc>
          <w:tcPr>
            <w:tcW w:w="1080" w:type="dxa"/>
            <w:vAlign w:val="bottom"/>
          </w:tcPr>
          <w:p w:rsidR="00000000" w:rsidRDefault="00000000">
            <w:pPr>
              <w:keepNext/>
              <w:keepLines/>
              <w:jc w:val="center"/>
              <w:rPr>
                <w:b/>
              </w:rPr>
            </w:pPr>
            <w:r>
              <w:rPr>
                <w:b/>
              </w:rPr>
              <w:t>2004</w:t>
            </w:r>
          </w:p>
        </w:tc>
        <w:tc>
          <w:tcPr>
            <w:tcW w:w="1355" w:type="dxa"/>
            <w:vAlign w:val="bottom"/>
          </w:tcPr>
          <w:p w:rsidR="00000000" w:rsidRDefault="00000000">
            <w:pPr>
              <w:keepNext/>
              <w:keepLines/>
              <w:jc w:val="center"/>
              <w:rPr>
                <w:b/>
              </w:rPr>
            </w:pPr>
            <w:r>
              <w:rPr>
                <w:b/>
              </w:rPr>
              <w:t>Окт. 2005</w:t>
            </w:r>
          </w:p>
        </w:tc>
      </w:tr>
      <w:tr w:rsidR="00000000">
        <w:tblPrEx>
          <w:tblCellMar>
            <w:top w:w="0" w:type="dxa"/>
            <w:bottom w:w="0" w:type="dxa"/>
          </w:tblCellMar>
        </w:tblPrEx>
        <w:trPr>
          <w:trHeight w:val="412"/>
        </w:trPr>
        <w:tc>
          <w:tcPr>
            <w:tcW w:w="808" w:type="dxa"/>
            <w:vAlign w:val="center"/>
          </w:tcPr>
          <w:p w:rsidR="00000000" w:rsidRDefault="00000000">
            <w:pPr>
              <w:keepNext/>
              <w:keepLines/>
            </w:pPr>
            <w:r>
              <w:t>Всего</w:t>
            </w:r>
          </w:p>
        </w:tc>
        <w:tc>
          <w:tcPr>
            <w:tcW w:w="1077" w:type="dxa"/>
            <w:vAlign w:val="center"/>
          </w:tcPr>
          <w:p w:rsidR="00000000" w:rsidRDefault="00000000">
            <w:pPr>
              <w:keepNext/>
              <w:keepLines/>
              <w:jc w:val="center"/>
            </w:pPr>
            <w:r>
              <w:t>135 338</w:t>
            </w:r>
          </w:p>
        </w:tc>
        <w:tc>
          <w:tcPr>
            <w:tcW w:w="1080" w:type="dxa"/>
            <w:vAlign w:val="center"/>
          </w:tcPr>
          <w:p w:rsidR="00000000" w:rsidRDefault="00000000">
            <w:pPr>
              <w:keepNext/>
              <w:keepLines/>
              <w:jc w:val="center"/>
            </w:pPr>
            <w:r>
              <w:t>188 995</w:t>
            </w:r>
          </w:p>
        </w:tc>
        <w:tc>
          <w:tcPr>
            <w:tcW w:w="1080" w:type="dxa"/>
            <w:vAlign w:val="center"/>
          </w:tcPr>
          <w:p w:rsidR="00000000" w:rsidRDefault="00000000">
            <w:pPr>
              <w:keepNext/>
              <w:keepLines/>
              <w:jc w:val="center"/>
            </w:pPr>
            <w:r>
              <w:t>255 206</w:t>
            </w:r>
          </w:p>
        </w:tc>
        <w:tc>
          <w:tcPr>
            <w:tcW w:w="1080" w:type="dxa"/>
            <w:vAlign w:val="center"/>
          </w:tcPr>
          <w:p w:rsidR="00000000" w:rsidRDefault="00000000">
            <w:pPr>
              <w:keepNext/>
              <w:keepLines/>
              <w:jc w:val="center"/>
            </w:pPr>
            <w:r>
              <w:t>289 239</w:t>
            </w:r>
          </w:p>
        </w:tc>
        <w:tc>
          <w:tcPr>
            <w:tcW w:w="1080" w:type="dxa"/>
            <w:vAlign w:val="center"/>
          </w:tcPr>
          <w:p w:rsidR="00000000" w:rsidRDefault="00000000">
            <w:pPr>
              <w:keepNext/>
              <w:keepLines/>
              <w:jc w:val="center"/>
            </w:pPr>
            <w:r>
              <w:t>138 056</w:t>
            </w:r>
          </w:p>
        </w:tc>
        <w:tc>
          <w:tcPr>
            <w:tcW w:w="1080" w:type="dxa"/>
            <w:vAlign w:val="center"/>
          </w:tcPr>
          <w:p w:rsidR="00000000" w:rsidRDefault="00000000">
            <w:pPr>
              <w:keepNext/>
              <w:keepLines/>
            </w:pPr>
            <w:r>
              <w:t>188 483</w:t>
            </w:r>
          </w:p>
        </w:tc>
        <w:tc>
          <w:tcPr>
            <w:tcW w:w="1355" w:type="dxa"/>
            <w:vAlign w:val="center"/>
          </w:tcPr>
          <w:p w:rsidR="00000000" w:rsidRDefault="00000000">
            <w:pPr>
              <w:keepNext/>
              <w:keepLines/>
              <w:jc w:val="center"/>
            </w:pPr>
            <w:r>
              <w:t>186 614</w:t>
            </w:r>
          </w:p>
        </w:tc>
      </w:tr>
    </w:tbl>
    <w:p w:rsidR="00000000" w:rsidRDefault="00000000"/>
    <w:p w:rsidR="00000000" w:rsidRDefault="00000000">
      <w:r>
        <w:t>20.</w:t>
      </w:r>
      <w:r>
        <w:tab/>
        <w:t>Большинство нелегально проживающих в Республике Корее лиц составляют рабочие, занятые на трудных и опасных работах.  По состоянию на октябрь 2005 года приблизительно 91% от общей численности "нелегалов" составляли лица, въехавшие в страну либо по туристической, либо по деловой визе и оставшиеся в ней по истечении разрешенного срока пребывания.</w:t>
      </w:r>
    </w:p>
    <w:p w:rsidR="00000000" w:rsidRDefault="00000000"/>
    <w:p w:rsidR="00000000" w:rsidRDefault="00000000">
      <w:r>
        <w:t>21.</w:t>
      </w:r>
      <w:r>
        <w:tab/>
        <w:t>После отмены в феврале 1999 года системы регистрации школ функционирование школ для иностранцев регулируется законодательством Республики Кореи об образовании и такие школы создаются и функционируют беспрепятственно.  В рамках нынешней системы образования в Республике Корее школы для иностранцев относятся к отдельной категории и подлежат отдельной аккредитации.  На апрель 2005 года в стране было аккредитовано в общей сложности 44 школы для иностранцев, где обучалось приблизительно 7800 школьников.  Кроме того, функционировали 16 неаккредитованных школ</w:t>
      </w:r>
      <w:r>
        <w:rPr>
          <w:rStyle w:val="EndnoteReference"/>
        </w:rPr>
        <w:endnoteReference w:id="4"/>
      </w:r>
      <w:r>
        <w:t>.  Школы в полной мере пользуются правом самостоятельно принимать решения по вопросам организации учебного процесса, включая определение программ, установление проходных баллов и взимание платы за обучение.</w:t>
      </w:r>
    </w:p>
    <w:p w:rsidR="00000000" w:rsidRDefault="00000000"/>
    <w:p w:rsidR="00000000" w:rsidRDefault="00000000">
      <w:pPr>
        <w:keepNext/>
        <w:jc w:val="center"/>
        <w:rPr>
          <w:b/>
        </w:rPr>
      </w:pPr>
      <w:r>
        <w:rPr>
          <w:b/>
        </w:rPr>
        <w:t xml:space="preserve">D.  </w:t>
      </w:r>
      <w:r>
        <w:rPr>
          <w:b/>
        </w:rPr>
        <w:tab/>
        <w:t>Беженцы</w:t>
      </w:r>
    </w:p>
    <w:p w:rsidR="00000000" w:rsidRDefault="00000000">
      <w:pPr>
        <w:keepNext/>
      </w:pPr>
    </w:p>
    <w:p w:rsidR="00000000" w:rsidRDefault="00000000">
      <w:pPr>
        <w:keepNext/>
      </w:pPr>
      <w:r>
        <w:t>22.</w:t>
      </w:r>
      <w:r>
        <w:tab/>
        <w:t>На октябрь 2005 года на получение статуса беженца в Республике Корее претендовали в общей сложности 762 иностранца, из которых 40 были признаны беженцами, а 28 была предоставлена защита по гуманитарным соображениям.  Ходатайства 101 человека были отклонены, 72 человека взяли назад свои заявления, 71 человек обжаловали вынесенное решение, а остальные 450 заявлений о предоставлении статуса беженца все еще находятся в стадии рассмотрения.</w:t>
      </w:r>
    </w:p>
    <w:p w:rsidR="00000000" w:rsidRDefault="00000000"/>
    <w:p w:rsidR="00000000" w:rsidRDefault="00000000">
      <w:r>
        <w:t>23.</w:t>
      </w:r>
      <w:r>
        <w:tab/>
        <w:t>Ежегодно число ходатайств о предоставлении статуса беженца увеличивается:  с 1994 по 2000 год с такими ходатайствами обратились 96 человек, в 2001 году – 37, в 2002 году – 34, в 2003 году – 84, в 2004 году – 148 и в 2005 году – 363 человека.  Среди соискателей 229 китайцев, 134 выходца из Мьянмы, 48 конголезцев, 47 угандийцев, 45 граждан Кот-д'Ивуара, а 259 человек прибыли из других государств.</w:t>
      </w:r>
    </w:p>
    <w:p w:rsidR="00000000" w:rsidRDefault="00000000"/>
    <w:p w:rsidR="00000000" w:rsidRDefault="00000000">
      <w:pPr>
        <w:jc w:val="center"/>
        <w:rPr>
          <w:b/>
        </w:rPr>
      </w:pPr>
      <w:r>
        <w:rPr>
          <w:b/>
        </w:rPr>
        <w:t xml:space="preserve">II. </w:t>
      </w:r>
      <w:r>
        <w:rPr>
          <w:b/>
        </w:rPr>
        <w:tab/>
        <w:t xml:space="preserve"> ИНФОРМАЦИЯ, КАСАЮЩАЯСЯ СТАТЕЙ 2─7 КОНВЕНЦИИ</w:t>
      </w:r>
    </w:p>
    <w:p w:rsidR="00000000" w:rsidRDefault="00000000">
      <w:pPr>
        <w:jc w:val="center"/>
        <w:rPr>
          <w:b/>
        </w:rPr>
      </w:pPr>
    </w:p>
    <w:p w:rsidR="00000000" w:rsidRDefault="00000000">
      <w:pPr>
        <w:jc w:val="center"/>
        <w:rPr>
          <w:b/>
        </w:rPr>
      </w:pPr>
      <w:r>
        <w:rPr>
          <w:b/>
        </w:rPr>
        <w:t>Статья 2</w:t>
      </w:r>
    </w:p>
    <w:p w:rsidR="00000000" w:rsidRDefault="00000000"/>
    <w:p w:rsidR="00000000" w:rsidRDefault="00000000">
      <w:pPr>
        <w:rPr>
          <w:b/>
        </w:rPr>
      </w:pPr>
      <w:r>
        <w:rPr>
          <w:b/>
        </w:rPr>
        <w:t>Национальная комиссия по правам человека</w:t>
      </w:r>
    </w:p>
    <w:p w:rsidR="00000000" w:rsidRDefault="00000000"/>
    <w:p w:rsidR="00000000" w:rsidRDefault="00000000">
      <w:r>
        <w:t>24.</w:t>
      </w:r>
      <w:r>
        <w:tab/>
        <w:t>Национальная комиссия по правам человека, учрежденная в ноябре 2001 года на основании Закона о Национальной комиссии по правам человека, за истекшее с того момента время подготовила рекомендации, касающиеся Национального плана действий (НПД) по поощрению и защите прав человека.  Цель этого плана – дать точную и объективную оценку положения с правами человека в Республике Корее и гарантировать защиту и поощрение прав человека со стороны государства в порядке выполнения международных рекомендаций, сформулированных в Венской декларации и Программе действий 1993 года</w:t>
      </w:r>
      <w:r>
        <w:rPr>
          <w:rStyle w:val="EndnoteReference"/>
        </w:rPr>
        <w:endnoteReference w:id="5"/>
      </w:r>
      <w:r>
        <w:t>, а также Комитетом по экономическим, социальным и культурным правам</w:t>
      </w:r>
      <w:r>
        <w:rPr>
          <w:rStyle w:val="EndnoteReference"/>
        </w:rPr>
        <w:endnoteReference w:id="6"/>
      </w:r>
      <w:r>
        <w:t>.</w:t>
      </w:r>
    </w:p>
    <w:p w:rsidR="00000000" w:rsidRDefault="00000000"/>
    <w:p w:rsidR="00000000" w:rsidRDefault="00000000">
      <w:r>
        <w:t>25.</w:t>
      </w:r>
      <w:r>
        <w:tab/>
        <w:t>НПД по поощрению и защите прав человека видится как всеобъемлющий национальный генеральный план, который охватывает все законы, режимы и политику в сфере прав человека.  Ожидается, что он станет подспорьем в создании и укреплении национальной правозащитной инфраструктуры, призванной обеспечивать поощрение прав человека за счет принятия и пересмотра законов, относящихся к правам человека, и развития правозащитных институтов, в привлечении внимания к социально уязвимым группам и к меньшинствам, в разработке планов по поощрению прав человека, наращивании просветительской работы по вопросам прав человека и формировании климата, благоприятного для реализации прав человека путем более широкого освещения правозащитной тематики в средствах массовой информации.</w:t>
      </w:r>
    </w:p>
    <w:p w:rsidR="00000000" w:rsidRDefault="00000000"/>
    <w:p w:rsidR="00000000" w:rsidRDefault="00000000">
      <w:r>
        <w:t>26.</w:t>
      </w:r>
      <w:r>
        <w:tab/>
        <w:t>Принимая во внимание многогранный и сложный характер актов дискриминации, которая обычно проявляется под воздействием сразу нескольких факторов и не ограничивается какой-либо одной сферой, Национальная комиссия по правам человека добивается принятия законодательным органом в 2006 году закона о запрещении дискриминации, который стал бы всеобъемлющей и эффективной мерой по ее искоренению.  Предполагается, что в этом законе дискриминация по признаку расы будет четко отнесена к числу незаконных и запрещенных деяний.</w:t>
      </w:r>
    </w:p>
    <w:p w:rsidR="00000000" w:rsidRDefault="00000000"/>
    <w:p w:rsidR="00000000" w:rsidRDefault="00000000">
      <w:r>
        <w:t>27.</w:t>
      </w:r>
      <w:r>
        <w:tab/>
        <w:t>В ответ на сформулированную Комитетом в своих заключительных замечаниях по одиннадцатому и двенадцатому периодическим докладам просьбу дать пояснения относительно толкования и практического применения термина "необоснованная дискриминация", содержащегося в статье 30 Закона о Национальной комиссии по правам человека, этот термин был заменен на термин "без наличия для этого разумных оснований".  Это означает, что инициативные меры по наделению теми или иными правами не считаются актом дискриминации в той мере, в какой для этого имеются "разумные основания".  При вынесении решения о наличии "разумных оснований" Национальная комиссия по правам человека изучает правовые прецеденты, правила и практику, применяемые в других странах, и учитывает детали, относящиеся к тем или иным конкретным случаям.  Кроме того, она намерена создать группу экспертов, как ее собственных, так и приглашенных, с целью разработки стандартов для определения того, имеются ли "разумные основания" для акта дискриминации или нет.</w:t>
      </w:r>
    </w:p>
    <w:p w:rsidR="00000000" w:rsidRDefault="00000000"/>
    <w:p w:rsidR="00000000" w:rsidRDefault="00000000">
      <w:pPr>
        <w:keepNext/>
      </w:pPr>
      <w:r>
        <w:rPr>
          <w:b/>
        </w:rPr>
        <w:t>Пересмотр политики в отношении иностранцев</w:t>
      </w:r>
    </w:p>
    <w:p w:rsidR="00000000" w:rsidRDefault="00000000">
      <w:pPr>
        <w:keepNext/>
      </w:pPr>
    </w:p>
    <w:p w:rsidR="00000000" w:rsidRDefault="00000000">
      <w:pPr>
        <w:keepNext/>
      </w:pPr>
      <w:r>
        <w:t>28.</w:t>
      </w:r>
      <w:r>
        <w:tab/>
        <w:t>Ввиду развития транспорта и связи, расширения основы для международного обмена людскими ресурсами в виде соглашения о свободной торговле и дефицита трудовых резервов в стране, обусловленного такими социальными явлениями, как нежелание трудиться на опасных работах и на малых предприятиях, число иностранцев, въезжающих в Республику Корею, покидающих ее и остающихся в ней, по всей видимости, будет возрастать</w:t>
      </w:r>
      <w:r>
        <w:rPr>
          <w:rStyle w:val="EndnoteReference"/>
        </w:rPr>
        <w:endnoteReference w:id="7"/>
      </w:r>
      <w:r>
        <w:t>.  Учитывая, что иностранцы все чаще нуждаются в поддержке, необходимой для облегчения процесса их интеграции в наше общество, все острее ощущается потребность в формировании политики поощрения прав иностранцев с акцентом на их социальной интеграции.  Правительство разрабатывает планы по совершенствованию политики в отношении иностранцев в интересах более полного уважения прав иностранцев и углубления их социальной интеграции.</w:t>
      </w:r>
    </w:p>
    <w:p w:rsidR="00000000" w:rsidRDefault="00000000"/>
    <w:p w:rsidR="00000000" w:rsidRDefault="00000000">
      <w:r>
        <w:t>29.</w:t>
      </w:r>
      <w:r>
        <w:tab/>
        <w:t>Ожидается, что среди элементов реформы политики в отношении иностранцев будет распространение защитительных мер на иммигрантов, состоящих в браке, и облегчение их социальной интеграции, упрощение процесса получения статуса беженца и помощь тем, кому был предоставлен такой статус, формирование климата, привлекательного для иностранных кадров, обладающих специализированными знаниями и квалификацией, и допущение их долгосрочного пребывания в стране, расширение прав человека "нелегалов" и их детей и более чуткое обращение с ними, а также создание иммиграционного бюро, которое занималось бы решением всех вышеназванных задач.</w:t>
      </w:r>
    </w:p>
    <w:p w:rsidR="00000000" w:rsidRDefault="00000000"/>
    <w:p w:rsidR="00000000" w:rsidRDefault="00000000">
      <w:pPr>
        <w:keepNext/>
      </w:pPr>
      <w:r>
        <w:rPr>
          <w:b/>
        </w:rPr>
        <w:t>Этнические китайцы</w:t>
      </w:r>
    </w:p>
    <w:p w:rsidR="00000000" w:rsidRDefault="00000000">
      <w:pPr>
        <w:keepNext/>
      </w:pPr>
    </w:p>
    <w:p w:rsidR="00000000" w:rsidRDefault="00000000">
      <w:r>
        <w:t>30.</w:t>
      </w:r>
      <w:r>
        <w:tab/>
        <w:t>В результате пересмотра соответствующего законодательства режим пребывания и условия жизни китайцев улучшаются.  С 1997 года иностранцам, включая этнических китайцев, разрешено приобретать основной капитал и недвижимость.  Кроме того, согласно пересмотренному закону о гражданстве Республики Кореи дети этнических китайцев, находящихся в браке с гражданами страны, имеют теперь возможность выбрать для себя корейское гражданство.</w:t>
      </w:r>
    </w:p>
    <w:p w:rsidR="00000000" w:rsidRDefault="00000000"/>
    <w:p w:rsidR="00000000" w:rsidRDefault="00000000">
      <w:r>
        <w:t>31.</w:t>
      </w:r>
      <w:r>
        <w:tab/>
        <w:t>С пересмотром в апреле 2002 года Указа о применении Закона о контроле над иммиграцией и других соответствующих постановлений в режим пребывания этнических китайцев в стране были внесены дополнительные улучшения:  им была предоставлена новая возможность приобрести статус постоянного резидента (виза F</w:t>
      </w:r>
      <w:r>
        <w:noBreakHyphen/>
        <w:t>5)</w:t>
      </w:r>
      <w:r>
        <w:rPr>
          <w:rStyle w:val="EndnoteReference"/>
        </w:rPr>
        <w:endnoteReference w:id="8"/>
      </w:r>
      <w:r>
        <w:t>.  Обладатели долгосрочного вида на жительство (виза F</w:t>
      </w:r>
      <w:r>
        <w:noBreakHyphen/>
        <w:t>2), которые прожили в Республике Корее более пяти лет, получили возможность претендовать на получение постоянного вида на жительство в Республике Корее.  Обладателям постоянного вида на жительство (виза F</w:t>
      </w:r>
      <w:r>
        <w:noBreakHyphen/>
        <w:t>5) больше не требуется обращаться за разрешением на продление срока их пребывания каждые пять лет;  кроме того, с них были сняты все ограничения в отношении трудоустройства.  Супруг(а) – обладатель(ница) визы F</w:t>
      </w:r>
      <w:r>
        <w:noBreakHyphen/>
        <w:t>2 вправе беспрепятственно трудиться без необходимости ходатайствовать о разрешении на работу.  По состоянию на октябрь 2005 года постоянный вид на жительство был выдан 10 918 этническим китайцам, а 9 849 по</w:t>
      </w:r>
      <w:r>
        <w:noBreakHyphen/>
        <w:t>прежнему находятся на положении долгосрочных резидентов (виза F</w:t>
      </w:r>
      <w:r>
        <w:noBreakHyphen/>
        <w:t>2)</w:t>
      </w:r>
      <w:r>
        <w:rPr>
          <w:rStyle w:val="EndnoteReference"/>
        </w:rPr>
        <w:endnoteReference w:id="9"/>
      </w:r>
      <w:r>
        <w:t>.</w:t>
      </w:r>
    </w:p>
    <w:p w:rsidR="00000000" w:rsidRDefault="00000000"/>
    <w:p w:rsidR="00000000" w:rsidRDefault="00000000">
      <w:r>
        <w:t>32.</w:t>
      </w:r>
      <w:r>
        <w:tab/>
        <w:t>Правительство ведет работу над пересмотром соответствующих законов с целью наделить некоторыми избирательными правами иностранцев, проживающих в Республике Корея более пяти лет после приобретения ими статуса долгосрочного резидента (виза F</w:t>
      </w:r>
      <w:r>
        <w:noBreakHyphen/>
        <w:t>2).  В рамках этих усилий на основании пересмотренного в марте 2005 года Указа о применении Закона о контроле над иммиграцией иностранцам, имеющим долгосрочный вид на жительство, были предоставлены ограниченные избирательные права (например, право участвовать в местных выборах).  Этот пересмотр законодательных норм, касающихся выборов, стал дополнительным вкладом в расширение гражданских и политических прав этнических китайцев.</w:t>
      </w:r>
    </w:p>
    <w:p w:rsidR="00000000" w:rsidRDefault="00000000"/>
    <w:p w:rsidR="00000000" w:rsidRDefault="00000000">
      <w:r>
        <w:rPr>
          <w:b/>
        </w:rPr>
        <w:t>Иностранные трудящиеся-мигранты</w:t>
      </w:r>
    </w:p>
    <w:p w:rsidR="00000000" w:rsidRDefault="00000000"/>
    <w:p w:rsidR="00000000" w:rsidRDefault="00000000">
      <w:r>
        <w:t>33.</w:t>
      </w:r>
      <w:r>
        <w:tab/>
        <w:t>В последнее время в Республике Корее наблюдается быстрый рост численности трудящихся-мигрантов.  На фоне устойчивого притока иностранных трудящихся-мигрантов серьезный социально-политический характер приобрела проблема защиты их прав человека и их социальной интеграции.</w:t>
      </w:r>
    </w:p>
    <w:p w:rsidR="00000000" w:rsidRDefault="00000000">
      <w:r>
        <w:t>34.</w:t>
      </w:r>
      <w:r>
        <w:tab/>
        <w:t>Правительство неустанно стремится улучшить отношение к иностранным трудящимся-мигрантам и защитить их права человека.  Под этим углом зрения правительство провело тщательный анализ и коренной пересмотр программы подготовки производственных кадров с целью решения проблем, накопившихся за период после ее принятия в 1994 году, таких, как отсутствие унифицированного подхода в деле подбора производственных стажеров и их уход с тех рабочих мест, куда они были распределены.</w:t>
      </w:r>
    </w:p>
    <w:p w:rsidR="00000000" w:rsidRDefault="00000000"/>
    <w:p w:rsidR="00000000" w:rsidRDefault="00000000">
      <w:r>
        <w:t>35.</w:t>
      </w:r>
      <w:r>
        <w:tab/>
        <w:t>В декабре 2001 года правительство разрешило производственным стажерам</w:t>
      </w:r>
      <w:r>
        <w:sym w:font="Symbol" w:char="F02D"/>
      </w:r>
      <w:r>
        <w:t>иностранцам работать в стране в течение одного года после двух лет обучения; такой порядок пришел на смену тому, что требовался прежней программой, а именно два года отработки по завершении одногодичного курса обучения</w:t>
      </w:r>
      <w:r>
        <w:rPr>
          <w:rStyle w:val="EndnoteReference"/>
        </w:rPr>
        <w:endnoteReference w:id="10"/>
      </w:r>
      <w:r>
        <w:t>.  С 2004 года функционируют Комитет по определению политики в отношении иностранных трудовых кадров и Комитет по делам производственных стажеров</w:t>
      </w:r>
      <w:r>
        <w:sym w:font="Symbol" w:char="F02D"/>
      </w:r>
      <w:r>
        <w:t>иностранцев;  этими комитетами, которые призваны обеспечить справедливый и транспарентный процесс подбора производственных стажеров, приняты разнообразные меры, включая применение жестких требований при определении стран, имеющих право направлять стажеров, а также принятие дисциплинарных мер в отношении стран или компаний, которые уличены в незаконной практике направления стажеров.</w:t>
      </w:r>
    </w:p>
    <w:p w:rsidR="00000000" w:rsidRDefault="00000000"/>
    <w:p w:rsidR="00000000" w:rsidRDefault="00000000">
      <w:r>
        <w:t>36.</w:t>
      </w:r>
      <w:r>
        <w:tab/>
        <w:t>17 августа 2004 года правительство пошло на важный шаг, введя в действие разработанную к тому моменту систему разрешений на работу, призванную поставить на легальную основу наем иностранных трудящихся.  При прежней программе подготовки производственных кадров стажеры имели второсортный статус согласно Закону о контроле над иммиграцией и были ограничены в своих возможностях претендовать на защиту, обеспечиваемую Законом о трудовых стандартах, что создавало почву для нарушения их прав человека.  Однако в рамках новой системы иностранцы рассматриваются в качестве рабочих и подпадают под действие всех норм трудового законодательства, включая Закон о трудовых стандартах, Закон о минимальном размере оплаты труда и Закон о технике безопасности и гигиене труда, на равной с уроженцами страны основе.</w:t>
      </w:r>
    </w:p>
    <w:p w:rsidR="00000000" w:rsidRDefault="00000000"/>
    <w:p w:rsidR="00000000" w:rsidRDefault="00000000">
      <w:r>
        <w:t>37.</w:t>
      </w:r>
      <w:r>
        <w:tab/>
        <w:t>На конец октября 2005 года в страну въехали и работают в рамках вышеупомянутой программы в общей сложности 52 735</w:t>
      </w:r>
      <w:r>
        <w:rPr>
          <w:rStyle w:val="EndnoteReference"/>
        </w:rPr>
        <w:endnoteReference w:id="11"/>
      </w:r>
      <w:r>
        <w:t>  трудящихся-иностранцев.</w:t>
      </w:r>
    </w:p>
    <w:p w:rsidR="00000000" w:rsidRDefault="00000000"/>
    <w:p w:rsidR="00000000" w:rsidRDefault="00000000">
      <w:pPr>
        <w:jc w:val="center"/>
        <w:rPr>
          <w:b/>
        </w:rPr>
      </w:pPr>
      <w:r>
        <w:rPr>
          <w:b/>
        </w:rPr>
        <w:br w:type="page"/>
        <w:t>Таблица 3.  Иностранные трудящиеся-мигранты</w:t>
      </w:r>
    </w:p>
    <w:p w:rsidR="00000000" w:rsidRDefault="00000000">
      <w:pPr>
        <w:jc w:val="center"/>
      </w:pPr>
    </w:p>
    <w:p w:rsidR="00000000" w:rsidRDefault="00000000">
      <w:r>
        <w:tab/>
      </w:r>
      <w:r>
        <w:tab/>
      </w:r>
      <w:r>
        <w:tab/>
      </w:r>
      <w:r>
        <w:tab/>
      </w:r>
      <w:r>
        <w:tab/>
        <w:t>(Количество человек)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5"/>
        <w:gridCol w:w="1319"/>
        <w:gridCol w:w="1587"/>
        <w:gridCol w:w="1567"/>
        <w:gridCol w:w="1568"/>
        <w:gridCol w:w="1568"/>
      </w:tblGrid>
      <w:tr w:rsidR="00000000">
        <w:tc>
          <w:tcPr>
            <w:tcW w:w="2232" w:type="dxa"/>
            <w:gridSpan w:val="2"/>
            <w:tcMar>
              <w:left w:w="68" w:type="dxa"/>
              <w:right w:w="68" w:type="dxa"/>
            </w:tcMar>
          </w:tcPr>
          <w:p w:rsidR="00000000" w:rsidRDefault="00000000">
            <w:pPr>
              <w:spacing w:line="240" w:lineRule="auto"/>
              <w:jc w:val="center"/>
              <w:rPr>
                <w:b/>
                <w:sz w:val="22"/>
              </w:rPr>
            </w:pPr>
            <w:r>
              <w:rPr>
                <w:b/>
                <w:sz w:val="22"/>
              </w:rPr>
              <w:t>Категория</w:t>
            </w:r>
          </w:p>
        </w:tc>
        <w:tc>
          <w:tcPr>
            <w:tcW w:w="1587" w:type="dxa"/>
            <w:tcMar>
              <w:left w:w="68" w:type="dxa"/>
              <w:right w:w="68" w:type="dxa"/>
            </w:tcMar>
          </w:tcPr>
          <w:p w:rsidR="00000000" w:rsidRDefault="00000000">
            <w:pPr>
              <w:spacing w:line="240" w:lineRule="auto"/>
              <w:jc w:val="center"/>
              <w:rPr>
                <w:b/>
                <w:sz w:val="20"/>
              </w:rPr>
            </w:pPr>
            <w:r>
              <w:rPr>
                <w:b/>
                <w:sz w:val="20"/>
              </w:rPr>
              <w:t>Иностранцы, претендующие на получение работы</w:t>
            </w:r>
          </w:p>
          <w:p w:rsidR="00000000" w:rsidRDefault="00000000">
            <w:pPr>
              <w:spacing w:line="240" w:lineRule="auto"/>
              <w:jc w:val="center"/>
              <w:rPr>
                <w:b/>
                <w:sz w:val="20"/>
              </w:rPr>
            </w:pPr>
          </w:p>
        </w:tc>
        <w:tc>
          <w:tcPr>
            <w:tcW w:w="1567" w:type="dxa"/>
            <w:tcMar>
              <w:left w:w="68" w:type="dxa"/>
              <w:right w:w="68" w:type="dxa"/>
            </w:tcMar>
          </w:tcPr>
          <w:p w:rsidR="00000000" w:rsidRDefault="00000000">
            <w:pPr>
              <w:spacing w:line="240" w:lineRule="auto"/>
              <w:jc w:val="center"/>
              <w:rPr>
                <w:sz w:val="20"/>
              </w:rPr>
            </w:pPr>
            <w:r>
              <w:rPr>
                <w:b/>
                <w:sz w:val="20"/>
              </w:rPr>
              <w:t>Выдано разрешений на работу</w:t>
            </w:r>
          </w:p>
          <w:p w:rsidR="00000000" w:rsidRDefault="00000000">
            <w:pPr>
              <w:spacing w:line="240" w:lineRule="auto"/>
              <w:jc w:val="center"/>
              <w:rPr>
                <w:sz w:val="20"/>
              </w:rPr>
            </w:pPr>
            <w:r>
              <w:rPr>
                <w:sz w:val="20"/>
              </w:rPr>
              <w:t>(свидетельство о найме)</w:t>
            </w:r>
          </w:p>
        </w:tc>
        <w:tc>
          <w:tcPr>
            <w:tcW w:w="1568" w:type="dxa"/>
            <w:tcMar>
              <w:left w:w="68" w:type="dxa"/>
              <w:right w:w="68" w:type="dxa"/>
            </w:tcMar>
          </w:tcPr>
          <w:p w:rsidR="00000000" w:rsidRDefault="00000000">
            <w:pPr>
              <w:spacing w:line="240" w:lineRule="auto"/>
              <w:jc w:val="center"/>
              <w:rPr>
                <w:sz w:val="20"/>
              </w:rPr>
            </w:pPr>
            <w:r>
              <w:rPr>
                <w:b/>
                <w:sz w:val="20"/>
              </w:rPr>
              <w:t>Выдано контрактов на работу</w:t>
            </w:r>
          </w:p>
          <w:p w:rsidR="00000000" w:rsidRDefault="00000000">
            <w:pPr>
              <w:spacing w:line="240" w:lineRule="auto"/>
              <w:jc w:val="center"/>
              <w:rPr>
                <w:sz w:val="20"/>
              </w:rPr>
            </w:pPr>
            <w:r>
              <w:rPr>
                <w:sz w:val="20"/>
              </w:rPr>
              <w:t>(свидетельство о найме)</w:t>
            </w:r>
          </w:p>
        </w:tc>
        <w:tc>
          <w:tcPr>
            <w:tcW w:w="1568" w:type="dxa"/>
            <w:tcMar>
              <w:left w:w="68" w:type="dxa"/>
              <w:right w:w="68" w:type="dxa"/>
            </w:tcMar>
          </w:tcPr>
          <w:p w:rsidR="00000000" w:rsidRDefault="00000000">
            <w:pPr>
              <w:spacing w:line="240" w:lineRule="auto"/>
              <w:jc w:val="center"/>
              <w:rPr>
                <w:sz w:val="20"/>
              </w:rPr>
            </w:pPr>
            <w:r>
              <w:rPr>
                <w:b/>
                <w:sz w:val="20"/>
              </w:rPr>
              <w:t>Въехало в страну</w:t>
            </w:r>
          </w:p>
          <w:p w:rsidR="00000000" w:rsidRDefault="00000000">
            <w:pPr>
              <w:spacing w:line="240" w:lineRule="auto"/>
              <w:jc w:val="center"/>
              <w:rPr>
                <w:b/>
                <w:sz w:val="20"/>
              </w:rPr>
            </w:pPr>
            <w:r>
              <w:rPr>
                <w:sz w:val="20"/>
              </w:rPr>
              <w:t>(нанято)</w:t>
            </w:r>
          </w:p>
          <w:p w:rsidR="00000000" w:rsidRDefault="00000000">
            <w:pPr>
              <w:spacing w:line="240" w:lineRule="auto"/>
              <w:jc w:val="center"/>
              <w:rPr>
                <w:b/>
                <w:sz w:val="20"/>
              </w:rPr>
            </w:pPr>
          </w:p>
        </w:tc>
      </w:tr>
      <w:tr w:rsidR="00000000">
        <w:trPr>
          <w:cantSplit/>
        </w:trPr>
        <w:tc>
          <w:tcPr>
            <w:tcW w:w="1395" w:type="dxa"/>
            <w:vMerge w:val="restart"/>
            <w:tcMar>
              <w:left w:w="68" w:type="dxa"/>
              <w:right w:w="68" w:type="dxa"/>
            </w:tcMar>
            <w:vAlign w:val="center"/>
          </w:tcPr>
          <w:p w:rsidR="00000000" w:rsidRDefault="00000000">
            <w:pPr>
              <w:jc w:val="center"/>
              <w:rPr>
                <w:sz w:val="22"/>
              </w:rPr>
            </w:pPr>
            <w:r>
              <w:rPr>
                <w:sz w:val="22"/>
              </w:rPr>
              <w:t>Система разрешений на работу</w:t>
            </w:r>
          </w:p>
        </w:tc>
        <w:tc>
          <w:tcPr>
            <w:tcW w:w="837" w:type="dxa"/>
            <w:tcMar>
              <w:left w:w="68" w:type="dxa"/>
              <w:right w:w="68" w:type="dxa"/>
            </w:tcMar>
            <w:vAlign w:val="center"/>
          </w:tcPr>
          <w:p w:rsidR="00000000" w:rsidRDefault="00000000">
            <w:pPr>
              <w:jc w:val="center"/>
              <w:rPr>
                <w:sz w:val="22"/>
              </w:rPr>
            </w:pPr>
            <w:r>
              <w:rPr>
                <w:sz w:val="22"/>
              </w:rPr>
              <w:t>Обычный порядок</w:t>
            </w:r>
          </w:p>
        </w:tc>
        <w:tc>
          <w:tcPr>
            <w:tcW w:w="1587" w:type="dxa"/>
            <w:tcMar>
              <w:left w:w="68" w:type="dxa"/>
              <w:right w:w="68" w:type="dxa"/>
            </w:tcMar>
            <w:vAlign w:val="center"/>
          </w:tcPr>
          <w:p w:rsidR="00000000" w:rsidRDefault="00000000">
            <w:pPr>
              <w:jc w:val="center"/>
              <w:rPr>
                <w:sz w:val="22"/>
              </w:rPr>
            </w:pPr>
            <w:r>
              <w:rPr>
                <w:sz w:val="22"/>
              </w:rPr>
              <w:t xml:space="preserve">76 967 </w:t>
            </w:r>
          </w:p>
        </w:tc>
        <w:tc>
          <w:tcPr>
            <w:tcW w:w="1567" w:type="dxa"/>
            <w:tcMar>
              <w:left w:w="68" w:type="dxa"/>
              <w:right w:w="68" w:type="dxa"/>
            </w:tcMar>
            <w:vAlign w:val="center"/>
          </w:tcPr>
          <w:p w:rsidR="00000000" w:rsidRDefault="00000000">
            <w:pPr>
              <w:jc w:val="center"/>
              <w:rPr>
                <w:sz w:val="22"/>
              </w:rPr>
            </w:pPr>
            <w:r>
              <w:rPr>
                <w:sz w:val="22"/>
              </w:rPr>
              <w:t xml:space="preserve">59 018 </w:t>
            </w:r>
          </w:p>
        </w:tc>
        <w:tc>
          <w:tcPr>
            <w:tcW w:w="1568" w:type="dxa"/>
            <w:tcMar>
              <w:left w:w="68" w:type="dxa"/>
              <w:right w:w="68" w:type="dxa"/>
            </w:tcMar>
            <w:vAlign w:val="center"/>
          </w:tcPr>
          <w:p w:rsidR="00000000" w:rsidRDefault="00000000">
            <w:pPr>
              <w:jc w:val="center"/>
              <w:rPr>
                <w:sz w:val="22"/>
              </w:rPr>
            </w:pPr>
            <w:r>
              <w:rPr>
                <w:sz w:val="22"/>
              </w:rPr>
              <w:t xml:space="preserve">46 208 </w:t>
            </w:r>
          </w:p>
        </w:tc>
        <w:tc>
          <w:tcPr>
            <w:tcW w:w="1568" w:type="dxa"/>
            <w:tcMar>
              <w:left w:w="68" w:type="dxa"/>
              <w:right w:w="68" w:type="dxa"/>
            </w:tcMar>
            <w:vAlign w:val="center"/>
          </w:tcPr>
          <w:p w:rsidR="00000000" w:rsidRDefault="00000000">
            <w:pPr>
              <w:jc w:val="center"/>
              <w:rPr>
                <w:sz w:val="22"/>
              </w:rPr>
            </w:pPr>
            <w:r>
              <w:rPr>
                <w:sz w:val="22"/>
              </w:rPr>
              <w:t xml:space="preserve">27 227 </w:t>
            </w:r>
          </w:p>
        </w:tc>
      </w:tr>
      <w:tr w:rsidR="00000000">
        <w:trPr>
          <w:cantSplit/>
        </w:trPr>
        <w:tc>
          <w:tcPr>
            <w:tcW w:w="1395" w:type="dxa"/>
            <w:vMerge/>
            <w:tcMar>
              <w:left w:w="68" w:type="dxa"/>
              <w:right w:w="68" w:type="dxa"/>
            </w:tcMar>
            <w:vAlign w:val="center"/>
          </w:tcPr>
          <w:p w:rsidR="00000000" w:rsidRDefault="00000000">
            <w:pPr>
              <w:jc w:val="both"/>
              <w:rPr>
                <w:sz w:val="22"/>
              </w:rPr>
            </w:pPr>
          </w:p>
        </w:tc>
        <w:tc>
          <w:tcPr>
            <w:tcW w:w="837" w:type="dxa"/>
            <w:tcMar>
              <w:left w:w="68" w:type="dxa"/>
              <w:right w:w="68" w:type="dxa"/>
            </w:tcMar>
            <w:vAlign w:val="center"/>
          </w:tcPr>
          <w:p w:rsidR="00000000" w:rsidRDefault="00000000">
            <w:pPr>
              <w:jc w:val="center"/>
              <w:rPr>
                <w:sz w:val="22"/>
              </w:rPr>
            </w:pPr>
            <w:r>
              <w:rPr>
                <w:sz w:val="22"/>
              </w:rPr>
              <w:t>Исключения</w:t>
            </w:r>
          </w:p>
        </w:tc>
        <w:tc>
          <w:tcPr>
            <w:tcW w:w="1587" w:type="dxa"/>
            <w:tcMar>
              <w:left w:w="68" w:type="dxa"/>
              <w:right w:w="68" w:type="dxa"/>
            </w:tcMar>
            <w:vAlign w:val="center"/>
          </w:tcPr>
          <w:p w:rsidR="00000000" w:rsidRDefault="00000000">
            <w:pPr>
              <w:jc w:val="center"/>
              <w:rPr>
                <w:sz w:val="22"/>
              </w:rPr>
            </w:pPr>
            <w:r>
              <w:rPr>
                <w:sz w:val="22"/>
              </w:rPr>
              <w:t xml:space="preserve">31 529 </w:t>
            </w:r>
          </w:p>
        </w:tc>
        <w:tc>
          <w:tcPr>
            <w:tcW w:w="1567" w:type="dxa"/>
            <w:tcMar>
              <w:left w:w="68" w:type="dxa"/>
              <w:right w:w="68" w:type="dxa"/>
            </w:tcMar>
            <w:vAlign w:val="center"/>
          </w:tcPr>
          <w:p w:rsidR="00000000" w:rsidRDefault="00000000">
            <w:pPr>
              <w:jc w:val="center"/>
              <w:rPr>
                <w:sz w:val="22"/>
              </w:rPr>
            </w:pPr>
            <w:r>
              <w:rPr>
                <w:sz w:val="22"/>
              </w:rPr>
              <w:t xml:space="preserve">25 508 </w:t>
            </w:r>
          </w:p>
        </w:tc>
        <w:tc>
          <w:tcPr>
            <w:tcW w:w="1568" w:type="dxa"/>
            <w:tcMar>
              <w:left w:w="68" w:type="dxa"/>
              <w:right w:w="68" w:type="dxa"/>
            </w:tcMar>
            <w:vAlign w:val="center"/>
          </w:tcPr>
          <w:p w:rsidR="00000000" w:rsidRDefault="00000000">
            <w:pPr>
              <w:jc w:val="center"/>
              <w:rPr>
                <w:sz w:val="22"/>
              </w:rPr>
            </w:pPr>
            <w:r>
              <w:rPr>
                <w:sz w:val="22"/>
              </w:rPr>
              <w:t xml:space="preserve">25 508 </w:t>
            </w:r>
          </w:p>
        </w:tc>
        <w:tc>
          <w:tcPr>
            <w:tcW w:w="1568" w:type="dxa"/>
            <w:tcMar>
              <w:left w:w="68" w:type="dxa"/>
              <w:right w:w="68" w:type="dxa"/>
            </w:tcMar>
            <w:vAlign w:val="center"/>
          </w:tcPr>
          <w:p w:rsidR="00000000" w:rsidRDefault="00000000">
            <w:pPr>
              <w:jc w:val="center"/>
              <w:rPr>
                <w:sz w:val="22"/>
              </w:rPr>
            </w:pPr>
            <w:r>
              <w:rPr>
                <w:sz w:val="22"/>
              </w:rPr>
              <w:t xml:space="preserve">25 508 </w:t>
            </w:r>
          </w:p>
        </w:tc>
      </w:tr>
      <w:tr w:rsidR="00000000">
        <w:trPr>
          <w:cantSplit/>
        </w:trPr>
        <w:tc>
          <w:tcPr>
            <w:tcW w:w="1395" w:type="dxa"/>
            <w:vMerge/>
            <w:tcMar>
              <w:left w:w="68" w:type="dxa"/>
              <w:right w:w="68" w:type="dxa"/>
            </w:tcMar>
            <w:vAlign w:val="center"/>
          </w:tcPr>
          <w:p w:rsidR="00000000" w:rsidRDefault="00000000">
            <w:pPr>
              <w:jc w:val="both"/>
              <w:rPr>
                <w:sz w:val="22"/>
              </w:rPr>
            </w:pPr>
          </w:p>
        </w:tc>
        <w:tc>
          <w:tcPr>
            <w:tcW w:w="837" w:type="dxa"/>
            <w:tcMar>
              <w:left w:w="68" w:type="dxa"/>
              <w:right w:w="68" w:type="dxa"/>
            </w:tcMar>
            <w:vAlign w:val="center"/>
          </w:tcPr>
          <w:p w:rsidR="00000000" w:rsidRDefault="00000000">
            <w:pPr>
              <w:jc w:val="center"/>
              <w:rPr>
                <w:b/>
                <w:sz w:val="22"/>
              </w:rPr>
            </w:pPr>
            <w:r>
              <w:rPr>
                <w:b/>
                <w:sz w:val="22"/>
              </w:rPr>
              <w:t>Всего</w:t>
            </w:r>
          </w:p>
        </w:tc>
        <w:tc>
          <w:tcPr>
            <w:tcW w:w="1587" w:type="dxa"/>
            <w:tcMar>
              <w:left w:w="68" w:type="dxa"/>
              <w:right w:w="68" w:type="dxa"/>
            </w:tcMar>
            <w:vAlign w:val="center"/>
          </w:tcPr>
          <w:p w:rsidR="00000000" w:rsidRDefault="00000000">
            <w:pPr>
              <w:jc w:val="center"/>
              <w:rPr>
                <w:b/>
                <w:sz w:val="22"/>
              </w:rPr>
            </w:pPr>
            <w:r>
              <w:rPr>
                <w:b/>
                <w:sz w:val="22"/>
              </w:rPr>
              <w:t>108 496</w:t>
            </w:r>
          </w:p>
        </w:tc>
        <w:tc>
          <w:tcPr>
            <w:tcW w:w="1567" w:type="dxa"/>
            <w:tcMar>
              <w:left w:w="68" w:type="dxa"/>
              <w:right w:w="68" w:type="dxa"/>
            </w:tcMar>
            <w:vAlign w:val="center"/>
          </w:tcPr>
          <w:p w:rsidR="00000000" w:rsidRDefault="00000000">
            <w:pPr>
              <w:jc w:val="center"/>
              <w:rPr>
                <w:b/>
                <w:sz w:val="22"/>
              </w:rPr>
            </w:pPr>
            <w:r>
              <w:rPr>
                <w:b/>
                <w:sz w:val="22"/>
              </w:rPr>
              <w:t>84 526</w:t>
            </w:r>
          </w:p>
        </w:tc>
        <w:tc>
          <w:tcPr>
            <w:tcW w:w="1568" w:type="dxa"/>
            <w:tcMar>
              <w:left w:w="68" w:type="dxa"/>
              <w:right w:w="68" w:type="dxa"/>
            </w:tcMar>
            <w:vAlign w:val="center"/>
          </w:tcPr>
          <w:p w:rsidR="00000000" w:rsidRDefault="00000000">
            <w:pPr>
              <w:jc w:val="center"/>
              <w:rPr>
                <w:b/>
                <w:sz w:val="22"/>
              </w:rPr>
            </w:pPr>
            <w:r>
              <w:rPr>
                <w:b/>
                <w:sz w:val="22"/>
              </w:rPr>
              <w:t>71 716</w:t>
            </w:r>
          </w:p>
        </w:tc>
        <w:tc>
          <w:tcPr>
            <w:tcW w:w="1568" w:type="dxa"/>
            <w:tcMar>
              <w:left w:w="68" w:type="dxa"/>
              <w:right w:w="68" w:type="dxa"/>
            </w:tcMar>
            <w:vAlign w:val="center"/>
          </w:tcPr>
          <w:p w:rsidR="00000000" w:rsidRDefault="00000000">
            <w:pPr>
              <w:jc w:val="center"/>
              <w:rPr>
                <w:b/>
                <w:sz w:val="22"/>
              </w:rPr>
            </w:pPr>
            <w:r>
              <w:rPr>
                <w:b/>
                <w:sz w:val="22"/>
              </w:rPr>
              <w:t>52 735</w:t>
            </w:r>
          </w:p>
        </w:tc>
      </w:tr>
    </w:tbl>
    <w:p w:rsidR="00000000" w:rsidRDefault="00000000">
      <w:pPr>
        <w:rPr>
          <w:sz w:val="20"/>
        </w:rPr>
      </w:pPr>
    </w:p>
    <w:p w:rsidR="00000000" w:rsidRDefault="00000000">
      <w:pPr>
        <w:rPr>
          <w:sz w:val="20"/>
        </w:rPr>
      </w:pPr>
      <w:r>
        <w:rPr>
          <w:sz w:val="20"/>
        </w:rPr>
        <w:t xml:space="preserve">*  </w:t>
      </w:r>
      <w:r>
        <w:rPr>
          <w:sz w:val="20"/>
        </w:rPr>
        <w:tab/>
        <w:t>К иностранцам, в отношении которых действуют исключения из системы разрешений на работу, относятся те, кто ранее въезжал в страну (сектор строительства – 15 979, сектор обслуживания – 9 529 человек) и имел разрешение на работу.</w:t>
      </w:r>
    </w:p>
    <w:p w:rsidR="00000000" w:rsidRDefault="00000000"/>
    <w:p w:rsidR="00000000" w:rsidRDefault="00000000">
      <w:r>
        <w:t>38.</w:t>
      </w:r>
      <w:r>
        <w:tab/>
        <w:t>Государство полностью отказалось от программы подготовки производственных стажеров, с которой было связано много споров, касавшихся соблюдения прав человека, и приняло решение об интеграции программ подготовки иностранных кадров во всеобъемлющую систему разрешений на работу для иностранцев.  Ожидается, что эта мера даст положительные результаты в плане защиты прав человека трудящихся-иностранцев.</w:t>
      </w:r>
    </w:p>
    <w:p w:rsidR="00000000" w:rsidRDefault="00000000"/>
    <w:p w:rsidR="00000000" w:rsidRDefault="00000000">
      <w:r>
        <w:t>39.</w:t>
      </w:r>
      <w:r>
        <w:tab/>
        <w:t>Между тем с принятием 16 августа 2003 года Закона о найме иностранных работников была создана основа для применения всех норм трудового законодательства, включая Закон о трудовых стандартах, в равной мере как к иностранным работникам, так и к уроженцам страны.  Статья 22 Закона о найме иностранных работников запрещает несправедливую дискриминацию по мотивам национальности.</w:t>
      </w:r>
    </w:p>
    <w:p w:rsidR="00000000" w:rsidRDefault="00000000"/>
    <w:p w:rsidR="00000000" w:rsidRDefault="00000000">
      <w:r>
        <w:t>40.</w:t>
      </w:r>
      <w:r>
        <w:tab/>
        <w:t>Стремясь обеспечить эффективное применение Закона о найме иностранных работников, государственные органы проводят, в частности, периодические контрольные проверки на предприятиях на предмет того, соблюдает ли работодатель условия контракта, не было ли задержек с выплатой заработной платы, не было ли случаев насилия или дискриминации в отношении иностранных рабочих.</w:t>
      </w:r>
    </w:p>
    <w:p w:rsidR="00000000" w:rsidRDefault="00000000"/>
    <w:p w:rsidR="00000000" w:rsidRDefault="00000000">
      <w:r>
        <w:t>41.</w:t>
      </w:r>
      <w:r>
        <w:tab/>
        <w:t>В то же время параллельно с мерами, направленными против нелегального найма, предпринимаются усилия по поощрению легальной практики найма.  В 2004 году было проинспектировано 4 105 предприятий, где работают иностранцы, и было выявлено, что в 1 533 случаях было совершено 1 906 нарушений.  В расследованиях и проверках на 5 688 предприятиях приняли участие сотрудники не только министерства труда, но и министерства юстиции.</w:t>
      </w:r>
    </w:p>
    <w:p w:rsidR="00000000" w:rsidRDefault="00000000">
      <w:r>
        <w:t>42.</w:t>
      </w:r>
      <w:r>
        <w:tab/>
        <w:t>В 2005 году инспекциями были охвачены 4 297 предприятий, где на условиях законного найма трудились иностранцы.  После проверки 1 197 предприятий, где работники имели контакт с нормальным гексаном, в 65 случаях было возбуждено судебное преследование.  Кроме того, государственные инспекторы выезжали на предприятия, где проинструктировали 57 030 иностранцев, работающих на законных основаниях в 24 648 местах, с целью побудить их к добровольному выезду из страны.</w:t>
      </w:r>
    </w:p>
    <w:p w:rsidR="00000000" w:rsidRDefault="00000000"/>
    <w:p w:rsidR="00000000" w:rsidRDefault="00000000">
      <w:r>
        <w:rPr>
          <w:b/>
        </w:rPr>
        <w:t>Этнические меньшинства</w:t>
      </w:r>
    </w:p>
    <w:p w:rsidR="00000000" w:rsidRDefault="00000000"/>
    <w:p w:rsidR="00000000" w:rsidRDefault="00000000">
      <w:r>
        <w:t>43.</w:t>
      </w:r>
      <w:r>
        <w:tab/>
        <w:t>Будучи этнически однородным государством, Республика Корея не сталкивалась в своей истории с проблемой этнических меньшинств.  Однако в последнее время динамичный обмен кадрами между государствами и увеличение числа межрасовых браков привели к возникновению ряда тревожных моментов, связанных с этническими меньшинствами.</w:t>
      </w:r>
    </w:p>
    <w:p w:rsidR="00000000" w:rsidRDefault="00000000"/>
    <w:p w:rsidR="00000000" w:rsidRDefault="00000000">
      <w:r>
        <w:t>44.</w:t>
      </w:r>
      <w:r>
        <w:tab/>
        <w:t>Представление о чистокровности, в основе которого лежит гордость корейцев по поводу однородности этнического состава страны, порождает различные формы дискриминации, в значительной мере скрытые и не обязательно незаконные, в отношении так называемых полукровок во всех сферах жизни общества, включая трудовые отношения, браки, жилье, образование и отношения между людьми.  Это явление носит тем более серьезный характер, что такие представления передаются от поколения к поколению.</w:t>
      </w:r>
    </w:p>
    <w:p w:rsidR="00000000" w:rsidRDefault="00000000"/>
    <w:p w:rsidR="00000000" w:rsidRDefault="00000000">
      <w:r>
        <w:t>45.</w:t>
      </w:r>
      <w:r>
        <w:tab/>
        <w:t>Правительство вырабатывает всеобъемлющий комплекс мер, включая организационно-административную реформу, для устранения первопричин дискриминации, коренящейся в социальной структуре страны;  для этого ведется изучение путей формирования групп лиц смешанной крови, а также статуса каждой из таких групп в обществе.</w:t>
      </w:r>
    </w:p>
    <w:p w:rsidR="00000000" w:rsidRDefault="00000000"/>
    <w:p w:rsidR="00000000" w:rsidRDefault="00000000">
      <w:r>
        <w:t>46.</w:t>
      </w:r>
      <w:r>
        <w:tab/>
        <w:t>Учитывая, что большинство лиц смешанной крови и лиц из числа этнических меньшинств заняты на низкооплачиваемых работах и живут в условиях бедности, правительство ведет активную работу над всеобъемлющем планом обеспечения их благосостояния и безопасности, включая меры по профессиональной подготовке и помощи в обеспечении жильем.  Кроме того, правительство наращивает усилия в попытке добиться скорейших сдвигов в социальных представлениях, проводя информационно-просветительские кампании, направленные против первопричин дискриминации и предубеждений.</w:t>
      </w:r>
    </w:p>
    <w:p w:rsidR="00000000" w:rsidRDefault="00000000"/>
    <w:p w:rsidR="00000000" w:rsidRDefault="00000000">
      <w:pPr>
        <w:keepNext/>
      </w:pPr>
      <w:r>
        <w:rPr>
          <w:b/>
        </w:rPr>
        <w:t>Беженцы</w:t>
      </w:r>
    </w:p>
    <w:p w:rsidR="00000000" w:rsidRDefault="00000000"/>
    <w:p w:rsidR="00000000" w:rsidRDefault="00000000">
      <w:r>
        <w:t>47.</w:t>
      </w:r>
      <w:r>
        <w:tab/>
        <w:t>Что касается вопроса о лицах, ищущих убежище в Республике Корее, то Указ о применении Закона о контроле над иммиграцией содержит положения, затрагивающие следующие относящиеся к беженцам вопросы:  предоставление статуса беженца (пункт 2 статьи 88), отмена статуса беженца (пункт 3 статьи 88), обжалование (пункт 4 статьи 88), выдача и повторная выдача беженцам документов на въезд/выезд (пункты 5 и 6 статьи 88), продление срока действия документов на въезд/выезд (пункт 7 статьи 88) и возврат беженцами документов на въезд/выезд (пункт 8 статьи 88).</w:t>
      </w:r>
    </w:p>
    <w:p w:rsidR="00000000" w:rsidRDefault="00000000"/>
    <w:p w:rsidR="00000000" w:rsidRDefault="00000000">
      <w:r>
        <w:t>48.</w:t>
      </w:r>
      <w:r>
        <w:tab/>
        <w:t>Вопрос о лицах, ищущих убежище в Республике Корее, досконально рассматривался в Совете по делам беженцев, в состав которого входят представители соответствующих министерств и частных организаций.  Конвенция о статусе беженцев, Протокол, касающийся статуса беженцев, и соответствующие национальные законы используются в качестве руководства при предоставлении статуса беженца без какой-либо дискриминации по признаку расы или страны происхождения.</w:t>
      </w:r>
    </w:p>
    <w:p w:rsidR="00000000" w:rsidRDefault="00000000"/>
    <w:p w:rsidR="00000000" w:rsidRDefault="00000000">
      <w:r>
        <w:t>49.</w:t>
      </w:r>
      <w:r>
        <w:tab/>
        <w:t>С пересмотром действующего порядка и ликвидацией Рабочего комитета по делам беженцев, который занимался первичным рассмотрением ходатайств о предоставлении статуса беженца, процедура подачи таких ходатайств была упрощена и приближена к нуждам соискателей.  С целью сделать процесс оформления статуса беженца более справедливым и транспарентным было изменено соотношение между количеством государственных чиновников и представителей гражданского общества в составе Совета;  теперь оно составляет 5:5.</w:t>
      </w:r>
    </w:p>
    <w:p w:rsidR="00000000" w:rsidRDefault="00000000"/>
    <w:p w:rsidR="00000000" w:rsidRDefault="00000000">
      <w:r>
        <w:t>50.</w:t>
      </w:r>
      <w:r>
        <w:tab/>
        <w:t>После отказа в предоставлении статуса беженца соискатели, в соответствии со статьей 76 (4) Закона о контроле над иммиграцией, могут официально обжаловать такое решение, обратившись к министру юстиции.  Затем, если такое ходатайство не удовлетворяется, соискатель может подать иск в соответствующий суд.  Лица, которым было отказано в предоставлении статуса беженца, не обязаны незамедлительно покинуть страну;  им предоставляется определенный период времени на подготовку к добровольному отъезду.</w:t>
      </w:r>
    </w:p>
    <w:p w:rsidR="00000000" w:rsidRDefault="00000000"/>
    <w:p w:rsidR="00000000" w:rsidRDefault="00000000">
      <w:r>
        <w:t>51.</w:t>
      </w:r>
      <w:r>
        <w:tab/>
        <w:t>В порядке расширения прав и отстаивания интересов лиц, обращающихся с ходатайством о предоставлении им статуса беженца, правительство ведет работу по внесению в 2006 году поправок в Закон о контроле над иммиграцией.  Среди таких поправок – отмена предельного годичного срока для подачи ходатайства о предоставлении статуса беженца, выдача таким лицам в ряде случаев разрешения на работу и выдача временного вида на жительство по гуманитарным соображениям тем, кому было отказано в статусе беженца.</w:t>
      </w:r>
    </w:p>
    <w:p w:rsidR="00000000" w:rsidRDefault="00000000"/>
    <w:p w:rsidR="00000000" w:rsidRDefault="00000000">
      <w:r>
        <w:t>52.</w:t>
      </w:r>
      <w:r>
        <w:tab/>
        <w:t>За период с 1 июля 1994 года за получением статуса беженца обратились в общей сложности 762 иностранца, из которых 40 был предоставлен статус беженца, а 28 – право на проживание по гуманитарным соображениям.  101 лицу было отказано в статусе беженца, 72 человека взяли свои заявления назад, а 71 официально оспорили вынесенное решение.  Заявления остальных 450 человек все еще находятся в стадии рассмотрения.</w:t>
      </w:r>
    </w:p>
    <w:p w:rsidR="00000000" w:rsidRDefault="00000000"/>
    <w:p w:rsidR="00000000" w:rsidRDefault="00000000">
      <w:r>
        <w:t>53.</w:t>
      </w:r>
      <w:r>
        <w:tab/>
        <w:t>Число соискателей растет:  в период с 1994 по 2000 год с заявлениями обратились 96 человек, в 2001 году – 37, в 2002 – 34, в 2003 году – 84, в 2004 – 148 и в 2005 году – 363 человека.  В разбивке по национальности 229 соискателей – выходцы из Китая, 134 – из Мьянмы, 38 – из Демократической Республики Конго, 47 – из Уганды, 45 – из Кот</w:t>
      </w:r>
      <w:r>
        <w:noBreakHyphen/>
        <w:t>д'Ивуара и 259 – из других государств.</w:t>
      </w:r>
    </w:p>
    <w:p w:rsidR="00000000" w:rsidRDefault="00000000"/>
    <w:p w:rsidR="00000000" w:rsidRDefault="00000000">
      <w:pPr>
        <w:jc w:val="center"/>
      </w:pPr>
      <w:r>
        <w:rPr>
          <w:b/>
        </w:rPr>
        <w:t>Статья 3</w:t>
      </w:r>
    </w:p>
    <w:p w:rsidR="00000000" w:rsidRDefault="00000000"/>
    <w:p w:rsidR="00000000" w:rsidRDefault="00000000">
      <w:r>
        <w:t>54.</w:t>
      </w:r>
      <w:r>
        <w:tab/>
        <w:t>Статья 3 обязывает государства-участники осудить расовую сегрегацию и апартеид и предупреждать, запрещать и искоренять всякую практику такого характера на территориях, находящихся под их юрисдикцией.</w:t>
      </w:r>
    </w:p>
    <w:p w:rsidR="00000000" w:rsidRDefault="00000000"/>
    <w:p w:rsidR="00000000" w:rsidRDefault="00000000">
      <w:r>
        <w:t>55.</w:t>
      </w:r>
      <w:r>
        <w:tab/>
        <w:t>Республика Корея не проводит политики, поощряющей расовую сегрегацию и дискриминацию.  Такая практика запрещена в соответствии с пунктом 1 статьи 11 Конституции, который гарантирует равенство перед законом без какой-либо дискриминации по признаку расы или по иным мотивам.  Республика Корея последовательно и твердо выступает против расовой дискриминации и неизменно высказывается против апартеида, который нарушает принцип расового равенства и основные права человека, провозглашенные в Уставе Организации Объединенных Наций и во Всеобщей декларации прав человека.</w:t>
      </w:r>
    </w:p>
    <w:p w:rsidR="00000000" w:rsidRDefault="00000000"/>
    <w:p w:rsidR="00000000" w:rsidRDefault="00000000">
      <w:r>
        <w:t>56.</w:t>
      </w:r>
      <w:r>
        <w:tab/>
        <w:t>С 60</w:t>
      </w:r>
      <w:r>
        <w:noBreakHyphen/>
        <w:t>х годов Республика Корея энергично поддерживала международное сообщество в осуждении расистской политики и практики апартеида в Южной Африке и активно участвовала в применении экономических и других соответствующих санкций, вытекающих из решений Организации Объединенных Наций.</w:t>
      </w:r>
    </w:p>
    <w:p w:rsidR="00000000" w:rsidRDefault="00000000"/>
    <w:p w:rsidR="00000000" w:rsidRDefault="00000000">
      <w:r>
        <w:t>57.</w:t>
      </w:r>
      <w:r>
        <w:tab/>
        <w:t>После того как с развитием процесса демократизации в Южной Африке апартеид там был отменен, Республика Корея совместно с международным сообществом надлежащим образом отреагировала на события в этой стране, сняв все наложенные на нее санкции.</w:t>
      </w:r>
    </w:p>
    <w:p w:rsidR="00000000" w:rsidRDefault="00000000">
      <w:r>
        <w:t>58.</w:t>
      </w:r>
      <w:r>
        <w:tab/>
        <w:t>После установления в 2002 году дипломатических отношений между Республикой Кореей и Южно-Африканской Республикой налажен активный обмен визитами и устойчиво развиваются экономическое сотрудничество и торговля.  В 2004 году объем торговли между двумя странами составил в совокупности 1,96 млрд. долл. США, а в 2005 году –2,3 млрд. долл. США.  На декабрь 2005 года число граждан Республики Кореи, проживавших в Южно-Африканской Республике, оценивалось примерно в 3 700 человек.</w:t>
      </w:r>
    </w:p>
    <w:p w:rsidR="00000000" w:rsidRDefault="00000000"/>
    <w:p w:rsidR="00000000" w:rsidRDefault="00000000">
      <w:pPr>
        <w:jc w:val="center"/>
      </w:pPr>
      <w:r>
        <w:rPr>
          <w:b/>
        </w:rPr>
        <w:t>Статья 4</w:t>
      </w:r>
    </w:p>
    <w:p w:rsidR="00000000" w:rsidRDefault="00000000"/>
    <w:p w:rsidR="00000000" w:rsidRDefault="00000000">
      <w:r>
        <w:t>59.</w:t>
      </w:r>
      <w:r>
        <w:tab/>
        <w:t>В Конституции осуждаются любые идеи или теории превосходства одной расы или этнической группы над другой, равно как и всякие попытки оправдать или поощрять расовую ненависть или дискриминацию в любой форме.  Статья 11 Конституции гласит:</w:t>
      </w:r>
    </w:p>
    <w:p w:rsidR="00000000" w:rsidRDefault="00000000"/>
    <w:p w:rsidR="00000000" w:rsidRDefault="00000000">
      <w:pPr>
        <w:ind w:left="1134"/>
      </w:pPr>
      <w:r>
        <w:rPr>
          <w:lang w:val="en-US"/>
        </w:rPr>
        <w:tab/>
      </w:r>
      <w:r>
        <w:t>"</w:t>
      </w:r>
      <w:r>
        <w:rPr>
          <w:lang w:val="en-US"/>
        </w:rPr>
        <w:t>a</w:t>
      </w:r>
      <w:r>
        <w:t>)</w:t>
      </w:r>
      <w:r>
        <w:tab/>
        <w:t>Все граждане равны перед законом, и запрещается какая бы то ни было дискриминация в любой сфере политической, экономической, социальной или культурной жизни по признаку пола, религии или социального положения;</w:t>
      </w:r>
    </w:p>
    <w:p w:rsidR="00000000" w:rsidRDefault="00000000">
      <w:pPr>
        <w:ind w:left="1701" w:hanging="567"/>
      </w:pPr>
    </w:p>
    <w:p w:rsidR="00000000" w:rsidRDefault="00000000">
      <w:pPr>
        <w:ind w:left="1134"/>
      </w:pPr>
      <w:r>
        <w:rPr>
          <w:lang w:val="en-US"/>
        </w:rPr>
        <w:tab/>
        <w:t>b</w:t>
      </w:r>
      <w:r>
        <w:t>)</w:t>
      </w:r>
      <w:r>
        <w:tab/>
        <w:t>не признается и никогда не может быть сформирована какая бы то ни было привилегированная каста независимо от ее формы".</w:t>
      </w:r>
    </w:p>
    <w:p w:rsidR="00000000" w:rsidRDefault="00000000"/>
    <w:p w:rsidR="00000000" w:rsidRDefault="00000000">
      <w:r>
        <w:t>60.</w:t>
      </w:r>
      <w:r>
        <w:tab/>
        <w:t>Эти конституционные принципы конкретизируются и развиваются в различных национальных законах, которые имеют целью реализацию статьи 4 Конвенции.  Так, например, акт расовой дискриминации караем в соответствии со статьями 307 и 309 Уголовного кодекса, которые касаются, соответственно, диффамации и диффамации путем публикации, а также в соответствии со статьей 311, в которой речь идет о клевете.</w:t>
      </w:r>
    </w:p>
    <w:p w:rsidR="00000000" w:rsidRDefault="00000000"/>
    <w:p w:rsidR="00000000" w:rsidRDefault="00000000">
      <w:r>
        <w:t>61.</w:t>
      </w:r>
      <w:r>
        <w:tab/>
        <w:t>В своей оценке одиннадцатого и двенадцатого периодических докладов Комитет отметил в качестве позитивного тот факт, что принятый 16 августа 2003 года Закон о найме иностранных работников распространил все нормы трудового законодательства, включая Закон о трудовых стандартах, на трудящихся-иностранцев на равной с уроженцами страны основе.  Статья 22 Закона о трудовых стандартах запрещает дискриминацию иностранцев по мотивам их национальности.</w:t>
      </w:r>
    </w:p>
    <w:p w:rsidR="00000000" w:rsidRDefault="00000000"/>
    <w:p w:rsidR="00000000" w:rsidRDefault="00000000">
      <w:pPr>
        <w:jc w:val="center"/>
      </w:pPr>
      <w:r>
        <w:rPr>
          <w:b/>
        </w:rPr>
        <w:t>Статья 5</w:t>
      </w:r>
    </w:p>
    <w:p w:rsidR="00000000" w:rsidRDefault="00000000"/>
    <w:p w:rsidR="00000000" w:rsidRDefault="00000000">
      <w:r>
        <w:t>62.</w:t>
      </w:r>
      <w:r>
        <w:tab/>
        <w:t>Закон о контроле над иммиграцией предоставляет иностранцам в возрасте свыше 20 лет, обладающим видом на жительство F</w:t>
      </w:r>
      <w:r>
        <w:noBreakHyphen/>
        <w:t>2, право на участие в выборах в соответствии с правилами, устанавливаемыми местными органами самоуправления согласно пункту 2 статьи 5 Закона о праве резидентов на участие в выборах.</w:t>
      </w:r>
    </w:p>
    <w:p w:rsidR="00000000" w:rsidRDefault="00000000"/>
    <w:p w:rsidR="00000000" w:rsidRDefault="00000000">
      <w:r>
        <w:t>63.</w:t>
      </w:r>
      <w:r>
        <w:tab/>
        <w:t>В принципе натурализованные иностранцы наделены теми же правами и обязанностями, что и уроженцы страны; к тому же на них не налагается никаких ограничений при найме на государственную службу или на работу в государственном секторе.</w:t>
      </w:r>
    </w:p>
    <w:p w:rsidR="00000000" w:rsidRDefault="00000000"/>
    <w:p w:rsidR="00000000" w:rsidRDefault="00000000">
      <w:r>
        <w:t>64.</w:t>
      </w:r>
      <w:r>
        <w:tab/>
        <w:t>Недавно был введен порядок, предоставляющий иностранцам, имеющим вид на жительство F</w:t>
      </w:r>
      <w:r>
        <w:noBreakHyphen/>
        <w:t>2 и прожившим в Республике Корее более пяти лет, статус постоянного резидента (виза F</w:t>
      </w:r>
      <w:r>
        <w:noBreakHyphen/>
        <w:t>5).  Обладатели вида на жительство F</w:t>
      </w:r>
      <w:r>
        <w:noBreakHyphen/>
        <w:t>5 практически не затрагиваются ограничениями в сфере найма и обладают тем же статусом, что и граждане страны.</w:t>
      </w:r>
    </w:p>
    <w:p w:rsidR="00000000" w:rsidRDefault="00000000"/>
    <w:p w:rsidR="00000000" w:rsidRDefault="00000000">
      <w:r>
        <w:t>65.</w:t>
      </w:r>
      <w:r>
        <w:tab/>
        <w:t>За исключением случаев некоторых серьезных преступлений, таких, как участие в мятеже или агрессии со стороны зарубежного государства, иностранцы, проживающие в стране в течение долгого времени, не подлежат принудительному выдворению в соответствии с пунктом 2 статьи 46 Закона о контроле над иммиграцией.  Статья 30 Закона гарантирует таким лицам свободу выезда и въезда, не обусловленную требованием получения разрешения на обратный въезд.</w:t>
      </w:r>
    </w:p>
    <w:p w:rsidR="00000000" w:rsidRDefault="00000000"/>
    <w:p w:rsidR="00000000" w:rsidRDefault="00000000">
      <w:r>
        <w:t>66.</w:t>
      </w:r>
      <w:r>
        <w:tab/>
        <w:t>С введением в силу 25 сентября 2005 года недавно пересмотренного Закона о контроле над иммиграцией срок, в течение которого обладатель вида на жительство F</w:t>
      </w:r>
      <w:r>
        <w:noBreakHyphen/>
        <w:t>2, состоящий в браке с гражданином Кореи, обязан прожить в стране, до того как он приобретет право на вид на жительство F</w:t>
      </w:r>
      <w:r>
        <w:noBreakHyphen/>
        <w:t>5, был сокращен с пяти до двух лет, что привело к упрочению правового статуса таких лиц.</w:t>
      </w:r>
    </w:p>
    <w:p w:rsidR="00000000" w:rsidRDefault="00000000"/>
    <w:p w:rsidR="00000000" w:rsidRDefault="00000000">
      <w:r>
        <w:t>67.</w:t>
      </w:r>
      <w:r>
        <w:tab/>
        <w:t>Прежде иностранец (виза F</w:t>
      </w:r>
      <w:r>
        <w:noBreakHyphen/>
        <w:t>2)</w:t>
      </w:r>
      <w:r>
        <w:rPr>
          <w:rStyle w:val="EndnoteReference"/>
        </w:rPr>
        <w:endnoteReference w:id="12"/>
      </w:r>
      <w:r>
        <w:t>, состоявший в браке с гражданином Республики Кореи, должен был обращаться за разрешением на ведение деятельности, выходящей за рамки той, что допускалась его видом на жительство.  Однако с 25 сентября 2005 года в соответствии с недавно пересмотренным Законом о контроле над иммиграцией иностранцы с низким уровнем доходов, испытывающие серьезные материальные затруднения, имеют право работать без обращения за разрешением на ведение деятельности, выходящей за рамки той, что предусмотрена его видом на жительство.</w:t>
      </w:r>
    </w:p>
    <w:p w:rsidR="00000000" w:rsidRDefault="00000000"/>
    <w:p w:rsidR="00000000" w:rsidRDefault="00000000">
      <w:r>
        <w:t>68.</w:t>
      </w:r>
      <w:r>
        <w:tab/>
        <w:t>Далее, в случае смерти являвшегося гражданином страны супруга иностранца, въехавшего в страну до момента смерти, либо их развода или прекращения совместного проживания круг удовлетворяющих критериям гарантов ранее ограничивался родственниками и близкими друзьями (без ограничений по степени родства) супруга, имевшимися у него до смерти или развода.  С 1 марта 2005 года в число удовлетворяющих требованиям гарантов были включены также и третьи стороны.</w:t>
      </w:r>
    </w:p>
    <w:p w:rsidR="00000000" w:rsidRDefault="00000000"/>
    <w:p w:rsidR="00000000" w:rsidRDefault="00000000">
      <w:r>
        <w:t>69.</w:t>
      </w:r>
      <w:r>
        <w:tab/>
        <w:t>Иностранцам, обладающим видом на жительство  F</w:t>
      </w:r>
      <w:r>
        <w:noBreakHyphen/>
        <w:t>2, выдается разрешение на пребывание в стране в целях воспитания детей или помощи родственникам и членам семьи супруга, являющимся гражданами Республики Кореи, даже в тех случаях, когда брак распадается.  Независимо от состояния брака иностранцу, имеющему детей от супруга, являющегося гражданином страны, разрешается пребывание в стране по визе F</w:t>
      </w:r>
      <w:r>
        <w:noBreakHyphen/>
        <w:t>2 для осуществления своего права на встречи с ребенком, даже если он не принимает участия в его воспитании.</w:t>
      </w:r>
    </w:p>
    <w:p w:rsidR="00000000" w:rsidRDefault="00000000"/>
    <w:p w:rsidR="00000000" w:rsidRDefault="00000000">
      <w:r>
        <w:t>70.</w:t>
      </w:r>
      <w:r>
        <w:tab/>
        <w:t>Положение иностранцев, не имеющих семьи в Республики Корее, которые стали жертвой производственных аварий, ухудшилось, поскольку им трудно найти гаранта и получить разрешение на пребывание.  С тем чтобы поставить пребывание таких иностранцев на более надежную и прочную основу, правительство с мая 2005 года сняло требование о представлении документов, удостоверяющих личность, при подаче заявления об изменении режима пребывания.</w:t>
      </w:r>
    </w:p>
    <w:p w:rsidR="00000000" w:rsidRDefault="00000000"/>
    <w:p w:rsidR="00000000" w:rsidRDefault="00000000">
      <w:r>
        <w:t>71.</w:t>
      </w:r>
      <w:r>
        <w:tab/>
        <w:t>Лица, которым был предоставлен статус беженца, находятся в более благоприятном, чем другие иностранцы, положении в плане трудоустройства, предпринимательства и приобретения недвижимости и пользуются социальной помощью, поддержкой и услугами социального обеспечения на равных с гражданами страны основаниях.</w:t>
      </w:r>
    </w:p>
    <w:p w:rsidR="00000000" w:rsidRDefault="00000000"/>
    <w:p w:rsidR="00000000" w:rsidRDefault="00000000">
      <w:r>
        <w:t>72.</w:t>
      </w:r>
      <w:r>
        <w:tab/>
        <w:t>В феврале 2005 года министерством юстиции был учрежден Комитет по изучению законодательства и внесению поправок в Закон о беженцах, которому поручено изучать вопросы, относящиеся, в частности, к процедуре предоставления статуса беженца и политике помощи беженцам.  Вместе с Комитетом министерство юстиции в настоящее время разрабатывает меры по расширению помощи беженцам.</w:t>
      </w:r>
    </w:p>
    <w:p w:rsidR="00000000" w:rsidRDefault="00000000"/>
    <w:p w:rsidR="00000000" w:rsidRDefault="00000000">
      <w:r>
        <w:t>73.</w:t>
      </w:r>
      <w:r>
        <w:tab/>
        <w:t>С 17 августа 2004 года в стране действует разработанная правительством система разрешений на работу, призванная легализовать наем трудящихся-иностранцев.  По новой системе трудящиеся-иностранцы рассматриваются в качестве рабочих и подпадают под действие всех норм трудового законодательства, включая Закон о трудовых стандартах, Закон о минимальном размере оплаты труда и Закон о технике безопасности и гигиене труда, на равной с уроженцами страны основе.</w:t>
      </w:r>
    </w:p>
    <w:p w:rsidR="00000000" w:rsidRDefault="00000000"/>
    <w:p w:rsidR="00000000" w:rsidRDefault="00000000">
      <w:r>
        <w:t>74.</w:t>
      </w:r>
      <w:r>
        <w:tab/>
        <w:t>Кстати, все "нелегалы" из шести стран, включая Шри-Ланку, пострадавших от землетрясения и цунами 26 декабря 2006 года, были освобождены от ограничения на въезд и уплаты штрафа и к тому же были зарегистрированы в системе разрешений на работу и получили санкцию на повторный въезд в страну.  Этой мерой послабления были охвачены в общей сложности 2 600 человек, включая 1 109 лиц, нелегально проживавших в стране.  По аналогии с этим в общей сложности 428 пакистанцам, ставшим жертвами землетрясения, обрушившегося на Кашмир 8 октября 2005 года, была оказана целевая помощь в их отъезде в свою страну и возвращении в Республику Корею.</w:t>
      </w:r>
    </w:p>
    <w:p w:rsidR="00000000" w:rsidRDefault="00000000"/>
    <w:p w:rsidR="00000000" w:rsidRDefault="00000000">
      <w:pPr>
        <w:jc w:val="center"/>
      </w:pPr>
      <w:r>
        <w:rPr>
          <w:b/>
        </w:rPr>
        <w:t>Статья 6</w:t>
      </w:r>
    </w:p>
    <w:p w:rsidR="00000000" w:rsidRDefault="00000000"/>
    <w:p w:rsidR="00000000" w:rsidRDefault="00000000">
      <w:pPr>
        <w:rPr>
          <w:b/>
        </w:rPr>
      </w:pPr>
      <w:r>
        <w:rPr>
          <w:b/>
        </w:rPr>
        <w:t>Защитительные меры и средства правовой защиты иностранцев, включая трудящихся-иностранцев</w:t>
      </w:r>
    </w:p>
    <w:p w:rsidR="00000000" w:rsidRDefault="00000000"/>
    <w:p w:rsidR="00000000" w:rsidRDefault="00000000">
      <w:r>
        <w:t>75.</w:t>
      </w:r>
      <w:r>
        <w:tab/>
        <w:t>Конституция и соответствующие законы Республики Кореи обеспечивают каждому, кто находится под ее юрисдикцией, эффективную защиту и средства правовой защиты от любых актов расовой дискриминации через компетентные национальные суды и другие государственные учреждения.  Иностранцы наряду с гражданами страны пользуются правом на защиту, использование средств правовой защиты и на возмещение в случае совершения тем или иным лицом, группой лиц, либо федеральными или местными государственными учреждениями актов дискриминации, включая расовую дискриминацию</w:t>
      </w:r>
      <w:r>
        <w:rPr>
          <w:rStyle w:val="EndnoteReference"/>
        </w:rPr>
        <w:endnoteReference w:id="13"/>
      </w:r>
      <w:r>
        <w:t>.</w:t>
      </w:r>
    </w:p>
    <w:p w:rsidR="00000000" w:rsidRDefault="00000000"/>
    <w:p w:rsidR="00000000" w:rsidRDefault="00000000">
      <w:r>
        <w:t>76.</w:t>
      </w:r>
      <w:r>
        <w:tab/>
        <w:t>С тем чтобы иностранцы не чувствовали себя ущемленными, например, во время допроса, они обеспечиваются переводом по линии либо Комиссии по переводу, либо, по запросу, иностранных посольств.</w:t>
      </w:r>
    </w:p>
    <w:p w:rsidR="00000000" w:rsidRDefault="00000000"/>
    <w:p w:rsidR="00000000" w:rsidRDefault="00000000">
      <w:r>
        <w:t>77.</w:t>
      </w:r>
      <w:r>
        <w:tab/>
        <w:t>Всем иностранцам объявляется на их родном языке, в частности, об основных пунктах состава преступления (при аресте), об основаниях для ареста, о праве на привлечение адвоката и о праве встречи и поддержания контакта с работниками консульства своей страны, базирующегося в Корее.  Расходы, связанные с оплатой перевода на любой язык по выбору обвиняемого в связи с судебным разбирательством, несет государство.</w:t>
      </w:r>
    </w:p>
    <w:p w:rsidR="00000000" w:rsidRDefault="00000000"/>
    <w:p w:rsidR="00000000" w:rsidRDefault="00000000">
      <w:r>
        <w:t>78.</w:t>
      </w:r>
      <w:r>
        <w:tab/>
        <w:t>Иностранцы, подвергшиеся расовой дискриминации, могут обратиться в суд с иском о возмещении ущерба либо возбудить преследование в административном порядке.  В тех случаях, когда иностранец, чьи основные права были нарушены теми или иными государственными учреждениями, прошел все внутренние инстанции в попытке добиться удовлетворения своего иска, но получил отказ, он может обжаловать принятое решение в Конституционном суде.</w:t>
      </w:r>
    </w:p>
    <w:p w:rsidR="00000000" w:rsidRDefault="00000000"/>
    <w:p w:rsidR="00000000" w:rsidRDefault="00000000">
      <w:r>
        <w:t>79.</w:t>
      </w:r>
      <w:r>
        <w:tab/>
        <w:t>В последние несколько лет правительством были применены жесткие правовые санкции по случаям нарушения прав человека трудящихся-иностранцев и предприняты строгие проверки и необходимые меры пресечения с целью обеспечить выполнение соответствующих законов и мер в полном объеме.  Лица, проживающие в стране нелегально, также вправе выдвигать обвинения в нарушении прав человека и в таких случаях могут добиться отсрочки высылки до тех пор, пока не будут приняты соответствующие меры.</w:t>
      </w:r>
    </w:p>
    <w:p w:rsidR="00000000" w:rsidRDefault="00000000"/>
    <w:p w:rsidR="00000000" w:rsidRDefault="00000000">
      <w:r>
        <w:t>80.</w:t>
      </w:r>
      <w:r>
        <w:tab/>
        <w:t>В сентябре 2002 года был учрежден Комитет по правам человека трудящихся-иностранцев в составе министра юстиции, который исполняет функции председателя, и девяти членов, которыми являются заместители министров соответствующих государственных ведомств;  в задачи Комитета входит изучение и анализ положения дел с правами человека трудящихся-иностранцев и политики, касающейся прав человека, трудящихся-иностранцев, проживающих в стране нелегально, прав человека прочих трудящихся-иностранцев, а также иностранных работников, проживающих в стране нелегально.</w:t>
      </w:r>
    </w:p>
    <w:p w:rsidR="00000000" w:rsidRDefault="00000000"/>
    <w:p w:rsidR="00000000" w:rsidRDefault="00000000">
      <w:r>
        <w:t>81.</w:t>
      </w:r>
      <w:r>
        <w:tab/>
        <w:t>Кроме того, государственные органы оказывают трудящимся-иностранцам в стране языковую и консультационную помощь, а также поддержку в переносе их предпринимательской деятельности на новое место, способствуя тем самым процессу их интеграции.  В 26 информационно-справочных бюро и в центрах содействия трудоустройству при министерстве труда работают 29 переводчиков.  Трудящиеся-иностранцы могут также обращаться за помощью в государственные ведомства и организации, такие, как иммиграционное бюро</w:t>
      </w:r>
      <w:r>
        <w:rPr>
          <w:rStyle w:val="EndnoteReference"/>
        </w:rPr>
        <w:endnoteReference w:id="14"/>
      </w:r>
      <w:r>
        <w:t>.</w:t>
      </w:r>
    </w:p>
    <w:p w:rsidR="00000000" w:rsidRDefault="00000000"/>
    <w:p w:rsidR="00000000" w:rsidRDefault="00000000">
      <w:r>
        <w:t>82.</w:t>
      </w:r>
      <w:r>
        <w:tab/>
        <w:t>23 декабря 2004 года правительством совместно с частными организациями был создан Корейский центр поддержки трудящихся-иностранцев;  его задача состоит в расширении помощи трудящимся-иностранцам путем предоставления им консультационных услуг на том или ином языке по их выбору, организации курсов корейского языка, компьютерных курсов, ознакомления их с жизнью корейского общества и законами страны и оказания им медицинской помощи.  С 31 декабря 2004 года по 31 августа 2005 года в Центр обратился 9 921 иностранец.  Из них 3 054 обратились за консультацией, 2 880 пожелали изучать корейский язык или нуждались в языковой помощи, 1 254 воспользовались возможностью пройти медицинский осмотр, а 2 733 прибегли к услугам системы социального обеспечения.</w:t>
      </w:r>
    </w:p>
    <w:p w:rsidR="00000000" w:rsidRDefault="00000000"/>
    <w:p w:rsidR="00000000" w:rsidRDefault="00000000">
      <w:r>
        <w:t>83.</w:t>
      </w:r>
      <w:r>
        <w:tab/>
        <w:t>С февраля 2000 года некоторыми организациями, включая Генеральную прокуратуру и министерство юстиции, ежемесячно выпускается обзор положения дел с правами человека иностранцев, где регистрируются случаи несвоевременной выплаты заработной платы;  дурного обращения, включая насилие; производственного травматизма; нелегального проникновения в страну;  неправомерной помощи иностранцам в оформлении их пребывания в стране и нарушений при направлении в страну людских ресурсов; махинаций со стороны компаний, регулирующих подготовку производственных стажеров;  нарушения прав человека иностранных трудящихся-женщин; а также неправомерных действий в отношении "нелегалов".  В приведенной ниже таблице приводятся сведения о положении дел с правами человека иностранцев, проживавших в Республике Корее в период с января 2002 года по октябрь 2005 года.</w:t>
      </w:r>
    </w:p>
    <w:p w:rsidR="00000000" w:rsidRDefault="00000000"/>
    <w:p w:rsidR="00000000" w:rsidRDefault="00000000">
      <w:pPr>
        <w:jc w:val="center"/>
        <w:rPr>
          <w:b/>
        </w:rPr>
      </w:pPr>
      <w:r>
        <w:rPr>
          <w:b/>
        </w:rPr>
        <w:t>Таблица 4.  Случаи нарушения прав человека иностранцев, проживающих в Республике Корее</w:t>
      </w:r>
    </w:p>
    <w:p w:rsidR="00000000" w:rsidRDefault="00000000">
      <w:pPr>
        <w:jc w:val="center"/>
      </w:pPr>
      <w:r>
        <w:t>(Количество человек)</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38"/>
        <w:gridCol w:w="785"/>
        <w:gridCol w:w="1176"/>
        <w:gridCol w:w="1961"/>
        <w:gridCol w:w="1176"/>
        <w:gridCol w:w="1174"/>
      </w:tblGrid>
      <w:tr w:rsidR="00000000">
        <w:tblPrEx>
          <w:tblCellMar>
            <w:top w:w="0" w:type="dxa"/>
            <w:bottom w:w="0" w:type="dxa"/>
          </w:tblCellMar>
        </w:tblPrEx>
        <w:trPr>
          <w:cantSplit/>
          <w:tblHeader/>
        </w:trPr>
        <w:tc>
          <w:tcPr>
            <w:tcW w:w="3138" w:type="dxa"/>
            <w:vMerge w:val="restart"/>
            <w:vAlign w:val="center"/>
          </w:tcPr>
          <w:p w:rsidR="00000000" w:rsidRDefault="00000000">
            <w:pPr>
              <w:jc w:val="center"/>
              <w:rPr>
                <w:b/>
                <w:spacing w:val="-12"/>
                <w:sz w:val="22"/>
                <w:szCs w:val="22"/>
              </w:rPr>
            </w:pPr>
            <w:r>
              <w:rPr>
                <w:b/>
                <w:spacing w:val="-12"/>
                <w:sz w:val="22"/>
                <w:szCs w:val="22"/>
              </w:rPr>
              <w:t>Характер нарушения</w:t>
            </w:r>
          </w:p>
        </w:tc>
        <w:tc>
          <w:tcPr>
            <w:tcW w:w="785" w:type="dxa"/>
            <w:vMerge w:val="restart"/>
            <w:vAlign w:val="center"/>
          </w:tcPr>
          <w:p w:rsidR="00000000" w:rsidRDefault="00000000">
            <w:pPr>
              <w:jc w:val="center"/>
              <w:rPr>
                <w:b/>
                <w:spacing w:val="-12"/>
                <w:sz w:val="22"/>
                <w:szCs w:val="22"/>
              </w:rPr>
            </w:pPr>
            <w:r>
              <w:rPr>
                <w:b/>
                <w:spacing w:val="-12"/>
                <w:sz w:val="22"/>
                <w:szCs w:val="22"/>
              </w:rPr>
              <w:t>Год</w:t>
            </w:r>
          </w:p>
        </w:tc>
        <w:tc>
          <w:tcPr>
            <w:tcW w:w="4313" w:type="dxa"/>
            <w:gridSpan w:val="3"/>
            <w:vAlign w:val="center"/>
          </w:tcPr>
          <w:p w:rsidR="00000000" w:rsidRDefault="00000000">
            <w:pPr>
              <w:jc w:val="center"/>
              <w:rPr>
                <w:b/>
                <w:spacing w:val="-12"/>
                <w:sz w:val="22"/>
                <w:szCs w:val="22"/>
              </w:rPr>
            </w:pPr>
            <w:r>
              <w:rPr>
                <w:b/>
                <w:spacing w:val="-12"/>
                <w:sz w:val="22"/>
                <w:szCs w:val="22"/>
              </w:rPr>
              <w:t>Меры, предпринятые в отношении нарушителей</w:t>
            </w:r>
          </w:p>
        </w:tc>
        <w:tc>
          <w:tcPr>
            <w:tcW w:w="1174" w:type="dxa"/>
            <w:vMerge w:val="restart"/>
            <w:vAlign w:val="center"/>
          </w:tcPr>
          <w:p w:rsidR="00000000" w:rsidRDefault="00000000">
            <w:pPr>
              <w:jc w:val="center"/>
              <w:rPr>
                <w:b/>
                <w:spacing w:val="-12"/>
                <w:sz w:val="22"/>
                <w:szCs w:val="22"/>
              </w:rPr>
            </w:pPr>
            <w:r>
              <w:rPr>
                <w:b/>
                <w:spacing w:val="-12"/>
                <w:sz w:val="22"/>
                <w:szCs w:val="22"/>
              </w:rPr>
              <w:t>Кол-во жертв</w:t>
            </w:r>
          </w:p>
        </w:tc>
      </w:tr>
      <w:tr w:rsidR="00000000">
        <w:tblPrEx>
          <w:tblCellMar>
            <w:top w:w="0" w:type="dxa"/>
            <w:bottom w:w="0" w:type="dxa"/>
          </w:tblCellMar>
        </w:tblPrEx>
        <w:trPr>
          <w:cantSplit/>
          <w:tblHeader/>
        </w:trPr>
        <w:tc>
          <w:tcPr>
            <w:tcW w:w="3138" w:type="dxa"/>
            <w:vMerge/>
            <w:vAlign w:val="center"/>
          </w:tcPr>
          <w:p w:rsidR="00000000" w:rsidRDefault="00000000">
            <w:pPr>
              <w:jc w:val="center"/>
              <w:rPr>
                <w:b/>
                <w:spacing w:val="-12"/>
                <w:sz w:val="22"/>
                <w:szCs w:val="22"/>
              </w:rPr>
            </w:pPr>
          </w:p>
        </w:tc>
        <w:tc>
          <w:tcPr>
            <w:tcW w:w="785" w:type="dxa"/>
            <w:vMerge/>
            <w:vAlign w:val="center"/>
          </w:tcPr>
          <w:p w:rsidR="00000000" w:rsidRDefault="00000000">
            <w:pPr>
              <w:jc w:val="center"/>
              <w:rPr>
                <w:b/>
                <w:spacing w:val="-12"/>
                <w:sz w:val="22"/>
                <w:szCs w:val="22"/>
              </w:rPr>
            </w:pPr>
          </w:p>
        </w:tc>
        <w:tc>
          <w:tcPr>
            <w:tcW w:w="1176" w:type="dxa"/>
            <w:vAlign w:val="center"/>
          </w:tcPr>
          <w:p w:rsidR="00000000" w:rsidRDefault="00000000">
            <w:pPr>
              <w:jc w:val="center"/>
              <w:rPr>
                <w:b/>
                <w:spacing w:val="-12"/>
                <w:sz w:val="22"/>
                <w:szCs w:val="22"/>
              </w:rPr>
            </w:pPr>
            <w:r>
              <w:rPr>
                <w:b/>
                <w:spacing w:val="-12"/>
                <w:sz w:val="22"/>
                <w:szCs w:val="22"/>
              </w:rPr>
              <w:t>Арест</w:t>
            </w:r>
          </w:p>
        </w:tc>
        <w:tc>
          <w:tcPr>
            <w:tcW w:w="1961" w:type="dxa"/>
            <w:vAlign w:val="center"/>
          </w:tcPr>
          <w:p w:rsidR="00000000" w:rsidRDefault="00000000">
            <w:pPr>
              <w:jc w:val="center"/>
              <w:rPr>
                <w:b/>
                <w:spacing w:val="-12"/>
                <w:sz w:val="22"/>
                <w:szCs w:val="22"/>
              </w:rPr>
            </w:pPr>
            <w:r>
              <w:rPr>
                <w:b/>
                <w:spacing w:val="-12"/>
                <w:sz w:val="22"/>
                <w:szCs w:val="22"/>
              </w:rPr>
              <w:t>Привод без задержания</w:t>
            </w:r>
          </w:p>
        </w:tc>
        <w:tc>
          <w:tcPr>
            <w:tcW w:w="1176" w:type="dxa"/>
            <w:vAlign w:val="center"/>
          </w:tcPr>
          <w:p w:rsidR="00000000" w:rsidRDefault="00000000">
            <w:pPr>
              <w:jc w:val="center"/>
              <w:rPr>
                <w:b/>
                <w:spacing w:val="-12"/>
                <w:sz w:val="22"/>
                <w:szCs w:val="22"/>
              </w:rPr>
            </w:pPr>
            <w:r>
              <w:rPr>
                <w:b/>
                <w:spacing w:val="-12"/>
                <w:sz w:val="22"/>
                <w:szCs w:val="22"/>
              </w:rPr>
              <w:t>Всего</w:t>
            </w:r>
          </w:p>
        </w:tc>
        <w:tc>
          <w:tcPr>
            <w:tcW w:w="1174" w:type="dxa"/>
            <w:vMerge/>
            <w:vAlign w:val="center"/>
          </w:tcPr>
          <w:p w:rsidR="00000000" w:rsidRDefault="00000000">
            <w:pPr>
              <w:rPr>
                <w:sz w:val="22"/>
                <w:szCs w:val="22"/>
              </w:rPr>
            </w:pPr>
          </w:p>
        </w:tc>
      </w:tr>
      <w:tr w:rsidR="00000000">
        <w:tblPrEx>
          <w:tblCellMar>
            <w:top w:w="0" w:type="dxa"/>
            <w:bottom w:w="0" w:type="dxa"/>
          </w:tblCellMar>
        </w:tblPrEx>
        <w:trPr>
          <w:cantSplit/>
        </w:trPr>
        <w:tc>
          <w:tcPr>
            <w:tcW w:w="3138" w:type="dxa"/>
            <w:vMerge w:val="restart"/>
            <w:vAlign w:val="center"/>
          </w:tcPr>
          <w:p w:rsidR="00000000" w:rsidRDefault="00000000">
            <w:pPr>
              <w:jc w:val="center"/>
              <w:rPr>
                <w:sz w:val="22"/>
                <w:szCs w:val="22"/>
              </w:rPr>
            </w:pPr>
            <w:r>
              <w:rPr>
                <w:sz w:val="22"/>
                <w:szCs w:val="22"/>
              </w:rPr>
              <w:t>Несвоевременная выплата заработной платы</w:t>
            </w:r>
          </w:p>
        </w:tc>
        <w:tc>
          <w:tcPr>
            <w:tcW w:w="785" w:type="dxa"/>
            <w:vAlign w:val="center"/>
          </w:tcPr>
          <w:p w:rsidR="00000000" w:rsidRDefault="00000000">
            <w:pPr>
              <w:jc w:val="center"/>
              <w:rPr>
                <w:sz w:val="22"/>
                <w:szCs w:val="22"/>
              </w:rPr>
            </w:pPr>
            <w:r>
              <w:rPr>
                <w:sz w:val="22"/>
                <w:szCs w:val="22"/>
              </w:rPr>
              <w:t>2002</w:t>
            </w:r>
          </w:p>
        </w:tc>
        <w:tc>
          <w:tcPr>
            <w:tcW w:w="1176" w:type="dxa"/>
            <w:vAlign w:val="center"/>
          </w:tcPr>
          <w:p w:rsidR="00000000" w:rsidRDefault="00000000">
            <w:pPr>
              <w:rPr>
                <w:sz w:val="22"/>
                <w:szCs w:val="22"/>
              </w:rPr>
            </w:pPr>
          </w:p>
        </w:tc>
        <w:tc>
          <w:tcPr>
            <w:tcW w:w="1961" w:type="dxa"/>
            <w:vAlign w:val="center"/>
          </w:tcPr>
          <w:p w:rsidR="00000000" w:rsidRDefault="00000000">
            <w:pPr>
              <w:tabs>
                <w:tab w:val="clear" w:pos="567"/>
                <w:tab w:val="clear" w:pos="1134"/>
                <w:tab w:val="clear" w:pos="1701"/>
                <w:tab w:val="clear" w:pos="2268"/>
              </w:tabs>
              <w:ind w:right="261"/>
              <w:jc w:val="right"/>
              <w:rPr>
                <w:sz w:val="22"/>
                <w:szCs w:val="22"/>
              </w:rPr>
            </w:pPr>
            <w:r>
              <w:rPr>
                <w:sz w:val="22"/>
                <w:szCs w:val="22"/>
              </w:rPr>
              <w:t>671</w:t>
            </w:r>
          </w:p>
        </w:tc>
        <w:tc>
          <w:tcPr>
            <w:tcW w:w="1176" w:type="dxa"/>
            <w:vAlign w:val="center"/>
          </w:tcPr>
          <w:p w:rsidR="00000000" w:rsidRDefault="00000000">
            <w:pPr>
              <w:tabs>
                <w:tab w:val="clear" w:pos="567"/>
              </w:tabs>
              <w:ind w:right="227"/>
              <w:jc w:val="right"/>
              <w:rPr>
                <w:sz w:val="22"/>
                <w:szCs w:val="22"/>
              </w:rPr>
            </w:pPr>
            <w:r>
              <w:rPr>
                <w:sz w:val="22"/>
                <w:szCs w:val="22"/>
              </w:rPr>
              <w:t>671</w:t>
            </w:r>
          </w:p>
        </w:tc>
        <w:tc>
          <w:tcPr>
            <w:tcW w:w="1174" w:type="dxa"/>
            <w:vAlign w:val="center"/>
          </w:tcPr>
          <w:p w:rsidR="00000000" w:rsidRDefault="00000000">
            <w:pPr>
              <w:tabs>
                <w:tab w:val="clear" w:pos="567"/>
              </w:tabs>
              <w:ind w:right="170"/>
              <w:jc w:val="right"/>
              <w:rPr>
                <w:sz w:val="22"/>
                <w:szCs w:val="22"/>
              </w:rPr>
            </w:pPr>
            <w:r>
              <w:rPr>
                <w:sz w:val="22"/>
                <w:szCs w:val="22"/>
              </w:rPr>
              <w:t>1 330</w:t>
            </w:r>
          </w:p>
        </w:tc>
      </w:tr>
      <w:tr w:rsidR="00000000">
        <w:tblPrEx>
          <w:tblCellMar>
            <w:top w:w="0" w:type="dxa"/>
            <w:bottom w:w="0" w:type="dxa"/>
          </w:tblCellMar>
        </w:tblPrEx>
        <w:trPr>
          <w:cantSplit/>
        </w:trPr>
        <w:tc>
          <w:tcPr>
            <w:tcW w:w="3138" w:type="dxa"/>
            <w:vMerge/>
            <w:vAlign w:val="center"/>
          </w:tcPr>
          <w:p w:rsidR="00000000" w:rsidRDefault="00000000">
            <w:pPr>
              <w:jc w:val="center"/>
              <w:rPr>
                <w:sz w:val="22"/>
                <w:szCs w:val="22"/>
              </w:rPr>
            </w:pPr>
          </w:p>
        </w:tc>
        <w:tc>
          <w:tcPr>
            <w:tcW w:w="785" w:type="dxa"/>
            <w:vAlign w:val="center"/>
          </w:tcPr>
          <w:p w:rsidR="00000000" w:rsidRDefault="00000000">
            <w:pPr>
              <w:jc w:val="center"/>
              <w:rPr>
                <w:sz w:val="22"/>
                <w:szCs w:val="22"/>
              </w:rPr>
            </w:pPr>
            <w:r>
              <w:rPr>
                <w:sz w:val="22"/>
                <w:szCs w:val="22"/>
              </w:rPr>
              <w:t>2003</w:t>
            </w:r>
          </w:p>
        </w:tc>
        <w:tc>
          <w:tcPr>
            <w:tcW w:w="1176" w:type="dxa"/>
            <w:vAlign w:val="center"/>
          </w:tcPr>
          <w:p w:rsidR="00000000" w:rsidRDefault="00000000">
            <w:pPr>
              <w:tabs>
                <w:tab w:val="clear" w:pos="567"/>
              </w:tabs>
              <w:ind w:right="284"/>
              <w:jc w:val="right"/>
              <w:rPr>
                <w:sz w:val="22"/>
                <w:szCs w:val="22"/>
              </w:rPr>
            </w:pPr>
            <w:r>
              <w:rPr>
                <w:sz w:val="22"/>
                <w:szCs w:val="22"/>
              </w:rPr>
              <w:t>1</w:t>
            </w:r>
          </w:p>
        </w:tc>
        <w:tc>
          <w:tcPr>
            <w:tcW w:w="1961" w:type="dxa"/>
            <w:vAlign w:val="center"/>
          </w:tcPr>
          <w:p w:rsidR="00000000" w:rsidRDefault="00000000">
            <w:pPr>
              <w:tabs>
                <w:tab w:val="clear" w:pos="567"/>
                <w:tab w:val="clear" w:pos="1134"/>
                <w:tab w:val="clear" w:pos="1701"/>
                <w:tab w:val="clear" w:pos="2268"/>
              </w:tabs>
              <w:ind w:right="261"/>
              <w:jc w:val="right"/>
              <w:rPr>
                <w:sz w:val="22"/>
                <w:szCs w:val="22"/>
              </w:rPr>
            </w:pPr>
            <w:r>
              <w:rPr>
                <w:sz w:val="22"/>
                <w:szCs w:val="22"/>
              </w:rPr>
              <w:t>1 659</w:t>
            </w:r>
          </w:p>
        </w:tc>
        <w:tc>
          <w:tcPr>
            <w:tcW w:w="1176" w:type="dxa"/>
            <w:vAlign w:val="center"/>
          </w:tcPr>
          <w:p w:rsidR="00000000" w:rsidRDefault="00000000">
            <w:pPr>
              <w:tabs>
                <w:tab w:val="clear" w:pos="567"/>
              </w:tabs>
              <w:ind w:right="227"/>
              <w:jc w:val="right"/>
              <w:rPr>
                <w:sz w:val="22"/>
                <w:szCs w:val="22"/>
              </w:rPr>
            </w:pPr>
            <w:r>
              <w:rPr>
                <w:sz w:val="22"/>
                <w:szCs w:val="22"/>
              </w:rPr>
              <w:t>1 660</w:t>
            </w:r>
          </w:p>
        </w:tc>
        <w:tc>
          <w:tcPr>
            <w:tcW w:w="1174" w:type="dxa"/>
            <w:vAlign w:val="center"/>
          </w:tcPr>
          <w:p w:rsidR="00000000" w:rsidRDefault="00000000">
            <w:pPr>
              <w:tabs>
                <w:tab w:val="clear" w:pos="567"/>
              </w:tabs>
              <w:ind w:right="170"/>
              <w:jc w:val="right"/>
              <w:rPr>
                <w:sz w:val="22"/>
                <w:szCs w:val="22"/>
              </w:rPr>
            </w:pPr>
            <w:r>
              <w:rPr>
                <w:sz w:val="22"/>
                <w:szCs w:val="22"/>
              </w:rPr>
              <w:t>2 439</w:t>
            </w:r>
          </w:p>
        </w:tc>
      </w:tr>
      <w:tr w:rsidR="00000000">
        <w:tblPrEx>
          <w:tblCellMar>
            <w:top w:w="0" w:type="dxa"/>
            <w:bottom w:w="0" w:type="dxa"/>
          </w:tblCellMar>
        </w:tblPrEx>
        <w:trPr>
          <w:cantSplit/>
        </w:trPr>
        <w:tc>
          <w:tcPr>
            <w:tcW w:w="3138" w:type="dxa"/>
            <w:vMerge/>
            <w:vAlign w:val="center"/>
          </w:tcPr>
          <w:p w:rsidR="00000000" w:rsidRDefault="00000000">
            <w:pPr>
              <w:jc w:val="center"/>
              <w:rPr>
                <w:sz w:val="22"/>
                <w:szCs w:val="22"/>
              </w:rPr>
            </w:pPr>
          </w:p>
        </w:tc>
        <w:tc>
          <w:tcPr>
            <w:tcW w:w="785" w:type="dxa"/>
            <w:vAlign w:val="center"/>
          </w:tcPr>
          <w:p w:rsidR="00000000" w:rsidRDefault="00000000">
            <w:pPr>
              <w:jc w:val="center"/>
              <w:rPr>
                <w:sz w:val="22"/>
                <w:szCs w:val="22"/>
              </w:rPr>
            </w:pPr>
            <w:r>
              <w:rPr>
                <w:sz w:val="22"/>
                <w:szCs w:val="22"/>
              </w:rPr>
              <w:t>2004</w:t>
            </w:r>
          </w:p>
        </w:tc>
        <w:tc>
          <w:tcPr>
            <w:tcW w:w="1176" w:type="dxa"/>
            <w:vAlign w:val="center"/>
          </w:tcPr>
          <w:p w:rsidR="00000000" w:rsidRDefault="00000000">
            <w:pPr>
              <w:tabs>
                <w:tab w:val="clear" w:pos="567"/>
              </w:tabs>
              <w:ind w:right="284"/>
              <w:jc w:val="right"/>
              <w:rPr>
                <w:sz w:val="22"/>
                <w:szCs w:val="22"/>
              </w:rPr>
            </w:pPr>
            <w:r>
              <w:rPr>
                <w:sz w:val="22"/>
                <w:szCs w:val="22"/>
              </w:rPr>
              <w:t>2</w:t>
            </w:r>
          </w:p>
        </w:tc>
        <w:tc>
          <w:tcPr>
            <w:tcW w:w="1961" w:type="dxa"/>
            <w:vAlign w:val="center"/>
          </w:tcPr>
          <w:p w:rsidR="00000000" w:rsidRDefault="00000000">
            <w:pPr>
              <w:tabs>
                <w:tab w:val="clear" w:pos="567"/>
                <w:tab w:val="clear" w:pos="1134"/>
                <w:tab w:val="clear" w:pos="1701"/>
                <w:tab w:val="clear" w:pos="2268"/>
              </w:tabs>
              <w:ind w:right="261"/>
              <w:jc w:val="right"/>
              <w:rPr>
                <w:sz w:val="22"/>
                <w:szCs w:val="22"/>
              </w:rPr>
            </w:pPr>
            <w:r>
              <w:rPr>
                <w:sz w:val="22"/>
                <w:szCs w:val="22"/>
              </w:rPr>
              <w:t>1 313</w:t>
            </w:r>
          </w:p>
        </w:tc>
        <w:tc>
          <w:tcPr>
            <w:tcW w:w="1176" w:type="dxa"/>
            <w:vAlign w:val="center"/>
          </w:tcPr>
          <w:p w:rsidR="00000000" w:rsidRDefault="00000000">
            <w:pPr>
              <w:tabs>
                <w:tab w:val="clear" w:pos="567"/>
              </w:tabs>
              <w:ind w:right="227"/>
              <w:jc w:val="right"/>
              <w:rPr>
                <w:sz w:val="22"/>
                <w:szCs w:val="22"/>
              </w:rPr>
            </w:pPr>
            <w:r>
              <w:rPr>
                <w:sz w:val="22"/>
                <w:szCs w:val="22"/>
              </w:rPr>
              <w:t>1 315</w:t>
            </w:r>
          </w:p>
        </w:tc>
        <w:tc>
          <w:tcPr>
            <w:tcW w:w="1174" w:type="dxa"/>
            <w:vAlign w:val="center"/>
          </w:tcPr>
          <w:p w:rsidR="00000000" w:rsidRDefault="00000000">
            <w:pPr>
              <w:tabs>
                <w:tab w:val="clear" w:pos="567"/>
              </w:tabs>
              <w:ind w:right="170"/>
              <w:jc w:val="right"/>
              <w:rPr>
                <w:sz w:val="22"/>
                <w:szCs w:val="22"/>
              </w:rPr>
            </w:pPr>
            <w:r>
              <w:rPr>
                <w:sz w:val="22"/>
                <w:szCs w:val="22"/>
              </w:rPr>
              <w:t>2 162</w:t>
            </w:r>
          </w:p>
        </w:tc>
      </w:tr>
      <w:tr w:rsidR="00000000">
        <w:tblPrEx>
          <w:tblCellMar>
            <w:top w:w="0" w:type="dxa"/>
            <w:bottom w:w="0" w:type="dxa"/>
          </w:tblCellMar>
        </w:tblPrEx>
        <w:trPr>
          <w:cantSplit/>
        </w:trPr>
        <w:tc>
          <w:tcPr>
            <w:tcW w:w="3138" w:type="dxa"/>
            <w:vMerge/>
            <w:vAlign w:val="center"/>
          </w:tcPr>
          <w:p w:rsidR="00000000" w:rsidRDefault="00000000">
            <w:pPr>
              <w:jc w:val="center"/>
              <w:rPr>
                <w:sz w:val="22"/>
                <w:szCs w:val="22"/>
              </w:rPr>
            </w:pPr>
          </w:p>
        </w:tc>
        <w:tc>
          <w:tcPr>
            <w:tcW w:w="785" w:type="dxa"/>
            <w:vAlign w:val="center"/>
          </w:tcPr>
          <w:p w:rsidR="00000000" w:rsidRDefault="00000000">
            <w:pPr>
              <w:jc w:val="center"/>
              <w:rPr>
                <w:sz w:val="22"/>
                <w:szCs w:val="22"/>
              </w:rPr>
            </w:pPr>
            <w:r>
              <w:rPr>
                <w:sz w:val="22"/>
                <w:szCs w:val="22"/>
              </w:rPr>
              <w:t>2005</w:t>
            </w:r>
          </w:p>
        </w:tc>
        <w:tc>
          <w:tcPr>
            <w:tcW w:w="1176" w:type="dxa"/>
            <w:vAlign w:val="center"/>
          </w:tcPr>
          <w:p w:rsidR="00000000" w:rsidRDefault="00000000">
            <w:pPr>
              <w:tabs>
                <w:tab w:val="clear" w:pos="567"/>
              </w:tabs>
              <w:ind w:right="284"/>
              <w:jc w:val="right"/>
              <w:rPr>
                <w:sz w:val="22"/>
                <w:szCs w:val="22"/>
              </w:rPr>
            </w:pPr>
          </w:p>
        </w:tc>
        <w:tc>
          <w:tcPr>
            <w:tcW w:w="1961" w:type="dxa"/>
            <w:vAlign w:val="center"/>
          </w:tcPr>
          <w:p w:rsidR="00000000" w:rsidRDefault="00000000">
            <w:pPr>
              <w:tabs>
                <w:tab w:val="clear" w:pos="567"/>
                <w:tab w:val="clear" w:pos="1134"/>
                <w:tab w:val="clear" w:pos="1701"/>
                <w:tab w:val="clear" w:pos="2268"/>
              </w:tabs>
              <w:ind w:right="261"/>
              <w:jc w:val="right"/>
              <w:rPr>
                <w:sz w:val="22"/>
                <w:szCs w:val="22"/>
              </w:rPr>
            </w:pPr>
            <w:r>
              <w:rPr>
                <w:sz w:val="22"/>
                <w:szCs w:val="22"/>
              </w:rPr>
              <w:t>800</w:t>
            </w:r>
          </w:p>
        </w:tc>
        <w:tc>
          <w:tcPr>
            <w:tcW w:w="1176" w:type="dxa"/>
            <w:vAlign w:val="center"/>
          </w:tcPr>
          <w:p w:rsidR="00000000" w:rsidRDefault="00000000">
            <w:pPr>
              <w:tabs>
                <w:tab w:val="clear" w:pos="567"/>
              </w:tabs>
              <w:ind w:right="227"/>
              <w:jc w:val="right"/>
              <w:rPr>
                <w:sz w:val="22"/>
                <w:szCs w:val="22"/>
              </w:rPr>
            </w:pPr>
            <w:r>
              <w:rPr>
                <w:sz w:val="22"/>
                <w:szCs w:val="22"/>
              </w:rPr>
              <w:t>800</w:t>
            </w:r>
          </w:p>
        </w:tc>
        <w:tc>
          <w:tcPr>
            <w:tcW w:w="1174" w:type="dxa"/>
            <w:vAlign w:val="center"/>
          </w:tcPr>
          <w:p w:rsidR="00000000" w:rsidRDefault="00000000">
            <w:pPr>
              <w:tabs>
                <w:tab w:val="clear" w:pos="567"/>
              </w:tabs>
              <w:ind w:right="170"/>
              <w:jc w:val="right"/>
              <w:rPr>
                <w:sz w:val="22"/>
                <w:szCs w:val="22"/>
              </w:rPr>
            </w:pPr>
            <w:r>
              <w:rPr>
                <w:sz w:val="22"/>
                <w:szCs w:val="22"/>
              </w:rPr>
              <w:t>1 749</w:t>
            </w:r>
          </w:p>
        </w:tc>
      </w:tr>
      <w:tr w:rsidR="00000000">
        <w:tblPrEx>
          <w:tblCellMar>
            <w:top w:w="0" w:type="dxa"/>
            <w:bottom w:w="0" w:type="dxa"/>
          </w:tblCellMar>
        </w:tblPrEx>
        <w:trPr>
          <w:cantSplit/>
        </w:trPr>
        <w:tc>
          <w:tcPr>
            <w:tcW w:w="3138" w:type="dxa"/>
            <w:vMerge w:val="restart"/>
            <w:vAlign w:val="center"/>
          </w:tcPr>
          <w:p w:rsidR="00000000" w:rsidRDefault="00000000">
            <w:pPr>
              <w:jc w:val="center"/>
              <w:rPr>
                <w:sz w:val="22"/>
                <w:szCs w:val="22"/>
              </w:rPr>
            </w:pPr>
            <w:r>
              <w:rPr>
                <w:sz w:val="22"/>
                <w:szCs w:val="22"/>
              </w:rPr>
              <w:t>Дурное обращение, включая насилие</w:t>
            </w: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2"/>
              </w:rPr>
            </w:pPr>
            <w:r>
              <w:rPr>
                <w:sz w:val="22"/>
                <w:szCs w:val="22"/>
              </w:rPr>
              <w:t>2002</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84"/>
              <w:jc w:val="right"/>
              <w:rPr>
                <w:sz w:val="22"/>
                <w:szCs w:val="22"/>
              </w:rPr>
            </w:pPr>
            <w:r>
              <w:rPr>
                <w:sz w:val="22"/>
                <w:szCs w:val="22"/>
              </w:rPr>
              <w:t>4</w:t>
            </w:r>
          </w:p>
        </w:tc>
        <w:tc>
          <w:tcPr>
            <w:tcW w:w="19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s>
              <w:ind w:right="261"/>
              <w:jc w:val="right"/>
              <w:rPr>
                <w:sz w:val="22"/>
                <w:szCs w:val="22"/>
              </w:rPr>
            </w:pPr>
            <w:r>
              <w:rPr>
                <w:sz w:val="22"/>
                <w:szCs w:val="22"/>
              </w:rPr>
              <w:t>23</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27"/>
              <w:jc w:val="right"/>
              <w:rPr>
                <w:sz w:val="22"/>
                <w:szCs w:val="22"/>
              </w:rPr>
            </w:pPr>
            <w:r>
              <w:rPr>
                <w:sz w:val="22"/>
                <w:szCs w:val="22"/>
              </w:rPr>
              <w:t>27</w:t>
            </w: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170"/>
              <w:jc w:val="right"/>
              <w:rPr>
                <w:sz w:val="22"/>
                <w:szCs w:val="22"/>
              </w:rPr>
            </w:pPr>
            <w:r>
              <w:rPr>
                <w:sz w:val="22"/>
                <w:szCs w:val="22"/>
              </w:rPr>
              <w:t>25</w:t>
            </w:r>
          </w:p>
        </w:tc>
      </w:tr>
      <w:tr w:rsidR="00000000">
        <w:tblPrEx>
          <w:tblCellMar>
            <w:top w:w="0" w:type="dxa"/>
            <w:bottom w:w="0" w:type="dxa"/>
          </w:tblCellMar>
        </w:tblPrEx>
        <w:trPr>
          <w:cantSplit/>
        </w:trPr>
        <w:tc>
          <w:tcPr>
            <w:tcW w:w="3138" w:type="dxa"/>
            <w:vMerge/>
            <w:vAlign w:val="center"/>
          </w:tcPr>
          <w:p w:rsidR="00000000" w:rsidRDefault="00000000">
            <w:pPr>
              <w:jc w:val="center"/>
              <w:rPr>
                <w:sz w:val="22"/>
                <w:szCs w:val="22"/>
              </w:rPr>
            </w:pP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2"/>
              </w:rPr>
            </w:pPr>
            <w:r>
              <w:rPr>
                <w:sz w:val="22"/>
                <w:szCs w:val="22"/>
              </w:rPr>
              <w:t>2003</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84"/>
              <w:jc w:val="right"/>
              <w:rPr>
                <w:sz w:val="22"/>
                <w:szCs w:val="22"/>
              </w:rPr>
            </w:pPr>
            <w:r>
              <w:rPr>
                <w:sz w:val="22"/>
                <w:szCs w:val="22"/>
              </w:rPr>
              <w:t>8</w:t>
            </w:r>
          </w:p>
        </w:tc>
        <w:tc>
          <w:tcPr>
            <w:tcW w:w="19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s>
              <w:ind w:right="261"/>
              <w:jc w:val="right"/>
              <w:rPr>
                <w:sz w:val="22"/>
                <w:szCs w:val="22"/>
              </w:rPr>
            </w:pPr>
            <w:r>
              <w:rPr>
                <w:sz w:val="22"/>
                <w:szCs w:val="22"/>
              </w:rPr>
              <w:t>43</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27"/>
              <w:jc w:val="right"/>
              <w:rPr>
                <w:sz w:val="22"/>
                <w:szCs w:val="22"/>
              </w:rPr>
            </w:pPr>
            <w:r>
              <w:rPr>
                <w:sz w:val="22"/>
                <w:szCs w:val="22"/>
              </w:rPr>
              <w:t>51</w:t>
            </w: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170"/>
              <w:jc w:val="right"/>
              <w:rPr>
                <w:sz w:val="22"/>
                <w:szCs w:val="22"/>
              </w:rPr>
            </w:pPr>
            <w:r>
              <w:rPr>
                <w:sz w:val="22"/>
                <w:szCs w:val="22"/>
              </w:rPr>
              <w:t>55</w:t>
            </w:r>
          </w:p>
        </w:tc>
      </w:tr>
      <w:tr w:rsidR="00000000">
        <w:tblPrEx>
          <w:tblCellMar>
            <w:top w:w="0" w:type="dxa"/>
            <w:bottom w:w="0" w:type="dxa"/>
          </w:tblCellMar>
        </w:tblPrEx>
        <w:trPr>
          <w:cantSplit/>
        </w:trPr>
        <w:tc>
          <w:tcPr>
            <w:tcW w:w="3138" w:type="dxa"/>
            <w:vMerge/>
            <w:vAlign w:val="center"/>
          </w:tcPr>
          <w:p w:rsidR="00000000" w:rsidRDefault="00000000">
            <w:pPr>
              <w:jc w:val="center"/>
              <w:rPr>
                <w:sz w:val="22"/>
                <w:szCs w:val="22"/>
              </w:rPr>
            </w:pP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2"/>
              </w:rPr>
            </w:pPr>
            <w:r>
              <w:rPr>
                <w:sz w:val="22"/>
                <w:szCs w:val="22"/>
              </w:rPr>
              <w:t>2004</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84"/>
              <w:jc w:val="right"/>
              <w:rPr>
                <w:sz w:val="22"/>
                <w:szCs w:val="22"/>
              </w:rPr>
            </w:pPr>
            <w:r>
              <w:rPr>
                <w:sz w:val="22"/>
                <w:szCs w:val="22"/>
              </w:rPr>
              <w:t>1</w:t>
            </w:r>
          </w:p>
        </w:tc>
        <w:tc>
          <w:tcPr>
            <w:tcW w:w="19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s>
              <w:ind w:right="261"/>
              <w:jc w:val="right"/>
              <w:rPr>
                <w:sz w:val="22"/>
                <w:szCs w:val="22"/>
              </w:rPr>
            </w:pP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27"/>
              <w:jc w:val="right"/>
              <w:rPr>
                <w:sz w:val="22"/>
                <w:szCs w:val="22"/>
              </w:rPr>
            </w:pPr>
            <w:r>
              <w:rPr>
                <w:sz w:val="22"/>
                <w:szCs w:val="22"/>
              </w:rPr>
              <w:t>1</w:t>
            </w: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170"/>
              <w:jc w:val="right"/>
              <w:rPr>
                <w:sz w:val="22"/>
                <w:szCs w:val="22"/>
              </w:rPr>
            </w:pPr>
            <w:r>
              <w:rPr>
                <w:sz w:val="22"/>
                <w:szCs w:val="22"/>
              </w:rPr>
              <w:t>1</w:t>
            </w:r>
          </w:p>
        </w:tc>
      </w:tr>
      <w:tr w:rsidR="00000000">
        <w:tblPrEx>
          <w:tblCellMar>
            <w:top w:w="0" w:type="dxa"/>
            <w:bottom w:w="0" w:type="dxa"/>
          </w:tblCellMar>
        </w:tblPrEx>
        <w:trPr>
          <w:cantSplit/>
        </w:trPr>
        <w:tc>
          <w:tcPr>
            <w:tcW w:w="3138" w:type="dxa"/>
            <w:vMerge/>
            <w:vAlign w:val="center"/>
          </w:tcPr>
          <w:p w:rsidR="00000000" w:rsidRDefault="00000000">
            <w:pPr>
              <w:jc w:val="center"/>
              <w:rPr>
                <w:sz w:val="22"/>
                <w:szCs w:val="22"/>
              </w:rPr>
            </w:pP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2"/>
              </w:rPr>
            </w:pPr>
            <w:r>
              <w:rPr>
                <w:sz w:val="22"/>
                <w:szCs w:val="22"/>
              </w:rPr>
              <w:t>2005</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84"/>
              <w:jc w:val="right"/>
              <w:rPr>
                <w:sz w:val="22"/>
                <w:szCs w:val="22"/>
              </w:rPr>
            </w:pPr>
          </w:p>
        </w:tc>
        <w:tc>
          <w:tcPr>
            <w:tcW w:w="19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s>
              <w:ind w:right="261"/>
              <w:jc w:val="right"/>
              <w:rPr>
                <w:sz w:val="22"/>
                <w:szCs w:val="22"/>
              </w:rPr>
            </w:pPr>
            <w:r>
              <w:rPr>
                <w:sz w:val="22"/>
                <w:szCs w:val="22"/>
              </w:rPr>
              <w:t>2</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27"/>
              <w:jc w:val="right"/>
              <w:rPr>
                <w:sz w:val="22"/>
                <w:szCs w:val="22"/>
              </w:rPr>
            </w:pPr>
            <w:r>
              <w:rPr>
                <w:sz w:val="22"/>
                <w:szCs w:val="22"/>
              </w:rPr>
              <w:t>2</w:t>
            </w: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170"/>
              <w:jc w:val="right"/>
              <w:rPr>
                <w:sz w:val="22"/>
                <w:szCs w:val="22"/>
              </w:rPr>
            </w:pPr>
            <w:r>
              <w:rPr>
                <w:sz w:val="22"/>
                <w:szCs w:val="22"/>
              </w:rPr>
              <w:t>1</w:t>
            </w:r>
          </w:p>
        </w:tc>
      </w:tr>
      <w:tr w:rsidR="00000000">
        <w:tblPrEx>
          <w:tblCellMar>
            <w:top w:w="0" w:type="dxa"/>
            <w:bottom w:w="0" w:type="dxa"/>
          </w:tblCellMar>
        </w:tblPrEx>
        <w:trPr>
          <w:cantSplit/>
        </w:trPr>
        <w:tc>
          <w:tcPr>
            <w:tcW w:w="3138" w:type="dxa"/>
            <w:vMerge w:val="restart"/>
            <w:vAlign w:val="center"/>
          </w:tcPr>
          <w:p w:rsidR="00000000" w:rsidRDefault="00000000">
            <w:pPr>
              <w:jc w:val="center"/>
              <w:rPr>
                <w:sz w:val="22"/>
                <w:szCs w:val="22"/>
              </w:rPr>
            </w:pPr>
            <w:r>
              <w:rPr>
                <w:sz w:val="22"/>
                <w:szCs w:val="22"/>
              </w:rPr>
              <w:t>Производственный травматизм</w:t>
            </w: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2"/>
              </w:rPr>
            </w:pPr>
            <w:r>
              <w:rPr>
                <w:sz w:val="22"/>
                <w:szCs w:val="22"/>
              </w:rPr>
              <w:t>2002</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84"/>
              <w:jc w:val="right"/>
              <w:rPr>
                <w:sz w:val="22"/>
                <w:szCs w:val="22"/>
              </w:rPr>
            </w:pPr>
          </w:p>
        </w:tc>
        <w:tc>
          <w:tcPr>
            <w:tcW w:w="19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s>
              <w:ind w:right="261"/>
              <w:jc w:val="right"/>
              <w:rPr>
                <w:sz w:val="22"/>
                <w:szCs w:val="22"/>
              </w:rPr>
            </w:pPr>
            <w:r>
              <w:rPr>
                <w:sz w:val="22"/>
                <w:szCs w:val="22"/>
              </w:rPr>
              <w:t>8</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27"/>
              <w:jc w:val="right"/>
              <w:rPr>
                <w:sz w:val="22"/>
                <w:szCs w:val="22"/>
              </w:rPr>
            </w:pPr>
            <w:r>
              <w:rPr>
                <w:sz w:val="22"/>
                <w:szCs w:val="22"/>
              </w:rPr>
              <w:t>8</w:t>
            </w: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170"/>
              <w:jc w:val="right"/>
              <w:rPr>
                <w:sz w:val="22"/>
                <w:szCs w:val="22"/>
              </w:rPr>
            </w:pPr>
            <w:r>
              <w:rPr>
                <w:sz w:val="22"/>
                <w:szCs w:val="22"/>
              </w:rPr>
              <w:t>8</w:t>
            </w:r>
          </w:p>
        </w:tc>
      </w:tr>
      <w:tr w:rsidR="00000000">
        <w:tblPrEx>
          <w:tblCellMar>
            <w:top w:w="0" w:type="dxa"/>
            <w:bottom w:w="0" w:type="dxa"/>
          </w:tblCellMar>
        </w:tblPrEx>
        <w:trPr>
          <w:cantSplit/>
        </w:trPr>
        <w:tc>
          <w:tcPr>
            <w:tcW w:w="3138" w:type="dxa"/>
            <w:vMerge/>
            <w:vAlign w:val="center"/>
          </w:tcPr>
          <w:p w:rsidR="00000000" w:rsidRDefault="00000000">
            <w:pPr>
              <w:jc w:val="center"/>
              <w:rPr>
                <w:sz w:val="22"/>
                <w:szCs w:val="22"/>
              </w:rPr>
            </w:pP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2"/>
              </w:rPr>
            </w:pPr>
            <w:r>
              <w:rPr>
                <w:sz w:val="22"/>
                <w:szCs w:val="22"/>
              </w:rPr>
              <w:t>2003</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84"/>
              <w:jc w:val="right"/>
              <w:rPr>
                <w:sz w:val="22"/>
                <w:szCs w:val="22"/>
              </w:rPr>
            </w:pPr>
          </w:p>
        </w:tc>
        <w:tc>
          <w:tcPr>
            <w:tcW w:w="19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s>
              <w:ind w:right="261"/>
              <w:jc w:val="right"/>
              <w:rPr>
                <w:sz w:val="22"/>
                <w:szCs w:val="22"/>
              </w:rPr>
            </w:pPr>
            <w:r>
              <w:rPr>
                <w:sz w:val="22"/>
                <w:szCs w:val="22"/>
              </w:rPr>
              <w:t>136</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27"/>
              <w:jc w:val="right"/>
              <w:rPr>
                <w:sz w:val="22"/>
                <w:szCs w:val="22"/>
              </w:rPr>
            </w:pPr>
            <w:r>
              <w:rPr>
                <w:sz w:val="22"/>
                <w:szCs w:val="22"/>
              </w:rPr>
              <w:t>136</w:t>
            </w: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170"/>
              <w:jc w:val="right"/>
              <w:rPr>
                <w:sz w:val="22"/>
                <w:szCs w:val="22"/>
              </w:rPr>
            </w:pPr>
            <w:r>
              <w:rPr>
                <w:sz w:val="22"/>
                <w:szCs w:val="22"/>
              </w:rPr>
              <w:t>136</w:t>
            </w:r>
          </w:p>
        </w:tc>
      </w:tr>
      <w:tr w:rsidR="00000000">
        <w:tblPrEx>
          <w:tblCellMar>
            <w:top w:w="0" w:type="dxa"/>
            <w:bottom w:w="0" w:type="dxa"/>
          </w:tblCellMar>
        </w:tblPrEx>
        <w:trPr>
          <w:cantSplit/>
        </w:trPr>
        <w:tc>
          <w:tcPr>
            <w:tcW w:w="3138" w:type="dxa"/>
            <w:vMerge/>
            <w:vAlign w:val="center"/>
          </w:tcPr>
          <w:p w:rsidR="00000000" w:rsidRDefault="00000000">
            <w:pPr>
              <w:jc w:val="center"/>
              <w:rPr>
                <w:sz w:val="22"/>
                <w:szCs w:val="22"/>
              </w:rPr>
            </w:pP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2"/>
              </w:rPr>
            </w:pPr>
            <w:r>
              <w:rPr>
                <w:sz w:val="22"/>
                <w:szCs w:val="22"/>
              </w:rPr>
              <w:t>2004</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84"/>
              <w:jc w:val="right"/>
              <w:rPr>
                <w:sz w:val="22"/>
                <w:szCs w:val="22"/>
              </w:rPr>
            </w:pPr>
          </w:p>
        </w:tc>
        <w:tc>
          <w:tcPr>
            <w:tcW w:w="19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s>
              <w:ind w:right="261"/>
              <w:jc w:val="right"/>
              <w:rPr>
                <w:sz w:val="22"/>
                <w:szCs w:val="22"/>
              </w:rPr>
            </w:pPr>
            <w:r>
              <w:rPr>
                <w:sz w:val="22"/>
                <w:szCs w:val="22"/>
              </w:rPr>
              <w:t>136</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27"/>
              <w:jc w:val="right"/>
              <w:rPr>
                <w:sz w:val="22"/>
                <w:szCs w:val="22"/>
              </w:rPr>
            </w:pPr>
            <w:r>
              <w:rPr>
                <w:sz w:val="22"/>
                <w:szCs w:val="22"/>
              </w:rPr>
              <w:t>136</w:t>
            </w: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170"/>
              <w:jc w:val="right"/>
              <w:rPr>
                <w:sz w:val="22"/>
                <w:szCs w:val="22"/>
              </w:rPr>
            </w:pPr>
            <w:r>
              <w:rPr>
                <w:sz w:val="22"/>
                <w:szCs w:val="22"/>
              </w:rPr>
              <w:t>134</w:t>
            </w:r>
          </w:p>
        </w:tc>
      </w:tr>
      <w:tr w:rsidR="00000000">
        <w:tblPrEx>
          <w:tblCellMar>
            <w:top w:w="0" w:type="dxa"/>
            <w:bottom w:w="0" w:type="dxa"/>
          </w:tblCellMar>
        </w:tblPrEx>
        <w:trPr>
          <w:cantSplit/>
        </w:trPr>
        <w:tc>
          <w:tcPr>
            <w:tcW w:w="3138" w:type="dxa"/>
            <w:vMerge/>
            <w:vAlign w:val="center"/>
          </w:tcPr>
          <w:p w:rsidR="00000000" w:rsidRDefault="00000000">
            <w:pPr>
              <w:jc w:val="center"/>
              <w:rPr>
                <w:sz w:val="22"/>
                <w:szCs w:val="22"/>
              </w:rPr>
            </w:pP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2"/>
              </w:rPr>
            </w:pPr>
            <w:r>
              <w:rPr>
                <w:sz w:val="22"/>
                <w:szCs w:val="22"/>
              </w:rPr>
              <w:t>2005</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84"/>
              <w:jc w:val="right"/>
              <w:rPr>
                <w:sz w:val="22"/>
                <w:szCs w:val="22"/>
              </w:rPr>
            </w:pPr>
          </w:p>
        </w:tc>
        <w:tc>
          <w:tcPr>
            <w:tcW w:w="19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s>
              <w:ind w:right="261"/>
              <w:jc w:val="right"/>
              <w:rPr>
                <w:sz w:val="22"/>
                <w:szCs w:val="22"/>
              </w:rPr>
            </w:pPr>
            <w:r>
              <w:rPr>
                <w:sz w:val="22"/>
                <w:szCs w:val="22"/>
              </w:rPr>
              <w:t>136</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27"/>
              <w:jc w:val="right"/>
              <w:rPr>
                <w:sz w:val="22"/>
                <w:szCs w:val="22"/>
              </w:rPr>
            </w:pPr>
            <w:r>
              <w:rPr>
                <w:sz w:val="22"/>
                <w:szCs w:val="22"/>
              </w:rPr>
              <w:t>136</w:t>
            </w: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170"/>
              <w:jc w:val="right"/>
              <w:rPr>
                <w:sz w:val="22"/>
                <w:szCs w:val="22"/>
              </w:rPr>
            </w:pPr>
            <w:r>
              <w:rPr>
                <w:sz w:val="22"/>
                <w:szCs w:val="22"/>
              </w:rPr>
              <w:t>162</w:t>
            </w:r>
          </w:p>
        </w:tc>
      </w:tr>
      <w:tr w:rsidR="00000000">
        <w:tblPrEx>
          <w:tblCellMar>
            <w:top w:w="0" w:type="dxa"/>
            <w:bottom w:w="0" w:type="dxa"/>
          </w:tblCellMar>
        </w:tblPrEx>
        <w:trPr>
          <w:cantSplit/>
        </w:trPr>
        <w:tc>
          <w:tcPr>
            <w:tcW w:w="3138" w:type="dxa"/>
            <w:vMerge w:val="restart"/>
            <w:vAlign w:val="center"/>
          </w:tcPr>
          <w:p w:rsidR="00000000" w:rsidRDefault="00000000">
            <w:pPr>
              <w:jc w:val="center"/>
              <w:rPr>
                <w:sz w:val="22"/>
                <w:szCs w:val="22"/>
              </w:rPr>
            </w:pPr>
            <w:r>
              <w:rPr>
                <w:sz w:val="22"/>
                <w:szCs w:val="22"/>
              </w:rPr>
              <w:t>Незаконное проникновение, неправомерная помощь иностранцам в оформлении их пребывания в стране и нарушения при направлении в страну людских ресурсов</w:t>
            </w: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2"/>
              </w:rPr>
            </w:pPr>
            <w:r>
              <w:rPr>
                <w:sz w:val="22"/>
                <w:szCs w:val="22"/>
              </w:rPr>
              <w:t>2002</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84"/>
              <w:jc w:val="right"/>
              <w:rPr>
                <w:sz w:val="22"/>
                <w:szCs w:val="22"/>
              </w:rPr>
            </w:pPr>
            <w:r>
              <w:rPr>
                <w:sz w:val="22"/>
                <w:szCs w:val="22"/>
              </w:rPr>
              <w:t>106</w:t>
            </w:r>
          </w:p>
        </w:tc>
        <w:tc>
          <w:tcPr>
            <w:tcW w:w="19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s>
              <w:ind w:right="261"/>
              <w:jc w:val="right"/>
              <w:rPr>
                <w:sz w:val="22"/>
                <w:szCs w:val="22"/>
              </w:rPr>
            </w:pPr>
            <w:r>
              <w:rPr>
                <w:sz w:val="22"/>
                <w:szCs w:val="22"/>
              </w:rPr>
              <w:t>147</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27"/>
              <w:jc w:val="right"/>
              <w:rPr>
                <w:sz w:val="22"/>
                <w:szCs w:val="22"/>
              </w:rPr>
            </w:pPr>
            <w:r>
              <w:rPr>
                <w:sz w:val="22"/>
                <w:szCs w:val="22"/>
              </w:rPr>
              <w:t>253</w:t>
            </w: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170"/>
              <w:jc w:val="right"/>
              <w:rPr>
                <w:sz w:val="22"/>
                <w:szCs w:val="22"/>
              </w:rPr>
            </w:pPr>
            <w:r>
              <w:rPr>
                <w:sz w:val="22"/>
                <w:szCs w:val="22"/>
              </w:rPr>
              <w:t>81</w:t>
            </w:r>
          </w:p>
        </w:tc>
      </w:tr>
      <w:tr w:rsidR="00000000">
        <w:tblPrEx>
          <w:tblCellMar>
            <w:top w:w="0" w:type="dxa"/>
            <w:bottom w:w="0" w:type="dxa"/>
          </w:tblCellMar>
        </w:tblPrEx>
        <w:trPr>
          <w:cantSplit/>
        </w:trPr>
        <w:tc>
          <w:tcPr>
            <w:tcW w:w="3138" w:type="dxa"/>
            <w:vMerge/>
            <w:vAlign w:val="center"/>
          </w:tcPr>
          <w:p w:rsidR="00000000" w:rsidRDefault="00000000">
            <w:pPr>
              <w:jc w:val="center"/>
              <w:rPr>
                <w:sz w:val="22"/>
                <w:szCs w:val="22"/>
              </w:rPr>
            </w:pP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2"/>
              </w:rPr>
            </w:pPr>
            <w:r>
              <w:rPr>
                <w:sz w:val="22"/>
                <w:szCs w:val="22"/>
              </w:rPr>
              <w:t>2003</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84"/>
              <w:jc w:val="right"/>
              <w:rPr>
                <w:sz w:val="22"/>
                <w:szCs w:val="22"/>
              </w:rPr>
            </w:pPr>
            <w:r>
              <w:rPr>
                <w:sz w:val="22"/>
                <w:szCs w:val="22"/>
              </w:rPr>
              <w:t>55</w:t>
            </w:r>
          </w:p>
        </w:tc>
        <w:tc>
          <w:tcPr>
            <w:tcW w:w="19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s>
              <w:ind w:right="261"/>
              <w:jc w:val="right"/>
              <w:rPr>
                <w:sz w:val="22"/>
                <w:szCs w:val="22"/>
              </w:rPr>
            </w:pPr>
            <w:r>
              <w:rPr>
                <w:sz w:val="22"/>
                <w:szCs w:val="22"/>
              </w:rPr>
              <w:t>39</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27"/>
              <w:jc w:val="right"/>
              <w:rPr>
                <w:sz w:val="22"/>
                <w:szCs w:val="22"/>
              </w:rPr>
            </w:pPr>
            <w:r>
              <w:rPr>
                <w:sz w:val="22"/>
                <w:szCs w:val="22"/>
              </w:rPr>
              <w:t>94</w:t>
            </w: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170"/>
              <w:jc w:val="right"/>
              <w:rPr>
                <w:sz w:val="22"/>
                <w:szCs w:val="22"/>
              </w:rPr>
            </w:pPr>
            <w:r>
              <w:rPr>
                <w:sz w:val="22"/>
                <w:szCs w:val="22"/>
              </w:rPr>
              <w:t>3</w:t>
            </w:r>
          </w:p>
        </w:tc>
      </w:tr>
      <w:tr w:rsidR="00000000">
        <w:tblPrEx>
          <w:tblCellMar>
            <w:top w:w="0" w:type="dxa"/>
            <w:bottom w:w="0" w:type="dxa"/>
          </w:tblCellMar>
        </w:tblPrEx>
        <w:trPr>
          <w:cantSplit/>
        </w:trPr>
        <w:tc>
          <w:tcPr>
            <w:tcW w:w="3138" w:type="dxa"/>
            <w:vMerge/>
            <w:vAlign w:val="center"/>
          </w:tcPr>
          <w:p w:rsidR="00000000" w:rsidRDefault="00000000">
            <w:pPr>
              <w:jc w:val="center"/>
              <w:rPr>
                <w:sz w:val="22"/>
                <w:szCs w:val="22"/>
              </w:rPr>
            </w:pP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2"/>
              </w:rPr>
            </w:pPr>
            <w:r>
              <w:rPr>
                <w:sz w:val="22"/>
                <w:szCs w:val="22"/>
              </w:rPr>
              <w:t>2004</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84"/>
              <w:jc w:val="right"/>
              <w:rPr>
                <w:sz w:val="22"/>
                <w:szCs w:val="22"/>
              </w:rPr>
            </w:pPr>
            <w:r>
              <w:rPr>
                <w:sz w:val="22"/>
                <w:szCs w:val="22"/>
              </w:rPr>
              <w:t>61</w:t>
            </w:r>
          </w:p>
        </w:tc>
        <w:tc>
          <w:tcPr>
            <w:tcW w:w="19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s>
              <w:ind w:right="261"/>
              <w:jc w:val="right"/>
              <w:rPr>
                <w:sz w:val="22"/>
                <w:szCs w:val="22"/>
              </w:rPr>
            </w:pPr>
            <w:r>
              <w:rPr>
                <w:sz w:val="22"/>
                <w:szCs w:val="22"/>
              </w:rPr>
              <w:t>26</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27"/>
              <w:jc w:val="right"/>
              <w:rPr>
                <w:sz w:val="22"/>
                <w:szCs w:val="22"/>
              </w:rPr>
            </w:pPr>
            <w:r>
              <w:rPr>
                <w:sz w:val="22"/>
                <w:szCs w:val="22"/>
              </w:rPr>
              <w:t>87</w:t>
            </w: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170"/>
              <w:jc w:val="right"/>
              <w:rPr>
                <w:sz w:val="22"/>
                <w:szCs w:val="22"/>
              </w:rPr>
            </w:pPr>
            <w:r>
              <w:rPr>
                <w:sz w:val="22"/>
                <w:szCs w:val="22"/>
              </w:rPr>
              <w:t>75</w:t>
            </w:r>
          </w:p>
        </w:tc>
      </w:tr>
      <w:tr w:rsidR="00000000">
        <w:tblPrEx>
          <w:tblCellMar>
            <w:top w:w="0" w:type="dxa"/>
            <w:bottom w:w="0" w:type="dxa"/>
          </w:tblCellMar>
        </w:tblPrEx>
        <w:trPr>
          <w:cantSplit/>
        </w:trPr>
        <w:tc>
          <w:tcPr>
            <w:tcW w:w="3138" w:type="dxa"/>
            <w:vMerge/>
            <w:vAlign w:val="center"/>
          </w:tcPr>
          <w:p w:rsidR="00000000" w:rsidRDefault="00000000">
            <w:pPr>
              <w:jc w:val="center"/>
              <w:rPr>
                <w:sz w:val="22"/>
                <w:szCs w:val="22"/>
              </w:rPr>
            </w:pP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2"/>
              </w:rPr>
            </w:pPr>
            <w:r>
              <w:rPr>
                <w:sz w:val="22"/>
                <w:szCs w:val="22"/>
              </w:rPr>
              <w:t>2005</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84"/>
              <w:jc w:val="right"/>
              <w:rPr>
                <w:sz w:val="22"/>
                <w:szCs w:val="22"/>
              </w:rPr>
            </w:pPr>
            <w:r>
              <w:rPr>
                <w:sz w:val="22"/>
                <w:szCs w:val="22"/>
              </w:rPr>
              <w:t>25</w:t>
            </w:r>
          </w:p>
        </w:tc>
        <w:tc>
          <w:tcPr>
            <w:tcW w:w="19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s>
              <w:ind w:right="261"/>
              <w:jc w:val="right"/>
              <w:rPr>
                <w:sz w:val="22"/>
                <w:szCs w:val="22"/>
              </w:rPr>
            </w:pPr>
            <w:r>
              <w:rPr>
                <w:sz w:val="22"/>
                <w:szCs w:val="22"/>
              </w:rPr>
              <w:t>37</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27"/>
              <w:jc w:val="right"/>
              <w:rPr>
                <w:sz w:val="22"/>
                <w:szCs w:val="22"/>
              </w:rPr>
            </w:pPr>
            <w:r>
              <w:rPr>
                <w:sz w:val="22"/>
                <w:szCs w:val="22"/>
              </w:rPr>
              <w:t>62</w:t>
            </w: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170"/>
              <w:jc w:val="right"/>
              <w:rPr>
                <w:sz w:val="22"/>
                <w:szCs w:val="22"/>
              </w:rPr>
            </w:pPr>
          </w:p>
        </w:tc>
      </w:tr>
      <w:tr w:rsidR="00000000">
        <w:tblPrEx>
          <w:tblCellMar>
            <w:top w:w="0" w:type="dxa"/>
            <w:bottom w:w="0" w:type="dxa"/>
          </w:tblCellMar>
        </w:tblPrEx>
        <w:trPr>
          <w:cantSplit/>
        </w:trPr>
        <w:tc>
          <w:tcPr>
            <w:tcW w:w="3138" w:type="dxa"/>
            <w:vMerge w:val="restart"/>
            <w:vAlign w:val="center"/>
          </w:tcPr>
          <w:p w:rsidR="00000000" w:rsidRDefault="00000000">
            <w:pPr>
              <w:jc w:val="center"/>
              <w:rPr>
                <w:sz w:val="22"/>
                <w:szCs w:val="22"/>
              </w:rPr>
            </w:pPr>
            <w:r>
              <w:rPr>
                <w:sz w:val="22"/>
                <w:szCs w:val="22"/>
              </w:rPr>
              <w:t>Махинации со стороны компаний, регулирующих подготовку производственных стажеров</w:t>
            </w: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2"/>
              </w:rPr>
            </w:pPr>
            <w:r>
              <w:rPr>
                <w:sz w:val="22"/>
                <w:szCs w:val="22"/>
              </w:rPr>
              <w:t>2002</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84"/>
              <w:jc w:val="right"/>
              <w:rPr>
                <w:sz w:val="22"/>
                <w:szCs w:val="22"/>
              </w:rPr>
            </w:pPr>
            <w:r>
              <w:rPr>
                <w:sz w:val="22"/>
                <w:szCs w:val="22"/>
              </w:rPr>
              <w:t>1</w:t>
            </w:r>
          </w:p>
        </w:tc>
        <w:tc>
          <w:tcPr>
            <w:tcW w:w="19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s>
              <w:ind w:right="261"/>
              <w:jc w:val="right"/>
              <w:rPr>
                <w:sz w:val="22"/>
                <w:szCs w:val="22"/>
              </w:rPr>
            </w:pPr>
            <w:r>
              <w:rPr>
                <w:sz w:val="22"/>
                <w:szCs w:val="22"/>
              </w:rPr>
              <w:t>3</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27"/>
              <w:jc w:val="right"/>
              <w:rPr>
                <w:sz w:val="22"/>
                <w:szCs w:val="22"/>
              </w:rPr>
            </w:pPr>
            <w:r>
              <w:rPr>
                <w:sz w:val="22"/>
                <w:szCs w:val="22"/>
              </w:rPr>
              <w:t>4</w:t>
            </w: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170"/>
              <w:jc w:val="right"/>
              <w:rPr>
                <w:sz w:val="22"/>
                <w:szCs w:val="22"/>
              </w:rPr>
            </w:pPr>
          </w:p>
        </w:tc>
      </w:tr>
      <w:tr w:rsidR="00000000">
        <w:tblPrEx>
          <w:tblCellMar>
            <w:top w:w="0" w:type="dxa"/>
            <w:bottom w:w="0" w:type="dxa"/>
          </w:tblCellMar>
        </w:tblPrEx>
        <w:trPr>
          <w:cantSplit/>
        </w:trPr>
        <w:tc>
          <w:tcPr>
            <w:tcW w:w="3138" w:type="dxa"/>
            <w:vMerge/>
            <w:vAlign w:val="center"/>
          </w:tcPr>
          <w:p w:rsidR="00000000" w:rsidRDefault="00000000">
            <w:pPr>
              <w:jc w:val="center"/>
              <w:rPr>
                <w:sz w:val="22"/>
                <w:szCs w:val="22"/>
              </w:rPr>
            </w:pP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2"/>
              </w:rPr>
            </w:pPr>
            <w:r>
              <w:rPr>
                <w:sz w:val="22"/>
                <w:szCs w:val="22"/>
              </w:rPr>
              <w:t>2003</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84"/>
              <w:jc w:val="right"/>
              <w:rPr>
                <w:sz w:val="22"/>
                <w:szCs w:val="22"/>
              </w:rPr>
            </w:pPr>
          </w:p>
        </w:tc>
        <w:tc>
          <w:tcPr>
            <w:tcW w:w="19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s>
              <w:ind w:right="261"/>
              <w:jc w:val="right"/>
              <w:rPr>
                <w:sz w:val="22"/>
                <w:szCs w:val="22"/>
              </w:rPr>
            </w:pP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27"/>
              <w:jc w:val="right"/>
              <w:rPr>
                <w:sz w:val="22"/>
                <w:szCs w:val="22"/>
              </w:rPr>
            </w:pP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170"/>
              <w:jc w:val="right"/>
              <w:rPr>
                <w:sz w:val="22"/>
                <w:szCs w:val="22"/>
              </w:rPr>
            </w:pPr>
          </w:p>
        </w:tc>
      </w:tr>
      <w:tr w:rsidR="00000000">
        <w:tblPrEx>
          <w:tblCellMar>
            <w:top w:w="0" w:type="dxa"/>
            <w:bottom w:w="0" w:type="dxa"/>
          </w:tblCellMar>
        </w:tblPrEx>
        <w:trPr>
          <w:cantSplit/>
        </w:trPr>
        <w:tc>
          <w:tcPr>
            <w:tcW w:w="3138" w:type="dxa"/>
            <w:vMerge/>
            <w:vAlign w:val="center"/>
          </w:tcPr>
          <w:p w:rsidR="00000000" w:rsidRDefault="00000000">
            <w:pPr>
              <w:jc w:val="center"/>
              <w:rPr>
                <w:sz w:val="22"/>
                <w:szCs w:val="22"/>
              </w:rPr>
            </w:pP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2"/>
              </w:rPr>
            </w:pPr>
            <w:r>
              <w:rPr>
                <w:sz w:val="22"/>
                <w:szCs w:val="22"/>
              </w:rPr>
              <w:t>2004</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84"/>
              <w:jc w:val="right"/>
              <w:rPr>
                <w:sz w:val="22"/>
                <w:szCs w:val="22"/>
              </w:rPr>
            </w:pPr>
          </w:p>
        </w:tc>
        <w:tc>
          <w:tcPr>
            <w:tcW w:w="19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s>
              <w:ind w:right="261"/>
              <w:jc w:val="right"/>
              <w:rPr>
                <w:sz w:val="22"/>
                <w:szCs w:val="22"/>
              </w:rPr>
            </w:pP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27"/>
              <w:jc w:val="right"/>
              <w:rPr>
                <w:sz w:val="22"/>
                <w:szCs w:val="22"/>
              </w:rPr>
            </w:pP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170"/>
              <w:jc w:val="right"/>
              <w:rPr>
                <w:sz w:val="22"/>
                <w:szCs w:val="22"/>
              </w:rPr>
            </w:pPr>
          </w:p>
        </w:tc>
      </w:tr>
      <w:tr w:rsidR="00000000">
        <w:tblPrEx>
          <w:tblCellMar>
            <w:top w:w="0" w:type="dxa"/>
            <w:bottom w:w="0" w:type="dxa"/>
          </w:tblCellMar>
        </w:tblPrEx>
        <w:trPr>
          <w:cantSplit/>
        </w:trPr>
        <w:tc>
          <w:tcPr>
            <w:tcW w:w="3138" w:type="dxa"/>
            <w:vMerge/>
            <w:vAlign w:val="center"/>
          </w:tcPr>
          <w:p w:rsidR="00000000" w:rsidRDefault="00000000">
            <w:pPr>
              <w:jc w:val="center"/>
              <w:rPr>
                <w:sz w:val="22"/>
                <w:szCs w:val="22"/>
              </w:rPr>
            </w:pP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2"/>
              </w:rPr>
            </w:pPr>
            <w:r>
              <w:rPr>
                <w:sz w:val="22"/>
                <w:szCs w:val="22"/>
              </w:rPr>
              <w:t>2005</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84"/>
              <w:jc w:val="right"/>
              <w:rPr>
                <w:sz w:val="22"/>
                <w:szCs w:val="22"/>
              </w:rPr>
            </w:pPr>
          </w:p>
        </w:tc>
        <w:tc>
          <w:tcPr>
            <w:tcW w:w="19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s>
              <w:ind w:right="261"/>
              <w:jc w:val="right"/>
              <w:rPr>
                <w:sz w:val="22"/>
                <w:szCs w:val="22"/>
              </w:rPr>
            </w:pP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27"/>
              <w:jc w:val="right"/>
              <w:rPr>
                <w:sz w:val="22"/>
                <w:szCs w:val="22"/>
              </w:rPr>
            </w:pP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170"/>
              <w:jc w:val="right"/>
              <w:rPr>
                <w:sz w:val="22"/>
                <w:szCs w:val="22"/>
              </w:rPr>
            </w:pPr>
          </w:p>
        </w:tc>
      </w:tr>
      <w:tr w:rsidR="00000000">
        <w:tblPrEx>
          <w:tblCellMar>
            <w:top w:w="0" w:type="dxa"/>
            <w:bottom w:w="0" w:type="dxa"/>
          </w:tblCellMar>
        </w:tblPrEx>
        <w:trPr>
          <w:cantSplit/>
        </w:trPr>
        <w:tc>
          <w:tcPr>
            <w:tcW w:w="3138" w:type="dxa"/>
            <w:vMerge w:val="restart"/>
            <w:vAlign w:val="center"/>
          </w:tcPr>
          <w:p w:rsidR="00000000" w:rsidRDefault="00000000">
            <w:pPr>
              <w:jc w:val="center"/>
              <w:rPr>
                <w:sz w:val="22"/>
                <w:szCs w:val="22"/>
              </w:rPr>
            </w:pPr>
            <w:r>
              <w:rPr>
                <w:sz w:val="22"/>
                <w:szCs w:val="22"/>
              </w:rPr>
              <w:t>Нарушения прав человека иностранных трудящихся-женщин</w:t>
            </w: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2"/>
              </w:rPr>
            </w:pPr>
            <w:r>
              <w:rPr>
                <w:sz w:val="22"/>
                <w:szCs w:val="22"/>
              </w:rPr>
              <w:t>2002</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84"/>
              <w:jc w:val="right"/>
              <w:rPr>
                <w:sz w:val="22"/>
                <w:szCs w:val="22"/>
              </w:rPr>
            </w:pPr>
            <w:r>
              <w:rPr>
                <w:sz w:val="22"/>
                <w:szCs w:val="22"/>
              </w:rPr>
              <w:t>10</w:t>
            </w:r>
          </w:p>
        </w:tc>
        <w:tc>
          <w:tcPr>
            <w:tcW w:w="19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s>
              <w:ind w:right="261"/>
              <w:jc w:val="right"/>
              <w:rPr>
                <w:sz w:val="22"/>
                <w:szCs w:val="22"/>
              </w:rPr>
            </w:pPr>
            <w:r>
              <w:rPr>
                <w:sz w:val="22"/>
                <w:szCs w:val="22"/>
              </w:rPr>
              <w:t>31</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27"/>
              <w:jc w:val="right"/>
              <w:rPr>
                <w:sz w:val="22"/>
                <w:szCs w:val="22"/>
              </w:rPr>
            </w:pPr>
            <w:r>
              <w:rPr>
                <w:sz w:val="22"/>
                <w:szCs w:val="22"/>
              </w:rPr>
              <w:t>41</w:t>
            </w: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170"/>
              <w:jc w:val="right"/>
              <w:rPr>
                <w:sz w:val="22"/>
                <w:szCs w:val="22"/>
              </w:rPr>
            </w:pPr>
            <w:r>
              <w:rPr>
                <w:sz w:val="22"/>
                <w:szCs w:val="22"/>
              </w:rPr>
              <w:t>12</w:t>
            </w:r>
          </w:p>
        </w:tc>
      </w:tr>
      <w:tr w:rsidR="00000000">
        <w:tblPrEx>
          <w:tblCellMar>
            <w:top w:w="0" w:type="dxa"/>
            <w:bottom w:w="0" w:type="dxa"/>
          </w:tblCellMar>
        </w:tblPrEx>
        <w:trPr>
          <w:cantSplit/>
        </w:trPr>
        <w:tc>
          <w:tcPr>
            <w:tcW w:w="3138" w:type="dxa"/>
            <w:vMerge/>
            <w:vAlign w:val="center"/>
          </w:tcPr>
          <w:p w:rsidR="00000000" w:rsidRDefault="00000000">
            <w:pPr>
              <w:jc w:val="center"/>
              <w:rPr>
                <w:sz w:val="22"/>
                <w:szCs w:val="22"/>
              </w:rPr>
            </w:pP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2"/>
              </w:rPr>
            </w:pPr>
            <w:r>
              <w:rPr>
                <w:sz w:val="22"/>
                <w:szCs w:val="22"/>
              </w:rPr>
              <w:t>2003</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84"/>
              <w:jc w:val="right"/>
              <w:rPr>
                <w:sz w:val="22"/>
                <w:szCs w:val="22"/>
              </w:rPr>
            </w:pPr>
            <w:r>
              <w:rPr>
                <w:sz w:val="22"/>
                <w:szCs w:val="22"/>
              </w:rPr>
              <w:t>3</w:t>
            </w:r>
          </w:p>
        </w:tc>
        <w:tc>
          <w:tcPr>
            <w:tcW w:w="19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s>
              <w:ind w:right="261"/>
              <w:jc w:val="right"/>
              <w:rPr>
                <w:sz w:val="22"/>
                <w:szCs w:val="22"/>
              </w:rPr>
            </w:pPr>
            <w:r>
              <w:rPr>
                <w:sz w:val="22"/>
                <w:szCs w:val="22"/>
              </w:rPr>
              <w:t>11</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27"/>
              <w:jc w:val="right"/>
              <w:rPr>
                <w:sz w:val="22"/>
                <w:szCs w:val="22"/>
              </w:rPr>
            </w:pPr>
            <w:r>
              <w:rPr>
                <w:sz w:val="22"/>
                <w:szCs w:val="22"/>
              </w:rPr>
              <w:t>14</w:t>
            </w: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170"/>
              <w:jc w:val="right"/>
              <w:rPr>
                <w:sz w:val="22"/>
                <w:szCs w:val="22"/>
              </w:rPr>
            </w:pPr>
            <w:r>
              <w:rPr>
                <w:sz w:val="22"/>
                <w:szCs w:val="22"/>
              </w:rPr>
              <w:t>3</w:t>
            </w:r>
          </w:p>
        </w:tc>
      </w:tr>
      <w:tr w:rsidR="00000000">
        <w:tblPrEx>
          <w:tblCellMar>
            <w:top w:w="0" w:type="dxa"/>
            <w:bottom w:w="0" w:type="dxa"/>
          </w:tblCellMar>
        </w:tblPrEx>
        <w:trPr>
          <w:cantSplit/>
        </w:trPr>
        <w:tc>
          <w:tcPr>
            <w:tcW w:w="3138" w:type="dxa"/>
            <w:vMerge/>
            <w:vAlign w:val="center"/>
          </w:tcPr>
          <w:p w:rsidR="00000000" w:rsidRDefault="00000000">
            <w:pPr>
              <w:jc w:val="center"/>
              <w:rPr>
                <w:sz w:val="22"/>
                <w:szCs w:val="22"/>
              </w:rPr>
            </w:pP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2"/>
              </w:rPr>
            </w:pPr>
            <w:r>
              <w:rPr>
                <w:sz w:val="22"/>
                <w:szCs w:val="22"/>
              </w:rPr>
              <w:t>2004</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84"/>
              <w:jc w:val="right"/>
              <w:rPr>
                <w:sz w:val="22"/>
                <w:szCs w:val="22"/>
              </w:rPr>
            </w:pPr>
            <w:r>
              <w:rPr>
                <w:sz w:val="22"/>
                <w:szCs w:val="22"/>
              </w:rPr>
              <w:t>12</w:t>
            </w:r>
          </w:p>
        </w:tc>
        <w:tc>
          <w:tcPr>
            <w:tcW w:w="19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s>
              <w:ind w:right="261"/>
              <w:jc w:val="right"/>
              <w:rPr>
                <w:sz w:val="22"/>
                <w:szCs w:val="22"/>
              </w:rPr>
            </w:pPr>
            <w:r>
              <w:rPr>
                <w:sz w:val="22"/>
                <w:szCs w:val="22"/>
              </w:rPr>
              <w:t>10</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27"/>
              <w:jc w:val="right"/>
              <w:rPr>
                <w:sz w:val="22"/>
                <w:szCs w:val="22"/>
              </w:rPr>
            </w:pPr>
            <w:r>
              <w:rPr>
                <w:sz w:val="22"/>
                <w:szCs w:val="22"/>
              </w:rPr>
              <w:t>22</w:t>
            </w: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170"/>
              <w:jc w:val="right"/>
              <w:rPr>
                <w:sz w:val="22"/>
                <w:szCs w:val="22"/>
              </w:rPr>
            </w:pPr>
            <w:r>
              <w:rPr>
                <w:sz w:val="22"/>
                <w:szCs w:val="22"/>
              </w:rPr>
              <w:t>45</w:t>
            </w:r>
          </w:p>
        </w:tc>
      </w:tr>
      <w:tr w:rsidR="00000000">
        <w:tblPrEx>
          <w:tblCellMar>
            <w:top w:w="0" w:type="dxa"/>
            <w:bottom w:w="0" w:type="dxa"/>
          </w:tblCellMar>
        </w:tblPrEx>
        <w:trPr>
          <w:cantSplit/>
        </w:trPr>
        <w:tc>
          <w:tcPr>
            <w:tcW w:w="3138" w:type="dxa"/>
            <w:vMerge/>
            <w:vAlign w:val="center"/>
          </w:tcPr>
          <w:p w:rsidR="00000000" w:rsidRDefault="00000000">
            <w:pPr>
              <w:jc w:val="center"/>
              <w:rPr>
                <w:sz w:val="22"/>
                <w:szCs w:val="22"/>
              </w:rPr>
            </w:pP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2"/>
              </w:rPr>
            </w:pPr>
            <w:r>
              <w:rPr>
                <w:sz w:val="22"/>
                <w:szCs w:val="22"/>
              </w:rPr>
              <w:t>2005</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84"/>
              <w:jc w:val="right"/>
              <w:rPr>
                <w:sz w:val="22"/>
                <w:szCs w:val="22"/>
              </w:rPr>
            </w:pPr>
            <w:r>
              <w:rPr>
                <w:sz w:val="22"/>
                <w:szCs w:val="22"/>
              </w:rPr>
              <w:t>8</w:t>
            </w:r>
          </w:p>
        </w:tc>
        <w:tc>
          <w:tcPr>
            <w:tcW w:w="19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s>
              <w:ind w:right="261"/>
              <w:jc w:val="right"/>
              <w:rPr>
                <w:sz w:val="22"/>
                <w:szCs w:val="22"/>
              </w:rPr>
            </w:pPr>
            <w:r>
              <w:rPr>
                <w:sz w:val="22"/>
                <w:szCs w:val="22"/>
              </w:rPr>
              <w:t>25</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27"/>
              <w:jc w:val="right"/>
              <w:rPr>
                <w:sz w:val="22"/>
                <w:szCs w:val="22"/>
              </w:rPr>
            </w:pPr>
            <w:r>
              <w:rPr>
                <w:sz w:val="22"/>
                <w:szCs w:val="22"/>
              </w:rPr>
              <w:t>33</w:t>
            </w: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170"/>
              <w:jc w:val="right"/>
              <w:rPr>
                <w:sz w:val="22"/>
                <w:szCs w:val="22"/>
              </w:rPr>
            </w:pPr>
            <w:r>
              <w:rPr>
                <w:sz w:val="22"/>
                <w:szCs w:val="22"/>
              </w:rPr>
              <w:t>20</w:t>
            </w:r>
          </w:p>
        </w:tc>
      </w:tr>
      <w:tr w:rsidR="00000000">
        <w:tblPrEx>
          <w:tblCellMar>
            <w:top w:w="0" w:type="dxa"/>
            <w:bottom w:w="0" w:type="dxa"/>
          </w:tblCellMar>
        </w:tblPrEx>
        <w:trPr>
          <w:cantSplit/>
        </w:trPr>
        <w:tc>
          <w:tcPr>
            <w:tcW w:w="3138" w:type="dxa"/>
            <w:vMerge w:val="restart"/>
            <w:vAlign w:val="center"/>
          </w:tcPr>
          <w:p w:rsidR="00000000" w:rsidRDefault="00000000">
            <w:pPr>
              <w:jc w:val="center"/>
              <w:rPr>
                <w:sz w:val="22"/>
                <w:szCs w:val="22"/>
              </w:rPr>
            </w:pPr>
            <w:r>
              <w:rPr>
                <w:sz w:val="22"/>
                <w:szCs w:val="22"/>
              </w:rPr>
              <w:t>Неправомерные действия в отношении "нелегалов"</w:t>
            </w: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2"/>
              </w:rPr>
            </w:pPr>
            <w:r>
              <w:rPr>
                <w:sz w:val="22"/>
                <w:szCs w:val="22"/>
              </w:rPr>
              <w:t>2002</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84"/>
              <w:jc w:val="right"/>
              <w:rPr>
                <w:sz w:val="22"/>
                <w:szCs w:val="22"/>
              </w:rPr>
            </w:pPr>
          </w:p>
        </w:tc>
        <w:tc>
          <w:tcPr>
            <w:tcW w:w="19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s>
              <w:ind w:right="261"/>
              <w:jc w:val="right"/>
              <w:rPr>
                <w:sz w:val="22"/>
                <w:szCs w:val="22"/>
              </w:rPr>
            </w:pP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27"/>
              <w:jc w:val="right"/>
              <w:rPr>
                <w:sz w:val="22"/>
                <w:szCs w:val="22"/>
              </w:rPr>
            </w:pP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170"/>
              <w:jc w:val="right"/>
              <w:rPr>
                <w:sz w:val="22"/>
                <w:szCs w:val="22"/>
              </w:rPr>
            </w:pPr>
          </w:p>
        </w:tc>
      </w:tr>
      <w:tr w:rsidR="00000000">
        <w:tblPrEx>
          <w:tblCellMar>
            <w:top w:w="0" w:type="dxa"/>
            <w:bottom w:w="0" w:type="dxa"/>
          </w:tblCellMar>
        </w:tblPrEx>
        <w:trPr>
          <w:cantSplit/>
        </w:trPr>
        <w:tc>
          <w:tcPr>
            <w:tcW w:w="3138" w:type="dxa"/>
            <w:vMerge/>
            <w:vAlign w:val="center"/>
          </w:tcPr>
          <w:p w:rsidR="00000000" w:rsidRDefault="00000000">
            <w:pPr>
              <w:jc w:val="center"/>
              <w:rPr>
                <w:sz w:val="22"/>
                <w:szCs w:val="22"/>
              </w:rPr>
            </w:pP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2"/>
              </w:rPr>
            </w:pPr>
            <w:r>
              <w:rPr>
                <w:sz w:val="22"/>
                <w:szCs w:val="22"/>
              </w:rPr>
              <w:t>2003</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84"/>
              <w:jc w:val="right"/>
              <w:rPr>
                <w:sz w:val="22"/>
                <w:szCs w:val="22"/>
              </w:rPr>
            </w:pPr>
            <w:r>
              <w:rPr>
                <w:sz w:val="22"/>
                <w:szCs w:val="22"/>
              </w:rPr>
              <w:t>1</w:t>
            </w:r>
          </w:p>
        </w:tc>
        <w:tc>
          <w:tcPr>
            <w:tcW w:w="19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s>
              <w:ind w:right="261"/>
              <w:jc w:val="right"/>
              <w:rPr>
                <w:sz w:val="22"/>
                <w:szCs w:val="22"/>
              </w:rPr>
            </w:pP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27"/>
              <w:jc w:val="right"/>
              <w:rPr>
                <w:sz w:val="22"/>
                <w:szCs w:val="22"/>
              </w:rPr>
            </w:pPr>
            <w:r>
              <w:rPr>
                <w:sz w:val="22"/>
                <w:szCs w:val="22"/>
              </w:rPr>
              <w:t>1</w:t>
            </w: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170"/>
              <w:jc w:val="right"/>
              <w:rPr>
                <w:sz w:val="22"/>
                <w:szCs w:val="22"/>
              </w:rPr>
            </w:pPr>
          </w:p>
        </w:tc>
      </w:tr>
      <w:tr w:rsidR="00000000">
        <w:tblPrEx>
          <w:tblCellMar>
            <w:top w:w="0" w:type="dxa"/>
            <w:bottom w:w="0" w:type="dxa"/>
          </w:tblCellMar>
        </w:tblPrEx>
        <w:trPr>
          <w:cantSplit/>
        </w:trPr>
        <w:tc>
          <w:tcPr>
            <w:tcW w:w="3138" w:type="dxa"/>
            <w:vMerge/>
            <w:vAlign w:val="center"/>
          </w:tcPr>
          <w:p w:rsidR="00000000" w:rsidRDefault="00000000">
            <w:pPr>
              <w:jc w:val="center"/>
              <w:rPr>
                <w:sz w:val="22"/>
                <w:szCs w:val="22"/>
              </w:rPr>
            </w:pP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2"/>
              </w:rPr>
            </w:pPr>
            <w:r>
              <w:rPr>
                <w:sz w:val="22"/>
                <w:szCs w:val="22"/>
              </w:rPr>
              <w:t>2004</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84"/>
              <w:jc w:val="right"/>
              <w:rPr>
                <w:sz w:val="22"/>
                <w:szCs w:val="22"/>
              </w:rPr>
            </w:pPr>
            <w:r>
              <w:rPr>
                <w:sz w:val="22"/>
                <w:szCs w:val="22"/>
              </w:rPr>
              <w:t>1</w:t>
            </w:r>
          </w:p>
        </w:tc>
        <w:tc>
          <w:tcPr>
            <w:tcW w:w="19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s>
              <w:ind w:right="261"/>
              <w:jc w:val="right"/>
              <w:rPr>
                <w:sz w:val="22"/>
                <w:szCs w:val="22"/>
              </w:rPr>
            </w:pP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27"/>
              <w:jc w:val="right"/>
              <w:rPr>
                <w:sz w:val="22"/>
                <w:szCs w:val="22"/>
              </w:rPr>
            </w:pPr>
            <w:r>
              <w:rPr>
                <w:sz w:val="22"/>
                <w:szCs w:val="22"/>
              </w:rPr>
              <w:t>1</w:t>
            </w: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170"/>
              <w:jc w:val="right"/>
              <w:rPr>
                <w:sz w:val="22"/>
                <w:szCs w:val="22"/>
              </w:rPr>
            </w:pPr>
          </w:p>
        </w:tc>
      </w:tr>
      <w:tr w:rsidR="00000000">
        <w:tblPrEx>
          <w:tblCellMar>
            <w:top w:w="0" w:type="dxa"/>
            <w:bottom w:w="0" w:type="dxa"/>
          </w:tblCellMar>
        </w:tblPrEx>
        <w:trPr>
          <w:cantSplit/>
        </w:trPr>
        <w:tc>
          <w:tcPr>
            <w:tcW w:w="3138" w:type="dxa"/>
            <w:vMerge/>
            <w:vAlign w:val="center"/>
          </w:tcPr>
          <w:p w:rsidR="00000000" w:rsidRDefault="00000000">
            <w:pPr>
              <w:jc w:val="center"/>
              <w:rPr>
                <w:sz w:val="22"/>
                <w:szCs w:val="22"/>
              </w:rPr>
            </w:pP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2"/>
              </w:rPr>
            </w:pPr>
            <w:r>
              <w:rPr>
                <w:sz w:val="22"/>
                <w:szCs w:val="22"/>
              </w:rPr>
              <w:t>2005</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84"/>
              <w:jc w:val="right"/>
              <w:rPr>
                <w:sz w:val="22"/>
                <w:szCs w:val="22"/>
              </w:rPr>
            </w:pPr>
          </w:p>
        </w:tc>
        <w:tc>
          <w:tcPr>
            <w:tcW w:w="19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s>
              <w:ind w:right="261"/>
              <w:jc w:val="right"/>
              <w:rPr>
                <w:sz w:val="22"/>
                <w:szCs w:val="22"/>
              </w:rPr>
            </w:pPr>
            <w:r>
              <w:rPr>
                <w:sz w:val="22"/>
                <w:szCs w:val="22"/>
              </w:rPr>
              <w:t>5</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27"/>
              <w:jc w:val="right"/>
              <w:rPr>
                <w:sz w:val="22"/>
                <w:szCs w:val="22"/>
              </w:rPr>
            </w:pPr>
            <w:r>
              <w:rPr>
                <w:sz w:val="22"/>
                <w:szCs w:val="22"/>
              </w:rPr>
              <w:t>5</w:t>
            </w: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170"/>
              <w:jc w:val="right"/>
              <w:rPr>
                <w:sz w:val="22"/>
                <w:szCs w:val="22"/>
              </w:rPr>
            </w:pPr>
          </w:p>
        </w:tc>
      </w:tr>
      <w:tr w:rsidR="00000000">
        <w:tblPrEx>
          <w:tblCellMar>
            <w:top w:w="0" w:type="dxa"/>
            <w:bottom w:w="0" w:type="dxa"/>
          </w:tblCellMar>
        </w:tblPrEx>
        <w:trPr>
          <w:cantSplit/>
        </w:trPr>
        <w:tc>
          <w:tcPr>
            <w:tcW w:w="3138" w:type="dxa"/>
            <w:vMerge w:val="restart"/>
            <w:vAlign w:val="center"/>
          </w:tcPr>
          <w:p w:rsidR="00000000" w:rsidRDefault="00000000">
            <w:pPr>
              <w:jc w:val="center"/>
              <w:rPr>
                <w:sz w:val="22"/>
                <w:szCs w:val="22"/>
              </w:rPr>
            </w:pPr>
            <w:r>
              <w:rPr>
                <w:sz w:val="22"/>
                <w:szCs w:val="22"/>
              </w:rPr>
              <w:t>Прочее</w:t>
            </w: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2"/>
              </w:rPr>
            </w:pPr>
            <w:r>
              <w:rPr>
                <w:sz w:val="22"/>
                <w:szCs w:val="22"/>
              </w:rPr>
              <w:t>2002</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84"/>
              <w:jc w:val="right"/>
              <w:rPr>
                <w:sz w:val="22"/>
                <w:szCs w:val="22"/>
              </w:rPr>
            </w:pPr>
            <w:r>
              <w:rPr>
                <w:sz w:val="22"/>
                <w:szCs w:val="22"/>
              </w:rPr>
              <w:t>3</w:t>
            </w:r>
          </w:p>
        </w:tc>
        <w:tc>
          <w:tcPr>
            <w:tcW w:w="19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s>
              <w:ind w:right="261"/>
              <w:jc w:val="right"/>
              <w:rPr>
                <w:sz w:val="22"/>
                <w:szCs w:val="22"/>
              </w:rPr>
            </w:pPr>
            <w:r>
              <w:rPr>
                <w:sz w:val="22"/>
                <w:szCs w:val="22"/>
              </w:rPr>
              <w:t>38</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27"/>
              <w:jc w:val="right"/>
              <w:rPr>
                <w:sz w:val="22"/>
                <w:szCs w:val="22"/>
              </w:rPr>
            </w:pPr>
            <w:r>
              <w:rPr>
                <w:sz w:val="22"/>
                <w:szCs w:val="22"/>
              </w:rPr>
              <w:t>41</w:t>
            </w: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170"/>
              <w:jc w:val="right"/>
              <w:rPr>
                <w:sz w:val="22"/>
                <w:szCs w:val="22"/>
              </w:rPr>
            </w:pPr>
            <w:r>
              <w:rPr>
                <w:sz w:val="22"/>
                <w:szCs w:val="22"/>
              </w:rPr>
              <w:t>59</w:t>
            </w:r>
          </w:p>
        </w:tc>
      </w:tr>
      <w:tr w:rsidR="00000000">
        <w:tblPrEx>
          <w:tblCellMar>
            <w:top w:w="0" w:type="dxa"/>
            <w:bottom w:w="0" w:type="dxa"/>
          </w:tblCellMar>
        </w:tblPrEx>
        <w:trPr>
          <w:cantSplit/>
        </w:trPr>
        <w:tc>
          <w:tcPr>
            <w:tcW w:w="3138" w:type="dxa"/>
            <w:vMerge/>
            <w:vAlign w:val="center"/>
          </w:tcPr>
          <w:p w:rsidR="00000000" w:rsidRDefault="00000000">
            <w:pPr>
              <w:jc w:val="center"/>
              <w:rPr>
                <w:sz w:val="22"/>
                <w:szCs w:val="22"/>
              </w:rPr>
            </w:pP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2"/>
              </w:rPr>
            </w:pPr>
            <w:r>
              <w:rPr>
                <w:sz w:val="22"/>
                <w:szCs w:val="22"/>
              </w:rPr>
              <w:t>2003</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84"/>
              <w:jc w:val="right"/>
              <w:rPr>
                <w:sz w:val="22"/>
                <w:szCs w:val="22"/>
              </w:rPr>
            </w:pPr>
            <w:r>
              <w:rPr>
                <w:sz w:val="22"/>
                <w:szCs w:val="22"/>
              </w:rPr>
              <w:t>98</w:t>
            </w:r>
          </w:p>
        </w:tc>
        <w:tc>
          <w:tcPr>
            <w:tcW w:w="19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s>
              <w:ind w:right="261"/>
              <w:jc w:val="right"/>
              <w:rPr>
                <w:sz w:val="22"/>
                <w:szCs w:val="22"/>
              </w:rPr>
            </w:pPr>
            <w:r>
              <w:rPr>
                <w:sz w:val="22"/>
                <w:szCs w:val="22"/>
              </w:rPr>
              <w:t>131</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27"/>
              <w:jc w:val="right"/>
              <w:rPr>
                <w:sz w:val="22"/>
                <w:szCs w:val="22"/>
              </w:rPr>
            </w:pPr>
            <w:r>
              <w:rPr>
                <w:sz w:val="22"/>
                <w:szCs w:val="22"/>
              </w:rPr>
              <w:t>229</w:t>
            </w: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170"/>
              <w:jc w:val="right"/>
              <w:rPr>
                <w:sz w:val="22"/>
                <w:szCs w:val="22"/>
              </w:rPr>
            </w:pPr>
            <w:r>
              <w:rPr>
                <w:sz w:val="22"/>
                <w:szCs w:val="22"/>
              </w:rPr>
              <w:t>14</w:t>
            </w:r>
          </w:p>
        </w:tc>
      </w:tr>
      <w:tr w:rsidR="00000000">
        <w:tblPrEx>
          <w:tblCellMar>
            <w:top w:w="0" w:type="dxa"/>
            <w:bottom w:w="0" w:type="dxa"/>
          </w:tblCellMar>
        </w:tblPrEx>
        <w:trPr>
          <w:cantSplit/>
        </w:trPr>
        <w:tc>
          <w:tcPr>
            <w:tcW w:w="3138" w:type="dxa"/>
            <w:vMerge/>
            <w:vAlign w:val="center"/>
          </w:tcPr>
          <w:p w:rsidR="00000000" w:rsidRDefault="00000000">
            <w:pPr>
              <w:jc w:val="center"/>
              <w:rPr>
                <w:sz w:val="22"/>
                <w:szCs w:val="22"/>
              </w:rPr>
            </w:pP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2"/>
              </w:rPr>
            </w:pPr>
            <w:r>
              <w:rPr>
                <w:sz w:val="22"/>
                <w:szCs w:val="22"/>
              </w:rPr>
              <w:t>2004</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84"/>
              <w:jc w:val="right"/>
              <w:rPr>
                <w:sz w:val="22"/>
                <w:szCs w:val="22"/>
              </w:rPr>
            </w:pPr>
            <w:r>
              <w:rPr>
                <w:sz w:val="22"/>
                <w:szCs w:val="22"/>
              </w:rPr>
              <w:t>16</w:t>
            </w:r>
          </w:p>
        </w:tc>
        <w:tc>
          <w:tcPr>
            <w:tcW w:w="19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s>
              <w:ind w:right="261"/>
              <w:jc w:val="right"/>
              <w:rPr>
                <w:sz w:val="22"/>
                <w:szCs w:val="22"/>
              </w:rPr>
            </w:pPr>
            <w:r>
              <w:rPr>
                <w:sz w:val="22"/>
                <w:szCs w:val="22"/>
              </w:rPr>
              <w:t>11</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27"/>
              <w:jc w:val="right"/>
              <w:rPr>
                <w:sz w:val="22"/>
                <w:szCs w:val="22"/>
              </w:rPr>
            </w:pPr>
            <w:r>
              <w:rPr>
                <w:sz w:val="22"/>
                <w:szCs w:val="22"/>
              </w:rPr>
              <w:t>27</w:t>
            </w: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170"/>
              <w:jc w:val="right"/>
              <w:rPr>
                <w:sz w:val="22"/>
                <w:szCs w:val="22"/>
              </w:rPr>
            </w:pPr>
            <w:r>
              <w:rPr>
                <w:sz w:val="22"/>
                <w:szCs w:val="22"/>
              </w:rPr>
              <w:t>15</w:t>
            </w:r>
          </w:p>
        </w:tc>
      </w:tr>
      <w:tr w:rsidR="00000000">
        <w:tblPrEx>
          <w:tblCellMar>
            <w:top w:w="0" w:type="dxa"/>
            <w:bottom w:w="0" w:type="dxa"/>
          </w:tblCellMar>
        </w:tblPrEx>
        <w:trPr>
          <w:cantSplit/>
        </w:trPr>
        <w:tc>
          <w:tcPr>
            <w:tcW w:w="3138" w:type="dxa"/>
            <w:vMerge/>
            <w:vAlign w:val="center"/>
          </w:tcPr>
          <w:p w:rsidR="00000000" w:rsidRDefault="00000000">
            <w:pPr>
              <w:jc w:val="center"/>
              <w:rPr>
                <w:sz w:val="22"/>
                <w:szCs w:val="22"/>
              </w:rPr>
            </w:pP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2"/>
              </w:rPr>
            </w:pPr>
            <w:r>
              <w:rPr>
                <w:sz w:val="22"/>
                <w:szCs w:val="22"/>
              </w:rPr>
              <w:t>2005</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84"/>
              <w:jc w:val="right"/>
              <w:rPr>
                <w:sz w:val="22"/>
                <w:szCs w:val="22"/>
              </w:rPr>
            </w:pPr>
            <w:r>
              <w:rPr>
                <w:sz w:val="22"/>
                <w:szCs w:val="22"/>
              </w:rPr>
              <w:t>1</w:t>
            </w:r>
          </w:p>
        </w:tc>
        <w:tc>
          <w:tcPr>
            <w:tcW w:w="19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s>
              <w:ind w:right="261"/>
              <w:jc w:val="right"/>
              <w:rPr>
                <w:sz w:val="22"/>
                <w:szCs w:val="22"/>
              </w:rPr>
            </w:pPr>
            <w:r>
              <w:rPr>
                <w:sz w:val="22"/>
                <w:szCs w:val="22"/>
              </w:rPr>
              <w:t>3</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27"/>
              <w:jc w:val="right"/>
              <w:rPr>
                <w:sz w:val="22"/>
                <w:szCs w:val="22"/>
              </w:rPr>
            </w:pPr>
            <w:r>
              <w:rPr>
                <w:sz w:val="22"/>
                <w:szCs w:val="22"/>
              </w:rPr>
              <w:t>4</w:t>
            </w: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170"/>
              <w:jc w:val="right"/>
              <w:rPr>
                <w:sz w:val="22"/>
                <w:szCs w:val="22"/>
              </w:rPr>
            </w:pPr>
            <w:r>
              <w:rPr>
                <w:sz w:val="22"/>
                <w:szCs w:val="22"/>
              </w:rPr>
              <w:t>8</w:t>
            </w:r>
          </w:p>
        </w:tc>
      </w:tr>
      <w:tr w:rsidR="00000000">
        <w:tblPrEx>
          <w:tblCellMar>
            <w:top w:w="0" w:type="dxa"/>
            <w:bottom w:w="0" w:type="dxa"/>
          </w:tblCellMar>
        </w:tblPrEx>
        <w:trPr>
          <w:cantSplit/>
        </w:trPr>
        <w:tc>
          <w:tcPr>
            <w:tcW w:w="3138" w:type="dxa"/>
            <w:vAlign w:val="center"/>
          </w:tcPr>
          <w:p w:rsidR="00000000" w:rsidRDefault="00000000">
            <w:pPr>
              <w:jc w:val="center"/>
              <w:rPr>
                <w:b/>
                <w:sz w:val="22"/>
                <w:szCs w:val="22"/>
              </w:rPr>
            </w:pPr>
            <w:r>
              <w:rPr>
                <w:b/>
                <w:sz w:val="22"/>
                <w:szCs w:val="22"/>
              </w:rPr>
              <w:t>Всего</w:t>
            </w: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sz w:val="22"/>
                <w:szCs w:val="22"/>
              </w:rPr>
            </w:pP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84"/>
              <w:jc w:val="right"/>
              <w:rPr>
                <w:b/>
                <w:sz w:val="22"/>
                <w:szCs w:val="22"/>
              </w:rPr>
            </w:pPr>
            <w:r>
              <w:rPr>
                <w:b/>
                <w:sz w:val="22"/>
                <w:szCs w:val="22"/>
              </w:rPr>
              <w:t>417</w:t>
            </w:r>
          </w:p>
        </w:tc>
        <w:tc>
          <w:tcPr>
            <w:tcW w:w="19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s>
              <w:ind w:right="261"/>
              <w:jc w:val="right"/>
              <w:rPr>
                <w:b/>
                <w:sz w:val="22"/>
                <w:szCs w:val="22"/>
              </w:rPr>
            </w:pPr>
            <w:r>
              <w:rPr>
                <w:b/>
                <w:sz w:val="22"/>
                <w:szCs w:val="22"/>
              </w:rPr>
              <w:t>5 444</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227"/>
              <w:jc w:val="right"/>
              <w:rPr>
                <w:b/>
                <w:sz w:val="22"/>
                <w:szCs w:val="22"/>
              </w:rPr>
            </w:pPr>
            <w:r>
              <w:rPr>
                <w:b/>
                <w:sz w:val="22"/>
                <w:szCs w:val="22"/>
              </w:rPr>
              <w:t>5 861</w:t>
            </w:r>
          </w:p>
        </w:tc>
        <w:tc>
          <w:tcPr>
            <w:tcW w:w="117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s>
              <w:ind w:right="170"/>
              <w:jc w:val="right"/>
              <w:rPr>
                <w:b/>
                <w:sz w:val="22"/>
                <w:szCs w:val="22"/>
              </w:rPr>
            </w:pPr>
            <w:r>
              <w:rPr>
                <w:b/>
                <w:sz w:val="22"/>
                <w:szCs w:val="22"/>
              </w:rPr>
              <w:t>8 537</w:t>
            </w:r>
          </w:p>
        </w:tc>
      </w:tr>
    </w:tbl>
    <w:p w:rsidR="00000000" w:rsidRDefault="00000000"/>
    <w:p w:rsidR="00000000" w:rsidRDefault="00000000">
      <w:r>
        <w:t>84.</w:t>
      </w:r>
      <w:r>
        <w:tab/>
        <w:t>С 15 апреля 2003 года Корейская корпорация по оказанию правовой помощи, деятельность которой ранее ограничивалась сферой трудовых отношений, расширила ее охват и теперь занимается всеми вопросами, касающимися иностранцев, проживающих в Республике Корее, оказывая им правовую помощь в том же объеме, в какой ее получают граждане страны.</w:t>
      </w:r>
    </w:p>
    <w:p w:rsidR="00000000" w:rsidRDefault="00000000"/>
    <w:p w:rsidR="00000000" w:rsidRDefault="00000000">
      <w:pPr>
        <w:jc w:val="center"/>
        <w:rPr>
          <w:b/>
        </w:rPr>
      </w:pPr>
      <w:r>
        <w:rPr>
          <w:b/>
        </w:rPr>
        <w:t>Таблица 5.  Жалобы, поданные зарегистрированными иностранными гражданами</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08"/>
        <w:gridCol w:w="869"/>
        <w:gridCol w:w="979"/>
        <w:gridCol w:w="1463"/>
        <w:gridCol w:w="1388"/>
        <w:gridCol w:w="1533"/>
        <w:gridCol w:w="1646"/>
        <w:gridCol w:w="804"/>
      </w:tblGrid>
      <w:tr w:rsidR="00000000">
        <w:tblPrEx>
          <w:tblCellMar>
            <w:top w:w="0" w:type="dxa"/>
            <w:bottom w:w="0" w:type="dxa"/>
          </w:tblCellMar>
        </w:tblPrEx>
        <w:trPr>
          <w:cantSplit/>
        </w:trPr>
        <w:tc>
          <w:tcPr>
            <w:tcW w:w="808" w:type="dxa"/>
            <w:vMerge w:val="restart"/>
            <w:tcBorders>
              <w:top w:val="single" w:sz="4" w:space="0" w:color="auto"/>
              <w:left w:val="single" w:sz="4" w:space="0" w:color="auto"/>
              <w:right w:val="single" w:sz="4" w:space="0" w:color="auto"/>
              <w:tl2br w:val="single" w:sz="4" w:space="0" w:color="auto"/>
            </w:tcBorders>
            <w:tcMar>
              <w:left w:w="68" w:type="dxa"/>
              <w:right w:w="68" w:type="dxa"/>
            </w:tcMar>
            <w:vAlign w:val="center"/>
          </w:tcPr>
          <w:p w:rsidR="00000000" w:rsidRDefault="00000000">
            <w:pPr>
              <w:spacing w:after="60" w:line="216" w:lineRule="auto"/>
              <w:rPr>
                <w:sz w:val="20"/>
                <w:szCs w:val="22"/>
              </w:rPr>
            </w:pPr>
          </w:p>
        </w:tc>
        <w:tc>
          <w:tcPr>
            <w:tcW w:w="869" w:type="dxa"/>
            <w:vMerge w:val="restart"/>
            <w:tcBorders>
              <w:top w:val="single" w:sz="4" w:space="0" w:color="auto"/>
              <w:left w:val="single" w:sz="4" w:space="0" w:color="auto"/>
              <w:right w:val="single" w:sz="4" w:space="0" w:color="auto"/>
            </w:tcBorders>
            <w:tcMar>
              <w:left w:w="68" w:type="dxa"/>
              <w:right w:w="68" w:type="dxa"/>
            </w:tcMar>
            <w:vAlign w:val="center"/>
          </w:tcPr>
          <w:p w:rsidR="00000000" w:rsidRDefault="00000000">
            <w:pPr>
              <w:spacing w:after="60" w:line="216" w:lineRule="auto"/>
              <w:jc w:val="center"/>
              <w:rPr>
                <w:b/>
                <w:sz w:val="20"/>
                <w:szCs w:val="22"/>
              </w:rPr>
            </w:pPr>
            <w:r>
              <w:rPr>
                <w:b/>
                <w:sz w:val="20"/>
                <w:szCs w:val="22"/>
              </w:rPr>
              <w:t>Число жалоб</w:t>
            </w:r>
          </w:p>
        </w:tc>
        <w:tc>
          <w:tcPr>
            <w:tcW w:w="2442" w:type="dxa"/>
            <w:gridSpan w:val="2"/>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after="60" w:line="216" w:lineRule="auto"/>
              <w:jc w:val="center"/>
              <w:rPr>
                <w:b/>
                <w:sz w:val="20"/>
                <w:szCs w:val="22"/>
              </w:rPr>
            </w:pPr>
            <w:r>
              <w:rPr>
                <w:b/>
                <w:sz w:val="20"/>
                <w:szCs w:val="22"/>
              </w:rPr>
              <w:t>Несвоевременная выплата заработной платы</w:t>
            </w:r>
          </w:p>
        </w:tc>
        <w:tc>
          <w:tcPr>
            <w:tcW w:w="1388" w:type="dxa"/>
            <w:vMerge w:val="restart"/>
            <w:tcBorders>
              <w:top w:val="single" w:sz="4" w:space="0" w:color="auto"/>
              <w:left w:val="single" w:sz="4" w:space="0" w:color="auto"/>
              <w:right w:val="single" w:sz="4" w:space="0" w:color="auto"/>
            </w:tcBorders>
            <w:tcMar>
              <w:left w:w="68" w:type="dxa"/>
              <w:right w:w="68" w:type="dxa"/>
            </w:tcMar>
            <w:vAlign w:val="center"/>
          </w:tcPr>
          <w:p w:rsidR="00000000" w:rsidRDefault="00000000">
            <w:pPr>
              <w:spacing w:after="60" w:line="216" w:lineRule="auto"/>
              <w:jc w:val="center"/>
              <w:rPr>
                <w:b/>
                <w:sz w:val="20"/>
                <w:szCs w:val="22"/>
              </w:rPr>
            </w:pPr>
            <w:r>
              <w:rPr>
                <w:b/>
                <w:sz w:val="20"/>
                <w:szCs w:val="22"/>
              </w:rPr>
              <w:t>Медицинская помощь</w:t>
            </w:r>
          </w:p>
        </w:tc>
        <w:tc>
          <w:tcPr>
            <w:tcW w:w="1533" w:type="dxa"/>
            <w:vMerge w:val="restart"/>
            <w:tcBorders>
              <w:top w:val="single" w:sz="4" w:space="0" w:color="auto"/>
              <w:left w:val="single" w:sz="4" w:space="0" w:color="auto"/>
              <w:right w:val="single" w:sz="4" w:space="0" w:color="auto"/>
            </w:tcBorders>
            <w:tcMar>
              <w:left w:w="68" w:type="dxa"/>
              <w:right w:w="68" w:type="dxa"/>
            </w:tcMar>
            <w:vAlign w:val="center"/>
          </w:tcPr>
          <w:p w:rsidR="00000000" w:rsidRDefault="00000000">
            <w:pPr>
              <w:spacing w:after="60" w:line="216" w:lineRule="auto"/>
              <w:jc w:val="center"/>
              <w:rPr>
                <w:b/>
                <w:sz w:val="20"/>
                <w:szCs w:val="22"/>
              </w:rPr>
            </w:pPr>
            <w:r>
              <w:rPr>
                <w:b/>
                <w:sz w:val="20"/>
                <w:szCs w:val="22"/>
              </w:rPr>
              <w:t>Компенсация за производствен</w:t>
            </w:r>
            <w:r>
              <w:rPr>
                <w:b/>
                <w:sz w:val="20"/>
                <w:szCs w:val="22"/>
              </w:rPr>
              <w:softHyphen/>
              <w:t>ные травмы</w:t>
            </w:r>
          </w:p>
        </w:tc>
        <w:tc>
          <w:tcPr>
            <w:tcW w:w="1646" w:type="dxa"/>
            <w:vMerge w:val="restart"/>
            <w:tcBorders>
              <w:top w:val="single" w:sz="4" w:space="0" w:color="auto"/>
              <w:left w:val="single" w:sz="4" w:space="0" w:color="auto"/>
              <w:right w:val="single" w:sz="4" w:space="0" w:color="auto"/>
            </w:tcBorders>
            <w:tcMar>
              <w:left w:w="68" w:type="dxa"/>
              <w:right w:w="68" w:type="dxa"/>
            </w:tcMar>
            <w:vAlign w:val="center"/>
          </w:tcPr>
          <w:p w:rsidR="00000000" w:rsidRDefault="00000000">
            <w:pPr>
              <w:spacing w:after="60" w:line="216" w:lineRule="auto"/>
              <w:jc w:val="center"/>
              <w:rPr>
                <w:b/>
                <w:sz w:val="20"/>
                <w:szCs w:val="22"/>
              </w:rPr>
            </w:pPr>
            <w:r>
              <w:rPr>
                <w:b/>
                <w:sz w:val="20"/>
                <w:szCs w:val="22"/>
              </w:rPr>
              <w:t>Привлечение к ответственности на основании Закона о контроле над иммиграцией</w:t>
            </w:r>
          </w:p>
        </w:tc>
        <w:tc>
          <w:tcPr>
            <w:tcW w:w="804" w:type="dxa"/>
            <w:vMerge w:val="restart"/>
            <w:tcBorders>
              <w:top w:val="single" w:sz="4" w:space="0" w:color="auto"/>
              <w:left w:val="single" w:sz="4" w:space="0" w:color="auto"/>
              <w:right w:val="single" w:sz="4" w:space="0" w:color="auto"/>
            </w:tcBorders>
            <w:tcMar>
              <w:left w:w="68" w:type="dxa"/>
              <w:right w:w="68" w:type="dxa"/>
            </w:tcMar>
            <w:vAlign w:val="center"/>
          </w:tcPr>
          <w:p w:rsidR="00000000" w:rsidRDefault="00000000">
            <w:pPr>
              <w:spacing w:after="60" w:line="216" w:lineRule="auto"/>
              <w:rPr>
                <w:b/>
                <w:sz w:val="20"/>
                <w:szCs w:val="22"/>
              </w:rPr>
            </w:pPr>
            <w:r>
              <w:rPr>
                <w:b/>
                <w:sz w:val="20"/>
                <w:szCs w:val="22"/>
              </w:rPr>
              <w:t>Прочее</w:t>
            </w:r>
          </w:p>
        </w:tc>
      </w:tr>
      <w:tr w:rsidR="00000000">
        <w:tblPrEx>
          <w:tblCellMar>
            <w:top w:w="0" w:type="dxa"/>
            <w:bottom w:w="0" w:type="dxa"/>
          </w:tblCellMar>
        </w:tblPrEx>
        <w:trPr>
          <w:cantSplit/>
        </w:trPr>
        <w:tc>
          <w:tcPr>
            <w:tcW w:w="808" w:type="dxa"/>
            <w:vMerge/>
            <w:tcBorders>
              <w:left w:val="single" w:sz="4" w:space="0" w:color="auto"/>
              <w:bottom w:val="single" w:sz="4" w:space="0" w:color="auto"/>
              <w:right w:val="single" w:sz="4" w:space="0" w:color="auto"/>
              <w:tl2br w:val="single" w:sz="4" w:space="0" w:color="auto"/>
            </w:tcBorders>
            <w:tcMar>
              <w:left w:w="68" w:type="dxa"/>
              <w:right w:w="68" w:type="dxa"/>
            </w:tcMar>
            <w:vAlign w:val="center"/>
          </w:tcPr>
          <w:p w:rsidR="00000000" w:rsidRDefault="00000000">
            <w:pPr>
              <w:spacing w:after="60" w:line="216" w:lineRule="auto"/>
              <w:rPr>
                <w:sz w:val="22"/>
                <w:szCs w:val="22"/>
              </w:rPr>
            </w:pPr>
          </w:p>
        </w:tc>
        <w:tc>
          <w:tcPr>
            <w:tcW w:w="869" w:type="dxa"/>
            <w:vMerge/>
            <w:tcBorders>
              <w:left w:val="single" w:sz="4" w:space="0" w:color="auto"/>
              <w:bottom w:val="single" w:sz="4" w:space="0" w:color="auto"/>
              <w:right w:val="single" w:sz="4" w:space="0" w:color="auto"/>
            </w:tcBorders>
            <w:tcMar>
              <w:left w:w="68" w:type="dxa"/>
              <w:right w:w="68" w:type="dxa"/>
            </w:tcMar>
            <w:vAlign w:val="center"/>
          </w:tcPr>
          <w:p w:rsidR="00000000" w:rsidRDefault="00000000">
            <w:pPr>
              <w:spacing w:after="60" w:line="216" w:lineRule="auto"/>
              <w:rPr>
                <w:sz w:val="22"/>
                <w:szCs w:val="22"/>
              </w:rPr>
            </w:pPr>
          </w:p>
        </w:tc>
        <w:tc>
          <w:tcPr>
            <w:tcW w:w="979"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after="60" w:line="216" w:lineRule="auto"/>
              <w:jc w:val="center"/>
              <w:rPr>
                <w:b/>
                <w:sz w:val="22"/>
                <w:szCs w:val="22"/>
              </w:rPr>
            </w:pPr>
            <w:r>
              <w:rPr>
                <w:b/>
                <w:sz w:val="22"/>
                <w:szCs w:val="22"/>
              </w:rPr>
              <w:t>Число случаев</w:t>
            </w:r>
          </w:p>
        </w:tc>
        <w:tc>
          <w:tcPr>
            <w:tcW w:w="1463"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after="60" w:line="216" w:lineRule="auto"/>
              <w:jc w:val="center"/>
              <w:rPr>
                <w:b/>
                <w:sz w:val="22"/>
                <w:szCs w:val="22"/>
              </w:rPr>
            </w:pPr>
            <w:r>
              <w:rPr>
                <w:b/>
                <w:sz w:val="22"/>
                <w:szCs w:val="22"/>
              </w:rPr>
              <w:t>Сумма</w:t>
            </w:r>
          </w:p>
          <w:p w:rsidR="00000000" w:rsidRDefault="00000000">
            <w:pPr>
              <w:spacing w:after="60" w:line="216" w:lineRule="auto"/>
              <w:jc w:val="center"/>
              <w:rPr>
                <w:sz w:val="22"/>
                <w:szCs w:val="22"/>
              </w:rPr>
            </w:pPr>
            <w:r>
              <w:rPr>
                <w:sz w:val="22"/>
                <w:szCs w:val="22"/>
              </w:rPr>
              <w:t>(1000 корейских вон)</w:t>
            </w:r>
          </w:p>
        </w:tc>
        <w:tc>
          <w:tcPr>
            <w:tcW w:w="1388" w:type="dxa"/>
            <w:vMerge/>
            <w:tcBorders>
              <w:left w:val="single" w:sz="4" w:space="0" w:color="auto"/>
              <w:bottom w:val="single" w:sz="4" w:space="0" w:color="auto"/>
              <w:right w:val="single" w:sz="4" w:space="0" w:color="auto"/>
            </w:tcBorders>
            <w:tcMar>
              <w:left w:w="68" w:type="dxa"/>
              <w:right w:w="68" w:type="dxa"/>
            </w:tcMar>
            <w:vAlign w:val="center"/>
          </w:tcPr>
          <w:p w:rsidR="00000000" w:rsidRDefault="00000000">
            <w:pPr>
              <w:spacing w:after="60" w:line="216" w:lineRule="auto"/>
              <w:rPr>
                <w:sz w:val="22"/>
                <w:szCs w:val="22"/>
              </w:rPr>
            </w:pPr>
          </w:p>
        </w:tc>
        <w:tc>
          <w:tcPr>
            <w:tcW w:w="1533" w:type="dxa"/>
            <w:vMerge/>
            <w:tcBorders>
              <w:left w:val="single" w:sz="4" w:space="0" w:color="auto"/>
              <w:bottom w:val="single" w:sz="4" w:space="0" w:color="auto"/>
              <w:right w:val="single" w:sz="4" w:space="0" w:color="auto"/>
            </w:tcBorders>
            <w:tcMar>
              <w:left w:w="68" w:type="dxa"/>
              <w:right w:w="68" w:type="dxa"/>
            </w:tcMar>
            <w:vAlign w:val="center"/>
          </w:tcPr>
          <w:p w:rsidR="00000000" w:rsidRDefault="00000000">
            <w:pPr>
              <w:spacing w:after="60" w:line="216" w:lineRule="auto"/>
              <w:rPr>
                <w:sz w:val="22"/>
                <w:szCs w:val="22"/>
              </w:rPr>
            </w:pPr>
          </w:p>
        </w:tc>
        <w:tc>
          <w:tcPr>
            <w:tcW w:w="1646" w:type="dxa"/>
            <w:vMerge/>
            <w:tcBorders>
              <w:left w:val="single" w:sz="4" w:space="0" w:color="auto"/>
              <w:bottom w:val="single" w:sz="4" w:space="0" w:color="auto"/>
              <w:right w:val="single" w:sz="4" w:space="0" w:color="auto"/>
            </w:tcBorders>
            <w:tcMar>
              <w:left w:w="68" w:type="dxa"/>
              <w:right w:w="68" w:type="dxa"/>
            </w:tcMar>
            <w:vAlign w:val="center"/>
          </w:tcPr>
          <w:p w:rsidR="00000000" w:rsidRDefault="00000000">
            <w:pPr>
              <w:spacing w:after="60" w:line="216" w:lineRule="auto"/>
              <w:rPr>
                <w:sz w:val="22"/>
                <w:szCs w:val="22"/>
              </w:rPr>
            </w:pPr>
          </w:p>
        </w:tc>
        <w:tc>
          <w:tcPr>
            <w:tcW w:w="804" w:type="dxa"/>
            <w:vMerge/>
            <w:tcBorders>
              <w:left w:val="single" w:sz="4" w:space="0" w:color="auto"/>
              <w:bottom w:val="single" w:sz="4" w:space="0" w:color="auto"/>
              <w:right w:val="single" w:sz="4" w:space="0" w:color="auto"/>
            </w:tcBorders>
            <w:tcMar>
              <w:left w:w="68" w:type="dxa"/>
              <w:right w:w="68" w:type="dxa"/>
            </w:tcMar>
            <w:vAlign w:val="center"/>
          </w:tcPr>
          <w:p w:rsidR="00000000" w:rsidRDefault="00000000">
            <w:pPr>
              <w:spacing w:after="60" w:line="216" w:lineRule="auto"/>
              <w:rPr>
                <w:sz w:val="22"/>
                <w:szCs w:val="22"/>
              </w:rPr>
            </w:pPr>
          </w:p>
        </w:tc>
      </w:tr>
      <w:tr w:rsidR="00000000">
        <w:tblPrEx>
          <w:tblCellMar>
            <w:top w:w="0" w:type="dxa"/>
            <w:bottom w:w="0" w:type="dxa"/>
          </w:tblCellMar>
        </w:tblPrEx>
        <w:trPr>
          <w:cantSplit/>
        </w:trPr>
        <w:tc>
          <w:tcPr>
            <w:tcW w:w="808"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spacing w:after="60"/>
              <w:jc w:val="center"/>
              <w:rPr>
                <w:sz w:val="22"/>
                <w:szCs w:val="22"/>
              </w:rPr>
            </w:pPr>
            <w:r>
              <w:rPr>
                <w:sz w:val="22"/>
                <w:szCs w:val="22"/>
              </w:rPr>
              <w:t>2005</w:t>
            </w:r>
          </w:p>
        </w:tc>
        <w:tc>
          <w:tcPr>
            <w:tcW w:w="869"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tabs>
                <w:tab w:val="clear" w:pos="567"/>
              </w:tabs>
              <w:spacing w:after="60"/>
              <w:ind w:right="51"/>
              <w:jc w:val="right"/>
              <w:rPr>
                <w:sz w:val="22"/>
                <w:szCs w:val="22"/>
              </w:rPr>
            </w:pPr>
            <w:r>
              <w:rPr>
                <w:sz w:val="22"/>
                <w:szCs w:val="22"/>
              </w:rPr>
              <w:t>13 772</w:t>
            </w:r>
          </w:p>
        </w:tc>
        <w:tc>
          <w:tcPr>
            <w:tcW w:w="979"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tabs>
                <w:tab w:val="clear" w:pos="567"/>
              </w:tabs>
              <w:spacing w:after="60"/>
              <w:ind w:right="52"/>
              <w:jc w:val="right"/>
              <w:rPr>
                <w:sz w:val="22"/>
                <w:szCs w:val="22"/>
              </w:rPr>
            </w:pPr>
            <w:r>
              <w:rPr>
                <w:sz w:val="22"/>
                <w:szCs w:val="22"/>
              </w:rPr>
              <w:t>11 295</w:t>
            </w:r>
          </w:p>
        </w:tc>
        <w:tc>
          <w:tcPr>
            <w:tcW w:w="1463"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tabs>
                <w:tab w:val="clear" w:pos="567"/>
                <w:tab w:val="clear" w:pos="1134"/>
              </w:tabs>
              <w:spacing w:after="60"/>
              <w:ind w:right="215"/>
              <w:jc w:val="right"/>
              <w:rPr>
                <w:sz w:val="22"/>
                <w:szCs w:val="22"/>
              </w:rPr>
            </w:pPr>
            <w:r>
              <w:rPr>
                <w:sz w:val="22"/>
                <w:szCs w:val="22"/>
              </w:rPr>
              <w:t>11 389241</w:t>
            </w:r>
          </w:p>
        </w:tc>
        <w:tc>
          <w:tcPr>
            <w:tcW w:w="1388"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tabs>
                <w:tab w:val="clear" w:pos="567"/>
                <w:tab w:val="clear" w:pos="1134"/>
              </w:tabs>
              <w:spacing w:after="60"/>
              <w:ind w:right="196"/>
              <w:jc w:val="right"/>
              <w:rPr>
                <w:sz w:val="22"/>
                <w:szCs w:val="22"/>
              </w:rPr>
            </w:pPr>
            <w:r>
              <w:rPr>
                <w:sz w:val="22"/>
                <w:szCs w:val="22"/>
              </w:rPr>
              <w:t>280</w:t>
            </w:r>
          </w:p>
        </w:tc>
        <w:tc>
          <w:tcPr>
            <w:tcW w:w="1533"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tabs>
                <w:tab w:val="clear" w:pos="567"/>
                <w:tab w:val="clear" w:pos="1134"/>
              </w:tabs>
              <w:spacing w:after="60"/>
              <w:ind w:right="292"/>
              <w:jc w:val="right"/>
              <w:rPr>
                <w:sz w:val="22"/>
                <w:szCs w:val="22"/>
              </w:rPr>
            </w:pPr>
            <w:r>
              <w:rPr>
                <w:sz w:val="22"/>
                <w:szCs w:val="22"/>
              </w:rPr>
              <w:t>3</w:t>
            </w:r>
          </w:p>
        </w:tc>
        <w:tc>
          <w:tcPr>
            <w:tcW w:w="1646"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tabs>
                <w:tab w:val="clear" w:pos="567"/>
                <w:tab w:val="clear" w:pos="1134"/>
              </w:tabs>
              <w:spacing w:after="60"/>
              <w:ind w:right="292"/>
              <w:jc w:val="right"/>
              <w:rPr>
                <w:sz w:val="22"/>
                <w:szCs w:val="22"/>
              </w:rPr>
            </w:pPr>
            <w:r>
              <w:rPr>
                <w:sz w:val="22"/>
                <w:szCs w:val="22"/>
              </w:rPr>
              <w:t>555</w:t>
            </w:r>
          </w:p>
        </w:tc>
        <w:tc>
          <w:tcPr>
            <w:tcW w:w="804"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000000" w:rsidRDefault="00000000">
            <w:pPr>
              <w:tabs>
                <w:tab w:val="clear" w:pos="567"/>
              </w:tabs>
              <w:spacing w:after="60"/>
              <w:ind w:right="34"/>
              <w:jc w:val="right"/>
              <w:rPr>
                <w:sz w:val="22"/>
                <w:szCs w:val="22"/>
              </w:rPr>
            </w:pPr>
            <w:r>
              <w:rPr>
                <w:sz w:val="22"/>
                <w:szCs w:val="22"/>
              </w:rPr>
              <w:t>1</w:t>
            </w:r>
            <w:r>
              <w:rPr>
                <w:sz w:val="22"/>
                <w:szCs w:val="22"/>
                <w:lang w:val="en-US"/>
              </w:rPr>
              <w:t xml:space="preserve"> </w:t>
            </w:r>
            <w:r>
              <w:rPr>
                <w:sz w:val="22"/>
                <w:szCs w:val="22"/>
              </w:rPr>
              <w:t>639</w:t>
            </w:r>
          </w:p>
        </w:tc>
      </w:tr>
      <w:tr w:rsidR="00000000">
        <w:tblPrEx>
          <w:tblCellMar>
            <w:top w:w="0" w:type="dxa"/>
            <w:bottom w:w="0" w:type="dxa"/>
          </w:tblCellMar>
        </w:tblPrEx>
        <w:trPr>
          <w:cantSplit/>
        </w:trPr>
        <w:tc>
          <w:tcPr>
            <w:tcW w:w="808" w:type="dxa"/>
            <w:tcBorders>
              <w:top w:val="single" w:sz="4" w:space="0" w:color="auto"/>
              <w:left w:val="single" w:sz="4" w:space="0" w:color="auto"/>
              <w:right w:val="single" w:sz="4" w:space="0" w:color="auto"/>
            </w:tcBorders>
            <w:tcMar>
              <w:left w:w="68" w:type="dxa"/>
              <w:right w:w="68" w:type="dxa"/>
            </w:tcMar>
            <w:vAlign w:val="center"/>
          </w:tcPr>
          <w:p w:rsidR="00000000" w:rsidRDefault="00000000">
            <w:pPr>
              <w:spacing w:after="60"/>
              <w:jc w:val="center"/>
              <w:rPr>
                <w:sz w:val="22"/>
                <w:szCs w:val="22"/>
              </w:rPr>
            </w:pPr>
            <w:r>
              <w:rPr>
                <w:sz w:val="22"/>
                <w:szCs w:val="22"/>
              </w:rPr>
              <w:t>2004</w:t>
            </w:r>
          </w:p>
        </w:tc>
        <w:tc>
          <w:tcPr>
            <w:tcW w:w="869" w:type="dxa"/>
            <w:tcBorders>
              <w:top w:val="single" w:sz="4" w:space="0" w:color="auto"/>
              <w:left w:val="single" w:sz="4" w:space="0" w:color="auto"/>
              <w:right w:val="single" w:sz="4" w:space="0" w:color="auto"/>
            </w:tcBorders>
            <w:tcMar>
              <w:left w:w="68" w:type="dxa"/>
              <w:right w:w="68" w:type="dxa"/>
            </w:tcMar>
            <w:vAlign w:val="center"/>
          </w:tcPr>
          <w:p w:rsidR="00000000" w:rsidRDefault="00000000">
            <w:pPr>
              <w:tabs>
                <w:tab w:val="clear" w:pos="567"/>
              </w:tabs>
              <w:spacing w:after="60"/>
              <w:ind w:right="51"/>
              <w:jc w:val="right"/>
              <w:rPr>
                <w:sz w:val="22"/>
                <w:szCs w:val="22"/>
              </w:rPr>
            </w:pPr>
            <w:r>
              <w:rPr>
                <w:sz w:val="22"/>
                <w:szCs w:val="22"/>
              </w:rPr>
              <w:t>9 690</w:t>
            </w:r>
          </w:p>
        </w:tc>
        <w:tc>
          <w:tcPr>
            <w:tcW w:w="979" w:type="dxa"/>
            <w:tcBorders>
              <w:top w:val="single" w:sz="4" w:space="0" w:color="auto"/>
              <w:left w:val="single" w:sz="4" w:space="0" w:color="auto"/>
              <w:right w:val="single" w:sz="4" w:space="0" w:color="auto"/>
            </w:tcBorders>
            <w:tcMar>
              <w:left w:w="68" w:type="dxa"/>
              <w:right w:w="68" w:type="dxa"/>
            </w:tcMar>
            <w:vAlign w:val="center"/>
          </w:tcPr>
          <w:p w:rsidR="00000000" w:rsidRDefault="00000000">
            <w:pPr>
              <w:tabs>
                <w:tab w:val="clear" w:pos="567"/>
              </w:tabs>
              <w:spacing w:after="60"/>
              <w:ind w:right="52"/>
              <w:jc w:val="right"/>
              <w:rPr>
                <w:sz w:val="22"/>
                <w:szCs w:val="22"/>
              </w:rPr>
            </w:pPr>
            <w:r>
              <w:rPr>
                <w:sz w:val="22"/>
                <w:szCs w:val="22"/>
              </w:rPr>
              <w:t>6 561</w:t>
            </w:r>
          </w:p>
        </w:tc>
        <w:tc>
          <w:tcPr>
            <w:tcW w:w="1463" w:type="dxa"/>
            <w:tcBorders>
              <w:top w:val="single" w:sz="4" w:space="0" w:color="auto"/>
              <w:left w:val="single" w:sz="4" w:space="0" w:color="auto"/>
              <w:right w:val="single" w:sz="4" w:space="0" w:color="auto"/>
            </w:tcBorders>
            <w:tcMar>
              <w:left w:w="68" w:type="dxa"/>
              <w:right w:w="68" w:type="dxa"/>
            </w:tcMar>
            <w:vAlign w:val="center"/>
          </w:tcPr>
          <w:p w:rsidR="00000000" w:rsidRDefault="00000000">
            <w:pPr>
              <w:tabs>
                <w:tab w:val="clear" w:pos="567"/>
                <w:tab w:val="clear" w:pos="1134"/>
              </w:tabs>
              <w:spacing w:after="60"/>
              <w:ind w:right="215"/>
              <w:jc w:val="right"/>
              <w:rPr>
                <w:sz w:val="22"/>
                <w:szCs w:val="22"/>
              </w:rPr>
            </w:pPr>
            <w:r>
              <w:rPr>
                <w:sz w:val="22"/>
                <w:szCs w:val="22"/>
                <w:lang w:val="en-US"/>
              </w:rPr>
              <w:t xml:space="preserve">  </w:t>
            </w:r>
            <w:r>
              <w:rPr>
                <w:sz w:val="22"/>
                <w:szCs w:val="22"/>
              </w:rPr>
              <w:t>6 622 550</w:t>
            </w:r>
          </w:p>
        </w:tc>
        <w:tc>
          <w:tcPr>
            <w:tcW w:w="1388" w:type="dxa"/>
            <w:tcBorders>
              <w:top w:val="single" w:sz="4" w:space="0" w:color="auto"/>
              <w:left w:val="single" w:sz="4" w:space="0" w:color="auto"/>
              <w:right w:val="single" w:sz="4" w:space="0" w:color="auto"/>
            </w:tcBorders>
            <w:tcMar>
              <w:left w:w="68" w:type="dxa"/>
              <w:right w:w="68" w:type="dxa"/>
            </w:tcMar>
            <w:vAlign w:val="center"/>
          </w:tcPr>
          <w:p w:rsidR="00000000" w:rsidRDefault="00000000">
            <w:pPr>
              <w:tabs>
                <w:tab w:val="clear" w:pos="567"/>
                <w:tab w:val="clear" w:pos="1134"/>
              </w:tabs>
              <w:spacing w:after="60"/>
              <w:ind w:right="196"/>
              <w:jc w:val="right"/>
              <w:rPr>
                <w:sz w:val="22"/>
                <w:szCs w:val="22"/>
              </w:rPr>
            </w:pPr>
            <w:r>
              <w:rPr>
                <w:sz w:val="22"/>
                <w:szCs w:val="22"/>
              </w:rPr>
              <w:t>384</w:t>
            </w:r>
          </w:p>
        </w:tc>
        <w:tc>
          <w:tcPr>
            <w:tcW w:w="1533" w:type="dxa"/>
            <w:tcBorders>
              <w:top w:val="single" w:sz="4" w:space="0" w:color="auto"/>
              <w:left w:val="single" w:sz="4" w:space="0" w:color="auto"/>
              <w:right w:val="single" w:sz="4" w:space="0" w:color="auto"/>
            </w:tcBorders>
            <w:tcMar>
              <w:left w:w="68" w:type="dxa"/>
              <w:right w:w="68" w:type="dxa"/>
            </w:tcMar>
            <w:vAlign w:val="center"/>
          </w:tcPr>
          <w:p w:rsidR="00000000" w:rsidRDefault="00000000">
            <w:pPr>
              <w:tabs>
                <w:tab w:val="clear" w:pos="567"/>
                <w:tab w:val="clear" w:pos="1134"/>
              </w:tabs>
              <w:spacing w:after="60"/>
              <w:ind w:right="292"/>
              <w:jc w:val="right"/>
              <w:rPr>
                <w:sz w:val="22"/>
                <w:szCs w:val="22"/>
              </w:rPr>
            </w:pPr>
            <w:r>
              <w:rPr>
                <w:sz w:val="22"/>
                <w:szCs w:val="22"/>
              </w:rPr>
              <w:t>8</w:t>
            </w:r>
          </w:p>
        </w:tc>
        <w:tc>
          <w:tcPr>
            <w:tcW w:w="1646" w:type="dxa"/>
            <w:tcBorders>
              <w:top w:val="single" w:sz="4" w:space="0" w:color="auto"/>
              <w:left w:val="single" w:sz="4" w:space="0" w:color="auto"/>
              <w:right w:val="single" w:sz="4" w:space="0" w:color="auto"/>
            </w:tcBorders>
            <w:tcMar>
              <w:left w:w="68" w:type="dxa"/>
              <w:right w:w="68" w:type="dxa"/>
            </w:tcMar>
            <w:vAlign w:val="center"/>
          </w:tcPr>
          <w:p w:rsidR="00000000" w:rsidRDefault="00000000">
            <w:pPr>
              <w:tabs>
                <w:tab w:val="clear" w:pos="567"/>
                <w:tab w:val="clear" w:pos="1134"/>
              </w:tabs>
              <w:spacing w:after="60"/>
              <w:ind w:right="292"/>
              <w:jc w:val="right"/>
              <w:rPr>
                <w:sz w:val="22"/>
                <w:szCs w:val="22"/>
              </w:rPr>
            </w:pPr>
            <w:r>
              <w:rPr>
                <w:sz w:val="22"/>
                <w:szCs w:val="22"/>
              </w:rPr>
              <w:t>353</w:t>
            </w:r>
          </w:p>
        </w:tc>
        <w:tc>
          <w:tcPr>
            <w:tcW w:w="804" w:type="dxa"/>
            <w:tcBorders>
              <w:top w:val="single" w:sz="4" w:space="0" w:color="auto"/>
              <w:left w:val="single" w:sz="4" w:space="0" w:color="auto"/>
              <w:right w:val="single" w:sz="4" w:space="0" w:color="auto"/>
            </w:tcBorders>
            <w:tcMar>
              <w:left w:w="68" w:type="dxa"/>
              <w:right w:w="68" w:type="dxa"/>
            </w:tcMar>
            <w:vAlign w:val="center"/>
          </w:tcPr>
          <w:p w:rsidR="00000000" w:rsidRDefault="00000000">
            <w:pPr>
              <w:tabs>
                <w:tab w:val="clear" w:pos="567"/>
              </w:tabs>
              <w:spacing w:after="60"/>
              <w:ind w:right="34"/>
              <w:jc w:val="right"/>
              <w:rPr>
                <w:sz w:val="22"/>
                <w:szCs w:val="22"/>
              </w:rPr>
            </w:pPr>
            <w:r>
              <w:rPr>
                <w:sz w:val="22"/>
                <w:szCs w:val="22"/>
              </w:rPr>
              <w:t>2</w:t>
            </w:r>
            <w:r>
              <w:rPr>
                <w:sz w:val="22"/>
                <w:szCs w:val="22"/>
                <w:lang w:val="en-US"/>
              </w:rPr>
              <w:t xml:space="preserve"> </w:t>
            </w:r>
            <w:r>
              <w:rPr>
                <w:sz w:val="22"/>
                <w:szCs w:val="22"/>
              </w:rPr>
              <w:t>384</w:t>
            </w:r>
          </w:p>
        </w:tc>
      </w:tr>
      <w:tr w:rsidR="00000000">
        <w:tblPrEx>
          <w:tblCellMar>
            <w:top w:w="0" w:type="dxa"/>
            <w:bottom w:w="0" w:type="dxa"/>
          </w:tblCellMar>
        </w:tblPrEx>
        <w:trPr>
          <w:cantSplit/>
        </w:trPr>
        <w:tc>
          <w:tcPr>
            <w:tcW w:w="808" w:type="dxa"/>
            <w:tcBorders>
              <w:left w:val="single" w:sz="4" w:space="0" w:color="auto"/>
            </w:tcBorders>
            <w:tcMar>
              <w:left w:w="68" w:type="dxa"/>
              <w:right w:w="68" w:type="dxa"/>
            </w:tcMar>
            <w:vAlign w:val="center"/>
          </w:tcPr>
          <w:p w:rsidR="00000000" w:rsidRDefault="00000000">
            <w:pPr>
              <w:spacing w:after="60"/>
              <w:jc w:val="center"/>
              <w:rPr>
                <w:sz w:val="22"/>
                <w:szCs w:val="22"/>
              </w:rPr>
            </w:pPr>
            <w:r>
              <w:rPr>
                <w:sz w:val="22"/>
                <w:szCs w:val="22"/>
              </w:rPr>
              <w:t>2003</w:t>
            </w:r>
          </w:p>
        </w:tc>
        <w:tc>
          <w:tcPr>
            <w:tcW w:w="869" w:type="dxa"/>
            <w:tcMar>
              <w:left w:w="68" w:type="dxa"/>
              <w:right w:w="68" w:type="dxa"/>
            </w:tcMar>
            <w:vAlign w:val="center"/>
          </w:tcPr>
          <w:p w:rsidR="00000000" w:rsidRDefault="00000000">
            <w:pPr>
              <w:tabs>
                <w:tab w:val="clear" w:pos="567"/>
              </w:tabs>
              <w:spacing w:after="60"/>
              <w:ind w:right="51"/>
              <w:jc w:val="right"/>
              <w:rPr>
                <w:sz w:val="22"/>
                <w:szCs w:val="22"/>
              </w:rPr>
            </w:pPr>
            <w:r>
              <w:rPr>
                <w:sz w:val="22"/>
                <w:szCs w:val="22"/>
              </w:rPr>
              <w:t>2 866</w:t>
            </w:r>
          </w:p>
        </w:tc>
        <w:tc>
          <w:tcPr>
            <w:tcW w:w="979" w:type="dxa"/>
            <w:tcMar>
              <w:left w:w="68" w:type="dxa"/>
              <w:right w:w="68" w:type="dxa"/>
            </w:tcMar>
            <w:vAlign w:val="center"/>
          </w:tcPr>
          <w:p w:rsidR="00000000" w:rsidRDefault="00000000">
            <w:pPr>
              <w:tabs>
                <w:tab w:val="clear" w:pos="567"/>
              </w:tabs>
              <w:spacing w:after="60"/>
              <w:ind w:right="52"/>
              <w:jc w:val="right"/>
              <w:rPr>
                <w:sz w:val="22"/>
                <w:szCs w:val="22"/>
              </w:rPr>
            </w:pPr>
            <w:r>
              <w:rPr>
                <w:sz w:val="22"/>
                <w:szCs w:val="22"/>
              </w:rPr>
              <w:t>1 267</w:t>
            </w:r>
          </w:p>
        </w:tc>
        <w:tc>
          <w:tcPr>
            <w:tcW w:w="1463" w:type="dxa"/>
            <w:tcMar>
              <w:left w:w="68" w:type="dxa"/>
              <w:right w:w="68" w:type="dxa"/>
            </w:tcMar>
            <w:vAlign w:val="center"/>
          </w:tcPr>
          <w:p w:rsidR="00000000" w:rsidRDefault="00000000">
            <w:pPr>
              <w:tabs>
                <w:tab w:val="clear" w:pos="567"/>
                <w:tab w:val="clear" w:pos="1134"/>
              </w:tabs>
              <w:spacing w:after="60"/>
              <w:ind w:right="215"/>
              <w:jc w:val="right"/>
              <w:rPr>
                <w:sz w:val="22"/>
                <w:szCs w:val="22"/>
              </w:rPr>
            </w:pPr>
            <w:r>
              <w:rPr>
                <w:sz w:val="22"/>
                <w:szCs w:val="22"/>
                <w:lang w:val="en-US"/>
              </w:rPr>
              <w:t xml:space="preserve">  </w:t>
            </w:r>
            <w:r>
              <w:rPr>
                <w:sz w:val="22"/>
                <w:szCs w:val="22"/>
              </w:rPr>
              <w:t>1 546 272</w:t>
            </w:r>
          </w:p>
        </w:tc>
        <w:tc>
          <w:tcPr>
            <w:tcW w:w="1388" w:type="dxa"/>
            <w:tcMar>
              <w:left w:w="68" w:type="dxa"/>
              <w:right w:w="68" w:type="dxa"/>
            </w:tcMar>
            <w:vAlign w:val="center"/>
          </w:tcPr>
          <w:p w:rsidR="00000000" w:rsidRDefault="00000000">
            <w:pPr>
              <w:tabs>
                <w:tab w:val="clear" w:pos="567"/>
                <w:tab w:val="clear" w:pos="1134"/>
              </w:tabs>
              <w:spacing w:after="60"/>
              <w:ind w:right="196"/>
              <w:jc w:val="right"/>
              <w:rPr>
                <w:sz w:val="22"/>
                <w:szCs w:val="22"/>
              </w:rPr>
            </w:pPr>
            <w:r>
              <w:rPr>
                <w:sz w:val="22"/>
                <w:szCs w:val="22"/>
              </w:rPr>
              <w:t>358</w:t>
            </w:r>
          </w:p>
        </w:tc>
        <w:tc>
          <w:tcPr>
            <w:tcW w:w="1533" w:type="dxa"/>
            <w:tcMar>
              <w:left w:w="68" w:type="dxa"/>
              <w:right w:w="68" w:type="dxa"/>
            </w:tcMar>
            <w:vAlign w:val="center"/>
          </w:tcPr>
          <w:p w:rsidR="00000000" w:rsidRDefault="00000000">
            <w:pPr>
              <w:tabs>
                <w:tab w:val="clear" w:pos="567"/>
                <w:tab w:val="clear" w:pos="1134"/>
              </w:tabs>
              <w:spacing w:after="60"/>
              <w:ind w:right="292"/>
              <w:jc w:val="right"/>
              <w:rPr>
                <w:sz w:val="22"/>
                <w:szCs w:val="22"/>
              </w:rPr>
            </w:pPr>
            <w:r>
              <w:rPr>
                <w:sz w:val="22"/>
                <w:szCs w:val="22"/>
              </w:rPr>
              <w:t>3</w:t>
            </w:r>
          </w:p>
        </w:tc>
        <w:tc>
          <w:tcPr>
            <w:tcW w:w="1646" w:type="dxa"/>
            <w:tcMar>
              <w:left w:w="68" w:type="dxa"/>
              <w:right w:w="68" w:type="dxa"/>
            </w:tcMar>
            <w:vAlign w:val="center"/>
          </w:tcPr>
          <w:p w:rsidR="00000000" w:rsidRDefault="00000000">
            <w:pPr>
              <w:tabs>
                <w:tab w:val="clear" w:pos="567"/>
                <w:tab w:val="clear" w:pos="1134"/>
              </w:tabs>
              <w:spacing w:after="60"/>
              <w:ind w:right="292"/>
              <w:jc w:val="right"/>
              <w:rPr>
                <w:sz w:val="22"/>
                <w:szCs w:val="22"/>
              </w:rPr>
            </w:pPr>
            <w:r>
              <w:rPr>
                <w:sz w:val="22"/>
                <w:szCs w:val="22"/>
              </w:rPr>
              <w:t>492</w:t>
            </w:r>
          </w:p>
        </w:tc>
        <w:tc>
          <w:tcPr>
            <w:tcW w:w="804" w:type="dxa"/>
            <w:tcBorders>
              <w:right w:val="single" w:sz="4" w:space="0" w:color="auto"/>
            </w:tcBorders>
            <w:tcMar>
              <w:left w:w="68" w:type="dxa"/>
              <w:right w:w="68" w:type="dxa"/>
            </w:tcMar>
            <w:vAlign w:val="center"/>
          </w:tcPr>
          <w:p w:rsidR="00000000" w:rsidRDefault="00000000">
            <w:pPr>
              <w:tabs>
                <w:tab w:val="clear" w:pos="567"/>
              </w:tabs>
              <w:spacing w:after="60"/>
              <w:ind w:right="34"/>
              <w:jc w:val="right"/>
              <w:rPr>
                <w:sz w:val="22"/>
                <w:szCs w:val="22"/>
              </w:rPr>
            </w:pPr>
            <w:r>
              <w:rPr>
                <w:sz w:val="22"/>
                <w:szCs w:val="22"/>
              </w:rPr>
              <w:t>746</w:t>
            </w:r>
          </w:p>
        </w:tc>
      </w:tr>
      <w:tr w:rsidR="00000000">
        <w:tblPrEx>
          <w:tblCellMar>
            <w:top w:w="0" w:type="dxa"/>
            <w:bottom w:w="0" w:type="dxa"/>
          </w:tblCellMar>
        </w:tblPrEx>
        <w:trPr>
          <w:cantSplit/>
        </w:trPr>
        <w:tc>
          <w:tcPr>
            <w:tcW w:w="808" w:type="dxa"/>
            <w:tcBorders>
              <w:left w:val="single" w:sz="4" w:space="0" w:color="auto"/>
              <w:right w:val="single" w:sz="4" w:space="0" w:color="auto"/>
            </w:tcBorders>
            <w:tcMar>
              <w:left w:w="68" w:type="dxa"/>
              <w:right w:w="68" w:type="dxa"/>
            </w:tcMar>
            <w:vAlign w:val="center"/>
          </w:tcPr>
          <w:p w:rsidR="00000000" w:rsidRDefault="00000000">
            <w:pPr>
              <w:spacing w:after="60"/>
              <w:jc w:val="center"/>
              <w:rPr>
                <w:sz w:val="22"/>
                <w:szCs w:val="22"/>
              </w:rPr>
            </w:pPr>
            <w:r>
              <w:rPr>
                <w:sz w:val="22"/>
                <w:szCs w:val="22"/>
              </w:rPr>
              <w:t>2002</w:t>
            </w:r>
          </w:p>
        </w:tc>
        <w:tc>
          <w:tcPr>
            <w:tcW w:w="869" w:type="dxa"/>
            <w:tcBorders>
              <w:left w:val="single" w:sz="4" w:space="0" w:color="auto"/>
              <w:right w:val="single" w:sz="4" w:space="0" w:color="auto"/>
            </w:tcBorders>
            <w:tcMar>
              <w:left w:w="68" w:type="dxa"/>
              <w:right w:w="68" w:type="dxa"/>
            </w:tcMar>
            <w:vAlign w:val="center"/>
          </w:tcPr>
          <w:p w:rsidR="00000000" w:rsidRDefault="00000000">
            <w:pPr>
              <w:tabs>
                <w:tab w:val="clear" w:pos="567"/>
              </w:tabs>
              <w:spacing w:after="60"/>
              <w:ind w:right="51"/>
              <w:jc w:val="right"/>
              <w:rPr>
                <w:sz w:val="22"/>
                <w:szCs w:val="22"/>
              </w:rPr>
            </w:pPr>
            <w:r>
              <w:rPr>
                <w:sz w:val="22"/>
                <w:szCs w:val="22"/>
              </w:rPr>
              <w:t>2 611</w:t>
            </w:r>
          </w:p>
        </w:tc>
        <w:tc>
          <w:tcPr>
            <w:tcW w:w="979" w:type="dxa"/>
            <w:tcBorders>
              <w:left w:val="single" w:sz="4" w:space="0" w:color="auto"/>
              <w:right w:val="single" w:sz="4" w:space="0" w:color="auto"/>
            </w:tcBorders>
            <w:tcMar>
              <w:left w:w="68" w:type="dxa"/>
              <w:right w:w="68" w:type="dxa"/>
            </w:tcMar>
            <w:vAlign w:val="center"/>
          </w:tcPr>
          <w:p w:rsidR="00000000" w:rsidRDefault="00000000">
            <w:pPr>
              <w:tabs>
                <w:tab w:val="clear" w:pos="567"/>
              </w:tabs>
              <w:spacing w:after="60"/>
              <w:ind w:right="52"/>
              <w:jc w:val="right"/>
              <w:rPr>
                <w:sz w:val="22"/>
                <w:szCs w:val="22"/>
              </w:rPr>
            </w:pPr>
            <w:r>
              <w:rPr>
                <w:sz w:val="22"/>
                <w:szCs w:val="22"/>
              </w:rPr>
              <w:t>9 54</w:t>
            </w:r>
          </w:p>
        </w:tc>
        <w:tc>
          <w:tcPr>
            <w:tcW w:w="1463" w:type="dxa"/>
            <w:tcBorders>
              <w:left w:val="single" w:sz="4" w:space="0" w:color="auto"/>
              <w:right w:val="single" w:sz="4" w:space="0" w:color="auto"/>
            </w:tcBorders>
            <w:tcMar>
              <w:left w:w="68" w:type="dxa"/>
              <w:right w:w="68" w:type="dxa"/>
            </w:tcMar>
            <w:vAlign w:val="center"/>
          </w:tcPr>
          <w:p w:rsidR="00000000" w:rsidRDefault="00000000">
            <w:pPr>
              <w:tabs>
                <w:tab w:val="clear" w:pos="567"/>
                <w:tab w:val="clear" w:pos="1134"/>
              </w:tabs>
              <w:spacing w:after="60"/>
              <w:ind w:right="215"/>
              <w:jc w:val="right"/>
              <w:rPr>
                <w:sz w:val="22"/>
                <w:szCs w:val="22"/>
              </w:rPr>
            </w:pPr>
            <w:r>
              <w:rPr>
                <w:sz w:val="22"/>
                <w:szCs w:val="22"/>
              </w:rPr>
              <w:t>927 187</w:t>
            </w:r>
          </w:p>
        </w:tc>
        <w:tc>
          <w:tcPr>
            <w:tcW w:w="1388" w:type="dxa"/>
            <w:tcBorders>
              <w:left w:val="single" w:sz="4" w:space="0" w:color="auto"/>
              <w:right w:val="single" w:sz="4" w:space="0" w:color="auto"/>
            </w:tcBorders>
            <w:tcMar>
              <w:left w:w="68" w:type="dxa"/>
              <w:right w:w="68" w:type="dxa"/>
            </w:tcMar>
            <w:vAlign w:val="center"/>
          </w:tcPr>
          <w:p w:rsidR="00000000" w:rsidRDefault="00000000">
            <w:pPr>
              <w:tabs>
                <w:tab w:val="clear" w:pos="567"/>
                <w:tab w:val="clear" w:pos="1134"/>
              </w:tabs>
              <w:spacing w:after="60"/>
              <w:ind w:right="196"/>
              <w:jc w:val="right"/>
              <w:rPr>
                <w:sz w:val="22"/>
                <w:szCs w:val="22"/>
              </w:rPr>
            </w:pPr>
            <w:r>
              <w:rPr>
                <w:sz w:val="22"/>
                <w:szCs w:val="22"/>
              </w:rPr>
              <w:t>213</w:t>
            </w:r>
          </w:p>
        </w:tc>
        <w:tc>
          <w:tcPr>
            <w:tcW w:w="1533" w:type="dxa"/>
            <w:tcBorders>
              <w:left w:val="single" w:sz="4" w:space="0" w:color="auto"/>
              <w:right w:val="single" w:sz="4" w:space="0" w:color="auto"/>
            </w:tcBorders>
            <w:tcMar>
              <w:left w:w="68" w:type="dxa"/>
              <w:right w:w="68" w:type="dxa"/>
            </w:tcMar>
            <w:vAlign w:val="center"/>
          </w:tcPr>
          <w:p w:rsidR="00000000" w:rsidRDefault="00000000">
            <w:pPr>
              <w:tabs>
                <w:tab w:val="clear" w:pos="567"/>
                <w:tab w:val="clear" w:pos="1134"/>
              </w:tabs>
              <w:spacing w:after="60"/>
              <w:ind w:right="292"/>
              <w:jc w:val="right"/>
              <w:rPr>
                <w:sz w:val="22"/>
                <w:szCs w:val="22"/>
              </w:rPr>
            </w:pPr>
            <w:r>
              <w:rPr>
                <w:sz w:val="22"/>
                <w:szCs w:val="22"/>
              </w:rPr>
              <w:t>3</w:t>
            </w:r>
          </w:p>
        </w:tc>
        <w:tc>
          <w:tcPr>
            <w:tcW w:w="1646" w:type="dxa"/>
            <w:tcBorders>
              <w:left w:val="single" w:sz="4" w:space="0" w:color="auto"/>
              <w:right w:val="single" w:sz="4" w:space="0" w:color="auto"/>
            </w:tcBorders>
            <w:tcMar>
              <w:left w:w="68" w:type="dxa"/>
              <w:right w:w="68" w:type="dxa"/>
            </w:tcMar>
            <w:vAlign w:val="center"/>
          </w:tcPr>
          <w:p w:rsidR="00000000" w:rsidRDefault="00000000">
            <w:pPr>
              <w:tabs>
                <w:tab w:val="clear" w:pos="567"/>
                <w:tab w:val="clear" w:pos="1134"/>
              </w:tabs>
              <w:spacing w:after="60"/>
              <w:ind w:right="292"/>
              <w:jc w:val="right"/>
              <w:rPr>
                <w:sz w:val="22"/>
                <w:szCs w:val="22"/>
              </w:rPr>
            </w:pPr>
            <w:r>
              <w:rPr>
                <w:sz w:val="22"/>
                <w:szCs w:val="22"/>
              </w:rPr>
              <w:t>674</w:t>
            </w:r>
          </w:p>
        </w:tc>
        <w:tc>
          <w:tcPr>
            <w:tcW w:w="804" w:type="dxa"/>
            <w:tcBorders>
              <w:left w:val="single" w:sz="4" w:space="0" w:color="auto"/>
              <w:right w:val="single" w:sz="4" w:space="0" w:color="auto"/>
            </w:tcBorders>
            <w:tcMar>
              <w:left w:w="68" w:type="dxa"/>
              <w:right w:w="68" w:type="dxa"/>
            </w:tcMar>
            <w:vAlign w:val="center"/>
          </w:tcPr>
          <w:p w:rsidR="00000000" w:rsidRDefault="00000000">
            <w:pPr>
              <w:tabs>
                <w:tab w:val="clear" w:pos="567"/>
              </w:tabs>
              <w:spacing w:after="60"/>
              <w:ind w:right="34"/>
              <w:jc w:val="right"/>
              <w:rPr>
                <w:sz w:val="22"/>
                <w:szCs w:val="22"/>
              </w:rPr>
            </w:pPr>
            <w:r>
              <w:rPr>
                <w:sz w:val="22"/>
                <w:szCs w:val="22"/>
              </w:rPr>
              <w:t>767</w:t>
            </w:r>
          </w:p>
        </w:tc>
      </w:tr>
      <w:tr w:rsidR="00000000">
        <w:tblPrEx>
          <w:tblCellMar>
            <w:top w:w="0" w:type="dxa"/>
            <w:bottom w:w="0" w:type="dxa"/>
          </w:tblCellMar>
        </w:tblPrEx>
        <w:trPr>
          <w:cantSplit/>
        </w:trPr>
        <w:tc>
          <w:tcPr>
            <w:tcW w:w="808" w:type="dxa"/>
            <w:tcBorders>
              <w:left w:val="single" w:sz="4" w:space="0" w:color="auto"/>
              <w:bottom w:val="single" w:sz="4" w:space="0" w:color="auto"/>
              <w:right w:val="single" w:sz="4" w:space="0" w:color="auto"/>
            </w:tcBorders>
            <w:tcMar>
              <w:left w:w="68" w:type="dxa"/>
              <w:right w:w="68" w:type="dxa"/>
            </w:tcMar>
            <w:vAlign w:val="center"/>
          </w:tcPr>
          <w:p w:rsidR="00000000" w:rsidRDefault="00000000">
            <w:pPr>
              <w:spacing w:after="60"/>
              <w:jc w:val="center"/>
              <w:rPr>
                <w:sz w:val="22"/>
                <w:szCs w:val="22"/>
              </w:rPr>
            </w:pPr>
            <w:r>
              <w:rPr>
                <w:sz w:val="22"/>
                <w:szCs w:val="22"/>
              </w:rPr>
              <w:t>2001</w:t>
            </w:r>
          </w:p>
        </w:tc>
        <w:tc>
          <w:tcPr>
            <w:tcW w:w="869" w:type="dxa"/>
            <w:tcBorders>
              <w:left w:val="single" w:sz="4" w:space="0" w:color="auto"/>
              <w:bottom w:val="single" w:sz="4" w:space="0" w:color="auto"/>
              <w:right w:val="single" w:sz="4" w:space="0" w:color="auto"/>
            </w:tcBorders>
            <w:tcMar>
              <w:left w:w="68" w:type="dxa"/>
              <w:right w:w="68" w:type="dxa"/>
            </w:tcMar>
            <w:vAlign w:val="center"/>
          </w:tcPr>
          <w:p w:rsidR="00000000" w:rsidRDefault="00000000">
            <w:pPr>
              <w:tabs>
                <w:tab w:val="clear" w:pos="567"/>
              </w:tabs>
              <w:spacing w:after="60"/>
              <w:ind w:right="51"/>
              <w:jc w:val="right"/>
              <w:rPr>
                <w:sz w:val="22"/>
                <w:szCs w:val="22"/>
              </w:rPr>
            </w:pPr>
            <w:r>
              <w:rPr>
                <w:sz w:val="22"/>
                <w:szCs w:val="22"/>
              </w:rPr>
              <w:t>4 831</w:t>
            </w:r>
          </w:p>
        </w:tc>
        <w:tc>
          <w:tcPr>
            <w:tcW w:w="979" w:type="dxa"/>
            <w:tcBorders>
              <w:left w:val="single" w:sz="4" w:space="0" w:color="auto"/>
              <w:bottom w:val="single" w:sz="4" w:space="0" w:color="auto"/>
              <w:right w:val="single" w:sz="4" w:space="0" w:color="auto"/>
            </w:tcBorders>
            <w:tcMar>
              <w:left w:w="68" w:type="dxa"/>
              <w:right w:w="68" w:type="dxa"/>
            </w:tcMar>
            <w:vAlign w:val="center"/>
          </w:tcPr>
          <w:p w:rsidR="00000000" w:rsidRDefault="00000000">
            <w:pPr>
              <w:tabs>
                <w:tab w:val="clear" w:pos="567"/>
              </w:tabs>
              <w:spacing w:after="60"/>
              <w:ind w:right="52"/>
              <w:jc w:val="right"/>
              <w:rPr>
                <w:sz w:val="22"/>
                <w:szCs w:val="22"/>
              </w:rPr>
            </w:pPr>
            <w:r>
              <w:rPr>
                <w:sz w:val="22"/>
                <w:szCs w:val="22"/>
              </w:rPr>
              <w:t>3 025</w:t>
            </w:r>
          </w:p>
        </w:tc>
        <w:tc>
          <w:tcPr>
            <w:tcW w:w="1463" w:type="dxa"/>
            <w:tcBorders>
              <w:left w:val="single" w:sz="4" w:space="0" w:color="auto"/>
              <w:bottom w:val="single" w:sz="4" w:space="0" w:color="auto"/>
              <w:right w:val="single" w:sz="4" w:space="0" w:color="auto"/>
            </w:tcBorders>
            <w:tcMar>
              <w:left w:w="68" w:type="dxa"/>
              <w:right w:w="68" w:type="dxa"/>
            </w:tcMar>
            <w:vAlign w:val="center"/>
          </w:tcPr>
          <w:p w:rsidR="00000000" w:rsidRDefault="00000000">
            <w:pPr>
              <w:tabs>
                <w:tab w:val="clear" w:pos="567"/>
                <w:tab w:val="clear" w:pos="1134"/>
              </w:tabs>
              <w:spacing w:after="60"/>
              <w:ind w:right="215"/>
              <w:jc w:val="right"/>
              <w:rPr>
                <w:sz w:val="22"/>
                <w:szCs w:val="22"/>
              </w:rPr>
            </w:pPr>
            <w:r>
              <w:rPr>
                <w:sz w:val="22"/>
                <w:szCs w:val="22"/>
              </w:rPr>
              <w:t>2 780 550</w:t>
            </w:r>
          </w:p>
        </w:tc>
        <w:tc>
          <w:tcPr>
            <w:tcW w:w="1388" w:type="dxa"/>
            <w:tcBorders>
              <w:left w:val="single" w:sz="4" w:space="0" w:color="auto"/>
              <w:bottom w:val="single" w:sz="4" w:space="0" w:color="auto"/>
              <w:right w:val="single" w:sz="4" w:space="0" w:color="auto"/>
            </w:tcBorders>
            <w:tcMar>
              <w:left w:w="68" w:type="dxa"/>
              <w:right w:w="68" w:type="dxa"/>
            </w:tcMar>
            <w:vAlign w:val="center"/>
          </w:tcPr>
          <w:p w:rsidR="00000000" w:rsidRDefault="00000000">
            <w:pPr>
              <w:tabs>
                <w:tab w:val="clear" w:pos="567"/>
                <w:tab w:val="clear" w:pos="1134"/>
              </w:tabs>
              <w:spacing w:after="60"/>
              <w:ind w:right="196"/>
              <w:jc w:val="right"/>
              <w:rPr>
                <w:sz w:val="22"/>
                <w:szCs w:val="22"/>
              </w:rPr>
            </w:pPr>
            <w:r>
              <w:rPr>
                <w:sz w:val="22"/>
                <w:szCs w:val="22"/>
              </w:rPr>
              <w:t>164</w:t>
            </w:r>
          </w:p>
        </w:tc>
        <w:tc>
          <w:tcPr>
            <w:tcW w:w="1533" w:type="dxa"/>
            <w:tcBorders>
              <w:left w:val="single" w:sz="4" w:space="0" w:color="auto"/>
              <w:bottom w:val="single" w:sz="4" w:space="0" w:color="auto"/>
              <w:right w:val="single" w:sz="4" w:space="0" w:color="auto"/>
            </w:tcBorders>
            <w:tcMar>
              <w:left w:w="68" w:type="dxa"/>
              <w:right w:w="68" w:type="dxa"/>
            </w:tcMar>
            <w:vAlign w:val="center"/>
          </w:tcPr>
          <w:p w:rsidR="00000000" w:rsidRDefault="00000000">
            <w:pPr>
              <w:tabs>
                <w:tab w:val="clear" w:pos="567"/>
                <w:tab w:val="clear" w:pos="1134"/>
              </w:tabs>
              <w:spacing w:after="60"/>
              <w:ind w:right="292"/>
              <w:jc w:val="right"/>
              <w:rPr>
                <w:sz w:val="22"/>
                <w:szCs w:val="22"/>
              </w:rPr>
            </w:pPr>
            <w:r>
              <w:rPr>
                <w:sz w:val="22"/>
                <w:szCs w:val="22"/>
              </w:rPr>
              <w:t>13</w:t>
            </w:r>
          </w:p>
        </w:tc>
        <w:tc>
          <w:tcPr>
            <w:tcW w:w="1646" w:type="dxa"/>
            <w:tcBorders>
              <w:left w:val="single" w:sz="4" w:space="0" w:color="auto"/>
              <w:bottom w:val="single" w:sz="4" w:space="0" w:color="auto"/>
              <w:right w:val="single" w:sz="4" w:space="0" w:color="auto"/>
            </w:tcBorders>
            <w:tcMar>
              <w:left w:w="68" w:type="dxa"/>
              <w:right w:w="68" w:type="dxa"/>
            </w:tcMar>
            <w:vAlign w:val="center"/>
          </w:tcPr>
          <w:p w:rsidR="00000000" w:rsidRDefault="00000000">
            <w:pPr>
              <w:tabs>
                <w:tab w:val="clear" w:pos="567"/>
                <w:tab w:val="clear" w:pos="1134"/>
              </w:tabs>
              <w:spacing w:after="60"/>
              <w:ind w:right="292"/>
              <w:jc w:val="right"/>
              <w:rPr>
                <w:sz w:val="22"/>
                <w:szCs w:val="22"/>
              </w:rPr>
            </w:pPr>
            <w:r>
              <w:rPr>
                <w:sz w:val="22"/>
                <w:szCs w:val="22"/>
              </w:rPr>
              <w:t>673</w:t>
            </w:r>
          </w:p>
        </w:tc>
        <w:tc>
          <w:tcPr>
            <w:tcW w:w="804" w:type="dxa"/>
            <w:tcBorders>
              <w:left w:val="single" w:sz="4" w:space="0" w:color="auto"/>
              <w:bottom w:val="single" w:sz="4" w:space="0" w:color="auto"/>
              <w:right w:val="single" w:sz="4" w:space="0" w:color="auto"/>
            </w:tcBorders>
            <w:tcMar>
              <w:left w:w="68" w:type="dxa"/>
              <w:right w:w="68" w:type="dxa"/>
            </w:tcMar>
            <w:vAlign w:val="center"/>
          </w:tcPr>
          <w:p w:rsidR="00000000" w:rsidRDefault="00000000">
            <w:pPr>
              <w:tabs>
                <w:tab w:val="clear" w:pos="567"/>
              </w:tabs>
              <w:spacing w:after="60"/>
              <w:ind w:right="34"/>
              <w:jc w:val="right"/>
              <w:rPr>
                <w:sz w:val="22"/>
                <w:szCs w:val="22"/>
              </w:rPr>
            </w:pPr>
            <w:r>
              <w:rPr>
                <w:sz w:val="22"/>
                <w:szCs w:val="22"/>
              </w:rPr>
              <w:t>956</w:t>
            </w:r>
          </w:p>
        </w:tc>
      </w:tr>
    </w:tbl>
    <w:p w:rsidR="00000000" w:rsidRDefault="00000000"/>
    <w:p w:rsidR="00000000" w:rsidRDefault="00000000">
      <w:pPr>
        <w:keepNext/>
        <w:rPr>
          <w:b/>
        </w:rPr>
      </w:pPr>
      <w:r>
        <w:rPr>
          <w:b/>
        </w:rPr>
        <w:t>Торговля людьми и профилактические меры</w:t>
      </w:r>
    </w:p>
    <w:p w:rsidR="00000000" w:rsidRDefault="00000000">
      <w:pPr>
        <w:keepNext/>
      </w:pPr>
    </w:p>
    <w:p w:rsidR="00000000" w:rsidRDefault="00000000">
      <w:r>
        <w:t>85.</w:t>
      </w:r>
      <w:r>
        <w:tab/>
        <w:t>С 1 января 2003 года государственные органы обеспечивают бесплатную юридическую помощь в связи с гражданскими исками по делам о торговле проживающими в стране женщинами-иностранками, а также правовую помощь в связи с уголовным преследованием по делам, в которые вовлечены женщины-иностранки, будь то в качестве обвиняемых или инициаторов разбирательства.</w:t>
      </w:r>
    </w:p>
    <w:p w:rsidR="00000000" w:rsidRDefault="00000000"/>
    <w:p w:rsidR="00000000" w:rsidRDefault="00000000">
      <w:r>
        <w:t>86.</w:t>
      </w:r>
      <w:r>
        <w:tab/>
        <w:t>С тем чтобы не допустить торговли женщинами-иностранками в целях проституции в Закон о контроле над иммиграцией включена статья, вводящая уголовное наказание для посредников и работодателей, которые отбирают паспорта или свидетельства о найме в качестве меры, гарантирующей выполнение женщинами-иностранками своих финансовых обязательств по контракту и выплату ими долга.</w:t>
      </w:r>
    </w:p>
    <w:p w:rsidR="00000000" w:rsidRDefault="00000000"/>
    <w:p w:rsidR="00000000" w:rsidRDefault="00000000">
      <w:r>
        <w:t>87.</w:t>
      </w:r>
      <w:r>
        <w:tab/>
        <w:t>Прекращена выдача видов на жительство для работников искусств и индустрии развлечений (Е</w:t>
      </w:r>
      <w:r>
        <w:noBreakHyphen/>
        <w:t>6) иностранным танцовщицам, нанимаемым для работы в индустрии развлечений.  Иностранки, остающиеся в Республике Корее нелегально или нарушившие Закон о запрете на проституцию, в принципе подлежат депортации в свои страны.  Однако, если нужен свидетель, или возбуждается судебное преследование, или требуется гуманитарная помощь, то отъезд жертвы из страны может быть отложен до тех пор, пока ее права не будут восстановлены.</w:t>
      </w:r>
    </w:p>
    <w:p w:rsidR="00000000" w:rsidRDefault="00000000"/>
    <w:p w:rsidR="00000000" w:rsidRDefault="00000000">
      <w:r>
        <w:t>88.</w:t>
      </w:r>
      <w:r>
        <w:tab/>
        <w:t>В Сеуле и провинции Кванджу круглосуточно функционируют приюты, сотрудники которых обслуживают обращающихся туда лиц на трех языках, включая английский и русский.  В этих приютах жертвам секс-торговли предоставляется экстренная защита, а также правовая и медицинская помощь и предпринимаются меры по их безопасному возвращению на родину.</w:t>
      </w:r>
    </w:p>
    <w:p w:rsidR="00000000" w:rsidRDefault="00000000"/>
    <w:p w:rsidR="00000000" w:rsidRDefault="00000000">
      <w:pPr>
        <w:jc w:val="center"/>
      </w:pPr>
      <w:r>
        <w:rPr>
          <w:b/>
        </w:rPr>
        <w:t>Статья 7</w:t>
      </w:r>
    </w:p>
    <w:p w:rsidR="00000000" w:rsidRDefault="00000000"/>
    <w:p w:rsidR="00000000" w:rsidRDefault="00000000">
      <w:r>
        <w:t>89.</w:t>
      </w:r>
      <w:r>
        <w:tab/>
        <w:t>Необходимо повысить уровень информированности населения о правах каждого человека и поощрять проведение просветительских мероприятий в правозащитной области в целях борьбы с расовыми предрассудками и дискриминацией и их искоренения.</w:t>
      </w:r>
    </w:p>
    <w:p w:rsidR="00000000" w:rsidRDefault="00000000"/>
    <w:p w:rsidR="00000000" w:rsidRDefault="00000000">
      <w:r>
        <w:t>90.</w:t>
      </w:r>
      <w:r>
        <w:tab/>
        <w:t>В целях поощрения взаимопонимания, терпимости и дружбы между народами, а также расовыми и этническими группами правительство, о чем уже подробно сообщалось в предыдущих докладах, включило в учебные программы начальных и средних школ изучение следующих тем:</w:t>
      </w:r>
    </w:p>
    <w:p w:rsidR="00000000" w:rsidRDefault="00000000"/>
    <w:p w:rsidR="00000000" w:rsidRDefault="00000000">
      <w:pPr>
        <w:ind w:left="1134" w:hanging="567"/>
      </w:pPr>
      <w:r>
        <w:t>а)</w:t>
      </w:r>
      <w:r>
        <w:tab/>
        <w:t>своеобразие различных рас и этнических групп;</w:t>
      </w:r>
    </w:p>
    <w:p w:rsidR="00000000" w:rsidRDefault="00000000">
      <w:pPr>
        <w:ind w:left="1134" w:hanging="567"/>
      </w:pPr>
    </w:p>
    <w:p w:rsidR="00000000" w:rsidRDefault="00000000">
      <w:pPr>
        <w:ind w:firstLine="567"/>
      </w:pPr>
      <w:r>
        <w:t>b)</w:t>
      </w:r>
      <w:r>
        <w:tab/>
        <w:t>уважение достоинства человека независимо от его расы, цвета кожи, пола, религии или убеждений;</w:t>
      </w:r>
    </w:p>
    <w:p w:rsidR="00000000" w:rsidRDefault="00000000">
      <w:pPr>
        <w:ind w:left="1134" w:hanging="567"/>
      </w:pPr>
      <w:r>
        <w:t>c)</w:t>
      </w:r>
      <w:r>
        <w:tab/>
        <w:t>меры и усилия по ликвидации расовых предрассудков и дискриминации.</w:t>
      </w:r>
    </w:p>
    <w:p w:rsidR="00000000" w:rsidRDefault="00000000"/>
    <w:p w:rsidR="00000000" w:rsidRDefault="00000000">
      <w:r>
        <w:t>91.</w:t>
      </w:r>
      <w:r>
        <w:tab/>
        <w:t>Детям иностранцев, в том числе детям "нелегалов", обеспечена возможность посещать школу;  это гарантировано Законом о начальном и среднем образовании, закрепляющим право на образование, а также административной политикой, проводимой министерством образования.  На апрель 2005 года корейские школы посещали 1</w:t>
      </w:r>
      <w:r>
        <w:rPr>
          <w:lang w:val="en-US"/>
        </w:rPr>
        <w:t> </w:t>
      </w:r>
      <w:r>
        <w:t>574</w:t>
      </w:r>
      <w:r>
        <w:rPr>
          <w:lang w:val="en-US"/>
        </w:rPr>
        <w:t> </w:t>
      </w:r>
      <w:r>
        <w:t>иностранных учащихся.  В школах организовано изучение корейского языка с целью не допустить изоляции учащихся по причине межкультурных и языковых трудностей.</w:t>
      </w:r>
    </w:p>
    <w:p w:rsidR="00000000" w:rsidRDefault="00000000"/>
    <w:p w:rsidR="00000000" w:rsidRDefault="00000000">
      <w:r>
        <w:t>92.</w:t>
      </w:r>
      <w:r>
        <w:tab/>
        <w:t>С отменой системы регистрации школ в феврале 1999 года на школы для иностранцев было распространено действие законодательства Республики Кореи об образовании, и теперь они учреждаются и функционируют беспрепятственно.  По состоянию на апрель 2005 года в Республике Корее было аккредитовано в общей сложности 44 школы для иностранцев, в которых обучалось примерно 7 800 школьников.  Кроме того, имеется 16 неаккредитованных школ.  Школы в полной мере пользуются правом самостоятельно принимать решения по вопросам организации учебного процесса, включая определение программ, установление проходных баллов и взимание платы за обучение.</w:t>
      </w:r>
    </w:p>
    <w:p w:rsidR="00000000" w:rsidRDefault="00000000"/>
    <w:p w:rsidR="00000000" w:rsidRDefault="00000000">
      <w:r>
        <w:t>93.</w:t>
      </w:r>
      <w:r>
        <w:tab/>
        <w:t>Просветительская деятельность по вопросам прав человека не ограничивается школьными аудиториями, но ведется в масштабах всего общества;  этим занимаются, например, сотрудники различных правоохранительных органов, в том числе работники иммиграционного бюро, полицейские и сотрудники исправительных учреждений.</w:t>
      </w:r>
    </w:p>
    <w:p w:rsidR="00000000" w:rsidRDefault="00000000"/>
    <w:p w:rsidR="00000000" w:rsidRDefault="00000000">
      <w:r>
        <w:t>94.</w:t>
      </w:r>
      <w:r>
        <w:tab/>
        <w:t>В целях повышения осведомленности общественности, и особенно молодежи, в вопросах прав человека и культурного многообразия государственные органы выпускают просветительские брошюры по вопросам прав человека, подготавливают рекламную продукцию для показа по телевидению, распространяют компакт-диски правозащитного содержания и демонстрируют кинокартины и мультипликационные фильмы на темы о правах человека.  В 2005 году по заказу Национальной комиссии по правам человека был подготовлен и вышел в эфир рекламный материал, озаглавленный "Уважение различий – залог построения мира, свободного от дискриминации", а также опубликована и распространена брошюра под названием "В чем причина неблагожелательного к тебе отношения" (подборка фотографий, раскрывающих глубоко укоренившиеся дискриминационные обычаи в нашем обществе, декабрь 2003 года), а также "Мир без дискриминации глазами 10 художников-карикатуристов" (август 2005 года);  вся эта работа осуществлялась под контролем Комиссии.</w:t>
      </w:r>
    </w:p>
    <w:p w:rsidR="00000000" w:rsidRDefault="00000000"/>
    <w:p w:rsidR="00000000" w:rsidRDefault="00000000">
      <w:r>
        <w:t>95.</w:t>
      </w:r>
      <w:r>
        <w:tab/>
        <w:t>Помимо подготовки и распространения брошюр по тематике прав человека и культурного многообразия и издания ежемесячника "Права человека" Национальная комиссия по правам человека с августа 2003 года обеспечивает функционирование правозащитного вебсайта (</w:t>
      </w:r>
      <w:hyperlink r:id="rId9" w:history="1">
        <w:r>
          <w:rPr>
            <w:rStyle w:val="Hyperlink"/>
          </w:rPr>
          <w:t>http://humanrights.go.kr</w:t>
        </w:r>
      </w:hyperlink>
      <w:r>
        <w:t>).</w:t>
      </w:r>
    </w:p>
    <w:p w:rsidR="00000000" w:rsidRDefault="00000000"/>
    <w:p w:rsidR="00000000" w:rsidRDefault="00000000">
      <w:r>
        <w:t>96.</w:t>
      </w:r>
      <w:r>
        <w:tab/>
        <w:t>В апреле 1995 года на основании статьи 53 Закона об электронных средствах коммуникации был создан Комитет по этике в сфере информации и коммуникации с целью недопущения распространения неподобающей и вредной информации по информационно-коммуникационным каналам, включая Интернет.  Комитет вправе потребовать исправления неподобающей или вредной информации, распространяемой по информационно-коммуникационным каналам и по своему усмотрению снять материалы, содержащие, в частности, информацию о расизме и расовых предрассудках, или принять иные корректирующие меры</w:t>
      </w:r>
      <w:r>
        <w:rPr>
          <w:rStyle w:val="EndnoteReference"/>
        </w:rPr>
        <w:endnoteReference w:id="15"/>
      </w:r>
      <w:r>
        <w:t>.</w:t>
      </w:r>
    </w:p>
    <w:p w:rsidR="00000000" w:rsidRDefault="00000000"/>
    <w:p w:rsidR="00000000" w:rsidRDefault="00000000">
      <w:r>
        <w:t>97.</w:t>
      </w:r>
      <w:r>
        <w:tab/>
        <w:t>Правительство отмечает, что неправительственные и другие общественные организации во многом способствуют поощрению и защите прав человека.  Оно имеет в виду направить настоящий доклад с заключительными замечаниями Комитета соответствующим министерствам и обеспечить его широкое распространение среди населения.</w:t>
      </w:r>
    </w:p>
    <w:p w:rsidR="00000000" w:rsidRDefault="00000000"/>
    <w:p w:rsidR="00000000" w:rsidRDefault="00000000">
      <w:pPr>
        <w:jc w:val="center"/>
        <w:rPr>
          <w:b/>
        </w:rPr>
      </w:pPr>
      <w:r>
        <w:rPr>
          <w:b/>
        </w:rPr>
        <w:t>Примечания</w:t>
      </w:r>
    </w:p>
    <w:p w:rsidR="00000000" w:rsidRDefault="00000000">
      <w:pPr>
        <w:tabs>
          <w:tab w:val="left" w:pos="0"/>
        </w:tabs>
        <w:suppressAutoHyphens/>
        <w:rPr>
          <w:lang w:val="en-US"/>
        </w:rPr>
      </w:pPr>
    </w:p>
    <w:p w:rsidR="00000000" w:rsidRDefault="00000000">
      <w:pPr>
        <w:rPr>
          <w:lang w:val="en-US"/>
        </w:rPr>
      </w:pPr>
    </w:p>
    <w:sectPr w:rsidR="00000000">
      <w:headerReference w:type="even" r:id="rId10"/>
      <w:headerReference w:type="default" r:id="rId11"/>
      <w:footerReference w:type="even" r:id="rId12"/>
      <w:endnotePr>
        <w:numFmt w:val="decimal"/>
      </w:endnotePr>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id="1">
    <w:p w:rsidR="00000000" w:rsidRDefault="00000000">
      <w:pPr>
        <w:pStyle w:val="EndnoteText"/>
        <w:rPr>
          <w:sz w:val="20"/>
        </w:rPr>
      </w:pPr>
      <w:r>
        <w:rPr>
          <w:rStyle w:val="EndnoteReference"/>
        </w:rPr>
        <w:endnoteRef/>
      </w:r>
      <w:r>
        <w:t xml:space="preserve"> </w:t>
      </w:r>
      <w:r>
        <w:tab/>
      </w:r>
      <w:r>
        <w:rPr>
          <w:sz w:val="20"/>
        </w:rPr>
        <w:t>Эта цифра численности иностранных граждан включает как лиц, проживающих в стране в течение длительного срока, так и прибывших в нее на короткий срок, и охватывает как легально проживающих в ней лиц, так и "нелегалов".</w:t>
      </w:r>
    </w:p>
    <w:p w:rsidR="00000000" w:rsidRDefault="00000000">
      <w:pPr>
        <w:pStyle w:val="EndnoteText"/>
      </w:pPr>
    </w:p>
  </w:endnote>
  <w:endnote w:id="2">
    <w:p w:rsidR="00000000" w:rsidRDefault="00000000">
      <w:pPr>
        <w:pStyle w:val="EndnoteText"/>
        <w:rPr>
          <w:sz w:val="20"/>
        </w:rPr>
      </w:pPr>
      <w:r>
        <w:rPr>
          <w:rStyle w:val="EndnoteReference"/>
        </w:rPr>
        <w:endnoteRef/>
      </w:r>
      <w:r>
        <w:t xml:space="preserve"> </w:t>
      </w:r>
      <w:r>
        <w:tab/>
      </w:r>
      <w:r>
        <w:rPr>
          <w:sz w:val="20"/>
        </w:rPr>
        <w:t>"Хуакио" называют этнических китайцев, которые проживают в Республике Корее на основании долгосрочного вида на жительство.  Исторически хуакио появились на Корейском полуострове около 120 лет назад, когда в регион стали проникать китайские купцы.  В начале 70</w:t>
      </w:r>
      <w:r>
        <w:rPr>
          <w:sz w:val="20"/>
        </w:rPr>
        <w:noBreakHyphen/>
        <w:t>х годов в Республике Корее насчитывалось до 120 000 этнических китайцев.  С тех пор эта цифра постепенно уменьшалась, поскольку многие из них эмигрировали в другие страны, такие, как Китай, китайская провинция Тайвань, Соединенные Штаты Америки, Канада и страны Южной Америки.</w:t>
      </w:r>
    </w:p>
    <w:p w:rsidR="00000000" w:rsidRDefault="00000000">
      <w:pPr>
        <w:pStyle w:val="EndnoteText"/>
      </w:pPr>
    </w:p>
  </w:endnote>
  <w:endnote w:id="3">
    <w:p w:rsidR="00000000" w:rsidRDefault="00000000">
      <w:pPr>
        <w:pStyle w:val="EndnoteText"/>
        <w:rPr>
          <w:sz w:val="20"/>
        </w:rPr>
      </w:pPr>
      <w:r>
        <w:rPr>
          <w:rStyle w:val="EndnoteReference"/>
        </w:rPr>
        <w:endnoteRef/>
      </w:r>
      <w:r>
        <w:t xml:space="preserve"> </w:t>
      </w:r>
      <w:r>
        <w:tab/>
      </w:r>
      <w:r>
        <w:rPr>
          <w:sz w:val="20"/>
        </w:rPr>
        <w:t>Это суммарное значение 80 404 включает этнических корейцев в Китае и китайской провинции Тайвань.</w:t>
      </w:r>
    </w:p>
    <w:p w:rsidR="00000000" w:rsidRDefault="00000000">
      <w:pPr>
        <w:pStyle w:val="EndnoteText"/>
      </w:pPr>
    </w:p>
  </w:endnote>
  <w:endnote w:id="4">
    <w:p w:rsidR="00000000" w:rsidRDefault="00000000">
      <w:pPr>
        <w:pStyle w:val="EndnoteText"/>
        <w:rPr>
          <w:sz w:val="20"/>
        </w:rPr>
      </w:pPr>
      <w:r>
        <w:rPr>
          <w:rStyle w:val="EndnoteReference"/>
        </w:rPr>
        <w:endnoteRef/>
      </w:r>
      <w:r>
        <w:t xml:space="preserve"> </w:t>
      </w:r>
      <w:r>
        <w:tab/>
      </w:r>
      <w:r>
        <w:rPr>
          <w:sz w:val="20"/>
        </w:rPr>
        <w:t>Несколько школ для иностранцев, куда принимаются только дети своих граждан, не подали заявку на аккредитацию.</w:t>
      </w:r>
    </w:p>
    <w:p w:rsidR="00000000" w:rsidRDefault="00000000">
      <w:pPr>
        <w:pStyle w:val="EndnoteText"/>
      </w:pPr>
    </w:p>
  </w:endnote>
  <w:endnote w:id="5">
    <w:p w:rsidR="00000000" w:rsidRDefault="00000000">
      <w:pPr>
        <w:pStyle w:val="EndnoteText"/>
        <w:rPr>
          <w:sz w:val="20"/>
        </w:rPr>
      </w:pPr>
      <w:r>
        <w:rPr>
          <w:rStyle w:val="EndnoteReference"/>
        </w:rPr>
        <w:endnoteRef/>
      </w:r>
      <w:r>
        <w:t xml:space="preserve"> </w:t>
      </w:r>
      <w:r>
        <w:tab/>
      </w:r>
      <w:r>
        <w:rPr>
          <w:sz w:val="20"/>
        </w:rPr>
        <w:t>В Венской декларации и Программе действий всем странам рекомендовано учредить национальную комиссию по правам человека и механизм в области прав человека, а также разрабатывать национальные планы действий в области поощрения и защиты прав человека, учитывающие их политические, культурные и исторические особенности и условия.</w:t>
      </w:r>
    </w:p>
    <w:p w:rsidR="00000000" w:rsidRDefault="00000000">
      <w:pPr>
        <w:pStyle w:val="EndnoteText"/>
      </w:pPr>
    </w:p>
  </w:endnote>
  <w:endnote w:id="6">
    <w:p w:rsidR="00000000" w:rsidRDefault="00000000">
      <w:pPr>
        <w:pStyle w:val="EndnoteText"/>
        <w:rPr>
          <w:sz w:val="20"/>
        </w:rPr>
      </w:pPr>
      <w:r>
        <w:rPr>
          <w:rStyle w:val="EndnoteReference"/>
        </w:rPr>
        <w:endnoteRef/>
      </w:r>
      <w:r>
        <w:t xml:space="preserve"> </w:t>
      </w:r>
      <w:r>
        <w:tab/>
      </w:r>
      <w:r>
        <w:rPr>
          <w:sz w:val="20"/>
        </w:rPr>
        <w:t>Комитет по экономическим, социальным и культурным правам рекомендовал правительству Республики Кореи подготовить национальные планы действий по поощрению и защите прав человека и представить Организации Объединенных Наций соответствующий доклад к 30 июня 2006 года.</w:t>
      </w:r>
    </w:p>
    <w:p w:rsidR="00000000" w:rsidRDefault="00000000">
      <w:pPr>
        <w:pStyle w:val="EndnoteText"/>
      </w:pPr>
    </w:p>
  </w:endnote>
  <w:endnote w:id="7">
    <w:p w:rsidR="00000000" w:rsidRDefault="00000000">
      <w:pPr>
        <w:pStyle w:val="EndnoteText"/>
        <w:rPr>
          <w:sz w:val="20"/>
        </w:rPr>
      </w:pPr>
      <w:r>
        <w:rPr>
          <w:rStyle w:val="EndnoteReference"/>
        </w:rPr>
        <w:endnoteRef/>
      </w:r>
      <w:r>
        <w:t xml:space="preserve"> </w:t>
      </w:r>
      <w:r>
        <w:tab/>
      </w:r>
      <w:r>
        <w:rPr>
          <w:sz w:val="20"/>
        </w:rPr>
        <w:t>По данным министерства юстиции, количество иностранцев, въехавших в Республику Корею и выехавших из нее, составило в 2005 году 32 630 000 человек, или на 16 010 000 (приблизительно на 104%) больше, чем в 1995 году;  ожидается, что эта цифра достигнет 50 000 000 в 2010 году.  Численность проживающих в стране иностранцев также увеличилась на 290% со 190 000 в 1995 году до 710 000 в 2005 году и, как ожидается, достигнет 1 миллиона в 2010 году.</w:t>
      </w:r>
    </w:p>
    <w:p w:rsidR="00000000" w:rsidRDefault="00000000">
      <w:pPr>
        <w:pStyle w:val="EndnoteText"/>
      </w:pPr>
    </w:p>
  </w:endnote>
  <w:endnote w:id="8">
    <w:p w:rsidR="00000000" w:rsidRDefault="00000000">
      <w:pPr>
        <w:pStyle w:val="EndnoteText"/>
        <w:rPr>
          <w:sz w:val="20"/>
        </w:rPr>
      </w:pPr>
      <w:r>
        <w:rPr>
          <w:rStyle w:val="EndnoteReference"/>
        </w:rPr>
        <w:endnoteRef/>
      </w:r>
      <w:r>
        <w:t xml:space="preserve"> </w:t>
      </w:r>
      <w:r>
        <w:tab/>
      </w:r>
      <w:r>
        <w:rPr>
          <w:sz w:val="20"/>
        </w:rPr>
        <w:t>Статья 12 Указа о применении Закона о контроле над иммиграцией (режим пребывания в стране иностранцев).</w:t>
      </w:r>
    </w:p>
    <w:p w:rsidR="00000000" w:rsidRDefault="00000000">
      <w:pPr>
        <w:pStyle w:val="EndnoteText"/>
      </w:pPr>
    </w:p>
  </w:endnote>
  <w:endnote w:id="9">
    <w:p w:rsidR="00000000" w:rsidRDefault="00000000">
      <w:pPr>
        <w:pStyle w:val="EndnoteText"/>
        <w:rPr>
          <w:sz w:val="20"/>
        </w:rPr>
      </w:pPr>
      <w:r>
        <w:rPr>
          <w:rStyle w:val="EndnoteReference"/>
        </w:rPr>
        <w:endnoteRef/>
      </w:r>
      <w:r>
        <w:tab/>
      </w:r>
      <w:r>
        <w:rPr>
          <w:sz w:val="20"/>
        </w:rPr>
        <w:t>На октябрь 2005 года в стране насчитывалось в общей сложности 11 004 иностранца, имеющих разрешение на долгосрочное пребывание (виза F</w:t>
      </w:r>
      <w:r>
        <w:rPr>
          <w:sz w:val="20"/>
        </w:rPr>
        <w:noBreakHyphen/>
        <w:t>2).  Из них 9578 человек проживали в стране более пяти лет.  С точки зрения национальности 8800 из них составляли выходцы из китайской провинции Тайвань, 595 – японцы, 45 – американцы и 138 человек – граждане других стран.</w:t>
      </w:r>
    </w:p>
    <w:p w:rsidR="00000000" w:rsidRDefault="00000000">
      <w:pPr>
        <w:pStyle w:val="EndnoteText"/>
      </w:pPr>
    </w:p>
  </w:endnote>
  <w:endnote w:id="10">
    <w:p w:rsidR="00000000" w:rsidRDefault="00000000">
      <w:pPr>
        <w:pStyle w:val="EndnoteText"/>
        <w:rPr>
          <w:sz w:val="20"/>
        </w:rPr>
      </w:pPr>
      <w:r>
        <w:rPr>
          <w:rStyle w:val="EndnoteReference"/>
        </w:rPr>
        <w:endnoteRef/>
      </w:r>
      <w:r>
        <w:t xml:space="preserve"> </w:t>
      </w:r>
      <w:r>
        <w:tab/>
      </w:r>
      <w:r>
        <w:rPr>
          <w:sz w:val="20"/>
        </w:rPr>
        <w:t>В течение тех двух лет, которые производственные стажеры отрабатывают по новой системе, на них на равной с уроженцами страны основе распространяются все нормы трудового законодательства, включая Закон о трудовых стандартах.</w:t>
      </w:r>
    </w:p>
    <w:p w:rsidR="00000000" w:rsidRDefault="00000000">
      <w:pPr>
        <w:pStyle w:val="EndnoteText"/>
      </w:pPr>
    </w:p>
  </w:endnote>
  <w:endnote w:id="11">
    <w:p w:rsidR="00000000" w:rsidRDefault="00000000">
      <w:pPr>
        <w:pStyle w:val="EndnoteText"/>
        <w:rPr>
          <w:sz w:val="20"/>
        </w:rPr>
      </w:pPr>
      <w:r>
        <w:rPr>
          <w:rStyle w:val="EndnoteReference"/>
        </w:rPr>
        <w:endnoteRef/>
      </w:r>
      <w:r>
        <w:tab/>
      </w:r>
      <w:r>
        <w:rPr>
          <w:sz w:val="20"/>
        </w:rPr>
        <w:t>27 227 иностранцев прибыли в страну в рамках системы разрешений на работу, а 25 508 – в рамках специальной системы разрешений на работу.</w:t>
      </w:r>
    </w:p>
    <w:p w:rsidR="00000000" w:rsidRDefault="00000000">
      <w:pPr>
        <w:pStyle w:val="EndnoteText"/>
        <w:rPr>
          <w:sz w:val="20"/>
        </w:rPr>
      </w:pPr>
    </w:p>
  </w:endnote>
  <w:endnote w:id="12">
    <w:p w:rsidR="00000000" w:rsidRDefault="00000000">
      <w:pPr>
        <w:pStyle w:val="EndnoteText"/>
        <w:rPr>
          <w:sz w:val="20"/>
        </w:rPr>
      </w:pPr>
      <w:r>
        <w:rPr>
          <w:rStyle w:val="EndnoteReference"/>
        </w:rPr>
        <w:endnoteRef/>
      </w:r>
      <w:r>
        <w:t xml:space="preserve"> </w:t>
      </w:r>
      <w:r>
        <w:tab/>
      </w:r>
      <w:r>
        <w:rPr>
          <w:sz w:val="20"/>
        </w:rPr>
        <w:t>На октябрь 2005 года количество проживающих в Корее супругов-иностранцев составляло 72 032.</w:t>
      </w:r>
    </w:p>
    <w:p w:rsidR="00000000" w:rsidRDefault="00000000">
      <w:pPr>
        <w:pStyle w:val="EndnoteText"/>
        <w:rPr>
          <w:sz w:val="20"/>
        </w:rPr>
      </w:pPr>
    </w:p>
  </w:endnote>
  <w:endnote w:id="13">
    <w:p w:rsidR="00000000" w:rsidRDefault="00000000">
      <w:pPr>
        <w:pStyle w:val="EndnoteText"/>
        <w:rPr>
          <w:sz w:val="20"/>
        </w:rPr>
      </w:pPr>
      <w:r>
        <w:rPr>
          <w:rStyle w:val="EndnoteReference"/>
        </w:rPr>
        <w:endnoteRef/>
      </w:r>
      <w:r>
        <w:t xml:space="preserve"> </w:t>
      </w:r>
      <w:r>
        <w:tab/>
      </w:r>
      <w:r>
        <w:rPr>
          <w:sz w:val="20"/>
        </w:rPr>
        <w:t>В статьях 12, 26, 27, 28 и 29 Конституции говорится об оказании помощи жертве в связи с актом дискриминации.  В Гражданском кодексе, Уголовном кодексе, Гражданско-процессуальном кодексе, Законе о государственной компенсации, Законе об административно-гражданской судебной процедуре и Законе о предоставлении компенсации жертвам уголовных преступлений содержатся положения, касающиеся защиты иностранцев от расовой дискриминации и оказания им помощи.</w:t>
      </w:r>
    </w:p>
    <w:p w:rsidR="00000000" w:rsidRDefault="00000000">
      <w:pPr>
        <w:pStyle w:val="EndnoteText"/>
      </w:pPr>
    </w:p>
  </w:endnote>
  <w:endnote w:id="14">
    <w:p w:rsidR="00000000" w:rsidRDefault="00000000">
      <w:pPr>
        <w:pStyle w:val="EndnoteText"/>
        <w:rPr>
          <w:sz w:val="20"/>
        </w:rPr>
      </w:pPr>
      <w:r>
        <w:rPr>
          <w:rStyle w:val="EndnoteReference"/>
        </w:rPr>
        <w:endnoteRef/>
      </w:r>
      <w:r>
        <w:t xml:space="preserve"> </w:t>
      </w:r>
      <w:r>
        <w:tab/>
      </w:r>
      <w:r>
        <w:rPr>
          <w:sz w:val="20"/>
        </w:rPr>
        <w:t>С 30 июля 2004 года по 1 августа 2005 года услугами информационно-справочных бюро воспользовались 4 283 иностранца, из которых 2 274 человека обратились за помощью в урегулировании вопросов, связанных с системой разрешений на работу и контролем над иммиграцией, 1 433 человек получили консультации по поводу задержки с выплатой заработной платы и соблюдения правил найма, а 576 требовались рекомендации в связи с производственным травматизмом.</w:t>
      </w:r>
    </w:p>
  </w:endnote>
  <w:endnote w:id="15">
    <w:p w:rsidR="00000000" w:rsidRDefault="00000000">
      <w:pPr>
        <w:pStyle w:val="EndnoteText"/>
        <w:rPr>
          <w:sz w:val="20"/>
        </w:rPr>
      </w:pPr>
    </w:p>
    <w:p w:rsidR="00000000" w:rsidRDefault="00000000">
      <w:pPr>
        <w:pStyle w:val="EndnoteText"/>
        <w:rPr>
          <w:sz w:val="20"/>
        </w:rPr>
      </w:pPr>
      <w:r>
        <w:rPr>
          <w:rStyle w:val="EndnoteReference"/>
        </w:rPr>
        <w:endnoteRef/>
      </w:r>
      <w:r>
        <w:t xml:space="preserve"> </w:t>
      </w:r>
      <w:r>
        <w:tab/>
      </w:r>
      <w:r>
        <w:rPr>
          <w:sz w:val="20"/>
        </w:rPr>
        <w:t>На декабрь 2005 года Комитетом не было получено ни одного сообщения о случаях расовой дискриминации и не было рассмотрено ни одного подобного случая.</w:t>
      </w:r>
    </w:p>
    <w:p w:rsidR="00000000" w:rsidRDefault="00000000">
      <w:pPr>
        <w:pStyle w:val="EndnoteText"/>
        <w:rPr>
          <w:sz w:val="20"/>
        </w:rPr>
      </w:pPr>
    </w:p>
    <w:p w:rsidR="00000000" w:rsidRDefault="00000000">
      <w:pPr>
        <w:pStyle w:val="EndnoteText"/>
        <w:jc w:val="center"/>
      </w:pPr>
    </w:p>
    <w:p w:rsidR="00000000" w:rsidRDefault="00000000">
      <w:pPr>
        <w:pStyle w:val="EndnoteText"/>
        <w:jc w:val="center"/>
        <w:rPr>
          <w:lang w:val="en-US"/>
        </w:rPr>
      </w:pPr>
      <w:r>
        <w:rPr>
          <w:lang w:val="en-US"/>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CERD/C/KOR/14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CERD/C/KOR/14</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25</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humanrights.go.kr"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7485</Words>
  <Characters>42667</Characters>
  <Application>Microsoft Office Word</Application>
  <DocSecurity>4</DocSecurity>
  <Lines>355</Lines>
  <Paragraphs>85</Paragraphs>
  <ScaleCrop>false</ScaleCrop>
  <HeadingPairs>
    <vt:vector size="2" baseType="variant">
      <vt:variant>
        <vt:lpstr>Название</vt:lpstr>
      </vt:variant>
      <vt:variant>
        <vt:i4>1</vt:i4>
      </vt:variant>
    </vt:vector>
  </HeadingPairs>
  <TitlesOfParts>
    <vt:vector size="1" baseType="lpstr">
      <vt:lpstr>0643861.doc</vt:lpstr>
    </vt:vector>
  </TitlesOfParts>
  <Company> </Company>
  <LinksUpToDate>false</LinksUpToDate>
  <CharactersWithSpaces>52398</CharactersWithSpaces>
  <SharedDoc>false</SharedDoc>
  <HLinks>
    <vt:vector size="6" baseType="variant">
      <vt:variant>
        <vt:i4>589910</vt:i4>
      </vt:variant>
      <vt:variant>
        <vt:i4>13</vt:i4>
      </vt:variant>
      <vt:variant>
        <vt:i4>0</vt:i4>
      </vt:variant>
      <vt:variant>
        <vt:i4>5</vt:i4>
      </vt:variant>
      <vt:variant>
        <vt:lpwstr>http://humanrights.go.kr/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0643861.doc</dc:title>
  <dc:subject/>
  <dc:creator>Smirnova</dc:creator>
  <cp:keywords/>
  <dc:description/>
  <cp:lastModifiedBy>Smirnova</cp:lastModifiedBy>
  <cp:revision>3</cp:revision>
  <cp:lastPrinted>2006-10-03T08:38:00Z</cp:lastPrinted>
  <dcterms:created xsi:type="dcterms:W3CDTF">2006-10-03T08:38:00Z</dcterms:created>
  <dcterms:modified xsi:type="dcterms:W3CDTF">2006-10-03T08:38:00Z</dcterms:modified>
</cp:coreProperties>
</file>