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334AE2">
        <w:trPr>
          <w:trHeight w:hRule="exact" w:val="851"/>
        </w:trPr>
        <w:tc>
          <w:tcPr>
            <w:tcW w:w="1280" w:type="dxa"/>
            <w:tcBorders>
              <w:bottom w:val="single" w:sz="4" w:space="0" w:color="auto"/>
            </w:tcBorders>
          </w:tcPr>
          <w:p w:rsidR="00334AE2" w:rsidRDefault="00334AE2">
            <w:pPr>
              <w:rPr>
                <w:rFonts w:hint="eastAsia"/>
              </w:rPr>
            </w:pPr>
          </w:p>
        </w:tc>
        <w:tc>
          <w:tcPr>
            <w:tcW w:w="2273" w:type="dxa"/>
            <w:tcBorders>
              <w:bottom w:val="single" w:sz="4" w:space="0" w:color="auto"/>
            </w:tcBorders>
            <w:vAlign w:val="bottom"/>
          </w:tcPr>
          <w:p w:rsidR="00334AE2" w:rsidRDefault="00334AE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334AE2" w:rsidRDefault="00334AE2">
            <w:pPr>
              <w:spacing w:line="240" w:lineRule="atLeast"/>
              <w:jc w:val="right"/>
              <w:rPr>
                <w:rFonts w:hint="eastAsia"/>
                <w:szCs w:val="21"/>
              </w:rPr>
            </w:pPr>
            <w:r>
              <w:rPr>
                <w:sz w:val="40"/>
                <w:szCs w:val="40"/>
              </w:rPr>
              <w:t>CRPD</w:t>
            </w:r>
            <w:r>
              <w:rPr>
                <w:sz w:val="20"/>
              </w:rPr>
              <w:t>/C/DEU/1</w:t>
            </w:r>
          </w:p>
        </w:tc>
      </w:tr>
      <w:tr w:rsidR="00334AE2">
        <w:trPr>
          <w:trHeight w:hRule="exact" w:val="2835"/>
        </w:trPr>
        <w:tc>
          <w:tcPr>
            <w:tcW w:w="1280" w:type="dxa"/>
            <w:tcBorders>
              <w:top w:val="single" w:sz="4" w:space="0" w:color="auto"/>
              <w:bottom w:val="single" w:sz="12" w:space="0" w:color="auto"/>
            </w:tcBorders>
          </w:tcPr>
          <w:p w:rsidR="00334AE2" w:rsidRDefault="00334AE2">
            <w:pPr>
              <w:spacing w:line="120" w:lineRule="atLeast"/>
              <w:rPr>
                <w:sz w:val="10"/>
                <w:szCs w:val="10"/>
              </w:rPr>
            </w:pPr>
          </w:p>
          <w:p w:rsidR="00334AE2" w:rsidRDefault="00334AE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34AE2" w:rsidRDefault="00334AE2">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334AE2" w:rsidRDefault="00334AE2">
            <w:pPr>
              <w:spacing w:before="240" w:line="240" w:lineRule="atLeast"/>
              <w:rPr>
                <w:sz w:val="20"/>
              </w:rPr>
            </w:pPr>
            <w:r>
              <w:rPr>
                <w:sz w:val="20"/>
              </w:rPr>
              <w:t>Distr.: General</w:t>
            </w:r>
          </w:p>
          <w:p w:rsidR="00334AE2" w:rsidRDefault="00334AE2">
            <w:pPr>
              <w:spacing w:line="240" w:lineRule="atLeast"/>
              <w:rPr>
                <w:sz w:val="20"/>
              </w:rPr>
            </w:pPr>
            <w:r>
              <w:rPr>
                <w:sz w:val="20"/>
              </w:rPr>
              <w:t>7 May 20</w:t>
            </w:r>
            <w:r>
              <w:rPr>
                <w:rFonts w:hint="eastAsia"/>
                <w:sz w:val="20"/>
              </w:rPr>
              <w:t>1</w:t>
            </w:r>
            <w:r>
              <w:rPr>
                <w:sz w:val="20"/>
              </w:rPr>
              <w:t>3</w:t>
            </w:r>
          </w:p>
          <w:p w:rsidR="00334AE2" w:rsidRDefault="00334AE2">
            <w:pPr>
              <w:spacing w:line="240" w:lineRule="atLeast"/>
              <w:rPr>
                <w:sz w:val="20"/>
              </w:rPr>
            </w:pPr>
            <w:r>
              <w:rPr>
                <w:sz w:val="20"/>
              </w:rPr>
              <w:t>Chinese</w:t>
            </w:r>
          </w:p>
          <w:p w:rsidR="00334AE2" w:rsidRDefault="00334AE2">
            <w:pPr>
              <w:spacing w:line="240" w:lineRule="atLeast"/>
              <w:rPr>
                <w:rFonts w:hint="eastAsia"/>
                <w:sz w:val="20"/>
              </w:rPr>
            </w:pPr>
            <w:r>
              <w:rPr>
                <w:sz w:val="20"/>
              </w:rPr>
              <w:t>Original: English</w:t>
            </w:r>
          </w:p>
        </w:tc>
      </w:tr>
    </w:tbl>
    <w:p w:rsidR="00334AE2" w:rsidRDefault="00334AE2">
      <w:pPr>
        <w:spacing w:before="120"/>
        <w:rPr>
          <w:rFonts w:eastAsia="SimHei" w:hint="eastAsia"/>
          <w:sz w:val="24"/>
          <w:szCs w:val="24"/>
          <w:lang w:val="fr-CH"/>
        </w:rPr>
      </w:pPr>
      <w:r>
        <w:rPr>
          <w:rFonts w:eastAsia="SimHei" w:hint="eastAsia"/>
          <w:sz w:val="24"/>
          <w:szCs w:val="24"/>
          <w:lang w:val="fr-CH"/>
        </w:rPr>
        <w:t>残疾人权利委员会</w:t>
      </w:r>
    </w:p>
    <w:p w:rsidR="00334AE2" w:rsidRDefault="00334AE2">
      <w:pPr>
        <w:pStyle w:val="HMGC"/>
        <w:rPr>
          <w:lang w:val="en-GB"/>
        </w:rPr>
      </w:pPr>
      <w:r>
        <w:rPr>
          <w:rFonts w:hint="eastAsia"/>
          <w:lang w:val="fr-CH"/>
        </w:rPr>
        <w:tab/>
      </w:r>
      <w:r>
        <w:rPr>
          <w:lang w:val="fr-CH"/>
        </w:rPr>
        <w:tab/>
      </w:r>
      <w:r>
        <w:rPr>
          <w:rFonts w:hint="eastAsia"/>
          <w:lang w:val="en-GB"/>
        </w:rPr>
        <w:t>审查缔约国按照《公约》</w:t>
      </w:r>
      <w:r>
        <w:rPr>
          <w:lang w:val="en-GB"/>
        </w:rPr>
        <w:t>第</w:t>
      </w:r>
      <w:r>
        <w:rPr>
          <w:rFonts w:hint="eastAsia"/>
          <w:lang w:val="en-GB"/>
        </w:rPr>
        <w:t>三十五</w:t>
      </w:r>
      <w:r>
        <w:rPr>
          <w:lang w:val="en-GB"/>
        </w:rPr>
        <w:t>条提</w:t>
      </w:r>
      <w:r>
        <w:rPr>
          <w:rFonts w:hint="eastAsia"/>
          <w:lang w:val="en-GB"/>
        </w:rPr>
        <w:t>交的报告</w:t>
      </w:r>
    </w:p>
    <w:p w:rsidR="00334AE2" w:rsidRDefault="00334AE2">
      <w:pPr>
        <w:pStyle w:val="HChGC"/>
        <w:rPr>
          <w:lang w:val="en-GB"/>
        </w:rPr>
      </w:pPr>
      <w:r>
        <w:rPr>
          <w:lang w:val="en-GB"/>
        </w:rPr>
        <w:tab/>
      </w:r>
      <w:r>
        <w:rPr>
          <w:lang w:val="en-GB"/>
        </w:rPr>
        <w:tab/>
      </w:r>
      <w:bookmarkStart w:id="0" w:name="_Toc286990684"/>
      <w:r>
        <w:rPr>
          <w:rFonts w:hint="eastAsia"/>
          <w:lang w:val="en-GB"/>
        </w:rPr>
        <w:t>缔约国的初次报告</w:t>
      </w:r>
      <w:bookmarkEnd w:id="0"/>
    </w:p>
    <w:p w:rsidR="00334AE2" w:rsidRDefault="00334AE2">
      <w:pPr>
        <w:pStyle w:val="HMGC"/>
        <w:rPr>
          <w:rStyle w:val="FootnoteReference"/>
        </w:rPr>
      </w:pPr>
      <w:r>
        <w:rPr>
          <w:lang w:val="en-GB"/>
        </w:rPr>
        <w:tab/>
      </w:r>
      <w:r>
        <w:rPr>
          <w:lang w:val="en-GB"/>
        </w:rPr>
        <w:tab/>
      </w:r>
      <w:r>
        <w:rPr>
          <w:rFonts w:hint="eastAsia"/>
          <w:lang w:val="en-GB"/>
        </w:rPr>
        <w:t>德国</w:t>
      </w:r>
      <w:r>
        <w:rPr>
          <w:rStyle w:val="FootnoteReference"/>
          <w:position w:val="6"/>
          <w:sz w:val="34"/>
          <w:szCs w:val="34"/>
          <w:vertAlign w:val="baseline"/>
        </w:rPr>
        <w:footnoteReference w:customMarkFollows="1" w:id="1"/>
        <w:t>*</w:t>
      </w:r>
    </w:p>
    <w:p w:rsidR="00334AE2" w:rsidRDefault="00334AE2">
      <w:pPr>
        <w:pStyle w:val="SingleTxtGC"/>
        <w:jc w:val="right"/>
        <w:rPr>
          <w:lang w:val="fr-CH"/>
        </w:rPr>
      </w:pPr>
      <w:r>
        <w:rPr>
          <w:lang w:val="fr-CH"/>
        </w:rPr>
        <w:t>[2011</w:t>
      </w:r>
      <w:r>
        <w:rPr>
          <w:rFonts w:hint="eastAsia"/>
          <w:lang w:val="en-GB"/>
        </w:rPr>
        <w:t>年</w:t>
      </w:r>
      <w:r>
        <w:rPr>
          <w:rFonts w:hint="eastAsia"/>
          <w:lang w:val="en-GB"/>
        </w:rPr>
        <w:t>9</w:t>
      </w:r>
      <w:r>
        <w:rPr>
          <w:rFonts w:hint="eastAsia"/>
          <w:lang w:val="en-GB"/>
        </w:rPr>
        <w:t>月</w:t>
      </w:r>
      <w:r>
        <w:rPr>
          <w:rFonts w:hint="eastAsia"/>
          <w:lang w:val="en-GB"/>
        </w:rPr>
        <w:t>19</w:t>
      </w:r>
      <w:r>
        <w:rPr>
          <w:rFonts w:hint="eastAsia"/>
          <w:lang w:val="en-GB"/>
        </w:rPr>
        <w:t>日</w:t>
      </w:r>
      <w:r>
        <w:rPr>
          <w:lang w:val="fr-CH"/>
        </w:rPr>
        <w:t>]</w:t>
      </w:r>
    </w:p>
    <w:p w:rsidR="00334AE2" w:rsidRDefault="00334AE2">
      <w:pPr>
        <w:pStyle w:val="SingleTxtGC"/>
        <w:ind w:left="0"/>
        <w:rPr>
          <w:sz w:val="28"/>
          <w:szCs w:val="28"/>
        </w:rPr>
      </w:pPr>
      <w:r>
        <w:rPr>
          <w:lang w:val="fr-CH"/>
        </w:rPr>
        <w:br w:type="page"/>
      </w:r>
      <w:r>
        <w:rPr>
          <w:rFonts w:hint="eastAsia"/>
          <w:sz w:val="28"/>
          <w:szCs w:val="28"/>
        </w:rPr>
        <w:t>目录</w:t>
      </w:r>
    </w:p>
    <w:p w:rsidR="00334AE2" w:rsidRDefault="00334AE2">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334AE2" w:rsidRDefault="00334AE2">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lang w:val="de-DE"/>
        </w:rPr>
      </w:pPr>
      <w:r>
        <w:rPr>
          <w:lang w:val="de-DE"/>
        </w:rPr>
        <w:tab/>
      </w:r>
      <w:r>
        <w:rPr>
          <w:rFonts w:hint="eastAsia"/>
          <w:lang w:val="de-DE"/>
        </w:rPr>
        <w:t>一</w:t>
      </w:r>
      <w:r>
        <w:rPr>
          <w:rFonts w:hint="eastAsia"/>
          <w:lang w:val="de-DE"/>
        </w:rPr>
        <w:t>.</w:t>
      </w:r>
      <w:r>
        <w:rPr>
          <w:rFonts w:hint="eastAsia"/>
          <w:lang w:val="de-DE"/>
        </w:rPr>
        <w:tab/>
      </w:r>
      <w:r>
        <w:rPr>
          <w:rFonts w:hint="eastAsia"/>
          <w:lang w:val="de-DE"/>
        </w:rPr>
        <w:t>导言</w:t>
      </w:r>
      <w:r>
        <w:rPr>
          <w:lang w:val="de-DE"/>
        </w:rPr>
        <w:t>.</w:t>
      </w:r>
      <w:r>
        <w:rPr>
          <w:lang w:val="de-DE"/>
        </w:rPr>
        <w:tab/>
      </w:r>
      <w:r>
        <w:rPr>
          <w:lang w:val="de-DE"/>
        </w:rPr>
        <w:tab/>
      </w:r>
      <w:r>
        <w:rPr>
          <w:rFonts w:hint="eastAsia"/>
          <w:lang w:val="de-DE"/>
        </w:rPr>
        <w:t>1-13</w:t>
      </w:r>
      <w:r>
        <w:rPr>
          <w:rFonts w:hint="eastAsia"/>
          <w:lang w:val="de-DE"/>
        </w:rPr>
        <w:tab/>
        <w:t>4</w:t>
      </w:r>
    </w:p>
    <w:p w:rsidR="00334AE2" w:rsidRDefault="00334AE2">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lang w:val="de-DE"/>
        </w:rPr>
      </w:pPr>
      <w:r>
        <w:rPr>
          <w:rFonts w:hint="eastAsia"/>
          <w:lang w:val="de-DE"/>
        </w:rPr>
        <w:tab/>
      </w:r>
      <w:r>
        <w:rPr>
          <w:lang w:val="de-DE"/>
        </w:rPr>
        <w:tab/>
      </w:r>
      <w:r>
        <w:rPr>
          <w:rFonts w:hint="eastAsia"/>
          <w:lang w:val="de-DE"/>
        </w:rPr>
        <w:t>实现更加包容的道路</w:t>
      </w:r>
      <w:r>
        <w:rPr>
          <w:rFonts w:hint="eastAsia"/>
          <w:lang w:val="de-DE"/>
        </w:rPr>
        <w:tab/>
      </w:r>
      <w:r>
        <w:rPr>
          <w:rFonts w:hint="eastAsia"/>
          <w:lang w:val="de-DE"/>
        </w:rPr>
        <w:tab/>
        <w:t>5-13</w:t>
      </w:r>
      <w:r>
        <w:rPr>
          <w:rFonts w:hint="eastAsia"/>
          <w:lang w:val="de-DE"/>
        </w:rPr>
        <w:tab/>
        <w:t>4</w:t>
      </w:r>
    </w:p>
    <w:p w:rsidR="00334AE2" w:rsidRDefault="00334AE2">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lang w:val="de-DE"/>
        </w:rPr>
      </w:pPr>
      <w:r>
        <w:rPr>
          <w:rFonts w:hint="eastAsia"/>
          <w:lang w:val="de-DE"/>
        </w:rPr>
        <w:tab/>
      </w:r>
      <w:r>
        <w:rPr>
          <w:rFonts w:hint="eastAsia"/>
          <w:lang w:val="de-DE"/>
        </w:rPr>
        <w:t>二</w:t>
      </w:r>
      <w:r>
        <w:rPr>
          <w:rFonts w:hint="eastAsia"/>
          <w:lang w:val="de-DE"/>
        </w:rPr>
        <w:t>.</w:t>
      </w:r>
      <w:r>
        <w:rPr>
          <w:rFonts w:hint="eastAsia"/>
          <w:lang w:val="de-DE"/>
        </w:rPr>
        <w:tab/>
      </w:r>
      <w:r>
        <w:rPr>
          <w:rFonts w:hint="eastAsia"/>
          <w:lang w:val="de-DE"/>
        </w:rPr>
        <w:t>有关《公约》条款的信息</w:t>
      </w:r>
      <w:r>
        <w:rPr>
          <w:rFonts w:hint="eastAsia"/>
          <w:lang w:val="de-DE"/>
        </w:rPr>
        <w:tab/>
      </w:r>
      <w:r>
        <w:rPr>
          <w:rFonts w:hint="eastAsia"/>
          <w:lang w:val="de-DE"/>
        </w:rPr>
        <w:tab/>
        <w:t>14-290</w:t>
      </w:r>
      <w:r>
        <w:rPr>
          <w:rFonts w:hint="eastAsia"/>
          <w:lang w:val="de-DE"/>
        </w:rPr>
        <w:tab/>
        <w:t>7</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第一条</w:t>
      </w:r>
      <w:r>
        <w:tab/>
      </w:r>
      <w:r>
        <w:rPr>
          <w:rFonts w:hint="eastAsia"/>
        </w:rPr>
        <w:t>宗旨</w:t>
      </w:r>
      <w:r>
        <w:rPr>
          <w:rFonts w:hint="eastAsia"/>
        </w:rPr>
        <w:tab/>
      </w:r>
      <w:r>
        <w:rPr>
          <w:rFonts w:hint="eastAsia"/>
        </w:rPr>
        <w:tab/>
        <w:t>14-18</w:t>
      </w:r>
      <w:r>
        <w:rPr>
          <w:rFonts w:hint="eastAsia"/>
        </w:rPr>
        <w:tab/>
        <w:t>7</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第二条</w:t>
      </w:r>
      <w:r>
        <w:tab/>
      </w:r>
      <w:r>
        <w:rPr>
          <w:rFonts w:hint="eastAsia"/>
        </w:rPr>
        <w:t>定义</w:t>
      </w:r>
      <w:r>
        <w:rPr>
          <w:rFonts w:hint="eastAsia"/>
        </w:rPr>
        <w:tab/>
      </w:r>
      <w:r>
        <w:rPr>
          <w:rFonts w:hint="eastAsia"/>
        </w:rPr>
        <w:tab/>
        <w:t>19-24</w:t>
      </w:r>
      <w:r>
        <w:rPr>
          <w:rFonts w:hint="eastAsia"/>
        </w:rPr>
        <w:tab/>
        <w:t>8</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第三条</w:t>
      </w:r>
      <w:r>
        <w:tab/>
      </w:r>
      <w:r>
        <w:rPr>
          <w:rFonts w:hint="eastAsia"/>
        </w:rPr>
        <w:t>一般原则</w:t>
      </w:r>
      <w:r>
        <w:rPr>
          <w:rFonts w:hint="eastAsia"/>
        </w:rPr>
        <w:tab/>
      </w:r>
      <w:r>
        <w:rPr>
          <w:rFonts w:hint="eastAsia"/>
        </w:rPr>
        <w:tab/>
        <w:t>25-26</w:t>
      </w:r>
      <w:r>
        <w:rPr>
          <w:rFonts w:hint="eastAsia"/>
        </w:rPr>
        <w:tab/>
        <w:t>9</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第四条</w:t>
      </w:r>
      <w:r>
        <w:tab/>
      </w:r>
      <w:r>
        <w:rPr>
          <w:rFonts w:hint="eastAsia"/>
        </w:rPr>
        <w:t>一般义务</w:t>
      </w:r>
      <w:r>
        <w:rPr>
          <w:rFonts w:hint="eastAsia"/>
        </w:rPr>
        <w:tab/>
      </w:r>
      <w:r>
        <w:rPr>
          <w:rFonts w:hint="eastAsia"/>
        </w:rPr>
        <w:tab/>
        <w:t>27-32</w:t>
      </w:r>
      <w:r>
        <w:rPr>
          <w:rFonts w:hint="eastAsia"/>
        </w:rPr>
        <w:tab/>
        <w:t>9</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第五条</w:t>
      </w:r>
      <w:r>
        <w:tab/>
      </w:r>
      <w:r>
        <w:rPr>
          <w:rFonts w:hint="eastAsia"/>
        </w:rPr>
        <w:t>平等和不歧视</w:t>
      </w:r>
      <w:r>
        <w:rPr>
          <w:rFonts w:hint="eastAsia"/>
        </w:rPr>
        <w:tab/>
      </w:r>
      <w:r>
        <w:rPr>
          <w:rFonts w:hint="eastAsia"/>
        </w:rPr>
        <w:tab/>
        <w:t>33-42</w:t>
      </w:r>
      <w:r>
        <w:rPr>
          <w:rFonts w:hint="eastAsia"/>
        </w:rPr>
        <w:tab/>
        <w:t>11</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第六条</w:t>
      </w:r>
      <w:r>
        <w:tab/>
      </w:r>
      <w:r>
        <w:rPr>
          <w:rFonts w:hint="eastAsia"/>
        </w:rPr>
        <w:t>残疾妇女</w:t>
      </w:r>
      <w:r>
        <w:rPr>
          <w:rFonts w:hint="eastAsia"/>
        </w:rPr>
        <w:tab/>
      </w:r>
      <w:r>
        <w:rPr>
          <w:rFonts w:hint="eastAsia"/>
        </w:rPr>
        <w:tab/>
        <w:t>43-48</w:t>
      </w:r>
      <w:r>
        <w:rPr>
          <w:rFonts w:hint="eastAsia"/>
        </w:rPr>
        <w:tab/>
        <w:t>14</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第七条</w:t>
      </w:r>
      <w:r>
        <w:tab/>
      </w:r>
      <w:r>
        <w:rPr>
          <w:rFonts w:hint="eastAsia"/>
        </w:rPr>
        <w:t>残疾儿童</w:t>
      </w:r>
      <w:r>
        <w:rPr>
          <w:rFonts w:hint="eastAsia"/>
        </w:rPr>
        <w:tab/>
      </w:r>
      <w:r>
        <w:rPr>
          <w:rFonts w:hint="eastAsia"/>
        </w:rPr>
        <w:tab/>
        <w:t>49-55</w:t>
      </w:r>
      <w:r>
        <w:rPr>
          <w:rFonts w:hint="eastAsia"/>
        </w:rPr>
        <w:tab/>
        <w:t>14</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第八条</w:t>
      </w:r>
      <w:r>
        <w:tab/>
      </w:r>
      <w:r>
        <w:rPr>
          <w:rFonts w:hint="eastAsia"/>
        </w:rPr>
        <w:t>提高认识</w:t>
      </w:r>
      <w:r>
        <w:rPr>
          <w:rFonts w:hint="eastAsia"/>
        </w:rPr>
        <w:tab/>
      </w:r>
      <w:r>
        <w:rPr>
          <w:rFonts w:hint="eastAsia"/>
        </w:rPr>
        <w:tab/>
        <w:t>56-65</w:t>
      </w:r>
      <w:r>
        <w:rPr>
          <w:rFonts w:hint="eastAsia"/>
        </w:rPr>
        <w:tab/>
        <w:t>16</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第九条</w:t>
      </w:r>
      <w:r>
        <w:tab/>
      </w:r>
      <w:r>
        <w:rPr>
          <w:rFonts w:hint="eastAsia"/>
        </w:rPr>
        <w:t>无障碍</w:t>
      </w:r>
      <w:r>
        <w:rPr>
          <w:rFonts w:hint="eastAsia"/>
        </w:rPr>
        <w:tab/>
      </w:r>
      <w:r>
        <w:rPr>
          <w:rFonts w:hint="eastAsia"/>
        </w:rPr>
        <w:tab/>
        <w:t>66-87</w:t>
      </w:r>
      <w:r>
        <w:rPr>
          <w:rFonts w:hint="eastAsia"/>
        </w:rPr>
        <w:tab/>
        <w:t>19</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第十条</w:t>
      </w:r>
      <w:r>
        <w:tab/>
      </w:r>
      <w:r>
        <w:rPr>
          <w:rFonts w:hint="eastAsia"/>
        </w:rPr>
        <w:t>生命权</w:t>
      </w:r>
      <w:r>
        <w:rPr>
          <w:rFonts w:hint="eastAsia"/>
        </w:rPr>
        <w:tab/>
      </w:r>
      <w:r>
        <w:rPr>
          <w:rFonts w:hint="eastAsia"/>
        </w:rPr>
        <w:tab/>
        <w:t>88-93</w:t>
      </w:r>
      <w:r>
        <w:rPr>
          <w:rFonts w:hint="eastAsia"/>
        </w:rPr>
        <w:tab/>
        <w:t>23</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第十一条</w:t>
      </w:r>
      <w:r>
        <w:tab/>
      </w:r>
      <w:r>
        <w:rPr>
          <w:rFonts w:hint="eastAsia"/>
        </w:rPr>
        <w:t>危难情况和人道主义紧急情况</w:t>
      </w:r>
      <w:r>
        <w:rPr>
          <w:rFonts w:hint="eastAsia"/>
        </w:rPr>
        <w:tab/>
      </w:r>
      <w:r>
        <w:rPr>
          <w:rFonts w:hint="eastAsia"/>
        </w:rPr>
        <w:tab/>
        <w:t>94-95</w:t>
      </w:r>
      <w:r>
        <w:rPr>
          <w:rFonts w:hint="eastAsia"/>
        </w:rPr>
        <w:tab/>
        <w:t>24</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第十二条</w:t>
      </w:r>
      <w:r>
        <w:tab/>
      </w:r>
      <w:r>
        <w:rPr>
          <w:rFonts w:hint="eastAsia"/>
        </w:rPr>
        <w:t>在法律面前获得平等承认</w:t>
      </w:r>
      <w:r>
        <w:rPr>
          <w:rFonts w:hint="eastAsia"/>
        </w:rPr>
        <w:tab/>
      </w:r>
      <w:r>
        <w:rPr>
          <w:rFonts w:hint="eastAsia"/>
        </w:rPr>
        <w:tab/>
        <w:t>96-103</w:t>
      </w:r>
      <w:r>
        <w:rPr>
          <w:rFonts w:hint="eastAsia"/>
        </w:rPr>
        <w:tab/>
        <w:t>24</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第十三条</w:t>
      </w:r>
      <w:r>
        <w:tab/>
      </w:r>
      <w:r>
        <w:rPr>
          <w:rFonts w:hint="eastAsia"/>
        </w:rPr>
        <w:t>获得司法保护</w:t>
      </w:r>
      <w:r>
        <w:rPr>
          <w:rFonts w:hint="eastAsia"/>
        </w:rPr>
        <w:tab/>
      </w:r>
      <w:r>
        <w:rPr>
          <w:rFonts w:hint="eastAsia"/>
        </w:rPr>
        <w:tab/>
        <w:t>104-112</w:t>
      </w:r>
      <w:r>
        <w:rPr>
          <w:rFonts w:hint="eastAsia"/>
        </w:rPr>
        <w:tab/>
        <w:t>26</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第十四条</w:t>
      </w:r>
      <w:r>
        <w:tab/>
      </w:r>
      <w:r>
        <w:rPr>
          <w:rFonts w:hint="eastAsia"/>
        </w:rPr>
        <w:t>自由和人身安全</w:t>
      </w:r>
      <w:r>
        <w:rPr>
          <w:rFonts w:hint="eastAsia"/>
        </w:rPr>
        <w:tab/>
      </w:r>
      <w:r>
        <w:rPr>
          <w:rFonts w:hint="eastAsia"/>
        </w:rPr>
        <w:tab/>
        <w:t>113-122</w:t>
      </w:r>
      <w:r>
        <w:rPr>
          <w:rFonts w:hint="eastAsia"/>
        </w:rPr>
        <w:tab/>
        <w:t>27</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第十五条</w:t>
      </w:r>
      <w:r>
        <w:tab/>
      </w:r>
      <w:r>
        <w:rPr>
          <w:rFonts w:hint="eastAsia"/>
        </w:rPr>
        <w:t>免于酷刑或残忍、不人道或有辱人格的待遇或处罚</w:t>
      </w:r>
      <w:r>
        <w:rPr>
          <w:rFonts w:hint="eastAsia"/>
        </w:rPr>
        <w:tab/>
      </w:r>
      <w:r>
        <w:rPr>
          <w:rFonts w:hint="eastAsia"/>
        </w:rPr>
        <w:tab/>
        <w:t>123-125</w:t>
      </w:r>
      <w:r>
        <w:rPr>
          <w:rFonts w:hint="eastAsia"/>
        </w:rPr>
        <w:tab/>
        <w:t>28</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第十六条</w:t>
      </w:r>
      <w:r>
        <w:tab/>
      </w:r>
      <w:r>
        <w:rPr>
          <w:rFonts w:hint="eastAsia"/>
        </w:rPr>
        <w:t>免于剥削、暴力和虐待</w:t>
      </w:r>
      <w:r>
        <w:rPr>
          <w:rFonts w:hint="eastAsia"/>
        </w:rPr>
        <w:tab/>
      </w:r>
      <w:r>
        <w:rPr>
          <w:rFonts w:hint="eastAsia"/>
        </w:rPr>
        <w:tab/>
        <w:t>126-135</w:t>
      </w:r>
      <w:r>
        <w:rPr>
          <w:rFonts w:hint="eastAsia"/>
        </w:rPr>
        <w:tab/>
        <w:t>29</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第十七条</w:t>
      </w:r>
      <w:r>
        <w:tab/>
      </w:r>
      <w:r>
        <w:rPr>
          <w:rFonts w:hint="eastAsia"/>
        </w:rPr>
        <w:t>保护人身完整性</w:t>
      </w:r>
      <w:r>
        <w:rPr>
          <w:rFonts w:hint="eastAsia"/>
        </w:rPr>
        <w:tab/>
      </w:r>
      <w:r>
        <w:rPr>
          <w:rFonts w:hint="eastAsia"/>
        </w:rPr>
        <w:tab/>
        <w:t>136-138</w:t>
      </w:r>
      <w:r>
        <w:rPr>
          <w:rFonts w:hint="eastAsia"/>
        </w:rPr>
        <w:tab/>
        <w:t>31</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第十八条</w:t>
      </w:r>
      <w:r>
        <w:tab/>
      </w:r>
      <w:r>
        <w:rPr>
          <w:rFonts w:hint="eastAsia"/>
        </w:rPr>
        <w:t>迁徙自由和国籍</w:t>
      </w:r>
      <w:r>
        <w:rPr>
          <w:rFonts w:hint="eastAsia"/>
        </w:rPr>
        <w:tab/>
      </w:r>
      <w:r>
        <w:rPr>
          <w:rFonts w:hint="eastAsia"/>
        </w:rPr>
        <w:tab/>
        <w:t>139-144</w:t>
      </w:r>
      <w:r>
        <w:rPr>
          <w:rFonts w:hint="eastAsia"/>
        </w:rPr>
        <w:tab/>
        <w:t>31</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第十九条</w:t>
      </w:r>
      <w:r>
        <w:tab/>
      </w:r>
      <w:r>
        <w:rPr>
          <w:rFonts w:hint="eastAsia"/>
        </w:rPr>
        <w:t>独立生活和融入社区</w:t>
      </w:r>
      <w:r>
        <w:rPr>
          <w:rFonts w:hint="eastAsia"/>
        </w:rPr>
        <w:tab/>
      </w:r>
      <w:r>
        <w:rPr>
          <w:rFonts w:hint="eastAsia"/>
        </w:rPr>
        <w:tab/>
        <w:t>145-152</w:t>
      </w:r>
      <w:r>
        <w:rPr>
          <w:rFonts w:hint="eastAsia"/>
        </w:rPr>
        <w:tab/>
        <w:t>32</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第二十条</w:t>
      </w:r>
      <w:r>
        <w:tab/>
      </w:r>
      <w:r>
        <w:rPr>
          <w:rFonts w:hint="eastAsia"/>
        </w:rPr>
        <w:t>个人行动能力</w:t>
      </w:r>
      <w:r>
        <w:rPr>
          <w:rFonts w:hint="eastAsia"/>
        </w:rPr>
        <w:tab/>
      </w:r>
      <w:r>
        <w:rPr>
          <w:rFonts w:hint="eastAsia"/>
        </w:rPr>
        <w:tab/>
        <w:t>153-164</w:t>
      </w:r>
      <w:r>
        <w:rPr>
          <w:rFonts w:hint="eastAsia"/>
        </w:rPr>
        <w:tab/>
        <w:t>33</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第二十一条</w:t>
      </w:r>
      <w:r>
        <w:tab/>
      </w:r>
      <w:r>
        <w:rPr>
          <w:rFonts w:hint="eastAsia"/>
        </w:rPr>
        <w:t>表达意见的自由和获得信息的机会</w:t>
      </w:r>
      <w:r>
        <w:rPr>
          <w:rFonts w:hint="eastAsia"/>
        </w:rPr>
        <w:tab/>
      </w:r>
      <w:r>
        <w:rPr>
          <w:rFonts w:hint="eastAsia"/>
        </w:rPr>
        <w:tab/>
        <w:t>165-174</w:t>
      </w:r>
      <w:r>
        <w:rPr>
          <w:rFonts w:hint="eastAsia"/>
        </w:rPr>
        <w:tab/>
        <w:t>35</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第二十二条</w:t>
      </w:r>
      <w:r>
        <w:tab/>
      </w:r>
      <w:r>
        <w:rPr>
          <w:rFonts w:hint="eastAsia"/>
        </w:rPr>
        <w:t>尊重隐私</w:t>
      </w:r>
      <w:r>
        <w:rPr>
          <w:rFonts w:hint="eastAsia"/>
        </w:rPr>
        <w:tab/>
      </w:r>
      <w:r>
        <w:rPr>
          <w:rFonts w:hint="eastAsia"/>
        </w:rPr>
        <w:tab/>
        <w:t>175-178</w:t>
      </w:r>
      <w:r>
        <w:rPr>
          <w:rFonts w:hint="eastAsia"/>
        </w:rPr>
        <w:tab/>
        <w:t>37</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第二十三条</w:t>
      </w:r>
      <w:r>
        <w:tab/>
      </w:r>
      <w:r>
        <w:rPr>
          <w:rFonts w:hint="eastAsia"/>
        </w:rPr>
        <w:t>尊重家居和家庭</w:t>
      </w:r>
      <w:r>
        <w:rPr>
          <w:rFonts w:hint="eastAsia"/>
        </w:rPr>
        <w:tab/>
      </w:r>
      <w:r>
        <w:rPr>
          <w:rFonts w:hint="eastAsia"/>
        </w:rPr>
        <w:tab/>
        <w:t>179-187</w:t>
      </w:r>
      <w:r>
        <w:rPr>
          <w:rFonts w:hint="eastAsia"/>
        </w:rPr>
        <w:tab/>
        <w:t>38</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第二十四条</w:t>
      </w:r>
      <w:r>
        <w:tab/>
      </w:r>
      <w:r>
        <w:rPr>
          <w:rFonts w:hint="eastAsia"/>
        </w:rPr>
        <w:t>教育</w:t>
      </w:r>
      <w:r>
        <w:rPr>
          <w:rFonts w:hint="eastAsia"/>
        </w:rPr>
        <w:tab/>
      </w:r>
      <w:r>
        <w:rPr>
          <w:rFonts w:hint="eastAsia"/>
        </w:rPr>
        <w:tab/>
        <w:t>188-205</w:t>
      </w:r>
      <w:r>
        <w:rPr>
          <w:rFonts w:hint="eastAsia"/>
        </w:rPr>
        <w:tab/>
        <w:t>39</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第二十五条</w:t>
      </w:r>
      <w:r>
        <w:tab/>
      </w:r>
      <w:r>
        <w:rPr>
          <w:rFonts w:hint="eastAsia"/>
        </w:rPr>
        <w:t>健康</w:t>
      </w:r>
      <w:r>
        <w:rPr>
          <w:rFonts w:hint="eastAsia"/>
        </w:rPr>
        <w:tab/>
      </w:r>
      <w:r>
        <w:rPr>
          <w:rFonts w:hint="eastAsia"/>
        </w:rPr>
        <w:tab/>
        <w:t>206-218</w:t>
      </w:r>
      <w:r>
        <w:rPr>
          <w:rFonts w:hint="eastAsia"/>
        </w:rPr>
        <w:tab/>
        <w:t>42</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第二十六条</w:t>
      </w:r>
      <w:r>
        <w:tab/>
      </w:r>
      <w:r>
        <w:rPr>
          <w:rFonts w:hint="eastAsia"/>
        </w:rPr>
        <w:t>适应训练和康复</w:t>
      </w:r>
      <w:r>
        <w:rPr>
          <w:rFonts w:hint="eastAsia"/>
        </w:rPr>
        <w:tab/>
      </w:r>
      <w:r>
        <w:rPr>
          <w:rFonts w:hint="eastAsia"/>
        </w:rPr>
        <w:tab/>
        <w:t>219-223</w:t>
      </w:r>
      <w:r>
        <w:rPr>
          <w:rFonts w:hint="eastAsia"/>
        </w:rPr>
        <w:tab/>
        <w:t>45</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第二十七条</w:t>
      </w:r>
      <w:r>
        <w:tab/>
      </w:r>
      <w:r>
        <w:rPr>
          <w:rFonts w:hint="eastAsia"/>
        </w:rPr>
        <w:t>工作和就业</w:t>
      </w:r>
      <w:r>
        <w:rPr>
          <w:rFonts w:hint="eastAsia"/>
        </w:rPr>
        <w:tab/>
      </w:r>
      <w:r>
        <w:rPr>
          <w:rFonts w:hint="eastAsia"/>
        </w:rPr>
        <w:tab/>
        <w:t>224-241</w:t>
      </w:r>
      <w:r>
        <w:rPr>
          <w:rFonts w:hint="eastAsia"/>
        </w:rPr>
        <w:tab/>
        <w:t>46</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第二十八条</w:t>
      </w:r>
      <w:r>
        <w:tab/>
      </w:r>
      <w:r>
        <w:rPr>
          <w:rFonts w:hint="eastAsia"/>
        </w:rPr>
        <w:t>适足的生活水平和社会保护</w:t>
      </w:r>
      <w:r>
        <w:rPr>
          <w:rFonts w:hint="eastAsia"/>
        </w:rPr>
        <w:tab/>
      </w:r>
      <w:r>
        <w:rPr>
          <w:rFonts w:hint="eastAsia"/>
        </w:rPr>
        <w:tab/>
        <w:t>242-251</w:t>
      </w:r>
      <w:r>
        <w:rPr>
          <w:rFonts w:hint="eastAsia"/>
        </w:rPr>
        <w:tab/>
        <w:t>50</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第二十九条</w:t>
      </w:r>
      <w:r>
        <w:tab/>
      </w:r>
      <w:r>
        <w:rPr>
          <w:rFonts w:hint="eastAsia"/>
        </w:rPr>
        <w:t>参与政治和公共生活</w:t>
      </w:r>
      <w:r>
        <w:rPr>
          <w:rFonts w:hint="eastAsia"/>
        </w:rPr>
        <w:tab/>
      </w:r>
      <w:r>
        <w:rPr>
          <w:rFonts w:hint="eastAsia"/>
        </w:rPr>
        <w:tab/>
        <w:t>252-257</w:t>
      </w:r>
      <w:r>
        <w:rPr>
          <w:rFonts w:hint="eastAsia"/>
        </w:rPr>
        <w:tab/>
        <w:t>52</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第三十条</w:t>
      </w:r>
      <w:r>
        <w:tab/>
      </w:r>
      <w:r>
        <w:rPr>
          <w:rFonts w:hint="eastAsia"/>
        </w:rPr>
        <w:t>参与文化生活、娱乐、休闲和体育活动</w:t>
      </w:r>
      <w:r>
        <w:rPr>
          <w:rFonts w:hint="eastAsia"/>
        </w:rPr>
        <w:tab/>
      </w:r>
      <w:r>
        <w:rPr>
          <w:rFonts w:hint="eastAsia"/>
        </w:rPr>
        <w:tab/>
        <w:t>258-268</w:t>
      </w:r>
      <w:r>
        <w:rPr>
          <w:rFonts w:hint="eastAsia"/>
        </w:rPr>
        <w:tab/>
        <w:t>53</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tab/>
      </w:r>
      <w:r>
        <w:rPr>
          <w:rFonts w:hint="eastAsia"/>
        </w:rPr>
        <w:t>第三十一条</w:t>
      </w:r>
      <w:r>
        <w:tab/>
      </w:r>
      <w:r>
        <w:rPr>
          <w:rFonts w:hint="eastAsia"/>
        </w:rPr>
        <w:t>统计和数据收集</w:t>
      </w:r>
      <w:r>
        <w:rPr>
          <w:rFonts w:hint="eastAsia"/>
        </w:rPr>
        <w:tab/>
      </w:r>
      <w:r>
        <w:rPr>
          <w:rFonts w:hint="eastAsia"/>
        </w:rPr>
        <w:tab/>
        <w:t>269-271</w:t>
      </w:r>
      <w:r>
        <w:rPr>
          <w:rFonts w:hint="eastAsia"/>
        </w:rPr>
        <w:tab/>
        <w:t>55</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lang w:val="de-DE"/>
        </w:rPr>
      </w:pPr>
      <w:r>
        <w:rPr>
          <w:rFonts w:hint="eastAsia"/>
        </w:rPr>
        <w:tab/>
      </w:r>
      <w:r>
        <w:tab/>
      </w:r>
      <w:r>
        <w:rPr>
          <w:rFonts w:hint="eastAsia"/>
        </w:rPr>
        <w:t>第三十二条</w:t>
      </w:r>
      <w:r>
        <w:tab/>
      </w:r>
      <w:r>
        <w:rPr>
          <w:rFonts w:hint="eastAsia"/>
          <w:lang w:val="de-DE"/>
        </w:rPr>
        <w:t>国际合作</w:t>
      </w:r>
      <w:r>
        <w:rPr>
          <w:rFonts w:hint="eastAsia"/>
          <w:lang w:val="de-DE"/>
        </w:rPr>
        <w:tab/>
      </w:r>
      <w:r>
        <w:rPr>
          <w:rFonts w:hint="eastAsia"/>
          <w:lang w:val="de-DE"/>
        </w:rPr>
        <w:tab/>
        <w:t>272-283</w:t>
      </w:r>
      <w:r>
        <w:rPr>
          <w:rFonts w:hint="eastAsia"/>
          <w:lang w:val="de-DE"/>
        </w:rPr>
        <w:tab/>
        <w:t>56</w:t>
      </w:r>
    </w:p>
    <w:p w:rsidR="00334AE2" w:rsidRDefault="00334AE2">
      <w:pPr>
        <w:pStyle w:val="a3"/>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lang w:val="de-DE"/>
        </w:rPr>
      </w:pPr>
      <w:r>
        <w:rPr>
          <w:rFonts w:hint="eastAsia"/>
          <w:lang w:val="de-DE"/>
        </w:rPr>
        <w:tab/>
      </w:r>
      <w:r>
        <w:rPr>
          <w:lang w:val="de-DE"/>
        </w:rPr>
        <w:tab/>
      </w:r>
      <w:r>
        <w:rPr>
          <w:rFonts w:hint="eastAsia"/>
          <w:lang w:val="de-DE"/>
        </w:rPr>
        <w:t>第三十三条</w:t>
      </w:r>
      <w:r>
        <w:rPr>
          <w:lang w:val="de-DE"/>
        </w:rPr>
        <w:tab/>
      </w:r>
      <w:r>
        <w:rPr>
          <w:rFonts w:hint="eastAsia"/>
          <w:lang w:val="de-DE"/>
        </w:rPr>
        <w:t>国家实施和监测</w:t>
      </w:r>
      <w:r>
        <w:rPr>
          <w:rFonts w:hint="eastAsia"/>
          <w:lang w:val="de-DE"/>
        </w:rPr>
        <w:tab/>
      </w:r>
      <w:r>
        <w:rPr>
          <w:rFonts w:hint="eastAsia"/>
          <w:lang w:val="de-DE"/>
        </w:rPr>
        <w:tab/>
        <w:t>284-290</w:t>
      </w:r>
      <w:r>
        <w:rPr>
          <w:rFonts w:hint="eastAsia"/>
          <w:lang w:val="de-DE"/>
        </w:rPr>
        <w:tab/>
        <w:t>57</w:t>
      </w:r>
    </w:p>
    <w:p w:rsidR="00334AE2" w:rsidRDefault="00334AE2">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before="300" w:after="240"/>
        <w:ind w:right="2551"/>
        <w:rPr>
          <w:rFonts w:hint="eastAsia"/>
          <w:lang w:val="de-DE"/>
        </w:rPr>
      </w:pPr>
      <w:r>
        <w:rPr>
          <w:lang w:val="en-US"/>
        </w:rPr>
        <w:tab/>
      </w:r>
      <w:r>
        <w:rPr>
          <w:rFonts w:hint="eastAsia"/>
          <w:lang w:val="de-DE"/>
        </w:rPr>
        <w:t>表格</w:t>
      </w:r>
    </w:p>
    <w:p w:rsidR="00334AE2" w:rsidRDefault="00334AE2">
      <w:pPr>
        <w:pStyle w:val="a3"/>
        <w:tabs>
          <w:tab w:val="clear" w:pos="851"/>
          <w:tab w:val="clear" w:pos="1565"/>
          <w:tab w:val="clear" w:pos="1996"/>
          <w:tab w:val="clear" w:pos="7655"/>
          <w:tab w:val="clear" w:pos="8789"/>
          <w:tab w:val="clear" w:pos="9554"/>
          <w:tab w:val="right" w:pos="850"/>
          <w:tab w:val="left" w:pos="1134"/>
          <w:tab w:val="left" w:pos="1820"/>
          <w:tab w:val="right" w:leader="dot" w:pos="8840"/>
          <w:tab w:val="right" w:pos="9553"/>
        </w:tabs>
        <w:ind w:right="2551"/>
        <w:rPr>
          <w:rFonts w:hint="eastAsia"/>
          <w:lang w:val="de-DE"/>
        </w:rPr>
      </w:pPr>
      <w:r>
        <w:rPr>
          <w:lang w:val="de-DE"/>
        </w:rPr>
        <w:tab/>
      </w:r>
      <w:r>
        <w:rPr>
          <w:rFonts w:hint="eastAsia"/>
          <w:lang w:val="de-DE"/>
        </w:rPr>
        <w:tab/>
      </w:r>
      <w:r>
        <w:rPr>
          <w:rFonts w:hint="eastAsia"/>
          <w:lang w:val="de-DE"/>
        </w:rPr>
        <w:t>表</w:t>
      </w:r>
      <w:r>
        <w:rPr>
          <w:rFonts w:hint="eastAsia"/>
          <w:lang w:val="de-DE"/>
        </w:rPr>
        <w:t>1.</w:t>
      </w:r>
      <w:r>
        <w:rPr>
          <w:rFonts w:hint="eastAsia"/>
          <w:lang w:val="de-DE"/>
        </w:rPr>
        <w:tab/>
      </w:r>
      <w:r>
        <w:rPr>
          <w:rFonts w:hint="eastAsia"/>
          <w:lang w:val="de-DE"/>
        </w:rPr>
        <w:t>实施《残疾人权利公约》方案</w:t>
      </w:r>
      <w:r>
        <w:rPr>
          <w:lang w:val="de-DE"/>
        </w:rPr>
        <w:tab/>
      </w:r>
      <w:r>
        <w:rPr>
          <w:lang w:val="de-DE"/>
        </w:rPr>
        <w:tab/>
      </w:r>
      <w:r>
        <w:rPr>
          <w:rFonts w:hint="eastAsia"/>
          <w:lang w:val="de-DE"/>
        </w:rPr>
        <w:t>10</w:t>
      </w:r>
    </w:p>
    <w:p w:rsidR="00334AE2" w:rsidRDefault="00334AE2">
      <w:pPr>
        <w:pStyle w:val="a3"/>
        <w:tabs>
          <w:tab w:val="clear" w:pos="851"/>
          <w:tab w:val="clear" w:pos="1565"/>
          <w:tab w:val="clear" w:pos="1996"/>
          <w:tab w:val="clear" w:pos="7655"/>
          <w:tab w:val="clear" w:pos="8789"/>
          <w:tab w:val="clear" w:pos="9554"/>
          <w:tab w:val="right" w:pos="850"/>
          <w:tab w:val="left" w:pos="1134"/>
          <w:tab w:val="left" w:pos="1820"/>
          <w:tab w:val="right" w:leader="dot" w:pos="8840"/>
          <w:tab w:val="right" w:pos="9553"/>
        </w:tabs>
        <w:ind w:right="2551"/>
        <w:rPr>
          <w:rFonts w:hint="eastAsia"/>
          <w:lang w:val="de-DE"/>
        </w:rPr>
      </w:pPr>
      <w:r>
        <w:rPr>
          <w:rFonts w:hint="eastAsia"/>
          <w:lang w:val="de-DE"/>
        </w:rPr>
        <w:tab/>
      </w:r>
      <w:r>
        <w:rPr>
          <w:rFonts w:hint="eastAsia"/>
          <w:lang w:val="de-DE"/>
        </w:rPr>
        <w:tab/>
      </w:r>
      <w:r>
        <w:rPr>
          <w:rFonts w:hint="eastAsia"/>
          <w:lang w:val="de-DE"/>
        </w:rPr>
        <w:t>表</w:t>
      </w:r>
      <w:r>
        <w:rPr>
          <w:rFonts w:hint="eastAsia"/>
          <w:lang w:val="de-DE"/>
        </w:rPr>
        <w:t>2.</w:t>
      </w:r>
      <w:r>
        <w:rPr>
          <w:rFonts w:hint="eastAsia"/>
          <w:lang w:val="de-DE"/>
        </w:rPr>
        <w:tab/>
      </w:r>
      <w:r>
        <w:rPr>
          <w:rFonts w:hint="eastAsia"/>
          <w:lang w:val="de-DE"/>
        </w:rPr>
        <w:t>残疾人融入劳动力市场方案</w:t>
      </w:r>
      <w:r>
        <w:rPr>
          <w:rFonts w:hint="eastAsia"/>
          <w:lang w:val="de-DE"/>
        </w:rPr>
        <w:tab/>
      </w:r>
      <w:r>
        <w:rPr>
          <w:rFonts w:hint="eastAsia"/>
          <w:lang w:val="de-DE"/>
        </w:rPr>
        <w:tab/>
        <w:t>48</w:t>
      </w:r>
    </w:p>
    <w:p w:rsidR="00334AE2" w:rsidRDefault="00334AE2">
      <w:pPr>
        <w:pStyle w:val="HChGC"/>
        <w:rPr>
          <w:rFonts w:hint="eastAsia"/>
          <w:lang w:val="de-DE"/>
        </w:rPr>
      </w:pPr>
      <w:r>
        <w:rPr>
          <w:lang w:val="de-DE"/>
        </w:rPr>
        <w:br w:type="page"/>
      </w:r>
      <w:r>
        <w:rPr>
          <w:lang w:val="de-DE"/>
        </w:rPr>
        <w:tab/>
      </w:r>
      <w:r>
        <w:rPr>
          <w:rFonts w:hint="eastAsia"/>
          <w:lang w:val="en-GB"/>
        </w:rPr>
        <w:t>一</w:t>
      </w:r>
      <w:r>
        <w:rPr>
          <w:lang w:val="de-DE"/>
        </w:rPr>
        <w:t>.</w:t>
      </w:r>
      <w:r>
        <w:rPr>
          <w:lang w:val="de-DE"/>
        </w:rPr>
        <w:tab/>
      </w:r>
      <w:r>
        <w:rPr>
          <w:rFonts w:hint="eastAsia"/>
          <w:lang w:val="en-GB"/>
        </w:rPr>
        <w:t>导言</w:t>
      </w:r>
    </w:p>
    <w:p w:rsidR="00334AE2" w:rsidRDefault="00334AE2">
      <w:pPr>
        <w:pStyle w:val="SingleTxtGC"/>
        <w:rPr>
          <w:lang w:val="en-GB"/>
        </w:rPr>
      </w:pPr>
      <w:r>
        <w:rPr>
          <w:lang w:val="en-GB"/>
        </w:rPr>
        <w:t xml:space="preserve">1.  </w:t>
      </w:r>
      <w:r>
        <w:rPr>
          <w:rFonts w:hint="eastAsia"/>
          <w:lang w:val="en-GB"/>
        </w:rPr>
        <w:t>自</w:t>
      </w:r>
      <w:r>
        <w:rPr>
          <w:rFonts w:hint="eastAsia"/>
          <w:lang w:val="en-GB"/>
        </w:rPr>
        <w:t>2009</w:t>
      </w:r>
      <w:r>
        <w:rPr>
          <w:rFonts w:hint="eastAsia"/>
          <w:lang w:val="en-GB"/>
        </w:rPr>
        <w:t>年</w:t>
      </w:r>
      <w:r>
        <w:rPr>
          <w:rFonts w:hint="eastAsia"/>
          <w:lang w:val="en-GB"/>
        </w:rPr>
        <w:t>3</w:t>
      </w:r>
      <w:r>
        <w:rPr>
          <w:rFonts w:hint="eastAsia"/>
          <w:lang w:val="en-GB"/>
        </w:rPr>
        <w:t>月</w:t>
      </w:r>
      <w:r>
        <w:rPr>
          <w:rFonts w:hint="eastAsia"/>
          <w:lang w:val="en-GB"/>
        </w:rPr>
        <w:t>26</w:t>
      </w:r>
      <w:r>
        <w:rPr>
          <w:rFonts w:hint="eastAsia"/>
          <w:lang w:val="en-GB"/>
        </w:rPr>
        <w:t>日起，</w:t>
      </w: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13</w:t>
      </w:r>
      <w:r>
        <w:rPr>
          <w:rFonts w:hint="eastAsia"/>
          <w:lang w:val="en-GB"/>
        </w:rPr>
        <w:t>日通过的《</w:t>
      </w:r>
      <w:r>
        <w:rPr>
          <w:lang w:val="en-GB"/>
        </w:rPr>
        <w:t>残疾人权利公约</w:t>
      </w:r>
      <w:r>
        <w:rPr>
          <w:rFonts w:hint="eastAsia"/>
          <w:lang w:val="en-GB"/>
        </w:rPr>
        <w:t>》</w:t>
      </w:r>
      <w:r>
        <w:rPr>
          <w:rStyle w:val="FootnoteReference"/>
        </w:rPr>
        <w:footnoteReference w:id="2"/>
      </w:r>
      <w:r>
        <w:rPr>
          <w:rStyle w:val="FootnoteReference"/>
        </w:rPr>
        <w:t xml:space="preserve"> </w:t>
      </w:r>
      <w:r>
        <w:rPr>
          <w:rFonts w:hint="eastAsia"/>
          <w:lang w:val="en-GB"/>
        </w:rPr>
        <w:t>开始对德国具有约束力。自此时起，《公约》就是有效法律，为德国残疾人政策提供重大导则。联邦、州和地方当局及社会福利机构和处理残疾人境况的其他机构，为</w:t>
      </w:r>
      <w:r>
        <w:rPr>
          <w:lang w:val="en-GB"/>
        </w:rPr>
        <w:t>改善</w:t>
      </w:r>
      <w:r>
        <w:rPr>
          <w:rFonts w:hint="eastAsia"/>
          <w:lang w:val="en-GB"/>
        </w:rPr>
        <w:t>残疾人的平等参与，在《公约》框架下工作。</w:t>
      </w:r>
      <w:r>
        <w:rPr>
          <w:lang w:val="en-GB"/>
        </w:rPr>
        <w:t>民间社会</w:t>
      </w:r>
      <w:r>
        <w:rPr>
          <w:rFonts w:hint="eastAsia"/>
          <w:lang w:val="en-GB"/>
        </w:rPr>
        <w:t>参与了这个过程，并作出了宝贵贡献。在这方面，应该提及残疾人协会和组织、慈善协会、教会机构、雇主及工会所作工作。</w:t>
      </w:r>
    </w:p>
    <w:p w:rsidR="00334AE2" w:rsidRDefault="00334AE2">
      <w:pPr>
        <w:pStyle w:val="SingleTxtGC"/>
        <w:rPr>
          <w:lang w:val="en-GB"/>
        </w:rPr>
      </w:pPr>
      <w:r>
        <w:rPr>
          <w:lang w:val="en-GB"/>
        </w:rPr>
        <w:t xml:space="preserve">2.  </w:t>
      </w:r>
      <w:r>
        <w:rPr>
          <w:rFonts w:hint="eastAsia"/>
          <w:lang w:val="en-GB"/>
        </w:rPr>
        <w:t>在上个世纪九十年代，《公约》开始进一步推动德国残疾人政策的模式性改变。残疾人早就停止仅仅是国家强加自己意志和提供福利的对象。实现在包容性社会过有尊严的自主的生活，是德国现代残疾人政策的目标，因此与《公约》的核心是一致的。</w:t>
      </w:r>
    </w:p>
    <w:p w:rsidR="00334AE2" w:rsidRDefault="00334AE2">
      <w:pPr>
        <w:pStyle w:val="SingleTxtGC"/>
        <w:rPr>
          <w:lang w:val="en-GB"/>
        </w:rPr>
      </w:pPr>
      <w:r>
        <w:rPr>
          <w:lang w:val="en-GB"/>
        </w:rPr>
        <w:t xml:space="preserve">3.  </w:t>
      </w:r>
      <w:r>
        <w:rPr>
          <w:rFonts w:hint="eastAsia"/>
          <w:lang w:val="en-GB"/>
        </w:rPr>
        <w:t>德国一直在国家和国际层面进行活动，以增加和促进残疾人的参与。德国是签署《公约》的首批国家之一。在过去十年中，在国家一级的新法律条款，已大大改善了残疾人政策框架。现代残疾人福利制度，与在根据《公约》进行的无障碍环境设计上取得的进展，共同支持残疾人过自主的生活。</w:t>
      </w:r>
    </w:p>
    <w:p w:rsidR="00334AE2" w:rsidRDefault="00334AE2">
      <w:pPr>
        <w:pStyle w:val="SingleTxtGC"/>
        <w:rPr>
          <w:lang w:val="en-GB"/>
        </w:rPr>
      </w:pPr>
      <w:r>
        <w:rPr>
          <w:lang w:val="en-GB"/>
        </w:rPr>
        <w:t xml:space="preserve">4.  </w:t>
      </w:r>
      <w:r>
        <w:rPr>
          <w:rFonts w:hint="eastAsia"/>
          <w:lang w:val="en-GB"/>
        </w:rPr>
        <w:t>《公约》为德国进一步加强和扩大残疾人广泛参与制度提供了新动力。在此背景下，组成德国政府的政党在</w:t>
      </w:r>
      <w:r>
        <w:rPr>
          <w:rFonts w:hint="eastAsia"/>
          <w:lang w:val="en-GB"/>
        </w:rPr>
        <w:t>2009</w:t>
      </w:r>
      <w:r>
        <w:rPr>
          <w:rFonts w:hint="eastAsia"/>
          <w:lang w:val="en-GB"/>
        </w:rPr>
        <w:t>年《联盟协议》中，同意制定执行</w:t>
      </w:r>
      <w:r>
        <w:t>《</w:t>
      </w:r>
      <w:r>
        <w:rPr>
          <w:rFonts w:hint="eastAsia"/>
          <w:lang w:val="en-GB"/>
        </w:rPr>
        <w:t>公约》的《国家行动计划》。经过一年半的工作，联邦内阁于</w:t>
      </w:r>
      <w:r>
        <w:rPr>
          <w:rFonts w:hint="eastAsia"/>
          <w:lang w:val="en-GB"/>
        </w:rPr>
        <w:t>2011</w:t>
      </w:r>
      <w:r>
        <w:rPr>
          <w:rFonts w:hint="eastAsia"/>
          <w:lang w:val="en-GB"/>
        </w:rPr>
        <w:t>年</w:t>
      </w:r>
      <w:r>
        <w:rPr>
          <w:rFonts w:hint="eastAsia"/>
          <w:lang w:val="en-GB"/>
        </w:rPr>
        <w:t>6</w:t>
      </w:r>
      <w:r>
        <w:rPr>
          <w:rFonts w:hint="eastAsia"/>
          <w:lang w:val="en-GB"/>
        </w:rPr>
        <w:t>月</w:t>
      </w:r>
      <w:r>
        <w:rPr>
          <w:rFonts w:hint="eastAsia"/>
          <w:lang w:val="en-GB"/>
        </w:rPr>
        <w:t>15</w:t>
      </w:r>
      <w:r>
        <w:rPr>
          <w:rFonts w:hint="eastAsia"/>
          <w:lang w:val="en-GB"/>
        </w:rPr>
        <w:t>日通过了《国家行动计划》</w:t>
      </w:r>
      <w:r>
        <w:rPr>
          <w:rStyle w:val="FootnoteReference"/>
        </w:rPr>
        <w:footnoteReference w:id="3"/>
      </w:r>
      <w:r>
        <w:rPr>
          <w:rFonts w:hint="eastAsia"/>
          <w:lang w:val="en-GB"/>
        </w:rPr>
        <w:t>。它包含的</w:t>
      </w:r>
      <w:r>
        <w:rPr>
          <w:rFonts w:hint="eastAsia"/>
          <w:lang w:val="en-GB"/>
        </w:rPr>
        <w:t>200</w:t>
      </w:r>
      <w:r>
        <w:rPr>
          <w:rFonts w:hint="eastAsia"/>
          <w:lang w:val="en-GB"/>
        </w:rPr>
        <w:t>多项方案，现在正在实施过程中，和</w:t>
      </w:r>
      <w:r>
        <w:rPr>
          <w:rFonts w:hint="eastAsia"/>
          <w:lang w:val="en-GB"/>
        </w:rPr>
        <w:t>(</w:t>
      </w:r>
      <w:r>
        <w:rPr>
          <w:rFonts w:hint="eastAsia"/>
          <w:lang w:val="en-GB"/>
        </w:rPr>
        <w:t>或</w:t>
      </w:r>
      <w:r>
        <w:rPr>
          <w:rFonts w:hint="eastAsia"/>
          <w:lang w:val="en-GB"/>
        </w:rPr>
        <w:t>)</w:t>
      </w:r>
      <w:r>
        <w:rPr>
          <w:rFonts w:hint="eastAsia"/>
          <w:lang w:val="en-GB"/>
        </w:rPr>
        <w:t>将要实施。</w:t>
      </w:r>
    </w:p>
    <w:p w:rsidR="00334AE2" w:rsidRDefault="00334AE2">
      <w:pPr>
        <w:pStyle w:val="H1GC"/>
        <w:rPr>
          <w:lang w:val="en-GB"/>
        </w:rPr>
      </w:pPr>
      <w:bookmarkStart w:id="1" w:name="_Toc303932212"/>
      <w:r>
        <w:rPr>
          <w:lang w:val="en-GB"/>
        </w:rPr>
        <w:tab/>
      </w:r>
      <w:r>
        <w:rPr>
          <w:lang w:val="en-GB"/>
        </w:rPr>
        <w:tab/>
      </w:r>
      <w:bookmarkEnd w:id="1"/>
      <w:r>
        <w:rPr>
          <w:rFonts w:hint="eastAsia"/>
          <w:lang w:val="en-GB"/>
        </w:rPr>
        <w:t>实现更加包容的道路</w:t>
      </w:r>
    </w:p>
    <w:p w:rsidR="00334AE2" w:rsidRDefault="00334AE2">
      <w:pPr>
        <w:pStyle w:val="SingleTxtGC"/>
        <w:rPr>
          <w:lang w:val="en-GB"/>
        </w:rPr>
      </w:pPr>
      <w:r>
        <w:rPr>
          <w:lang w:val="en-GB"/>
        </w:rPr>
        <w:t xml:space="preserve">5.  </w:t>
      </w:r>
      <w:r>
        <w:rPr>
          <w:rFonts w:hint="eastAsia"/>
          <w:lang w:val="en-GB"/>
        </w:rPr>
        <w:t>在实施《公约》上，德国并非从零开始。在联邦、州及市各级，有许多法律、法规、方案及项目，旨在促进和推动残疾人行使自主生活的权利和残疾人的参与和融入。残疾人政策的模式转变，开始于</w:t>
      </w:r>
      <w:r>
        <w:rPr>
          <w:rFonts w:hint="eastAsia"/>
          <w:lang w:val="en-GB"/>
        </w:rPr>
        <w:t>1994</w:t>
      </w:r>
      <w:r>
        <w:rPr>
          <w:rFonts w:hint="eastAsia"/>
          <w:lang w:val="en-GB"/>
        </w:rPr>
        <w:t>年在《基本法》</w:t>
      </w:r>
      <w:r>
        <w:rPr>
          <w:rFonts w:hint="eastAsia"/>
          <w:lang w:val="en-GB"/>
        </w:rPr>
        <w:t>(</w:t>
      </w:r>
      <w:r>
        <w:rPr>
          <w:rFonts w:hint="eastAsia"/>
          <w:i/>
          <w:lang w:val="en-GB"/>
        </w:rPr>
        <w:t>Grundgesetz</w:t>
      </w:r>
      <w:r>
        <w:rPr>
          <w:rFonts w:hint="eastAsia"/>
          <w:lang w:val="en-GB"/>
        </w:rPr>
        <w:t>)</w:t>
      </w:r>
      <w:r>
        <w:rPr>
          <w:rFonts w:hint="eastAsia"/>
          <w:lang w:val="en-GB"/>
        </w:rPr>
        <w:t>中写入禁止歧视。</w:t>
      </w:r>
      <w:r>
        <w:rPr>
          <w:rFonts w:hint="eastAsia"/>
          <w:lang w:val="en-GB"/>
        </w:rPr>
        <w:t>2001</w:t>
      </w:r>
      <w:r>
        <w:rPr>
          <w:rFonts w:hint="eastAsia"/>
          <w:lang w:val="en-GB"/>
        </w:rPr>
        <w:t>年，在联邦一级走出了下一步，通过了单独的关于残疾人康复和参与的法典</w:t>
      </w:r>
      <w:r>
        <w:rPr>
          <w:rFonts w:hint="eastAsia"/>
          <w:spacing w:val="-50"/>
          <w:lang w:val="en-GB"/>
        </w:rPr>
        <w:t>――</w:t>
      </w:r>
      <w:r>
        <w:rPr>
          <w:rFonts w:hint="eastAsia"/>
          <w:lang w:val="en-GB"/>
        </w:rPr>
        <w:t>《社会法典》第九部</w:t>
      </w:r>
      <w:r>
        <w:rPr>
          <w:rFonts w:hint="eastAsia"/>
          <w:lang w:val="en-GB"/>
        </w:rPr>
        <w:t>(</w:t>
      </w:r>
      <w:r>
        <w:rPr>
          <w:i/>
          <w:iCs/>
          <w:lang w:val="en-GB"/>
        </w:rPr>
        <w:t>Neuntes</w:t>
      </w:r>
      <w:r>
        <w:rPr>
          <w:rFonts w:hint="eastAsia"/>
          <w:i/>
          <w:iCs/>
          <w:lang w:val="en-GB"/>
        </w:rPr>
        <w:t xml:space="preserve"> </w:t>
      </w:r>
      <w:r>
        <w:rPr>
          <w:i/>
          <w:iCs/>
          <w:lang w:val="en-GB"/>
        </w:rPr>
        <w:t>Buch</w:t>
      </w:r>
      <w:r>
        <w:rPr>
          <w:rFonts w:hint="eastAsia"/>
          <w:i/>
          <w:iCs/>
          <w:lang w:val="en-GB"/>
        </w:rPr>
        <w:t xml:space="preserve"> </w:t>
      </w:r>
      <w:r>
        <w:rPr>
          <w:i/>
          <w:iCs/>
          <w:lang w:val="en-GB"/>
        </w:rPr>
        <w:t>Bürgerliches</w:t>
      </w:r>
      <w:r>
        <w:rPr>
          <w:rFonts w:hint="eastAsia"/>
          <w:i/>
          <w:iCs/>
          <w:lang w:val="en-GB"/>
        </w:rPr>
        <w:t xml:space="preserve"> </w:t>
      </w:r>
      <w:r>
        <w:rPr>
          <w:i/>
          <w:iCs/>
          <w:lang w:val="en-GB"/>
        </w:rPr>
        <w:t>Gesetzbuch</w:t>
      </w:r>
      <w:r>
        <w:rPr>
          <w:rFonts w:hint="eastAsia"/>
          <w:lang w:val="en-GB"/>
        </w:rPr>
        <w:t>)</w:t>
      </w:r>
      <w:r>
        <w:rPr>
          <w:rStyle w:val="FootnoteReference"/>
        </w:rPr>
        <w:footnoteReference w:id="4"/>
      </w:r>
      <w:r>
        <w:rPr>
          <w:rFonts w:hint="eastAsia"/>
          <w:lang w:val="en-GB"/>
        </w:rPr>
        <w:t>，</w:t>
      </w:r>
      <w:r>
        <w:rPr>
          <w:rFonts w:hint="eastAsia"/>
          <w:lang w:val="en-GB"/>
        </w:rPr>
        <w:t>2002</w:t>
      </w:r>
      <w:r>
        <w:rPr>
          <w:rFonts w:hint="eastAsia"/>
          <w:lang w:val="en-GB"/>
        </w:rPr>
        <w:t>年通过了《残疾人平等机会法》</w:t>
      </w:r>
      <w:r>
        <w:rPr>
          <w:rFonts w:hint="eastAsia"/>
          <w:lang w:val="en-GB"/>
        </w:rPr>
        <w:t>(</w:t>
      </w:r>
      <w:r>
        <w:rPr>
          <w:i/>
          <w:iCs/>
          <w:lang w:val="en-GB"/>
        </w:rPr>
        <w:t>Behinderten</w:t>
      </w:r>
      <w:r>
        <w:rPr>
          <w:i/>
          <w:iCs/>
          <w:lang w:val="en-GB"/>
        </w:rPr>
        <w:softHyphen/>
        <w:t>gleich</w:t>
      </w:r>
      <w:r>
        <w:rPr>
          <w:i/>
          <w:iCs/>
          <w:lang w:val="en-GB"/>
        </w:rPr>
        <w:softHyphen/>
        <w:t>stellung</w:t>
      </w:r>
      <w:r>
        <w:rPr>
          <w:i/>
          <w:iCs/>
          <w:lang w:val="en-GB"/>
        </w:rPr>
        <w:softHyphen/>
        <w:t>sgesetz</w:t>
      </w:r>
      <w:r>
        <w:rPr>
          <w:rFonts w:hint="eastAsia"/>
          <w:lang w:val="en-GB"/>
        </w:rPr>
        <w:t>)</w:t>
      </w:r>
      <w:r>
        <w:rPr>
          <w:rStyle w:val="FootnoteReference"/>
        </w:rPr>
        <w:footnoteReference w:id="5"/>
      </w:r>
      <w:r>
        <w:rPr>
          <w:rFonts w:hint="eastAsia"/>
          <w:lang w:val="en-GB"/>
        </w:rPr>
        <w:t>。</w:t>
      </w:r>
    </w:p>
    <w:p w:rsidR="00334AE2" w:rsidRDefault="00334AE2">
      <w:pPr>
        <w:pStyle w:val="SingleTxtGC"/>
        <w:rPr>
          <w:lang w:val="en-GB"/>
        </w:rPr>
      </w:pPr>
      <w:r>
        <w:rPr>
          <w:lang w:val="en-GB"/>
        </w:rPr>
        <w:t xml:space="preserve">6.  </w:t>
      </w:r>
      <w:r>
        <w:rPr>
          <w:rFonts w:hint="eastAsia"/>
          <w:lang w:val="en-GB"/>
        </w:rPr>
        <w:t>《社会法典》第九部为康复和参与权利奠定了基础，它反映了</w:t>
      </w:r>
      <w:r>
        <w:rPr>
          <w:lang w:val="en-GB"/>
        </w:rPr>
        <w:t>公众</w:t>
      </w:r>
      <w:r>
        <w:rPr>
          <w:rFonts w:hint="eastAsia"/>
          <w:lang w:val="en-GB"/>
        </w:rPr>
        <w:t>的</w:t>
      </w:r>
      <w:r>
        <w:rPr>
          <w:lang w:val="en-GB"/>
        </w:rPr>
        <w:t>关心</w:t>
      </w:r>
      <w:r>
        <w:rPr>
          <w:rFonts w:hint="eastAsia"/>
          <w:lang w:val="en-GB"/>
        </w:rPr>
        <w:t>。第一次将各个康复机构的任务列出，并写入一部法律中。这有助于公民获得康复和参与补贴。经过改进的程序性法规，可以使</w:t>
      </w:r>
      <w:r>
        <w:rPr>
          <w:lang w:val="en-GB"/>
        </w:rPr>
        <w:t>请求人</w:t>
      </w:r>
      <w:r>
        <w:rPr>
          <w:rFonts w:hint="eastAsia"/>
          <w:lang w:val="en-GB"/>
        </w:rPr>
        <w:t>更迅速获得他们有权得到的补贴。</w:t>
      </w:r>
    </w:p>
    <w:p w:rsidR="00334AE2" w:rsidRDefault="00334AE2">
      <w:pPr>
        <w:pStyle w:val="SingleTxtGC"/>
        <w:rPr>
          <w:lang w:val="en-GB"/>
        </w:rPr>
      </w:pPr>
      <w:r>
        <w:rPr>
          <w:lang w:val="en-GB"/>
        </w:rPr>
        <w:t xml:space="preserve">7.  </w:t>
      </w:r>
      <w:r>
        <w:rPr>
          <w:rFonts w:hint="eastAsia"/>
          <w:lang w:val="en-GB"/>
        </w:rPr>
        <w:t>《残疾人平等机会法》考虑了残疾妇女的特别利益，广泛地规了无障碍，定义了残疾，以及就商定的目标制订了条例，以将无障碍引入私法领域。《残疾人平等机会法》的核心元素是无障碍，对公法领域给予特别重视。后者包括的范围，从承认德国手语为单独语言，到在行政程序中使文件对于盲人和视障人都是无障碍的，直到联邦机构的因特网</w:t>
      </w:r>
      <w:r>
        <w:rPr>
          <w:lang w:val="en-GB"/>
        </w:rPr>
        <w:t>演示</w:t>
      </w:r>
      <w:r>
        <w:rPr>
          <w:rFonts w:hint="eastAsia"/>
          <w:lang w:val="en-GB"/>
        </w:rPr>
        <w:t>的无障碍设计。此外，</w:t>
      </w:r>
      <w:r>
        <w:rPr>
          <w:lang w:val="en-GB"/>
        </w:rPr>
        <w:t>联邦政府</w:t>
      </w:r>
      <w:r>
        <w:rPr>
          <w:rFonts w:hint="eastAsia"/>
          <w:lang w:val="en-GB"/>
        </w:rPr>
        <w:t>关于无障碍建设的自愿承诺，产生了信号效果。在交通领域，对主要法规进行了修订，目的是实现“最</w:t>
      </w:r>
      <w:r>
        <w:rPr>
          <w:lang w:val="en-GB"/>
        </w:rPr>
        <w:t>广泛</w:t>
      </w:r>
      <w:r>
        <w:rPr>
          <w:rFonts w:cs="SimHei" w:hint="eastAsia"/>
          <w:lang w:val="en-GB"/>
        </w:rPr>
        <w:t>的”无障碍</w:t>
      </w:r>
      <w:r>
        <w:rPr>
          <w:rStyle w:val="FootnoteReference"/>
        </w:rPr>
        <w:footnoteReference w:id="6"/>
      </w:r>
      <w:r>
        <w:rPr>
          <w:rFonts w:hint="eastAsia"/>
          <w:lang w:val="en-GB"/>
        </w:rPr>
        <w:t>。</w:t>
      </w:r>
      <w:r>
        <w:rPr>
          <w:rFonts w:hint="eastAsia"/>
          <w:lang w:val="en-GB"/>
        </w:rPr>
        <w:t>16</w:t>
      </w:r>
      <w:r>
        <w:rPr>
          <w:rFonts w:hint="eastAsia"/>
          <w:lang w:val="en-GB"/>
        </w:rPr>
        <w:t>个州《平等机会法》与《残疾人平等机会法》相配套，在州一级对实现无障碍的</w:t>
      </w:r>
      <w:r>
        <w:rPr>
          <w:lang w:val="en-GB"/>
        </w:rPr>
        <w:t>事先准备</w:t>
      </w:r>
      <w:r>
        <w:rPr>
          <w:rFonts w:hint="eastAsia"/>
          <w:lang w:val="en-GB"/>
        </w:rPr>
        <w:t>工作作出了规定。</w:t>
      </w:r>
    </w:p>
    <w:p w:rsidR="00334AE2" w:rsidRDefault="00334AE2">
      <w:pPr>
        <w:pStyle w:val="SingleTxtGC"/>
        <w:rPr>
          <w:lang w:val="en-GB"/>
        </w:rPr>
      </w:pPr>
      <w:r>
        <w:rPr>
          <w:lang w:val="en-GB"/>
        </w:rPr>
        <w:t xml:space="preserve">8.  </w:t>
      </w:r>
      <w:r>
        <w:rPr>
          <w:rFonts w:hint="eastAsia"/>
          <w:lang w:val="en-GB"/>
        </w:rPr>
        <w:t>最后，《普遍反歧视法》</w:t>
      </w:r>
      <w:r>
        <w:rPr>
          <w:rFonts w:hint="eastAsia"/>
          <w:lang w:val="en-GB"/>
        </w:rPr>
        <w:t>(</w:t>
      </w:r>
      <w:r>
        <w:rPr>
          <w:i/>
          <w:iCs/>
          <w:lang w:val="en-GB"/>
        </w:rPr>
        <w:t>Allgemeines</w:t>
      </w:r>
      <w:r>
        <w:rPr>
          <w:rFonts w:hint="eastAsia"/>
          <w:i/>
          <w:iCs/>
          <w:lang w:val="en-GB"/>
        </w:rPr>
        <w:t xml:space="preserve"> </w:t>
      </w:r>
      <w:r>
        <w:rPr>
          <w:i/>
          <w:iCs/>
          <w:lang w:val="en-GB"/>
        </w:rPr>
        <w:t>Gleichbehandlungsgesetz</w:t>
      </w:r>
      <w:r>
        <w:rPr>
          <w:rFonts w:hint="eastAsia"/>
          <w:lang w:val="en-GB"/>
        </w:rPr>
        <w:t>)</w:t>
      </w:r>
      <w:r>
        <w:rPr>
          <w:rStyle w:val="FootnoteReference"/>
        </w:rPr>
        <w:footnoteReference w:id="7"/>
      </w:r>
      <w:r>
        <w:rPr>
          <w:rStyle w:val="FootnoteReference"/>
        </w:rPr>
        <w:t xml:space="preserve"> </w:t>
      </w:r>
      <w:r>
        <w:rPr>
          <w:rFonts w:hint="eastAsia"/>
          <w:lang w:val="en-GB"/>
        </w:rPr>
        <w:t>自</w:t>
      </w:r>
      <w:r>
        <w:rPr>
          <w:rFonts w:hint="eastAsia"/>
          <w:lang w:val="en-GB"/>
        </w:rPr>
        <w:t>2006</w:t>
      </w:r>
      <w:r>
        <w:rPr>
          <w:rFonts w:hint="eastAsia"/>
          <w:lang w:val="en-GB"/>
        </w:rPr>
        <w:t>年起生效。该法不仅保护人民在工作和民事法律</w:t>
      </w:r>
      <w:r>
        <w:rPr>
          <w:lang w:val="en-GB"/>
        </w:rPr>
        <w:t>事务</w:t>
      </w:r>
      <w:r>
        <w:rPr>
          <w:rFonts w:hint="eastAsia"/>
          <w:lang w:val="en-GB"/>
        </w:rPr>
        <w:t>上免受基于残疾的歧视，而且免受基于种族或</w:t>
      </w:r>
      <w:r>
        <w:rPr>
          <w:lang w:val="en-GB"/>
        </w:rPr>
        <w:t>民族血统</w:t>
      </w:r>
      <w:r>
        <w:rPr>
          <w:rFonts w:hint="eastAsia"/>
          <w:lang w:val="en-GB"/>
        </w:rPr>
        <w:t>、性别、宗教或哲学信仰、年龄或</w:t>
      </w:r>
      <w:r>
        <w:rPr>
          <w:lang w:val="en-GB"/>
        </w:rPr>
        <w:t>性别特性</w:t>
      </w:r>
      <w:r>
        <w:rPr>
          <w:rFonts w:hint="eastAsia"/>
          <w:lang w:val="en-GB"/>
        </w:rPr>
        <w:t>的歧视。</w:t>
      </w:r>
    </w:p>
    <w:p w:rsidR="00334AE2" w:rsidRDefault="00334AE2">
      <w:pPr>
        <w:pStyle w:val="SingleTxtGC"/>
        <w:rPr>
          <w:lang w:val="en-GB"/>
        </w:rPr>
      </w:pPr>
      <w:r>
        <w:rPr>
          <w:lang w:val="en-GB"/>
        </w:rPr>
        <w:t xml:space="preserve">9.  </w:t>
      </w:r>
      <w:r>
        <w:rPr>
          <w:rFonts w:hint="eastAsia"/>
          <w:lang w:val="en-GB"/>
        </w:rPr>
        <w:t>几乎不可能描绘残疾人在财政方面成功地融入社会的情况。然而，主要财政指数显示，德国残疾人政策强烈地面向残疾人或处于残疾风险的人的需求。在</w:t>
      </w:r>
      <w:r>
        <w:rPr>
          <w:rFonts w:hint="eastAsia"/>
          <w:lang w:val="en-GB"/>
        </w:rPr>
        <w:t>2009</w:t>
      </w:r>
      <w:r>
        <w:rPr>
          <w:rFonts w:hint="eastAsia"/>
          <w:lang w:val="en-GB"/>
        </w:rPr>
        <w:t>年，仅为支持长期护理、参与及职业和医疗康复提供补贴，就支出了超过</w:t>
      </w:r>
      <w:r>
        <w:rPr>
          <w:rFonts w:hint="eastAsia"/>
          <w:lang w:val="en-GB"/>
        </w:rPr>
        <w:t>440</w:t>
      </w:r>
      <w:r>
        <w:rPr>
          <w:rFonts w:hint="eastAsia"/>
          <w:lang w:val="en-GB"/>
        </w:rPr>
        <w:t>亿欧元</w:t>
      </w:r>
      <w:r>
        <w:rPr>
          <w:rStyle w:val="FootnoteReference"/>
        </w:rPr>
        <w:footnoteReference w:id="8"/>
      </w:r>
      <w:r>
        <w:rPr>
          <w:rFonts w:hint="eastAsia"/>
          <w:lang w:val="en-GB"/>
        </w:rPr>
        <w:t>。所用资金是由联邦、州和地方当局及基于团结的捐献者群体向社会保险贡献的。</w:t>
      </w:r>
    </w:p>
    <w:p w:rsidR="00334AE2" w:rsidRDefault="00334AE2">
      <w:pPr>
        <w:pStyle w:val="SingleTxtGC"/>
        <w:rPr>
          <w:lang w:val="en-GB"/>
        </w:rPr>
      </w:pPr>
      <w:r>
        <w:rPr>
          <w:lang w:val="en-GB"/>
        </w:rPr>
        <w:t xml:space="preserve">10.  </w:t>
      </w:r>
      <w:r>
        <w:rPr>
          <w:rFonts w:hint="eastAsia"/>
          <w:lang w:val="en-GB"/>
        </w:rPr>
        <w:t>德国</w:t>
      </w:r>
      <w:r>
        <w:rPr>
          <w:rFonts w:hint="eastAsia"/>
          <w:lang w:val="en-GB"/>
        </w:rPr>
        <w:t>21</w:t>
      </w:r>
      <w:r>
        <w:rPr>
          <w:rFonts w:hint="eastAsia"/>
          <w:lang w:val="en-GB"/>
        </w:rPr>
        <w:t>世纪残疾人政策，不仅是为了确保一个结构良好的福利制度，此外它必须为了通过平等参与政治、社会、经济和文化生活，在教育中创造平等机会，实现职业融合，使每个社会成员为给予所有公民在无障碍的社会中的自主地位作出贡献，以及减少歧视，实现人权。联邦政府的《国家行动计划》、各州和地方当局以及其他国家和私人组织</w:t>
      </w:r>
      <w:r>
        <w:rPr>
          <w:rFonts w:hint="eastAsia"/>
          <w:lang w:val="en-GB"/>
        </w:rPr>
        <w:t>(</w:t>
      </w:r>
      <w:r>
        <w:rPr>
          <w:rFonts w:hint="eastAsia"/>
          <w:lang w:val="en-GB"/>
        </w:rPr>
        <w:t>计划实施的</w:t>
      </w:r>
      <w:r>
        <w:rPr>
          <w:rFonts w:hint="eastAsia"/>
          <w:lang w:val="en-GB"/>
        </w:rPr>
        <w:t>)</w:t>
      </w:r>
      <w:r>
        <w:rPr>
          <w:rFonts w:hint="eastAsia"/>
          <w:lang w:val="en-GB"/>
        </w:rPr>
        <w:t>行动计划和</w:t>
      </w:r>
      <w:r>
        <w:rPr>
          <w:lang w:val="en-GB"/>
        </w:rPr>
        <w:t>方案</w:t>
      </w:r>
      <w:r>
        <w:rPr>
          <w:rFonts w:hint="eastAsia"/>
          <w:lang w:val="en-GB"/>
        </w:rPr>
        <w:t>，都有助于实现这一目标。</w:t>
      </w:r>
    </w:p>
    <w:p w:rsidR="00334AE2" w:rsidRDefault="00334AE2">
      <w:pPr>
        <w:pStyle w:val="SingleTxtGC"/>
        <w:rPr>
          <w:lang w:val="en-GB"/>
        </w:rPr>
      </w:pPr>
      <w:r>
        <w:rPr>
          <w:lang w:val="en-GB"/>
        </w:rPr>
        <w:t xml:space="preserve">11.  </w:t>
      </w:r>
      <w:r>
        <w:rPr>
          <w:rFonts w:hint="eastAsia"/>
          <w:lang w:val="en-GB"/>
        </w:rPr>
        <w:t>联邦政府的《国家行动计划》的实施</w:t>
      </w:r>
      <w:r>
        <w:rPr>
          <w:lang w:val="en-GB"/>
        </w:rPr>
        <w:t>期</w:t>
      </w:r>
      <w:r>
        <w:rPr>
          <w:rFonts w:hint="eastAsia"/>
          <w:lang w:val="en-GB"/>
        </w:rPr>
        <w:t>为十年，它包括对联邦政府通过实施总体战略执行《公约》的目标和方案情况的评估和概括。目标是实现残疾人的生活融入和参与。联邦政府的主要关注，过去是、现在仍然是民间社会的参与。民间社会为《国家行动计划》提出的大量愿景、准则及关于方案的建议，已被纳入《计划》。在实施阶段，民间社会将继续参与。公民可以通过发表评论、回复问卷调查及反馈活动参与。</w:t>
      </w:r>
    </w:p>
    <w:p w:rsidR="00334AE2" w:rsidRDefault="00334AE2">
      <w:pPr>
        <w:pStyle w:val="SingleTxtGC"/>
        <w:rPr>
          <w:lang w:val="en-GB"/>
        </w:rPr>
      </w:pPr>
      <w:r>
        <w:rPr>
          <w:lang w:val="en-GB"/>
        </w:rPr>
        <w:t xml:space="preserve">12.  </w:t>
      </w:r>
      <w:r>
        <w:rPr>
          <w:rFonts w:hint="eastAsia"/>
          <w:lang w:val="en-GB"/>
        </w:rPr>
        <w:t>《国家行动计划》阐述了</w:t>
      </w:r>
      <w:r>
        <w:rPr>
          <w:rFonts w:hint="eastAsia"/>
          <w:lang w:val="en-GB"/>
        </w:rPr>
        <w:t>12</w:t>
      </w:r>
      <w:r>
        <w:rPr>
          <w:rFonts w:hint="eastAsia"/>
          <w:lang w:val="en-GB"/>
        </w:rPr>
        <w:t>个行动领域</w:t>
      </w:r>
      <w:r>
        <w:rPr>
          <w:rFonts w:hint="eastAsia"/>
          <w:lang w:val="en-GB"/>
        </w:rPr>
        <w:t>200</w:t>
      </w:r>
      <w:r>
        <w:rPr>
          <w:rFonts w:hint="eastAsia"/>
          <w:lang w:val="en-GB"/>
        </w:rPr>
        <w:t>多项方案。残疾人及其协会参与了这些方案</w:t>
      </w:r>
      <w:r>
        <w:rPr>
          <w:rFonts w:hint="eastAsia"/>
          <w:lang w:val="en-GB"/>
        </w:rPr>
        <w:t>(</w:t>
      </w:r>
      <w:r>
        <w:rPr>
          <w:rFonts w:hint="eastAsia"/>
          <w:lang w:val="en-GB"/>
        </w:rPr>
        <w:t>譬如：工作和就业、教育和终身学习、自由、保护和安全以及妇女和移徙</w:t>
      </w:r>
      <w:r>
        <w:rPr>
          <w:rFonts w:hint="eastAsia"/>
          <w:lang w:val="en-GB"/>
        </w:rPr>
        <w:t>)</w:t>
      </w:r>
      <w:r>
        <w:rPr>
          <w:rFonts w:hint="eastAsia"/>
          <w:lang w:val="en-GB"/>
        </w:rPr>
        <w:t>的制订。联邦政府现在拟逐步实施这些方案。在各个行动领域，都考虑</w:t>
      </w:r>
      <w:r>
        <w:rPr>
          <w:rFonts w:hint="eastAsia"/>
          <w:lang w:val="en-GB"/>
        </w:rPr>
        <w:t>7</w:t>
      </w:r>
      <w:r>
        <w:rPr>
          <w:rFonts w:hint="eastAsia"/>
          <w:lang w:val="en-GB"/>
        </w:rPr>
        <w:t>个具有代表性的议题</w:t>
      </w:r>
      <w:r>
        <w:rPr>
          <w:rFonts w:hint="eastAsia"/>
          <w:lang w:val="en-GB"/>
        </w:rPr>
        <w:t>(</w:t>
      </w:r>
      <w:r>
        <w:rPr>
          <w:rFonts w:hint="eastAsia"/>
          <w:lang w:val="en-GB"/>
        </w:rPr>
        <w:t>辅助服务需求、无障碍、</w:t>
      </w:r>
      <w:r>
        <w:rPr>
          <w:lang w:val="en-GB"/>
        </w:rPr>
        <w:t>性别平等主流化</w:t>
      </w:r>
      <w:r>
        <w:rPr>
          <w:rFonts w:hint="eastAsia"/>
          <w:lang w:val="en-GB"/>
        </w:rPr>
        <w:t>、平等、</w:t>
      </w:r>
      <w:r>
        <w:rPr>
          <w:lang w:val="en-GB"/>
        </w:rPr>
        <w:t>移徙</w:t>
      </w:r>
      <w:r>
        <w:rPr>
          <w:rFonts w:hint="eastAsia"/>
          <w:lang w:val="en-GB"/>
        </w:rPr>
        <w:t>、自主地生活及残疾的多样性</w:t>
      </w:r>
      <w:r>
        <w:rPr>
          <w:rFonts w:hint="eastAsia"/>
          <w:lang w:val="en-GB"/>
        </w:rPr>
        <w:t>)</w:t>
      </w:r>
      <w:r>
        <w:rPr>
          <w:rFonts w:hint="eastAsia"/>
          <w:lang w:val="en-GB"/>
        </w:rPr>
        <w:t>。除了改进关于残疾人的数据状况方案，“信息和代表”议题在《国家行动计划》中占据重大位置。尽管残疾人在公共场合的存在日益增加，尽管在政治舞台</w:t>
      </w:r>
      <w:r>
        <w:rPr>
          <w:rFonts w:cs="SimHei" w:hint="eastAsia"/>
          <w:lang w:val="en-GB"/>
        </w:rPr>
        <w:t>上为残疾人取得了</w:t>
      </w:r>
      <w:r>
        <w:rPr>
          <w:lang w:val="en-GB"/>
        </w:rPr>
        <w:t>不容置疑</w:t>
      </w:r>
      <w:r>
        <w:rPr>
          <w:rFonts w:hint="eastAsia"/>
          <w:lang w:val="en-GB"/>
        </w:rPr>
        <w:t>的进步，然而公众尤其是几乎不了解他们的生活状况、每天面临的挑战及残疾人提供的各种技能。《国家行动计划》将通过综合宣传概念，向公众展示许多令人鼓舞的例子。</w:t>
      </w:r>
    </w:p>
    <w:p w:rsidR="00334AE2" w:rsidRDefault="00334AE2">
      <w:pPr>
        <w:pStyle w:val="SingleTxtGC"/>
        <w:rPr>
          <w:lang w:val="en-GB"/>
        </w:rPr>
      </w:pPr>
      <w:r>
        <w:rPr>
          <w:lang w:val="en-GB"/>
        </w:rPr>
        <w:t xml:space="preserve">13.  </w:t>
      </w:r>
      <w:r>
        <w:rPr>
          <w:rFonts w:hint="eastAsia"/>
          <w:lang w:val="en-GB"/>
        </w:rPr>
        <w:t>在《国家行动计划》中列出的方案很少是单独的。</w:t>
      </w:r>
      <w:r>
        <w:rPr>
          <w:lang w:val="en-GB"/>
        </w:rPr>
        <w:t>恰恰</w:t>
      </w:r>
      <w:r>
        <w:rPr>
          <w:rFonts w:hint="eastAsia"/>
          <w:lang w:val="en-GB"/>
        </w:rPr>
        <w:t>相反，一个项目的实施，对其他方案有一定影响。全部</w:t>
      </w:r>
      <w:r>
        <w:rPr>
          <w:lang w:val="en-GB"/>
        </w:rPr>
        <w:t>利益相关者</w:t>
      </w:r>
      <w:r>
        <w:rPr>
          <w:rFonts w:hint="eastAsia"/>
          <w:lang w:val="en-GB"/>
        </w:rPr>
        <w:t>之间的</w:t>
      </w:r>
      <w:r>
        <w:rPr>
          <w:lang w:val="en-GB"/>
        </w:rPr>
        <w:t>联网</w:t>
      </w:r>
      <w:r>
        <w:rPr>
          <w:rFonts w:hint="eastAsia"/>
          <w:lang w:val="en-GB"/>
        </w:rPr>
        <w:t>和联邦政府与民间社会和其他国家和非国家机构之间关于各个</w:t>
      </w:r>
      <w:r>
        <w:rPr>
          <w:lang w:val="en-GB"/>
        </w:rPr>
        <w:t>方案</w:t>
      </w:r>
      <w:r>
        <w:rPr>
          <w:rFonts w:hint="eastAsia"/>
          <w:lang w:val="en-GB"/>
        </w:rPr>
        <w:t>的不断交流，是《国家行动计划》得以成功实施的一个重大先决条件。联邦政府残疾人事务专员建立的协调机制</w:t>
      </w:r>
      <w:r>
        <w:rPr>
          <w:rFonts w:hint="eastAsia"/>
          <w:lang w:val="en-GB"/>
        </w:rPr>
        <w:t>(</w:t>
      </w:r>
      <w:r>
        <w:rPr>
          <w:rFonts w:hint="eastAsia"/>
          <w:lang w:val="en-GB"/>
        </w:rPr>
        <w:t>由包容咨询委员会和专家委员会组成</w:t>
      </w:r>
      <w:r>
        <w:rPr>
          <w:rFonts w:hint="eastAsia"/>
          <w:lang w:val="en-GB"/>
        </w:rPr>
        <w:t>)</w:t>
      </w:r>
      <w:r>
        <w:rPr>
          <w:rFonts w:hint="eastAsia"/>
          <w:lang w:val="en-GB"/>
        </w:rPr>
        <w:t>，设在联邦劳动和社会事务部中的国家</w:t>
      </w:r>
      <w:r>
        <w:rPr>
          <w:lang w:val="en-GB"/>
        </w:rPr>
        <w:t>联络点</w:t>
      </w:r>
      <w:r>
        <w:rPr>
          <w:rFonts w:hint="eastAsia"/>
          <w:lang w:val="en-GB"/>
        </w:rPr>
        <w:t>成立的《国家行动计划》委员会，以及在德国人权研究所建立的监测机构，都积极支持《国家行动计划》中方案的实施。</w:t>
      </w:r>
    </w:p>
    <w:p w:rsidR="00334AE2" w:rsidRDefault="00334AE2">
      <w:pPr>
        <w:pStyle w:val="HChGC"/>
        <w:rPr>
          <w:lang w:val="en-GB"/>
        </w:rPr>
      </w:pPr>
      <w:r>
        <w:rPr>
          <w:lang w:val="en-GB"/>
        </w:rPr>
        <w:br w:type="page"/>
      </w:r>
      <w:bookmarkStart w:id="2" w:name="_Toc303932213"/>
      <w:r>
        <w:rPr>
          <w:lang w:val="en-GB"/>
        </w:rPr>
        <w:tab/>
      </w:r>
      <w:r>
        <w:rPr>
          <w:rFonts w:hint="eastAsia"/>
          <w:lang w:val="en-GB"/>
        </w:rPr>
        <w:t>二</w:t>
      </w:r>
      <w:r>
        <w:rPr>
          <w:lang w:val="en-GB"/>
        </w:rPr>
        <w:t>.</w:t>
      </w:r>
      <w:r>
        <w:rPr>
          <w:lang w:val="en-GB"/>
        </w:rPr>
        <w:tab/>
      </w:r>
      <w:r>
        <w:rPr>
          <w:rFonts w:hint="eastAsia"/>
          <w:lang w:val="fr-CH"/>
        </w:rPr>
        <w:t>有关《公约》条款的信息</w:t>
      </w:r>
    </w:p>
    <w:p w:rsidR="00334AE2" w:rsidRDefault="00334AE2">
      <w:pPr>
        <w:pStyle w:val="H1GC"/>
        <w:rPr>
          <w:lang w:val="en-GB"/>
        </w:rPr>
      </w:pPr>
      <w:r>
        <w:rPr>
          <w:lang w:val="en-GB"/>
        </w:rPr>
        <w:tab/>
      </w:r>
      <w:r>
        <w:rPr>
          <w:lang w:val="en-GB"/>
        </w:rPr>
        <w:tab/>
      </w:r>
      <w:bookmarkEnd w:id="2"/>
      <w:r>
        <w:rPr>
          <w:rFonts w:hint="eastAsia"/>
          <w:lang w:val="en-GB"/>
        </w:rPr>
        <w:t>第一条</w:t>
      </w:r>
      <w:r>
        <w:rPr>
          <w:rFonts w:hint="eastAsia"/>
          <w:lang w:val="en-GB"/>
        </w:rPr>
        <w:br/>
      </w:r>
      <w:r>
        <w:rPr>
          <w:rFonts w:hint="eastAsia"/>
          <w:lang w:val="en-GB"/>
        </w:rPr>
        <w:t>宗旨</w:t>
      </w:r>
    </w:p>
    <w:p w:rsidR="00334AE2" w:rsidRDefault="00334AE2">
      <w:pPr>
        <w:pStyle w:val="SingleTxtGC"/>
        <w:rPr>
          <w:lang w:val="en-GB"/>
        </w:rPr>
      </w:pPr>
      <w:r>
        <w:rPr>
          <w:lang w:val="en-GB"/>
        </w:rPr>
        <w:t xml:space="preserve">14.  </w:t>
      </w:r>
      <w:r>
        <w:rPr>
          <w:rFonts w:hint="eastAsia"/>
          <w:lang w:val="en-GB"/>
        </w:rPr>
        <w:t>在德国，残疾人享有与没有残疾的人相同的权利。不得基于残疾歧视任何人。这是德意志联邦共和国《基本法》规定的</w:t>
      </w:r>
      <w:r>
        <w:rPr>
          <w:rFonts w:hint="eastAsia"/>
          <w:lang w:val="en-GB"/>
        </w:rPr>
        <w:t>(</w:t>
      </w:r>
      <w:r>
        <w:rPr>
          <w:rFonts w:hint="eastAsia"/>
          <w:lang w:val="en-GB"/>
        </w:rPr>
        <w:t>《基本法》第</w:t>
      </w:r>
      <w:r>
        <w:rPr>
          <w:rFonts w:hint="eastAsia"/>
          <w:lang w:val="en-GB"/>
        </w:rPr>
        <w:t>3</w:t>
      </w:r>
      <w:r>
        <w:rPr>
          <w:rFonts w:hint="eastAsia"/>
          <w:lang w:val="en-GB"/>
        </w:rPr>
        <w:t>条</w:t>
      </w:r>
      <w:r>
        <w:rPr>
          <w:rFonts w:hint="eastAsia"/>
          <w:lang w:val="en-GB"/>
        </w:rPr>
        <w:t>)</w:t>
      </w:r>
      <w:r>
        <w:rPr>
          <w:rFonts w:hint="eastAsia"/>
          <w:lang w:val="en-GB"/>
        </w:rPr>
        <w:t>。因此，平等待遇和促进平等机会，是残疾人政策的关键。此政策旨在保障残疾人在我们社会里自主和参与生活的益处。联邦、州和地方当局正在为实现这一目标一起工作。</w:t>
      </w:r>
    </w:p>
    <w:p w:rsidR="00334AE2" w:rsidRDefault="00334AE2">
      <w:pPr>
        <w:pStyle w:val="SingleTxtGC"/>
        <w:rPr>
          <w:lang w:val="en-GB"/>
        </w:rPr>
      </w:pPr>
      <w:r>
        <w:rPr>
          <w:lang w:val="en-GB"/>
        </w:rPr>
        <w:t xml:space="preserve">15.  </w:t>
      </w:r>
      <w:r>
        <w:rPr>
          <w:rFonts w:hint="eastAsia"/>
          <w:lang w:val="en-GB"/>
        </w:rPr>
        <w:t>在德国，约有</w:t>
      </w:r>
      <w:r>
        <w:rPr>
          <w:rFonts w:hint="eastAsia"/>
          <w:lang w:val="en-GB"/>
        </w:rPr>
        <w:t>960</w:t>
      </w:r>
      <w:r>
        <w:rPr>
          <w:rFonts w:hint="eastAsia"/>
          <w:lang w:val="en-GB"/>
        </w:rPr>
        <w:t>万残疾人，其中约有</w:t>
      </w:r>
      <w:r>
        <w:rPr>
          <w:rFonts w:hint="eastAsia"/>
          <w:lang w:val="en-GB"/>
        </w:rPr>
        <w:t>710</w:t>
      </w:r>
      <w:r>
        <w:rPr>
          <w:rFonts w:hint="eastAsia"/>
          <w:lang w:val="en-GB"/>
        </w:rPr>
        <w:t>万人有重度残疾</w:t>
      </w:r>
      <w:r>
        <w:rPr>
          <w:rStyle w:val="FootnoteReference"/>
        </w:rPr>
        <w:footnoteReference w:id="9"/>
      </w:r>
      <w:r>
        <w:rPr>
          <w:rFonts w:hint="eastAsia"/>
          <w:lang w:val="en-GB"/>
        </w:rPr>
        <w:t>。如果德国人的体能、</w:t>
      </w:r>
      <w:r>
        <w:rPr>
          <w:lang w:val="en-GB"/>
        </w:rPr>
        <w:t>智能</w:t>
      </w:r>
      <w:r>
        <w:rPr>
          <w:rFonts w:hint="eastAsia"/>
          <w:lang w:val="en-GB"/>
        </w:rPr>
        <w:t>或心理健康在很大程度上偏离他们年龄的典型状况超过</w:t>
      </w:r>
      <w:r>
        <w:rPr>
          <w:rFonts w:hint="eastAsia"/>
          <w:lang w:val="en-GB"/>
        </w:rPr>
        <w:t>6</w:t>
      </w:r>
      <w:r>
        <w:rPr>
          <w:rFonts w:hint="eastAsia"/>
          <w:lang w:val="en-GB"/>
        </w:rPr>
        <w:t>个月，因而妨碍他们参与社会生活，他们就被视为残疾人</w:t>
      </w:r>
      <w:r>
        <w:rPr>
          <w:rFonts w:hint="eastAsia"/>
          <w:lang w:val="en-GB"/>
        </w:rPr>
        <w:t>(</w:t>
      </w:r>
      <w:r>
        <w:rPr>
          <w:rFonts w:hint="eastAsia"/>
          <w:lang w:val="en-GB"/>
        </w:rPr>
        <w:t>《社会法典》第九部第</w:t>
      </w:r>
      <w:r>
        <w:rPr>
          <w:rFonts w:hint="eastAsia"/>
          <w:lang w:val="en-GB"/>
        </w:rPr>
        <w:t>2</w:t>
      </w:r>
      <w:r>
        <w:rPr>
          <w:rFonts w:hint="eastAsia"/>
          <w:lang w:val="en-GB"/>
        </w:rPr>
        <w:t>条第</w:t>
      </w:r>
      <w:r>
        <w:rPr>
          <w:rFonts w:hint="eastAsia"/>
          <w:lang w:val="en-GB"/>
        </w:rPr>
        <w:t>1</w:t>
      </w:r>
      <w:r>
        <w:rPr>
          <w:rFonts w:hint="eastAsia"/>
          <w:lang w:val="en-GB"/>
        </w:rPr>
        <w:t>款，《残疾人平等机会法》第</w:t>
      </w:r>
      <w:r>
        <w:rPr>
          <w:rFonts w:hint="eastAsia"/>
          <w:lang w:val="en-GB"/>
        </w:rPr>
        <w:t>3</w:t>
      </w:r>
      <w:r>
        <w:rPr>
          <w:rFonts w:hint="eastAsia"/>
          <w:lang w:val="en-GB"/>
        </w:rPr>
        <w:t>条</w:t>
      </w:r>
      <w:r>
        <w:rPr>
          <w:rFonts w:hint="eastAsia"/>
          <w:lang w:val="en-GB"/>
        </w:rPr>
        <w:t>)</w:t>
      </w:r>
      <w:r>
        <w:rPr>
          <w:rFonts w:hint="eastAsia"/>
          <w:lang w:val="en-GB"/>
        </w:rPr>
        <w:t>。重度残疾是指残疾程度</w:t>
      </w:r>
      <w:r>
        <w:rPr>
          <w:lang w:val="en-GB"/>
        </w:rPr>
        <w:t>达到</w:t>
      </w:r>
      <w:r>
        <w:rPr>
          <w:lang w:val="en-GB"/>
        </w:rPr>
        <w:t>50</w:t>
      </w:r>
      <w:r>
        <w:rPr>
          <w:lang w:val="en-GB"/>
        </w:rPr>
        <w:t>度的残疾</w:t>
      </w:r>
      <w:r>
        <w:rPr>
          <w:rFonts w:hint="eastAsia"/>
          <w:lang w:val="en-GB"/>
        </w:rPr>
        <w:t>(</w:t>
      </w:r>
      <w:r>
        <w:rPr>
          <w:rFonts w:hint="eastAsia"/>
          <w:lang w:val="en-GB"/>
        </w:rPr>
        <w:t>《社会法典》第九部第</w:t>
      </w:r>
      <w:r>
        <w:rPr>
          <w:rFonts w:hint="eastAsia"/>
          <w:lang w:val="en-GB"/>
        </w:rPr>
        <w:t>2</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。根据残疾人的要求，对残疾程度进行确定</w:t>
      </w:r>
      <w:r>
        <w:rPr>
          <w:rFonts w:hint="eastAsia"/>
          <w:lang w:val="en-GB"/>
        </w:rPr>
        <w:t>(</w:t>
      </w:r>
      <w:r>
        <w:rPr>
          <w:rFonts w:hint="eastAsia"/>
          <w:lang w:val="en-GB"/>
        </w:rPr>
        <w:t>《社会法典》第九部第</w:t>
      </w:r>
      <w:r>
        <w:rPr>
          <w:rFonts w:hint="eastAsia"/>
          <w:lang w:val="en-GB"/>
        </w:rPr>
        <w:t>69</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。根据《医疗供应条例》</w:t>
      </w:r>
      <w:r>
        <w:rPr>
          <w:rFonts w:hint="eastAsia"/>
          <w:lang w:val="en-GB"/>
        </w:rPr>
        <w:t>(</w:t>
      </w:r>
      <w:r>
        <w:rPr>
          <w:i/>
          <w:iCs/>
          <w:lang w:val="en-GB"/>
        </w:rPr>
        <w:t>Versorgungsmedizin-Verordnung</w:t>
      </w:r>
      <w:r>
        <w:rPr>
          <w:rFonts w:hint="eastAsia"/>
          <w:lang w:val="en-GB"/>
        </w:rPr>
        <w:t>)</w:t>
      </w:r>
      <w:r>
        <w:rPr>
          <w:rStyle w:val="FootnoteReference"/>
        </w:rPr>
        <w:footnoteReference w:id="10"/>
      </w:r>
      <w:r>
        <w:rPr>
          <w:rStyle w:val="FootnoteReference"/>
        </w:rPr>
        <w:t xml:space="preserve"> </w:t>
      </w:r>
      <w:r>
        <w:rPr>
          <w:rFonts w:hint="eastAsia"/>
          <w:lang w:val="en-GB"/>
        </w:rPr>
        <w:t>中所载的“医疗供应原则”，将残疾对参与社会生活的影响，定为</w:t>
      </w:r>
      <w:r>
        <w:rPr>
          <w:rFonts w:hint="eastAsia"/>
          <w:lang w:val="en-GB"/>
        </w:rPr>
        <w:t>10</w:t>
      </w:r>
      <w:r>
        <w:rPr>
          <w:rFonts w:hint="eastAsia"/>
          <w:lang w:val="en-GB"/>
        </w:rPr>
        <w:t>个残废等级中的一个等级。除其他外，获得弱势补偿的可能性，取决于残疾程度。弱势补偿是支持残疾人日常生活的一个主要工具，因而它促进包容。</w:t>
      </w:r>
    </w:p>
    <w:p w:rsidR="00334AE2" w:rsidRDefault="00334AE2">
      <w:pPr>
        <w:pStyle w:val="SingleTxtGC"/>
        <w:rPr>
          <w:rStyle w:val="FootnoteReference"/>
        </w:rPr>
      </w:pPr>
      <w:r>
        <w:rPr>
          <w:lang w:val="en-GB"/>
        </w:rPr>
        <w:t xml:space="preserve">16.  </w:t>
      </w:r>
      <w:r>
        <w:rPr>
          <w:rFonts w:hint="eastAsia"/>
          <w:lang w:val="en-GB"/>
        </w:rPr>
        <w:t>随着《社会法典》第九部的制订，对“残疾”一词进行了重新定义，《残疾人平等机会法》中包含了相同的措辞。它考虑了世界卫生组织的《</w:t>
      </w:r>
      <w:r>
        <w:rPr>
          <w:lang w:val="en-GB"/>
        </w:rPr>
        <w:t>国际功能、残疾和健康分类</w:t>
      </w:r>
      <w:r>
        <w:rPr>
          <w:rFonts w:hint="eastAsia"/>
          <w:lang w:val="en-GB"/>
        </w:rPr>
        <w:t>》的内容。德文</w:t>
      </w:r>
      <w:r>
        <w:rPr>
          <w:rFonts w:cs="SimSun" w:hint="eastAsia"/>
          <w:lang w:val="en-GB"/>
        </w:rPr>
        <w:t>“</w:t>
      </w:r>
      <w:r>
        <w:rPr>
          <w:i/>
          <w:iCs/>
          <w:lang w:val="en-GB"/>
        </w:rPr>
        <w:t>Behinderung</w:t>
      </w:r>
      <w:r>
        <w:rPr>
          <w:rFonts w:cs="SimSun" w:hint="eastAsia"/>
          <w:lang w:val="en-GB"/>
        </w:rPr>
        <w:t>”</w:t>
      </w:r>
      <w:r>
        <w:rPr>
          <w:rFonts w:hint="eastAsia"/>
          <w:lang w:val="en-GB"/>
        </w:rPr>
        <w:t>(</w:t>
      </w:r>
      <w:r>
        <w:rPr>
          <w:rFonts w:hint="eastAsia"/>
          <w:lang w:val="en-GB"/>
        </w:rPr>
        <w:t>妨碍</w:t>
      </w:r>
      <w:r>
        <w:rPr>
          <w:rFonts w:hint="eastAsia"/>
          <w:lang w:val="en-GB"/>
        </w:rPr>
        <w:t>)</w:t>
      </w:r>
      <w:r>
        <w:rPr>
          <w:rFonts w:hint="eastAsia"/>
          <w:lang w:val="en-GB"/>
        </w:rPr>
        <w:t>一词，不仅基于健康功能受到的损伤，而且也考虑残疾人参与社会生活的能力。</w:t>
      </w:r>
      <w:r>
        <w:rPr>
          <w:rStyle w:val="FootnoteReference"/>
        </w:rPr>
        <w:footnoteReference w:id="11"/>
      </w:r>
    </w:p>
    <w:p w:rsidR="00334AE2" w:rsidRDefault="00334AE2">
      <w:pPr>
        <w:pStyle w:val="SingleTxtGC"/>
        <w:rPr>
          <w:lang w:val="en-GB"/>
        </w:rPr>
      </w:pPr>
      <w:r>
        <w:rPr>
          <w:lang w:val="en-GB"/>
        </w:rPr>
        <w:t xml:space="preserve">17.  </w:t>
      </w:r>
      <w:r>
        <w:rPr>
          <w:rFonts w:hint="eastAsia"/>
          <w:lang w:val="en-GB"/>
        </w:rPr>
        <w:t>残疾人协会赞成，将德国关于残疾的定义，与《</w:t>
      </w:r>
      <w:r>
        <w:rPr>
          <w:lang w:val="en-GB"/>
        </w:rPr>
        <w:t>国际功能、残疾和健康分类</w:t>
      </w:r>
      <w:r>
        <w:rPr>
          <w:rFonts w:hint="eastAsia"/>
          <w:lang w:val="en-GB"/>
        </w:rPr>
        <w:t>》甚至更接近</w:t>
      </w:r>
      <w:r>
        <w:rPr>
          <w:rStyle w:val="FootnoteReference"/>
        </w:rPr>
        <w:footnoteReference w:id="12"/>
      </w:r>
      <w:r>
        <w:rPr>
          <w:rFonts w:hint="eastAsia"/>
          <w:lang w:val="en-GB"/>
        </w:rPr>
        <w:t>。《</w:t>
      </w:r>
      <w:r>
        <w:rPr>
          <w:lang w:val="en-GB"/>
        </w:rPr>
        <w:t>国际功能、残疾和健康分类</w:t>
      </w:r>
      <w:r>
        <w:rPr>
          <w:rFonts w:hint="eastAsia"/>
          <w:lang w:val="en-GB"/>
        </w:rPr>
        <w:t>》是一个描述功能性健康状况的生物</w:t>
      </w:r>
      <w:r>
        <w:rPr>
          <w:rFonts w:hint="eastAsia"/>
          <w:spacing w:val="-50"/>
          <w:lang w:val="en-GB"/>
        </w:rPr>
        <w:t>―</w:t>
      </w:r>
      <w:r>
        <w:rPr>
          <w:rFonts w:hint="eastAsia"/>
          <w:lang w:val="en-GB"/>
        </w:rPr>
        <w:t>―心理</w:t>
      </w:r>
      <w:r>
        <w:rPr>
          <w:rFonts w:hint="eastAsia"/>
          <w:spacing w:val="-50"/>
          <w:lang w:val="en-GB"/>
        </w:rPr>
        <w:t>―</w:t>
      </w:r>
      <w:r>
        <w:rPr>
          <w:rFonts w:hint="eastAsia"/>
          <w:lang w:val="en-GB"/>
        </w:rPr>
        <w:t>―社会模式。德国联邦政府认为，德国没有一个统一工具，可以用于康复科学，可以作为在国家行政管理实践中承认的统一工具，可以用于确定残疾人的个人康复需求。</w:t>
      </w:r>
    </w:p>
    <w:p w:rsidR="00334AE2" w:rsidRDefault="00334AE2">
      <w:pPr>
        <w:pStyle w:val="SingleTxtGC"/>
        <w:rPr>
          <w:lang w:val="en-GB"/>
        </w:rPr>
      </w:pPr>
      <w:r>
        <w:rPr>
          <w:lang w:val="en-GB"/>
        </w:rPr>
        <w:t xml:space="preserve">18.  </w:t>
      </w:r>
      <w:bookmarkStart w:id="3" w:name="_Toc303932214"/>
      <w:r>
        <w:rPr>
          <w:rFonts w:hint="eastAsia"/>
          <w:lang w:val="en-GB"/>
        </w:rPr>
        <w:t>通过实施优质评估原则和国家质量标准，可以实现统一、公平评估残疾程度的目标。因此，制订了规则，对“医疗供应原则”进行了调整，使之适合于当前的循证医学状态，并执行《国际功能、残疾和健康分类》。此外，联邦政府将与各州一起工作，努力在实施评估中实行</w:t>
      </w:r>
      <w:r>
        <w:rPr>
          <w:lang w:val="en-GB"/>
        </w:rPr>
        <w:t>高水平</w:t>
      </w:r>
      <w:r>
        <w:rPr>
          <w:rFonts w:hint="eastAsia"/>
          <w:lang w:val="en-GB"/>
        </w:rPr>
        <w:t>的统一的质量标准，在关于重度残疾的法律和关于社会补偿的法律中，记录支持需求。</w:t>
      </w:r>
    </w:p>
    <w:p w:rsidR="00334AE2" w:rsidRDefault="00334AE2">
      <w:pPr>
        <w:pStyle w:val="H1GC"/>
        <w:rPr>
          <w:lang w:val="en-GB"/>
        </w:rPr>
      </w:pPr>
      <w:r>
        <w:rPr>
          <w:lang w:val="en-GB"/>
        </w:rPr>
        <w:tab/>
      </w:r>
      <w:r>
        <w:rPr>
          <w:lang w:val="en-GB"/>
        </w:rPr>
        <w:tab/>
      </w:r>
      <w:bookmarkEnd w:id="3"/>
      <w:r>
        <w:rPr>
          <w:rFonts w:hint="eastAsia"/>
          <w:lang w:val="en-GB"/>
        </w:rPr>
        <w:t>第二条</w:t>
      </w:r>
      <w:r>
        <w:rPr>
          <w:rFonts w:hint="eastAsia"/>
          <w:lang w:val="en-GB"/>
        </w:rPr>
        <w:br/>
      </w:r>
      <w:r>
        <w:rPr>
          <w:rFonts w:hint="eastAsia"/>
          <w:lang w:val="en-GB"/>
        </w:rPr>
        <w:t>定义</w:t>
      </w:r>
    </w:p>
    <w:p w:rsidR="00334AE2" w:rsidRDefault="00334AE2">
      <w:pPr>
        <w:pStyle w:val="H23GC"/>
        <w:rPr>
          <w:lang w:val="en-GB"/>
        </w:rPr>
      </w:pPr>
      <w:r>
        <w:rPr>
          <w:lang w:val="en-GB"/>
        </w:rPr>
        <w:tab/>
        <w:t>1.</w:t>
      </w:r>
      <w:r>
        <w:rPr>
          <w:rFonts w:ascii="SimSun" w:eastAsia="SimSun" w:hAnsi="SimSun" w:cs="SimSun" w:hint="eastAsia"/>
          <w:lang w:val="en-GB"/>
        </w:rPr>
        <w:tab/>
      </w:r>
      <w:r>
        <w:rPr>
          <w:lang w:val="en-GB"/>
        </w:rPr>
        <w:t>交流</w:t>
      </w:r>
    </w:p>
    <w:p w:rsidR="00334AE2" w:rsidRDefault="00334AE2">
      <w:pPr>
        <w:pStyle w:val="SingleTxtGC"/>
        <w:rPr>
          <w:lang w:val="en-GB"/>
        </w:rPr>
      </w:pPr>
      <w:r>
        <w:rPr>
          <w:lang w:val="en-GB"/>
        </w:rPr>
        <w:t xml:space="preserve">19.  </w:t>
      </w:r>
      <w:r>
        <w:rPr>
          <w:rFonts w:hint="eastAsia"/>
          <w:lang w:val="en-GB"/>
        </w:rPr>
        <w:t>德国残疾人政策的目标，是确保、促进和完善残疾人</w:t>
      </w:r>
      <w:r>
        <w:rPr>
          <w:lang w:val="en-GB"/>
        </w:rPr>
        <w:t>出入</w:t>
      </w:r>
      <w:r>
        <w:rPr>
          <w:rFonts w:hint="eastAsia"/>
          <w:lang w:val="en-GB"/>
        </w:rPr>
        <w:t>交流机构的无障碍。联邦《残疾人平等机会法》为此奠定了基础，各州《残疾人平等机会法》也为此奠定了基础。根据这些法律，残疾人应该能够在没有特别困难的情况下，作为一项原则，在没有他人协助的情况下，与联邦和各州机构进行</w:t>
      </w:r>
      <w:r>
        <w:rPr>
          <w:lang w:val="en-GB"/>
        </w:rPr>
        <w:t>交流</w:t>
      </w:r>
      <w:r>
        <w:rPr>
          <w:rFonts w:hint="eastAsia"/>
          <w:lang w:val="en-GB"/>
        </w:rPr>
        <w:t>(</w:t>
      </w:r>
      <w:r>
        <w:rPr>
          <w:rFonts w:hint="eastAsia"/>
          <w:lang w:val="en-GB"/>
        </w:rPr>
        <w:t>就联邦法而言：《残疾人平等机会法》第</w:t>
      </w:r>
      <w:r>
        <w:rPr>
          <w:rFonts w:hint="eastAsia"/>
          <w:lang w:val="en-GB"/>
        </w:rPr>
        <w:t>4</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20.  </w:t>
      </w:r>
      <w:r>
        <w:rPr>
          <w:rFonts w:hint="eastAsia"/>
          <w:lang w:val="en-GB"/>
        </w:rPr>
        <w:t>特别在因特网上，为盲人提供所谓的屏幕阅读器、为有听力残疾的人提供手语电影，以及为有认知限制的人提供“</w:t>
      </w:r>
      <w:r>
        <w:rPr>
          <w:lang w:val="en-GB"/>
        </w:rPr>
        <w:t>浅白语言</w:t>
      </w:r>
      <w:r>
        <w:rPr>
          <w:rFonts w:hint="eastAsia"/>
          <w:lang w:val="en-GB"/>
        </w:rPr>
        <w:t>”，将使交流变得更容易。此外，联邦当局在设计书面通知和表格时，必须考虑一个人的残疾状况。因此，例如，视障人士可能需要以他们可以理解的形式和在无需支付额外费用的情况下通知他们</w:t>
      </w:r>
      <w:r>
        <w:rPr>
          <w:rFonts w:hint="eastAsia"/>
          <w:lang w:val="en-GB"/>
        </w:rPr>
        <w:t>(</w:t>
      </w:r>
      <w:r>
        <w:rPr>
          <w:rFonts w:hint="eastAsia"/>
          <w:lang w:val="en-GB"/>
        </w:rPr>
        <w:t>就联邦法而言：《残疾人平等机会法》第</w:t>
      </w:r>
      <w:r>
        <w:rPr>
          <w:rFonts w:hint="eastAsia"/>
          <w:lang w:val="en-GB"/>
        </w:rPr>
        <w:t>10</w:t>
      </w:r>
      <w:r>
        <w:rPr>
          <w:rFonts w:hint="eastAsia"/>
          <w:lang w:val="en-GB"/>
        </w:rPr>
        <w:t>条</w:t>
      </w:r>
      <w:r>
        <w:rPr>
          <w:rFonts w:hint="eastAsia"/>
          <w:lang w:val="en-GB"/>
        </w:rPr>
        <w:t>)</w:t>
      </w:r>
      <w:r>
        <w:rPr>
          <w:rFonts w:hint="eastAsia"/>
          <w:lang w:val="en-GB"/>
        </w:rPr>
        <w:t>。也应该使有听力听障碍或语言障碍的人，能够在不会产生额外费用的情况下，通过德国手语、</w:t>
      </w:r>
      <w:r>
        <w:rPr>
          <w:lang w:val="en-GB"/>
        </w:rPr>
        <w:t>符号</w:t>
      </w:r>
      <w:r>
        <w:rPr>
          <w:rFonts w:hint="eastAsia"/>
          <w:lang w:val="en-GB"/>
        </w:rPr>
        <w:t>德文或其他</w:t>
      </w:r>
      <w:r>
        <w:rPr>
          <w:lang w:val="en-GB"/>
        </w:rPr>
        <w:t>交流辅助</w:t>
      </w:r>
      <w:r>
        <w:rPr>
          <w:rFonts w:hint="eastAsia"/>
          <w:lang w:val="en-GB"/>
        </w:rPr>
        <w:t>手段，与联邦当局在行政程序中进行交流。联邦各州都采取了类似的法规，覆盖公民与各州机构和当局的交流。</w:t>
      </w:r>
    </w:p>
    <w:p w:rsidR="00334AE2" w:rsidRDefault="00334AE2">
      <w:pPr>
        <w:pStyle w:val="H23GC"/>
        <w:rPr>
          <w:lang w:val="en-GB"/>
        </w:rPr>
      </w:pPr>
      <w:r>
        <w:rPr>
          <w:lang w:val="en-GB"/>
        </w:rPr>
        <w:tab/>
        <w:t>2.</w:t>
      </w:r>
      <w:r>
        <w:rPr>
          <w:rFonts w:ascii="SimSun" w:eastAsia="SimSun" w:hAnsi="SimSun" w:cs="SimSun" w:hint="eastAsia"/>
          <w:lang w:val="en-GB"/>
        </w:rPr>
        <w:tab/>
      </w:r>
      <w:r>
        <w:rPr>
          <w:rFonts w:hint="eastAsia"/>
          <w:lang w:val="en-GB"/>
        </w:rPr>
        <w:t>手语</w:t>
      </w:r>
    </w:p>
    <w:p w:rsidR="00334AE2" w:rsidRDefault="00334AE2">
      <w:pPr>
        <w:pStyle w:val="SingleTxtGC"/>
        <w:rPr>
          <w:lang w:val="en-GB"/>
        </w:rPr>
      </w:pPr>
      <w:r>
        <w:rPr>
          <w:lang w:val="en-GB"/>
        </w:rPr>
        <w:t xml:space="preserve">21.  </w:t>
      </w:r>
      <w:r>
        <w:rPr>
          <w:rFonts w:hint="eastAsia"/>
          <w:lang w:val="en-GB"/>
        </w:rPr>
        <w:t>德国手语本身已经被承认为一种语言</w:t>
      </w:r>
      <w:r>
        <w:rPr>
          <w:rFonts w:hint="eastAsia"/>
          <w:lang w:val="en-GB"/>
        </w:rPr>
        <w:t>(</w:t>
      </w:r>
      <w:r>
        <w:rPr>
          <w:rFonts w:hint="eastAsia"/>
          <w:lang w:val="en-GB"/>
        </w:rPr>
        <w:t>《残疾人平等机会法》第</w:t>
      </w:r>
      <w:r>
        <w:rPr>
          <w:rFonts w:hint="eastAsia"/>
          <w:lang w:val="en-GB"/>
        </w:rPr>
        <w:t>6</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。同样，</w:t>
      </w:r>
      <w:r>
        <w:rPr>
          <w:lang w:val="en-GB"/>
        </w:rPr>
        <w:t>符号</w:t>
      </w:r>
      <w:r>
        <w:rPr>
          <w:rFonts w:hint="eastAsia"/>
          <w:lang w:val="en-GB"/>
        </w:rPr>
        <w:t>德文也被承认为一种德国语言交流形式</w:t>
      </w:r>
      <w:r>
        <w:rPr>
          <w:rFonts w:hint="eastAsia"/>
          <w:lang w:val="en-GB"/>
        </w:rPr>
        <w:t>(</w:t>
      </w:r>
      <w:r>
        <w:rPr>
          <w:rFonts w:hint="eastAsia"/>
          <w:lang w:val="en-GB"/>
        </w:rPr>
        <w:t>《残疾人平等机会法》第</w:t>
      </w:r>
      <w:r>
        <w:rPr>
          <w:rFonts w:hint="eastAsia"/>
          <w:lang w:val="en-GB"/>
        </w:rPr>
        <w:t>6</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。根据有关法律，有听力障碍或语言障碍的人有权使用德国手语、</w:t>
      </w:r>
      <w:r>
        <w:rPr>
          <w:lang w:val="en-GB"/>
        </w:rPr>
        <w:t>符号</w:t>
      </w:r>
      <w:r>
        <w:rPr>
          <w:rFonts w:hint="eastAsia"/>
          <w:lang w:val="en-GB"/>
        </w:rPr>
        <w:t>德文或其他合适的辅助交流手段</w:t>
      </w:r>
      <w:r>
        <w:rPr>
          <w:rFonts w:hint="eastAsia"/>
          <w:lang w:val="en-GB"/>
        </w:rPr>
        <w:t>(</w:t>
      </w:r>
      <w:r>
        <w:rPr>
          <w:rFonts w:hint="eastAsia"/>
          <w:lang w:val="en-GB"/>
        </w:rPr>
        <w:t>包括技术辅助、词</w:t>
      </w:r>
      <w:r>
        <w:rPr>
          <w:lang w:val="en-GB"/>
        </w:rPr>
        <w:t>首添音</w:t>
      </w:r>
      <w:r>
        <w:rPr>
          <w:rFonts w:hint="eastAsia"/>
          <w:lang w:val="en-GB"/>
        </w:rPr>
        <w:t>、调频系统等</w:t>
      </w:r>
      <w:r>
        <w:rPr>
          <w:rFonts w:hint="eastAsia"/>
          <w:lang w:val="en-GB"/>
        </w:rPr>
        <w:t>)(</w:t>
      </w:r>
      <w:r>
        <w:rPr>
          <w:rFonts w:hint="eastAsia"/>
          <w:lang w:val="en-GB"/>
        </w:rPr>
        <w:t>《残疾人平等机会法》第</w:t>
      </w:r>
      <w:r>
        <w:rPr>
          <w:lang w:val="en-GB"/>
        </w:rPr>
        <w:t>6</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w:t>
      </w:r>
    </w:p>
    <w:p w:rsidR="00334AE2" w:rsidRDefault="00334AE2">
      <w:pPr>
        <w:pStyle w:val="H23GC"/>
        <w:rPr>
          <w:lang w:val="en-GB"/>
        </w:rPr>
      </w:pPr>
      <w:r>
        <w:rPr>
          <w:lang w:val="en-GB"/>
        </w:rPr>
        <w:tab/>
        <w:t>3.</w:t>
      </w:r>
      <w:r>
        <w:rPr>
          <w:rFonts w:ascii="SimSun" w:eastAsia="SimSun" w:hAnsi="SimSun" w:cs="SimSun" w:hint="eastAsia"/>
          <w:lang w:val="en-GB"/>
        </w:rPr>
        <w:tab/>
      </w:r>
      <w:r>
        <w:rPr>
          <w:lang w:val="en-GB"/>
        </w:rPr>
        <w:t>歧视</w:t>
      </w:r>
    </w:p>
    <w:p w:rsidR="00334AE2" w:rsidRDefault="00334AE2">
      <w:pPr>
        <w:pStyle w:val="SingleTxtGC"/>
        <w:rPr>
          <w:lang w:val="en-GB"/>
        </w:rPr>
      </w:pPr>
      <w:r>
        <w:rPr>
          <w:lang w:val="en-GB"/>
        </w:rPr>
        <w:t xml:space="preserve">22.  </w:t>
      </w:r>
      <w:r>
        <w:rPr>
          <w:rFonts w:hint="eastAsia"/>
          <w:lang w:val="en-GB"/>
        </w:rPr>
        <w:t>歧视是指使人陷入</w:t>
      </w:r>
      <w:r>
        <w:rPr>
          <w:lang w:val="en-GB"/>
        </w:rPr>
        <w:t>不利处境</w:t>
      </w:r>
      <w:r>
        <w:rPr>
          <w:rFonts w:hint="eastAsia"/>
          <w:lang w:val="en-GB"/>
        </w:rPr>
        <w:t>。根据德意志联邦共和国《基本法》，不得基于残疾歧视任何人</w:t>
      </w:r>
      <w:r>
        <w:rPr>
          <w:rFonts w:hint="eastAsia"/>
          <w:lang w:val="en-GB"/>
        </w:rPr>
        <w:t>(</w:t>
      </w:r>
      <w:r>
        <w:rPr>
          <w:rFonts w:hint="eastAsia"/>
          <w:lang w:val="en-GB"/>
        </w:rPr>
        <w:t>《基本法》第</w:t>
      </w:r>
      <w:r>
        <w:rPr>
          <w:rFonts w:hint="eastAsia"/>
          <w:lang w:val="en-GB"/>
        </w:rPr>
        <w:t>3</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。在《普遍反歧视法》中，对“</w:t>
      </w:r>
      <w:r>
        <w:rPr>
          <w:lang w:val="en-GB"/>
        </w:rPr>
        <w:t>处境不利</w:t>
      </w:r>
      <w:r>
        <w:rPr>
          <w:rFonts w:hint="eastAsia"/>
          <w:lang w:val="en-GB"/>
        </w:rPr>
        <w:t>”一词，或置于</w:t>
      </w:r>
      <w:r>
        <w:rPr>
          <w:lang w:val="en-GB"/>
        </w:rPr>
        <w:t>不利处境</w:t>
      </w:r>
      <w:r>
        <w:rPr>
          <w:rFonts w:hint="eastAsia"/>
          <w:lang w:val="en-GB"/>
        </w:rPr>
        <w:t>(</w:t>
      </w:r>
      <w:r>
        <w:rPr>
          <w:rFonts w:hint="eastAsia"/>
          <w:i/>
          <w:lang w:val="en-GB"/>
        </w:rPr>
        <w:t>Benachteiligung</w:t>
      </w:r>
      <w:r>
        <w:rPr>
          <w:rFonts w:hint="eastAsia"/>
          <w:lang w:val="en-GB"/>
        </w:rPr>
        <w:t>)</w:t>
      </w:r>
      <w:r>
        <w:rPr>
          <w:rFonts w:hint="eastAsia"/>
          <w:lang w:val="en-GB"/>
        </w:rPr>
        <w:t>，作了界定。因此，如果因为《普遍反歧视法》第</w:t>
      </w:r>
      <w:r>
        <w:rPr>
          <w:rFonts w:hint="eastAsia"/>
          <w:lang w:val="en-GB"/>
        </w:rPr>
        <w:t>1</w:t>
      </w:r>
      <w:r>
        <w:rPr>
          <w:rFonts w:hint="eastAsia"/>
          <w:lang w:val="en-GB"/>
        </w:rPr>
        <w:t>条中所指原因，与其他人在类似情况下已经或将会受到的待遇相比，一个人受到较为不好的待遇，就发生了歧视</w:t>
      </w:r>
      <w:r>
        <w:rPr>
          <w:rFonts w:hint="eastAsia"/>
          <w:lang w:val="en-GB"/>
        </w:rPr>
        <w:t>(</w:t>
      </w:r>
      <w:r>
        <w:rPr>
          <w:rFonts w:hint="eastAsia"/>
          <w:lang w:val="en-GB"/>
        </w:rPr>
        <w:t>直接歧视</w:t>
      </w:r>
      <w:r>
        <w:rPr>
          <w:rFonts w:hint="eastAsia"/>
          <w:lang w:val="en-GB"/>
        </w:rPr>
        <w:t>)</w:t>
      </w:r>
      <w:r>
        <w:rPr>
          <w:rFonts w:hint="eastAsia"/>
          <w:lang w:val="en-GB"/>
        </w:rPr>
        <w:t>。另外，间接歧视意味着，看起来是中性的规定、措施、标准或程序，在没有客观原因情况下基于歧视特征中的一个特征，使某些个人或团体处于劣势，就属于“</w:t>
      </w:r>
      <w:r>
        <w:rPr>
          <w:lang w:val="en-GB"/>
        </w:rPr>
        <w:t>处境不利</w:t>
      </w:r>
      <w:r>
        <w:rPr>
          <w:rFonts w:hint="eastAsia"/>
          <w:lang w:val="en-GB"/>
        </w:rPr>
        <w:t>”。这同样适用于歧视、骚扰或性骚扰教导</w:t>
      </w:r>
      <w:r>
        <w:rPr>
          <w:rFonts w:hint="eastAsia"/>
          <w:lang w:val="en-GB"/>
        </w:rPr>
        <w:t>(</w:t>
      </w:r>
      <w:r>
        <w:rPr>
          <w:rFonts w:hint="eastAsia"/>
          <w:lang w:val="en-GB"/>
        </w:rPr>
        <w:t>《普遍反歧视法》第</w:t>
      </w:r>
      <w:r>
        <w:rPr>
          <w:rFonts w:hint="eastAsia"/>
          <w:lang w:val="en-GB"/>
        </w:rPr>
        <w:t>3</w:t>
      </w:r>
      <w:r>
        <w:rPr>
          <w:rFonts w:hint="eastAsia"/>
          <w:lang w:val="en-GB"/>
        </w:rPr>
        <w:t>条</w:t>
      </w:r>
      <w:r>
        <w:rPr>
          <w:rFonts w:hint="eastAsia"/>
          <w:lang w:val="en-GB"/>
        </w:rPr>
        <w:t>)</w:t>
      </w:r>
      <w:r>
        <w:rPr>
          <w:rFonts w:hint="eastAsia"/>
          <w:lang w:val="en-GB"/>
        </w:rPr>
        <w:t>。</w:t>
      </w:r>
    </w:p>
    <w:p w:rsidR="00334AE2" w:rsidRDefault="00334AE2">
      <w:pPr>
        <w:pStyle w:val="H23GC"/>
        <w:rPr>
          <w:lang w:val="en-GB"/>
        </w:rPr>
      </w:pPr>
      <w:r>
        <w:rPr>
          <w:lang w:val="en-GB"/>
        </w:rPr>
        <w:tab/>
        <w:t>4.</w:t>
      </w:r>
      <w:r>
        <w:rPr>
          <w:rFonts w:ascii="SimSun" w:eastAsia="SimSun" w:hAnsi="SimSun" w:cs="SimSun" w:hint="eastAsia"/>
          <w:lang w:val="en-GB"/>
        </w:rPr>
        <w:tab/>
      </w:r>
      <w:r>
        <w:rPr>
          <w:lang w:val="en-GB"/>
        </w:rPr>
        <w:t>合理便利</w:t>
      </w:r>
    </w:p>
    <w:p w:rsidR="00334AE2" w:rsidRDefault="00334AE2">
      <w:pPr>
        <w:pStyle w:val="SingleTxtGC"/>
        <w:rPr>
          <w:lang w:val="en-GB"/>
        </w:rPr>
      </w:pPr>
      <w:r>
        <w:rPr>
          <w:lang w:val="en-GB"/>
        </w:rPr>
        <w:t xml:space="preserve">23.  </w:t>
      </w:r>
      <w:r>
        <w:rPr>
          <w:rFonts w:hint="eastAsia"/>
          <w:lang w:val="en-GB"/>
        </w:rPr>
        <w:t>在德国，</w:t>
      </w:r>
      <w:r>
        <w:rPr>
          <w:lang w:val="en-GB"/>
        </w:rPr>
        <w:t>合理便利</w:t>
      </w:r>
      <w:r>
        <w:rPr>
          <w:rFonts w:hint="eastAsia"/>
          <w:lang w:val="en-GB"/>
        </w:rPr>
        <w:t>包括：残疾人和处于残疾风险的人，为了促进自主和平等参与社会生活，避免或扭转不利处境，领取的补贴和参与的方案</w:t>
      </w:r>
      <w:r>
        <w:rPr>
          <w:rFonts w:hint="eastAsia"/>
          <w:lang w:val="en-GB"/>
        </w:rPr>
        <w:t>(</w:t>
      </w:r>
      <w:r>
        <w:rPr>
          <w:rFonts w:hint="eastAsia"/>
          <w:lang w:val="en-GB"/>
        </w:rPr>
        <w:t>《社会法典》第九部第</w:t>
      </w:r>
      <w:r>
        <w:rPr>
          <w:rFonts w:hint="eastAsia"/>
          <w:lang w:val="en-GB"/>
        </w:rPr>
        <w:t>1</w:t>
      </w:r>
      <w:r>
        <w:rPr>
          <w:rFonts w:hint="eastAsia"/>
          <w:lang w:val="en-GB"/>
        </w:rPr>
        <w:t>条</w:t>
      </w:r>
      <w:r>
        <w:rPr>
          <w:rFonts w:hint="eastAsia"/>
          <w:lang w:val="en-GB"/>
        </w:rPr>
        <w:t>)</w:t>
      </w:r>
      <w:r>
        <w:rPr>
          <w:rFonts w:hint="eastAsia"/>
          <w:lang w:val="en-GB"/>
        </w:rPr>
        <w:t>。例如，在关于补贴的法规中，《社会法典》规定了残疾人提出请求的先决条件和领取补贴的范围。在德国，尊重残疾人的利益，是一个具有代表性的议题。在各个法律领域，对残疾人提出请求的先决条件和领取补贴的范围，作出了部分规定。不是所有这些都属于联邦劳动和社会事务部的职责范围，但是该部对这个问题负有责任，该部和联邦政府</w:t>
      </w:r>
      <w:r>
        <w:rPr>
          <w:lang w:val="en-GB"/>
        </w:rPr>
        <w:t>残疾人事务专员</w:t>
      </w:r>
      <w:r>
        <w:rPr>
          <w:rFonts w:hint="eastAsia"/>
          <w:lang w:val="en-GB"/>
        </w:rPr>
        <w:t>对此问题进行密切监督。</w:t>
      </w:r>
    </w:p>
    <w:p w:rsidR="00334AE2" w:rsidRDefault="00334AE2">
      <w:pPr>
        <w:pStyle w:val="H23GC"/>
        <w:rPr>
          <w:lang w:val="en-GB"/>
        </w:rPr>
      </w:pPr>
      <w:r>
        <w:rPr>
          <w:lang w:val="en-GB"/>
        </w:rPr>
        <w:tab/>
        <w:t>5.</w:t>
      </w:r>
      <w:r>
        <w:rPr>
          <w:rFonts w:ascii="SimSun" w:eastAsia="SimSun" w:hAnsi="SimSun" w:cs="SimSun" w:hint="eastAsia"/>
          <w:lang w:val="en-GB"/>
        </w:rPr>
        <w:tab/>
      </w:r>
      <w:r>
        <w:rPr>
          <w:lang w:val="en-GB"/>
        </w:rPr>
        <w:t>通用设计</w:t>
      </w:r>
    </w:p>
    <w:p w:rsidR="00334AE2" w:rsidRDefault="00334AE2">
      <w:pPr>
        <w:pStyle w:val="SingleTxtGC"/>
        <w:rPr>
          <w:lang w:val="en-GB"/>
        </w:rPr>
      </w:pPr>
      <w:r>
        <w:rPr>
          <w:lang w:val="en-GB"/>
        </w:rPr>
        <w:t>24.</w:t>
      </w:r>
      <w:r>
        <w:rPr>
          <w:rFonts w:hint="eastAsia"/>
          <w:lang w:val="en-GB"/>
        </w:rPr>
        <w:t>“通用设计”是规划和设计产品和环境</w:t>
      </w:r>
      <w:r>
        <w:rPr>
          <w:rFonts w:hint="eastAsia"/>
          <w:lang w:val="en-GB"/>
        </w:rPr>
        <w:t>(</w:t>
      </w:r>
      <w:r>
        <w:rPr>
          <w:rFonts w:hint="eastAsia"/>
          <w:lang w:val="en-GB"/>
        </w:rPr>
        <w:t>譬如，</w:t>
      </w:r>
      <w:r>
        <w:rPr>
          <w:lang w:val="en-GB"/>
        </w:rPr>
        <w:t>物体</w:t>
      </w:r>
      <w:r>
        <w:rPr>
          <w:rFonts w:hint="eastAsia"/>
          <w:lang w:val="en-GB"/>
        </w:rPr>
        <w:t>、建筑物、公共路径、道路和场所、系统和技术设施</w:t>
      </w:r>
      <w:r>
        <w:rPr>
          <w:rFonts w:hint="eastAsia"/>
          <w:lang w:val="en-GB"/>
        </w:rPr>
        <w:t>)</w:t>
      </w:r>
      <w:r>
        <w:rPr>
          <w:rFonts w:hint="eastAsia"/>
          <w:lang w:val="en-GB"/>
        </w:rPr>
        <w:t>的一个概念，尽量使所有的人可以在</w:t>
      </w:r>
      <w:r>
        <w:rPr>
          <w:lang w:val="en-GB"/>
        </w:rPr>
        <w:t>无需作出</w:t>
      </w:r>
      <w:r>
        <w:rPr>
          <w:rFonts w:hint="eastAsia"/>
          <w:lang w:val="en-GB"/>
        </w:rPr>
        <w:t>单独调整或特别设计的情况下，使用这些产品和环境</w:t>
      </w:r>
      <w:r>
        <w:rPr>
          <w:rStyle w:val="FootnoteReference"/>
        </w:rPr>
        <w:footnoteReference w:id="13"/>
      </w:r>
      <w:r>
        <w:rPr>
          <w:rFonts w:hint="eastAsia"/>
          <w:lang w:val="en-GB"/>
        </w:rPr>
        <w:t>。鉴于人口平均年龄上升和未来工作寿命延长，通用设计的意义将会大大增加。</w:t>
      </w:r>
    </w:p>
    <w:p w:rsidR="00334AE2" w:rsidRDefault="00334AE2">
      <w:pPr>
        <w:pStyle w:val="H1GC"/>
        <w:rPr>
          <w:lang w:val="en-GB"/>
        </w:rPr>
      </w:pPr>
      <w:bookmarkStart w:id="4" w:name="_Toc303932215"/>
      <w:r>
        <w:rPr>
          <w:lang w:val="en-GB"/>
        </w:rPr>
        <w:tab/>
      </w:r>
      <w:r>
        <w:rPr>
          <w:lang w:val="en-GB"/>
        </w:rPr>
        <w:tab/>
      </w:r>
      <w:bookmarkEnd w:id="4"/>
      <w:r>
        <w:rPr>
          <w:rFonts w:hint="eastAsia"/>
          <w:lang w:val="en-GB"/>
        </w:rPr>
        <w:t>第三条</w:t>
      </w:r>
      <w:r>
        <w:rPr>
          <w:rFonts w:hint="eastAsia"/>
          <w:lang w:val="en-GB"/>
        </w:rPr>
        <w:br/>
      </w:r>
      <w:r>
        <w:rPr>
          <w:rFonts w:hint="eastAsia"/>
          <w:lang w:val="en-GB"/>
        </w:rPr>
        <w:t>一般原则</w:t>
      </w:r>
    </w:p>
    <w:p w:rsidR="00334AE2" w:rsidRDefault="00334AE2">
      <w:pPr>
        <w:pStyle w:val="SingleTxtGC"/>
        <w:rPr>
          <w:lang w:val="en-GB"/>
        </w:rPr>
      </w:pPr>
      <w:r>
        <w:rPr>
          <w:lang w:val="en-GB"/>
        </w:rPr>
        <w:t xml:space="preserve">25.  </w:t>
      </w:r>
      <w:r>
        <w:rPr>
          <w:rFonts w:hint="eastAsia"/>
          <w:lang w:val="en-GB"/>
        </w:rPr>
        <w:t>实现残疾人自主和参与，是德国残疾人政策的核心。使他们能够设计有尊严的、尽可能独立的及没有障碍的生活。联邦、州和地方当局确保残疾人的不利处境得到预防或补救。</w:t>
      </w:r>
    </w:p>
    <w:p w:rsidR="00334AE2" w:rsidRDefault="00334AE2">
      <w:pPr>
        <w:pStyle w:val="SingleTxtGC"/>
        <w:rPr>
          <w:lang w:val="en-GB"/>
        </w:rPr>
      </w:pPr>
      <w:r>
        <w:rPr>
          <w:lang w:val="en-GB"/>
        </w:rPr>
        <w:t xml:space="preserve">26.  </w:t>
      </w:r>
      <w:r>
        <w:rPr>
          <w:rFonts w:hint="eastAsia"/>
          <w:lang w:val="en-GB"/>
        </w:rPr>
        <w:t>在过去十年，随着《社会法典》第九部、《残疾人平等机会法》及所有</w:t>
      </w:r>
      <w:r>
        <w:rPr>
          <w:rFonts w:hint="eastAsia"/>
          <w:lang w:val="en-GB"/>
        </w:rPr>
        <w:t>16</w:t>
      </w:r>
      <w:r>
        <w:rPr>
          <w:rFonts w:hint="eastAsia"/>
          <w:lang w:val="en-GB"/>
        </w:rPr>
        <w:t>个联邦州的《平等机会法》的通过，为自主和参与搭建了更大的舞台。此外，《普遍反歧视法》自</w:t>
      </w:r>
      <w:r>
        <w:rPr>
          <w:rFonts w:hint="eastAsia"/>
          <w:lang w:val="en-GB"/>
        </w:rPr>
        <w:t>2006</w:t>
      </w:r>
      <w:r>
        <w:rPr>
          <w:rFonts w:hint="eastAsia"/>
          <w:lang w:val="en-GB"/>
        </w:rPr>
        <w:t>年</w:t>
      </w:r>
      <w:r>
        <w:rPr>
          <w:rFonts w:hint="eastAsia"/>
          <w:lang w:val="en-GB"/>
        </w:rPr>
        <w:t>8</w:t>
      </w:r>
      <w:r>
        <w:rPr>
          <w:rFonts w:hint="eastAsia"/>
          <w:lang w:val="en-GB"/>
        </w:rPr>
        <w:t>月</w:t>
      </w:r>
      <w:r>
        <w:rPr>
          <w:rFonts w:hint="eastAsia"/>
          <w:lang w:val="en-GB"/>
        </w:rPr>
        <w:t>18</w:t>
      </w:r>
      <w:r>
        <w:rPr>
          <w:rFonts w:hint="eastAsia"/>
          <w:lang w:val="en-GB"/>
        </w:rPr>
        <w:t>日起在德国生效。这个法规保护由于种族或基于</w:t>
      </w:r>
      <w:r>
        <w:rPr>
          <w:lang w:val="en-GB"/>
        </w:rPr>
        <w:t>民族血统</w:t>
      </w:r>
      <w:r>
        <w:rPr>
          <w:rFonts w:hint="eastAsia"/>
          <w:lang w:val="en-GB"/>
        </w:rPr>
        <w:t>、性别、宗教或哲学信仰、残疾、年龄及</w:t>
      </w:r>
      <w:r>
        <w:rPr>
          <w:lang w:val="en-GB"/>
        </w:rPr>
        <w:t>性别特性</w:t>
      </w:r>
      <w:r>
        <w:rPr>
          <w:rFonts w:hint="eastAsia"/>
          <w:lang w:val="en-GB"/>
        </w:rPr>
        <w:t>而处于不利处境的人。</w:t>
      </w:r>
    </w:p>
    <w:p w:rsidR="00334AE2" w:rsidRDefault="00334AE2">
      <w:pPr>
        <w:pStyle w:val="H1GC"/>
        <w:rPr>
          <w:lang w:val="en-GB"/>
        </w:rPr>
      </w:pPr>
      <w:bookmarkStart w:id="5" w:name="_Toc303932216"/>
      <w:r>
        <w:rPr>
          <w:lang w:val="en-GB"/>
        </w:rPr>
        <w:tab/>
      </w:r>
      <w:r>
        <w:rPr>
          <w:lang w:val="en-GB"/>
        </w:rPr>
        <w:tab/>
      </w:r>
      <w:r>
        <w:rPr>
          <w:rFonts w:hint="eastAsia"/>
          <w:lang w:val="en-GB"/>
        </w:rPr>
        <w:t>第四条</w:t>
      </w:r>
      <w:r>
        <w:rPr>
          <w:rFonts w:hint="eastAsia"/>
          <w:lang w:val="en-GB"/>
        </w:rPr>
        <w:br/>
      </w:r>
      <w:r>
        <w:rPr>
          <w:rFonts w:hint="eastAsia"/>
          <w:lang w:val="en-GB"/>
        </w:rPr>
        <w:t>一般义务</w:t>
      </w:r>
      <w:bookmarkEnd w:id="5"/>
    </w:p>
    <w:p w:rsidR="00334AE2" w:rsidRDefault="00334AE2">
      <w:pPr>
        <w:pStyle w:val="SingleTxtGC"/>
        <w:rPr>
          <w:lang w:val="en-GB"/>
        </w:rPr>
      </w:pPr>
      <w:r>
        <w:rPr>
          <w:lang w:val="en-GB"/>
        </w:rPr>
        <w:t xml:space="preserve">27.  </w:t>
      </w:r>
      <w:r>
        <w:rPr>
          <w:rFonts w:hint="eastAsia"/>
          <w:lang w:val="en-GB"/>
        </w:rPr>
        <w:t>在过去十年中，联邦、州和地方当局已经完成了残疾人政策的模式转变。直到</w:t>
      </w:r>
      <w:r>
        <w:rPr>
          <w:rFonts w:hint="eastAsia"/>
          <w:lang w:val="en-GB"/>
        </w:rPr>
        <w:t>20</w:t>
      </w:r>
      <w:r>
        <w:rPr>
          <w:rFonts w:hint="eastAsia"/>
          <w:lang w:val="en-GB"/>
        </w:rPr>
        <w:t>世纪</w:t>
      </w:r>
      <w:r>
        <w:rPr>
          <w:rFonts w:hint="eastAsia"/>
          <w:lang w:val="en-GB"/>
        </w:rPr>
        <w:t>90</w:t>
      </w:r>
      <w:r>
        <w:rPr>
          <w:rFonts w:hint="eastAsia"/>
          <w:lang w:val="en-GB"/>
        </w:rPr>
        <w:t>年代末，重点是实行国家向残疾人提供福利的原则。今天，尽可能地支持残疾人自主地参与社会的各个领域。</w:t>
      </w:r>
    </w:p>
    <w:p w:rsidR="00334AE2" w:rsidRDefault="00334AE2">
      <w:pPr>
        <w:pStyle w:val="SingleTxtGC"/>
        <w:rPr>
          <w:lang w:val="en-GB"/>
        </w:rPr>
      </w:pPr>
      <w:r>
        <w:rPr>
          <w:lang w:val="en-GB"/>
        </w:rPr>
        <w:t xml:space="preserve">28.  </w:t>
      </w:r>
      <w:r>
        <w:rPr>
          <w:rFonts w:hint="eastAsia"/>
          <w:lang w:val="en-GB"/>
        </w:rPr>
        <w:t>在这方面，德国有一个现代化的运行良好的参与系统。随着《社会法典》第九部的生效，这个系统正在不断完善。不仅联邦和各州的法定方案在其中发挥作用。联邦、州和地方当局已经并将继续，资助和指导提高认识方案及确定和实施技术或社会创新的措施，残疾人可以从中受益。</w:t>
      </w:r>
    </w:p>
    <w:p w:rsidR="00334AE2" w:rsidRDefault="00334AE2">
      <w:pPr>
        <w:pStyle w:val="SingleTxtGC"/>
        <w:rPr>
          <w:lang w:val="en-GB"/>
        </w:rPr>
      </w:pPr>
      <w:r>
        <w:rPr>
          <w:lang w:val="en-GB"/>
        </w:rPr>
        <w:t xml:space="preserve">29.  </w:t>
      </w:r>
      <w:r>
        <w:rPr>
          <w:rFonts w:hint="eastAsia"/>
          <w:lang w:val="en-GB"/>
        </w:rPr>
        <w:t>模式转变也包括残疾人及其协会</w:t>
      </w:r>
      <w:r>
        <w:rPr>
          <w:lang w:val="en-GB"/>
        </w:rPr>
        <w:t>融入</w:t>
      </w:r>
      <w:r>
        <w:rPr>
          <w:rFonts w:hint="eastAsia"/>
          <w:lang w:val="en-GB"/>
        </w:rPr>
        <w:t>联邦政府工作，德国已经这样做了相当长一段时间。例如，德国协会从一开始就参与了《社会法典》第九部的制订。这表明，认真对待自主问题，考虑残疾人协会提出的建议。当协会参与联邦政府工作时，通过协会女代表的参与，考虑残疾妇女的特别利益。</w:t>
      </w:r>
    </w:p>
    <w:p w:rsidR="00334AE2" w:rsidRDefault="00334AE2">
      <w:pPr>
        <w:pStyle w:val="SingleTxtGC"/>
        <w:rPr>
          <w:lang w:val="en-GB"/>
        </w:rPr>
      </w:pPr>
      <w:r>
        <w:rPr>
          <w:lang w:val="en-GB"/>
        </w:rPr>
        <w:t xml:space="preserve">30.  </w:t>
      </w:r>
      <w:r>
        <w:rPr>
          <w:rFonts w:hint="eastAsia"/>
          <w:lang w:val="en-GB"/>
        </w:rPr>
        <w:t>根据《基本法》规定的联邦体制，具体立法权是联邦当局的职权。因此，据此制订的法规，适用于整个联邦领土。譬如，关于劳动和社会立法就是这种情况。此外，有些立法权，譬如在教育领域中立法，是完全属于各州的职权。例如，德意志联邦共和国有</w:t>
      </w:r>
      <w:r>
        <w:rPr>
          <w:rFonts w:hint="eastAsia"/>
          <w:lang w:val="en-GB"/>
        </w:rPr>
        <w:t>16</w:t>
      </w:r>
      <w:r>
        <w:rPr>
          <w:rFonts w:hint="eastAsia"/>
          <w:lang w:val="en-GB"/>
        </w:rPr>
        <w:t>个《学校法》。由于这一宪法性分工的结果，联邦无权干预各州立法权的实施。</w:t>
      </w:r>
    </w:p>
    <w:p w:rsidR="00334AE2" w:rsidRDefault="00334AE2">
      <w:pPr>
        <w:pStyle w:val="SingleTxtGC"/>
        <w:rPr>
          <w:lang w:val="en-GB"/>
        </w:rPr>
      </w:pPr>
      <w:r>
        <w:rPr>
          <w:lang w:val="en-GB"/>
        </w:rPr>
        <w:t xml:space="preserve">31.  </w:t>
      </w:r>
      <w:r>
        <w:rPr>
          <w:rFonts w:hint="eastAsia"/>
          <w:lang w:val="en-GB"/>
        </w:rPr>
        <w:t>联邦政府在</w:t>
      </w:r>
      <w:r>
        <w:rPr>
          <w:rFonts w:hint="eastAsia"/>
          <w:lang w:val="en-GB"/>
        </w:rPr>
        <w:t>2009</w:t>
      </w:r>
      <w:r>
        <w:rPr>
          <w:rFonts w:hint="eastAsia"/>
          <w:lang w:val="en-GB"/>
        </w:rPr>
        <w:t>年《联盟协议》中，已经决定制定执行《公约》的《国家行动计划》。这个《行动计划》列出了有助于联邦政府到</w:t>
      </w:r>
      <w:r>
        <w:rPr>
          <w:rFonts w:hint="eastAsia"/>
          <w:lang w:val="en-GB"/>
        </w:rPr>
        <w:t>2021</w:t>
      </w:r>
      <w:r>
        <w:rPr>
          <w:rFonts w:hint="eastAsia"/>
          <w:lang w:val="en-GB"/>
        </w:rPr>
        <w:t>年在残疾人自主参与上取得进展的方案。残疾人深入地参与了联邦政府的《国家行动计划》的起草和实施，从一开始就是如此。除了进行了评估外，《国家行动计划》概括了联邦政府通过总体战略实施《公约》的目标和方案，并阐述了立即、在立法期间及在今后年月应该进行的工作。《国家行动计划》包含了</w:t>
      </w:r>
      <w:r>
        <w:rPr>
          <w:rFonts w:hint="eastAsia"/>
          <w:lang w:val="en-GB"/>
        </w:rPr>
        <w:t>200</w:t>
      </w:r>
      <w:r>
        <w:rPr>
          <w:rFonts w:hint="eastAsia"/>
          <w:lang w:val="en-GB"/>
        </w:rPr>
        <w:t>多个单独方案，期限为</w:t>
      </w:r>
      <w:r>
        <w:rPr>
          <w:rFonts w:hint="eastAsia"/>
          <w:lang w:val="en-GB"/>
        </w:rPr>
        <w:t>10</w:t>
      </w:r>
      <w:r>
        <w:rPr>
          <w:rFonts w:hint="eastAsia"/>
          <w:lang w:val="en-GB"/>
        </w:rPr>
        <w:t>年。该计划将是联邦政府残疾人政策的指南针。它将为创造一个所有的人</w:t>
      </w:r>
      <w:r>
        <w:rPr>
          <w:rFonts w:hint="eastAsia"/>
          <w:lang w:val="en-GB"/>
        </w:rPr>
        <w:t>(</w:t>
      </w:r>
      <w:r>
        <w:rPr>
          <w:rFonts w:hint="eastAsia"/>
          <w:lang w:val="en-GB"/>
        </w:rPr>
        <w:t>不管是否有残疾</w:t>
      </w:r>
      <w:r>
        <w:rPr>
          <w:rFonts w:hint="eastAsia"/>
          <w:lang w:val="en-GB"/>
        </w:rPr>
        <w:t>)</w:t>
      </w:r>
      <w:r>
        <w:rPr>
          <w:rFonts w:hint="eastAsia"/>
          <w:lang w:val="en-GB"/>
        </w:rPr>
        <w:t>都可以参与的社会作出贡献。</w:t>
      </w:r>
    </w:p>
    <w:p w:rsidR="00334AE2" w:rsidRDefault="00334AE2">
      <w:pPr>
        <w:pStyle w:val="SingleTxtGC"/>
        <w:rPr>
          <w:rStyle w:val="FootnoteReference"/>
        </w:rPr>
      </w:pPr>
      <w:r>
        <w:rPr>
          <w:lang w:val="en-GB"/>
        </w:rPr>
        <w:t xml:space="preserve">32.  </w:t>
      </w:r>
      <w:r>
        <w:rPr>
          <w:rFonts w:hint="eastAsia"/>
          <w:lang w:val="en-GB"/>
        </w:rPr>
        <w:t>各州也计划在它们负责的领域中，制订行动计划或其他方案，以改善残疾人的参与。它们或者已经制订了计划。如下概览显示了详情。</w:t>
      </w:r>
      <w:r>
        <w:rPr>
          <w:rStyle w:val="FootnoteReference"/>
        </w:rPr>
        <w:footnoteReference w:id="14"/>
      </w:r>
    </w:p>
    <w:p w:rsidR="00334AE2" w:rsidRDefault="00334AE2">
      <w:pPr>
        <w:pStyle w:val="SingleTxtGC"/>
        <w:rPr>
          <w:rFonts w:eastAsia="SimHei"/>
          <w:lang w:val="en-GB"/>
        </w:rPr>
      </w:pPr>
      <w:r>
        <w:rPr>
          <w:rFonts w:hint="eastAsia"/>
          <w:lang w:val="en-GB"/>
        </w:rPr>
        <w:t>表</w:t>
      </w:r>
      <w:r>
        <w:rPr>
          <w:rFonts w:hint="eastAsia"/>
          <w:lang w:val="en-GB"/>
        </w:rPr>
        <w:t>1</w:t>
      </w:r>
      <w:r>
        <w:rPr>
          <w:lang w:val="en-GB"/>
        </w:rPr>
        <w:br/>
      </w:r>
      <w:r>
        <w:rPr>
          <w:rFonts w:eastAsia="SimHei" w:hint="eastAsia"/>
          <w:lang w:val="en-GB"/>
        </w:rPr>
        <w:t>实施《残疾人权利公约》的方案</w:t>
      </w:r>
    </w:p>
    <w:tbl>
      <w:tblPr>
        <w:tblW w:w="7370" w:type="dxa"/>
        <w:tblInd w:w="1134" w:type="dxa"/>
        <w:tblLayout w:type="fixed"/>
        <w:tblCellMar>
          <w:left w:w="0" w:type="dxa"/>
          <w:right w:w="0" w:type="dxa"/>
        </w:tblCellMar>
        <w:tblLook w:val="0000"/>
      </w:tblPr>
      <w:tblGrid>
        <w:gridCol w:w="2503"/>
        <w:gridCol w:w="4867"/>
      </w:tblGrid>
      <w:tr w:rsidR="00334AE2">
        <w:trPr>
          <w:tblHeader/>
        </w:trPr>
        <w:tc>
          <w:tcPr>
            <w:tcW w:w="2551" w:type="dxa"/>
            <w:tcBorders>
              <w:top w:val="single" w:sz="4" w:space="0" w:color="auto"/>
              <w:bottom w:val="single" w:sz="12" w:space="0" w:color="auto"/>
            </w:tcBorders>
            <w:shd w:val="clear" w:color="auto" w:fill="auto"/>
            <w:vAlign w:val="bottom"/>
          </w:tcPr>
          <w:p w:rsidR="00334AE2" w:rsidRDefault="00334AE2">
            <w:pPr>
              <w:pStyle w:val="a2"/>
              <w:rPr>
                <w:lang w:val="en-GB"/>
              </w:rPr>
            </w:pPr>
            <w:r>
              <w:rPr>
                <w:lang w:val="en-GB"/>
              </w:rPr>
              <w:t>州</w:t>
            </w:r>
          </w:p>
        </w:tc>
        <w:tc>
          <w:tcPr>
            <w:tcW w:w="4960" w:type="dxa"/>
            <w:tcBorders>
              <w:top w:val="single" w:sz="4" w:space="0" w:color="auto"/>
              <w:bottom w:val="single" w:sz="12" w:space="0" w:color="auto"/>
            </w:tcBorders>
            <w:shd w:val="clear" w:color="auto" w:fill="auto"/>
            <w:vAlign w:val="bottom"/>
          </w:tcPr>
          <w:p w:rsidR="00334AE2" w:rsidRDefault="00334AE2">
            <w:pPr>
              <w:pStyle w:val="a2"/>
              <w:rPr>
                <w:lang w:val="en-GB"/>
              </w:rPr>
            </w:pPr>
            <w:r>
              <w:rPr>
                <w:rFonts w:hint="eastAsia"/>
                <w:lang w:val="en-GB"/>
              </w:rPr>
              <w:t>实施《残疾人权利公约》的方案</w:t>
            </w:r>
          </w:p>
        </w:tc>
      </w:tr>
      <w:tr w:rsidR="00334AE2">
        <w:tc>
          <w:tcPr>
            <w:tcW w:w="2551" w:type="dxa"/>
            <w:tcBorders>
              <w:top w:val="single" w:sz="12" w:space="0" w:color="auto"/>
            </w:tcBorders>
            <w:shd w:val="clear" w:color="auto" w:fill="auto"/>
          </w:tcPr>
          <w:p w:rsidR="00334AE2" w:rsidRDefault="00334AE2">
            <w:pPr>
              <w:pStyle w:val="a5"/>
              <w:rPr>
                <w:lang w:val="en-GB"/>
              </w:rPr>
            </w:pPr>
            <w:hyperlink r:id="rId8" w:tooltip="巴登－符腾堡" w:history="1">
              <w:r>
                <w:rPr>
                  <w:rStyle w:val="Hyperlink"/>
                  <w:color w:val="auto"/>
                  <w:u w:val="none"/>
                  <w:lang w:val="en-GB"/>
                </w:rPr>
                <w:t>巴登</w:t>
              </w:r>
              <w:r>
                <w:rPr>
                  <w:rStyle w:val="Hyperlink"/>
                  <w:rFonts w:hint="eastAsia"/>
                  <w:color w:val="auto"/>
                  <w:u w:val="none"/>
                  <w:lang w:val="en-GB"/>
                </w:rPr>
                <w:t>﹣</w:t>
              </w:r>
              <w:r>
                <w:rPr>
                  <w:rStyle w:val="Hyperlink"/>
                  <w:color w:val="auto"/>
                  <w:u w:val="none"/>
                  <w:lang w:val="en-GB"/>
                </w:rPr>
                <w:t>符腾堡</w:t>
              </w:r>
            </w:hyperlink>
            <w:r>
              <w:rPr>
                <w:lang w:val="en-GB"/>
              </w:rPr>
              <w:t>州</w:t>
            </w:r>
          </w:p>
        </w:tc>
        <w:tc>
          <w:tcPr>
            <w:tcW w:w="4960" w:type="dxa"/>
            <w:tcBorders>
              <w:top w:val="single" w:sz="12" w:space="0" w:color="auto"/>
            </w:tcBorders>
            <w:shd w:val="clear" w:color="auto" w:fill="auto"/>
          </w:tcPr>
          <w:p w:rsidR="00334AE2" w:rsidRDefault="00334AE2">
            <w:pPr>
              <w:pStyle w:val="a5"/>
              <w:rPr>
                <w:lang w:val="en-GB"/>
              </w:rPr>
            </w:pPr>
            <w:r>
              <w:rPr>
                <w:rFonts w:hint="eastAsia"/>
                <w:lang w:val="en-GB"/>
              </w:rPr>
              <w:t>与州残疾咨询委员会和协会共同起草了实施方案。</w:t>
            </w:r>
          </w:p>
        </w:tc>
      </w:tr>
      <w:tr w:rsidR="00334AE2">
        <w:tc>
          <w:tcPr>
            <w:tcW w:w="2551" w:type="dxa"/>
            <w:shd w:val="clear" w:color="auto" w:fill="auto"/>
          </w:tcPr>
          <w:p w:rsidR="00334AE2" w:rsidRDefault="00334AE2">
            <w:pPr>
              <w:pStyle w:val="a5"/>
              <w:rPr>
                <w:lang w:val="en-GB"/>
              </w:rPr>
            </w:pPr>
            <w:hyperlink r:id="rId9" w:tooltip="巴伐利亚" w:history="1">
              <w:r>
                <w:rPr>
                  <w:rStyle w:val="Hyperlink"/>
                  <w:color w:val="auto"/>
                  <w:u w:val="none"/>
                  <w:lang w:val="en-GB"/>
                </w:rPr>
                <w:t>巴伐利亚</w:t>
              </w:r>
            </w:hyperlink>
            <w:r>
              <w:rPr>
                <w:lang w:val="en-GB"/>
              </w:rPr>
              <w:t>州</w:t>
            </w:r>
          </w:p>
        </w:tc>
        <w:tc>
          <w:tcPr>
            <w:tcW w:w="4960" w:type="dxa"/>
            <w:shd w:val="clear" w:color="auto" w:fill="auto"/>
          </w:tcPr>
          <w:p w:rsidR="00334AE2" w:rsidRDefault="00334AE2">
            <w:pPr>
              <w:pStyle w:val="a5"/>
              <w:rPr>
                <w:lang w:val="en-GB"/>
              </w:rPr>
            </w:pPr>
            <w:r>
              <w:rPr>
                <w:rFonts w:hint="eastAsia"/>
                <w:lang w:val="en-GB"/>
              </w:rPr>
              <w:t>巴伐利亚州政府</w:t>
            </w:r>
            <w:r>
              <w:rPr>
                <w:rFonts w:hint="eastAsia"/>
                <w:lang w:val="en-GB"/>
              </w:rPr>
              <w:t>2011</w:t>
            </w:r>
            <w:r>
              <w:rPr>
                <w:rFonts w:hint="eastAsia"/>
                <w:lang w:val="en-GB"/>
              </w:rPr>
              <w:t>年</w:t>
            </w:r>
            <w:r>
              <w:rPr>
                <w:rFonts w:hint="eastAsia"/>
                <w:lang w:val="en-GB"/>
              </w:rPr>
              <w:t>5</w:t>
            </w:r>
            <w:r>
              <w:rPr>
                <w:rFonts w:hint="eastAsia"/>
                <w:lang w:val="en-GB"/>
              </w:rPr>
              <w:t>月</w:t>
            </w:r>
            <w:r>
              <w:rPr>
                <w:rFonts w:hint="eastAsia"/>
                <w:lang w:val="en-GB"/>
              </w:rPr>
              <w:t>3</w:t>
            </w:r>
            <w:r>
              <w:rPr>
                <w:rFonts w:hint="eastAsia"/>
                <w:lang w:val="en-GB"/>
              </w:rPr>
              <w:t>日通过了《行动计划》草案，在有残疾人参与的情况下完善了该计划</w:t>
            </w:r>
          </w:p>
        </w:tc>
      </w:tr>
      <w:tr w:rsidR="00334AE2">
        <w:tc>
          <w:tcPr>
            <w:tcW w:w="2551" w:type="dxa"/>
            <w:shd w:val="clear" w:color="auto" w:fill="auto"/>
          </w:tcPr>
          <w:p w:rsidR="00334AE2" w:rsidRDefault="00334AE2">
            <w:pPr>
              <w:pStyle w:val="a5"/>
              <w:rPr>
                <w:lang w:val="en-GB"/>
              </w:rPr>
            </w:pPr>
            <w:hyperlink r:id="rId10" w:tooltip="柏林" w:history="1">
              <w:r>
                <w:rPr>
                  <w:rStyle w:val="Hyperlink"/>
                  <w:color w:val="auto"/>
                  <w:u w:val="none"/>
                  <w:lang w:val="en-GB"/>
                </w:rPr>
                <w:t>柏林</w:t>
              </w:r>
            </w:hyperlink>
            <w:r>
              <w:rPr>
                <w:lang w:val="en-GB"/>
              </w:rPr>
              <w:t>市</w:t>
            </w:r>
          </w:p>
        </w:tc>
        <w:tc>
          <w:tcPr>
            <w:tcW w:w="4960" w:type="dxa"/>
            <w:shd w:val="clear" w:color="auto" w:fill="auto"/>
          </w:tcPr>
          <w:p w:rsidR="00334AE2" w:rsidRDefault="00334AE2">
            <w:pPr>
              <w:pStyle w:val="a5"/>
              <w:rPr>
                <w:lang w:val="en-GB"/>
              </w:rPr>
            </w:pPr>
            <w:r>
              <w:rPr>
                <w:rFonts w:hint="eastAsia"/>
                <w:lang w:val="en-GB"/>
              </w:rPr>
              <w:t>参议院</w:t>
            </w:r>
            <w:r>
              <w:rPr>
                <w:rFonts w:hint="eastAsia"/>
                <w:lang w:val="en-GB"/>
              </w:rPr>
              <w:t>2011</w:t>
            </w:r>
            <w:r>
              <w:rPr>
                <w:rFonts w:hint="eastAsia"/>
                <w:lang w:val="en-GB"/>
              </w:rPr>
              <w:t>年</w:t>
            </w:r>
            <w:r>
              <w:rPr>
                <w:rFonts w:hint="eastAsia"/>
                <w:lang w:val="en-GB"/>
              </w:rPr>
              <w:t>6</w:t>
            </w:r>
            <w:r>
              <w:rPr>
                <w:rFonts w:hint="eastAsia"/>
                <w:lang w:val="en-GB"/>
              </w:rPr>
              <w:t>月通过了带有残疾政策指南的行动计划</w:t>
            </w:r>
            <w:r>
              <w:rPr>
                <w:rFonts w:hint="eastAsia"/>
                <w:lang w:val="en-GB"/>
              </w:rPr>
              <w:t>/</w:t>
            </w:r>
            <w:r>
              <w:rPr>
                <w:rFonts w:hint="eastAsia"/>
                <w:lang w:val="en-GB"/>
              </w:rPr>
              <w:t>方案</w:t>
            </w:r>
          </w:p>
        </w:tc>
      </w:tr>
      <w:tr w:rsidR="00334AE2">
        <w:tc>
          <w:tcPr>
            <w:tcW w:w="2551" w:type="dxa"/>
            <w:shd w:val="clear" w:color="auto" w:fill="auto"/>
          </w:tcPr>
          <w:p w:rsidR="00334AE2" w:rsidRDefault="00334AE2">
            <w:pPr>
              <w:pStyle w:val="a5"/>
              <w:rPr>
                <w:lang w:val="en-GB"/>
              </w:rPr>
            </w:pPr>
            <w:hyperlink r:id="rId11" w:tooltip="勃兰登堡" w:history="1">
              <w:r>
                <w:rPr>
                  <w:rStyle w:val="Hyperlink"/>
                  <w:color w:val="auto"/>
                  <w:u w:val="none"/>
                  <w:lang w:val="en-GB"/>
                </w:rPr>
                <w:t>勃兰登堡</w:t>
              </w:r>
            </w:hyperlink>
            <w:r>
              <w:rPr>
                <w:lang w:val="en-GB"/>
              </w:rPr>
              <w:t>州</w:t>
            </w:r>
          </w:p>
        </w:tc>
        <w:tc>
          <w:tcPr>
            <w:tcW w:w="4960" w:type="dxa"/>
            <w:shd w:val="clear" w:color="auto" w:fill="auto"/>
          </w:tcPr>
          <w:p w:rsidR="00334AE2" w:rsidRDefault="00334AE2">
            <w:pPr>
              <w:pStyle w:val="a5"/>
              <w:rPr>
                <w:lang w:val="en-GB"/>
              </w:rPr>
            </w:pPr>
            <w:r>
              <w:rPr>
                <w:rFonts w:hint="eastAsia"/>
                <w:lang w:val="en-GB"/>
              </w:rPr>
              <w:t>设想于</w:t>
            </w:r>
            <w:r>
              <w:rPr>
                <w:rFonts w:hint="eastAsia"/>
                <w:lang w:val="en-GB"/>
              </w:rPr>
              <w:t>2011</w:t>
            </w:r>
            <w:r>
              <w:rPr>
                <w:rFonts w:hint="eastAsia"/>
                <w:lang w:val="en-GB"/>
              </w:rPr>
              <w:t>年年底制订方案计划</w:t>
            </w:r>
          </w:p>
        </w:tc>
      </w:tr>
      <w:tr w:rsidR="00334AE2">
        <w:tc>
          <w:tcPr>
            <w:tcW w:w="2551" w:type="dxa"/>
            <w:shd w:val="clear" w:color="auto" w:fill="auto"/>
          </w:tcPr>
          <w:p w:rsidR="00334AE2" w:rsidRDefault="00334AE2">
            <w:pPr>
              <w:pStyle w:val="a5"/>
              <w:rPr>
                <w:lang w:val="en-GB"/>
              </w:rPr>
            </w:pPr>
            <w:hyperlink r:id="rId12" w:tooltip="不来梅" w:history="1">
              <w:r>
                <w:rPr>
                  <w:rStyle w:val="Hyperlink"/>
                  <w:color w:val="auto"/>
                  <w:u w:val="none"/>
                  <w:lang w:val="en-GB"/>
                </w:rPr>
                <w:t>不来梅</w:t>
              </w:r>
            </w:hyperlink>
            <w:r>
              <w:rPr>
                <w:lang w:val="en-GB"/>
              </w:rPr>
              <w:t>市</w:t>
            </w:r>
          </w:p>
        </w:tc>
        <w:tc>
          <w:tcPr>
            <w:tcW w:w="4960" w:type="dxa"/>
            <w:shd w:val="clear" w:color="auto" w:fill="auto"/>
          </w:tcPr>
          <w:p w:rsidR="00334AE2" w:rsidRDefault="00334AE2">
            <w:pPr>
              <w:pStyle w:val="a5"/>
              <w:rPr>
                <w:lang w:val="en-GB"/>
              </w:rPr>
            </w:pPr>
            <w:r>
              <w:rPr>
                <w:rFonts w:hint="eastAsia"/>
                <w:lang w:val="en-GB"/>
              </w:rPr>
              <w:t>关于第</w:t>
            </w:r>
            <w:r>
              <w:rPr>
                <w:rFonts w:hint="eastAsia"/>
                <w:lang w:val="en-GB"/>
              </w:rPr>
              <w:t>18</w:t>
            </w:r>
            <w:r>
              <w:rPr>
                <w:rFonts w:hint="eastAsia"/>
                <w:lang w:val="en-GB"/>
              </w:rPr>
              <w:t>届立法期</w:t>
            </w:r>
            <w:r>
              <w:rPr>
                <w:rFonts w:hint="eastAsia"/>
                <w:lang w:val="en-GB"/>
              </w:rPr>
              <w:t>(2011-2014</w:t>
            </w:r>
            <w:r>
              <w:rPr>
                <w:rFonts w:hint="eastAsia"/>
                <w:lang w:val="en-GB"/>
              </w:rPr>
              <w:t>年</w:t>
            </w:r>
            <w:r>
              <w:rPr>
                <w:rFonts w:hint="eastAsia"/>
                <w:lang w:val="en-GB"/>
              </w:rPr>
              <w:t>)</w:t>
            </w:r>
            <w:r>
              <w:rPr>
                <w:rFonts w:hint="eastAsia"/>
                <w:lang w:val="en-GB"/>
              </w:rPr>
              <w:t>的《联盟协议》规定制订《州行动计划》</w:t>
            </w:r>
          </w:p>
        </w:tc>
      </w:tr>
      <w:tr w:rsidR="00334AE2">
        <w:tc>
          <w:tcPr>
            <w:tcW w:w="2551" w:type="dxa"/>
            <w:shd w:val="clear" w:color="auto" w:fill="auto"/>
          </w:tcPr>
          <w:p w:rsidR="00334AE2" w:rsidRDefault="00334AE2">
            <w:pPr>
              <w:pStyle w:val="a5"/>
              <w:rPr>
                <w:lang w:val="en-GB"/>
              </w:rPr>
            </w:pPr>
            <w:hyperlink r:id="rId13" w:tooltip="汉堡" w:history="1">
              <w:r>
                <w:rPr>
                  <w:rStyle w:val="Hyperlink"/>
                  <w:color w:val="auto"/>
                  <w:u w:val="none"/>
                  <w:lang w:val="en-GB"/>
                </w:rPr>
                <w:t>汉堡</w:t>
              </w:r>
            </w:hyperlink>
            <w:r>
              <w:rPr>
                <w:lang w:val="en-GB"/>
              </w:rPr>
              <w:t>市</w:t>
            </w:r>
          </w:p>
        </w:tc>
        <w:tc>
          <w:tcPr>
            <w:tcW w:w="4960" w:type="dxa"/>
            <w:shd w:val="clear" w:color="auto" w:fill="auto"/>
          </w:tcPr>
          <w:p w:rsidR="00334AE2" w:rsidRDefault="00334AE2">
            <w:pPr>
              <w:pStyle w:val="a5"/>
              <w:rPr>
                <w:lang w:val="en-GB"/>
              </w:rPr>
            </w:pPr>
            <w:r>
              <w:rPr>
                <w:rFonts w:hint="eastAsia"/>
                <w:lang w:val="en-GB"/>
              </w:rPr>
              <w:t>目前正在制订《州行动计划》</w:t>
            </w:r>
          </w:p>
        </w:tc>
      </w:tr>
      <w:tr w:rsidR="00334AE2">
        <w:tc>
          <w:tcPr>
            <w:tcW w:w="2551" w:type="dxa"/>
            <w:shd w:val="clear" w:color="auto" w:fill="auto"/>
          </w:tcPr>
          <w:p w:rsidR="00334AE2" w:rsidRDefault="00334AE2">
            <w:pPr>
              <w:pStyle w:val="a5"/>
              <w:rPr>
                <w:lang w:val="en-GB"/>
              </w:rPr>
            </w:pPr>
            <w:hyperlink r:id="rId14" w:tooltip="黑森" w:history="1">
              <w:r>
                <w:rPr>
                  <w:rStyle w:val="Hyperlink"/>
                  <w:color w:val="auto"/>
                  <w:u w:val="none"/>
                  <w:lang w:val="en-GB"/>
                </w:rPr>
                <w:t>黑森</w:t>
              </w:r>
            </w:hyperlink>
            <w:r>
              <w:rPr>
                <w:lang w:val="en-GB"/>
              </w:rPr>
              <w:t>州</w:t>
            </w:r>
          </w:p>
        </w:tc>
        <w:tc>
          <w:tcPr>
            <w:tcW w:w="4960" w:type="dxa"/>
            <w:shd w:val="clear" w:color="auto" w:fill="auto"/>
          </w:tcPr>
          <w:p w:rsidR="00334AE2" w:rsidRDefault="00334AE2">
            <w:pPr>
              <w:pStyle w:val="a5"/>
              <w:rPr>
                <w:lang w:val="en-GB"/>
              </w:rPr>
            </w:pPr>
            <w:r>
              <w:rPr>
                <w:rFonts w:hint="eastAsia"/>
                <w:lang w:val="en-GB"/>
              </w:rPr>
              <w:t>计划于</w:t>
            </w:r>
            <w:r>
              <w:rPr>
                <w:rFonts w:hint="eastAsia"/>
                <w:lang w:val="en-GB"/>
              </w:rPr>
              <w:t>2011</w:t>
            </w:r>
            <w:r>
              <w:rPr>
                <w:rFonts w:hint="eastAsia"/>
                <w:lang w:val="en-GB"/>
              </w:rPr>
              <w:t>年年底制订《行动计划》</w:t>
            </w:r>
          </w:p>
        </w:tc>
      </w:tr>
      <w:tr w:rsidR="00334AE2">
        <w:tc>
          <w:tcPr>
            <w:tcW w:w="2551" w:type="dxa"/>
            <w:shd w:val="clear" w:color="auto" w:fill="auto"/>
          </w:tcPr>
          <w:p w:rsidR="00334AE2" w:rsidRDefault="00334AE2">
            <w:pPr>
              <w:pStyle w:val="a5"/>
              <w:rPr>
                <w:lang w:val="en-GB"/>
              </w:rPr>
            </w:pPr>
            <w:hyperlink r:id="rId15" w:tooltip="梅克伦堡－前波美拉尼亚" w:history="1">
              <w:r>
                <w:rPr>
                  <w:rStyle w:val="Hyperlink"/>
                  <w:color w:val="auto"/>
                  <w:u w:val="none"/>
                  <w:lang w:val="en-GB"/>
                </w:rPr>
                <w:t>梅克伦堡</w:t>
              </w:r>
              <w:r>
                <w:rPr>
                  <w:rStyle w:val="Hyperlink"/>
                  <w:rFonts w:hint="eastAsia"/>
                  <w:color w:val="auto"/>
                  <w:u w:val="none"/>
                  <w:lang w:val="en-GB"/>
                </w:rPr>
                <w:t>﹣</w:t>
              </w:r>
              <w:r>
                <w:rPr>
                  <w:rStyle w:val="Hyperlink"/>
                  <w:color w:val="auto"/>
                  <w:u w:val="none"/>
                  <w:lang w:val="en-GB"/>
                </w:rPr>
                <w:t>前波美拉尼亚</w:t>
              </w:r>
            </w:hyperlink>
            <w:r>
              <w:rPr>
                <w:lang w:val="en-GB"/>
              </w:rPr>
              <w:t>州</w:t>
            </w:r>
          </w:p>
        </w:tc>
        <w:tc>
          <w:tcPr>
            <w:tcW w:w="4960" w:type="dxa"/>
            <w:shd w:val="clear" w:color="auto" w:fill="auto"/>
          </w:tcPr>
          <w:p w:rsidR="00334AE2" w:rsidRDefault="00334AE2">
            <w:pPr>
              <w:pStyle w:val="a5"/>
              <w:rPr>
                <w:lang w:val="en-GB"/>
              </w:rPr>
            </w:pPr>
            <w:r>
              <w:rPr>
                <w:rFonts w:hint="eastAsia"/>
                <w:lang w:val="en-GB"/>
              </w:rPr>
              <w:t>正在起草方案计划</w:t>
            </w:r>
          </w:p>
        </w:tc>
      </w:tr>
      <w:tr w:rsidR="00334AE2">
        <w:tc>
          <w:tcPr>
            <w:tcW w:w="2551" w:type="dxa"/>
            <w:shd w:val="clear" w:color="auto" w:fill="auto"/>
          </w:tcPr>
          <w:p w:rsidR="00334AE2" w:rsidRDefault="00334AE2">
            <w:pPr>
              <w:pStyle w:val="a5"/>
              <w:rPr>
                <w:lang w:val="en-GB"/>
              </w:rPr>
            </w:pPr>
            <w:hyperlink r:id="rId16" w:tooltip="下萨克森" w:history="1">
              <w:r>
                <w:rPr>
                  <w:rStyle w:val="Hyperlink"/>
                  <w:color w:val="auto"/>
                  <w:u w:val="none"/>
                  <w:lang w:val="en-GB"/>
                </w:rPr>
                <w:t>下萨克森</w:t>
              </w:r>
            </w:hyperlink>
            <w:r>
              <w:rPr>
                <w:lang w:val="en-GB"/>
              </w:rPr>
              <w:t>州</w:t>
            </w:r>
          </w:p>
        </w:tc>
        <w:tc>
          <w:tcPr>
            <w:tcW w:w="4960" w:type="dxa"/>
            <w:shd w:val="clear" w:color="auto" w:fill="auto"/>
          </w:tcPr>
          <w:p w:rsidR="00334AE2" w:rsidRDefault="00334AE2">
            <w:pPr>
              <w:pStyle w:val="a5"/>
              <w:rPr>
                <w:lang w:val="en-GB"/>
              </w:rPr>
            </w:pPr>
            <w:r>
              <w:rPr>
                <w:rFonts w:hint="eastAsia"/>
                <w:lang w:val="en-GB"/>
              </w:rPr>
              <w:t>正在审议制订《行动计划》的可能性</w:t>
            </w:r>
          </w:p>
        </w:tc>
      </w:tr>
      <w:tr w:rsidR="00334AE2">
        <w:tc>
          <w:tcPr>
            <w:tcW w:w="2551" w:type="dxa"/>
            <w:shd w:val="clear" w:color="auto" w:fill="auto"/>
          </w:tcPr>
          <w:p w:rsidR="00334AE2" w:rsidRDefault="00334AE2">
            <w:pPr>
              <w:pStyle w:val="a5"/>
              <w:rPr>
                <w:lang w:val="en-GB"/>
              </w:rPr>
            </w:pPr>
            <w:hyperlink r:id="rId17" w:tooltip="北莱茵－威斯特法伦" w:history="1">
              <w:r>
                <w:rPr>
                  <w:rStyle w:val="Hyperlink"/>
                  <w:color w:val="auto"/>
                  <w:u w:val="none"/>
                  <w:lang w:val="en-GB"/>
                </w:rPr>
                <w:t>北莱茵</w:t>
              </w:r>
              <w:r>
                <w:rPr>
                  <w:rStyle w:val="Hyperlink"/>
                  <w:rFonts w:hint="eastAsia"/>
                  <w:color w:val="auto"/>
                  <w:u w:val="none"/>
                  <w:lang w:val="en-GB"/>
                </w:rPr>
                <w:t>﹣</w:t>
              </w:r>
              <w:r>
                <w:rPr>
                  <w:rStyle w:val="Hyperlink"/>
                  <w:color w:val="auto"/>
                  <w:u w:val="none"/>
                  <w:lang w:val="en-GB"/>
                </w:rPr>
                <w:t>威斯特法伦</w:t>
              </w:r>
            </w:hyperlink>
            <w:r>
              <w:rPr>
                <w:lang w:val="en-GB"/>
              </w:rPr>
              <w:t>州</w:t>
            </w:r>
          </w:p>
        </w:tc>
        <w:tc>
          <w:tcPr>
            <w:tcW w:w="4960" w:type="dxa"/>
            <w:shd w:val="clear" w:color="auto" w:fill="auto"/>
          </w:tcPr>
          <w:p w:rsidR="00334AE2" w:rsidRDefault="00334AE2">
            <w:pPr>
              <w:pStyle w:val="a5"/>
              <w:rPr>
                <w:lang w:val="en-GB"/>
              </w:rPr>
            </w:pPr>
            <w:r>
              <w:rPr>
                <w:rFonts w:hint="eastAsia"/>
                <w:lang w:val="en-GB"/>
              </w:rPr>
              <w:t>计划在</w:t>
            </w:r>
            <w:r>
              <w:rPr>
                <w:rFonts w:hint="eastAsia"/>
                <w:lang w:val="en-GB"/>
              </w:rPr>
              <w:t>2011</w:t>
            </w:r>
            <w:r>
              <w:rPr>
                <w:rFonts w:hint="eastAsia"/>
                <w:lang w:val="en-GB"/>
              </w:rPr>
              <w:t>年夏季制订《行动计划》</w:t>
            </w:r>
          </w:p>
        </w:tc>
      </w:tr>
      <w:tr w:rsidR="00334AE2">
        <w:tc>
          <w:tcPr>
            <w:tcW w:w="2551" w:type="dxa"/>
            <w:shd w:val="clear" w:color="auto" w:fill="auto"/>
          </w:tcPr>
          <w:p w:rsidR="00334AE2" w:rsidRDefault="00334AE2">
            <w:pPr>
              <w:pStyle w:val="a5"/>
              <w:rPr>
                <w:lang w:val="en-GB"/>
              </w:rPr>
            </w:pPr>
            <w:hyperlink r:id="rId18" w:tooltip="莱茵兰－普法尔茨" w:history="1">
              <w:r>
                <w:rPr>
                  <w:rStyle w:val="Hyperlink"/>
                  <w:color w:val="auto"/>
                  <w:u w:val="none"/>
                  <w:lang w:val="en-GB"/>
                </w:rPr>
                <w:t>莱茵兰</w:t>
              </w:r>
              <w:r>
                <w:rPr>
                  <w:rStyle w:val="Hyperlink"/>
                  <w:rFonts w:hint="eastAsia"/>
                  <w:color w:val="auto"/>
                  <w:u w:val="none"/>
                  <w:lang w:val="en-GB"/>
                </w:rPr>
                <w:t>﹣</w:t>
              </w:r>
              <w:r>
                <w:rPr>
                  <w:rStyle w:val="Hyperlink"/>
                  <w:color w:val="auto"/>
                  <w:u w:val="none"/>
                  <w:lang w:val="en-GB"/>
                </w:rPr>
                <w:t>普法尔茨</w:t>
              </w:r>
            </w:hyperlink>
            <w:r>
              <w:rPr>
                <w:lang w:val="en-GB"/>
              </w:rPr>
              <w:t>州</w:t>
            </w:r>
          </w:p>
        </w:tc>
        <w:tc>
          <w:tcPr>
            <w:tcW w:w="4960" w:type="dxa"/>
            <w:shd w:val="clear" w:color="auto" w:fill="auto"/>
          </w:tcPr>
          <w:p w:rsidR="00334AE2" w:rsidRDefault="00334AE2">
            <w:pPr>
              <w:pStyle w:val="a5"/>
              <w:rPr>
                <w:lang w:val="en-GB"/>
              </w:rPr>
            </w:pPr>
            <w:r>
              <w:rPr>
                <w:rFonts w:hint="eastAsia"/>
                <w:lang w:val="en-GB"/>
              </w:rPr>
              <w:t>自</w:t>
            </w:r>
            <w:r>
              <w:rPr>
                <w:rFonts w:hint="eastAsia"/>
                <w:lang w:val="en-GB"/>
              </w:rPr>
              <w:t>2010</w:t>
            </w:r>
            <w:r>
              <w:rPr>
                <w:rFonts w:hint="eastAsia"/>
                <w:lang w:val="en-GB"/>
              </w:rPr>
              <w:t>年</w:t>
            </w:r>
            <w:r>
              <w:rPr>
                <w:rFonts w:hint="eastAsia"/>
                <w:lang w:val="en-GB"/>
              </w:rPr>
              <w:t>3</w:t>
            </w:r>
            <w:r>
              <w:rPr>
                <w:rFonts w:hint="eastAsia"/>
                <w:lang w:val="en-GB"/>
              </w:rPr>
              <w:t>月以来，一直有《行动计划》</w:t>
            </w:r>
          </w:p>
        </w:tc>
      </w:tr>
      <w:tr w:rsidR="00334AE2">
        <w:tc>
          <w:tcPr>
            <w:tcW w:w="2551" w:type="dxa"/>
            <w:shd w:val="clear" w:color="auto" w:fill="auto"/>
          </w:tcPr>
          <w:p w:rsidR="00334AE2" w:rsidRDefault="00334AE2">
            <w:pPr>
              <w:pStyle w:val="a5"/>
              <w:rPr>
                <w:lang w:val="en-GB"/>
              </w:rPr>
            </w:pPr>
            <w:hyperlink r:id="rId19" w:tooltip="萨尔" w:history="1">
              <w:r>
                <w:rPr>
                  <w:rStyle w:val="Hyperlink"/>
                  <w:color w:val="auto"/>
                  <w:u w:val="none"/>
                  <w:lang w:val="en-GB"/>
                </w:rPr>
                <w:t>萨尔</w:t>
              </w:r>
            </w:hyperlink>
            <w:r>
              <w:rPr>
                <w:lang w:val="en-GB"/>
              </w:rPr>
              <w:t>州</w:t>
            </w:r>
          </w:p>
        </w:tc>
        <w:tc>
          <w:tcPr>
            <w:tcW w:w="4960" w:type="dxa"/>
            <w:shd w:val="clear" w:color="auto" w:fill="auto"/>
          </w:tcPr>
          <w:p w:rsidR="00334AE2" w:rsidRDefault="00334AE2">
            <w:pPr>
              <w:pStyle w:val="a5"/>
              <w:rPr>
                <w:lang w:val="en-GB"/>
              </w:rPr>
            </w:pPr>
            <w:r>
              <w:rPr>
                <w:rFonts w:hint="eastAsia"/>
                <w:lang w:val="en-GB"/>
              </w:rPr>
              <w:t>正在起草《行动计划》</w:t>
            </w:r>
          </w:p>
        </w:tc>
      </w:tr>
      <w:tr w:rsidR="00334AE2">
        <w:tc>
          <w:tcPr>
            <w:tcW w:w="2551" w:type="dxa"/>
            <w:shd w:val="clear" w:color="auto" w:fill="auto"/>
          </w:tcPr>
          <w:p w:rsidR="00334AE2" w:rsidRDefault="00334AE2">
            <w:pPr>
              <w:pStyle w:val="a5"/>
              <w:rPr>
                <w:lang w:val="en-GB"/>
              </w:rPr>
            </w:pPr>
            <w:hyperlink r:id="rId20" w:tooltip="萨克森自由州" w:history="1">
              <w:r>
                <w:rPr>
                  <w:rStyle w:val="Hyperlink"/>
                  <w:color w:val="auto"/>
                  <w:u w:val="none"/>
                  <w:lang w:val="en-GB"/>
                </w:rPr>
                <w:t>萨克森州</w:t>
              </w:r>
            </w:hyperlink>
          </w:p>
        </w:tc>
        <w:tc>
          <w:tcPr>
            <w:tcW w:w="4960" w:type="dxa"/>
            <w:shd w:val="clear" w:color="auto" w:fill="auto"/>
          </w:tcPr>
          <w:p w:rsidR="00334AE2" w:rsidRDefault="00334AE2">
            <w:pPr>
              <w:pStyle w:val="a5"/>
              <w:rPr>
                <w:lang w:val="en-GB"/>
              </w:rPr>
            </w:pPr>
            <w:r>
              <w:rPr>
                <w:rFonts w:hint="eastAsia"/>
                <w:lang w:val="en-GB"/>
              </w:rPr>
              <w:t>跨部门工作小组正在</w:t>
            </w:r>
            <w:r>
              <w:rPr>
                <w:lang w:val="en-GB"/>
              </w:rPr>
              <w:t>审查</w:t>
            </w:r>
            <w:r>
              <w:rPr>
                <w:rFonts w:hint="eastAsia"/>
                <w:lang w:val="en-GB"/>
              </w:rPr>
              <w:t>采取行动的必要性；在提交《州残疾报告》时，可能提出关于实施《公约》的建议</w:t>
            </w:r>
          </w:p>
        </w:tc>
      </w:tr>
      <w:tr w:rsidR="00334AE2">
        <w:tc>
          <w:tcPr>
            <w:tcW w:w="2551" w:type="dxa"/>
            <w:shd w:val="clear" w:color="auto" w:fill="auto"/>
          </w:tcPr>
          <w:p w:rsidR="00334AE2" w:rsidRDefault="00334AE2">
            <w:pPr>
              <w:pStyle w:val="a5"/>
              <w:rPr>
                <w:lang w:val="en-GB"/>
              </w:rPr>
            </w:pPr>
            <w:hyperlink r:id="rId21" w:tooltip="萨克森－安哈尔特" w:history="1">
              <w:r>
                <w:rPr>
                  <w:rStyle w:val="Hyperlink"/>
                  <w:color w:val="auto"/>
                  <w:u w:val="none"/>
                  <w:lang w:val="en-GB"/>
                </w:rPr>
                <w:t>萨克森</w:t>
              </w:r>
              <w:r>
                <w:rPr>
                  <w:rStyle w:val="Hyperlink"/>
                  <w:rFonts w:hint="eastAsia"/>
                  <w:color w:val="auto"/>
                  <w:u w:val="none"/>
                  <w:lang w:val="en-GB"/>
                </w:rPr>
                <w:t>﹣</w:t>
              </w:r>
              <w:r>
                <w:rPr>
                  <w:rStyle w:val="Hyperlink"/>
                  <w:color w:val="auto"/>
                  <w:u w:val="none"/>
                  <w:lang w:val="en-GB"/>
                </w:rPr>
                <w:t>安哈尔特</w:t>
              </w:r>
            </w:hyperlink>
            <w:r>
              <w:rPr>
                <w:lang w:val="en-GB"/>
              </w:rPr>
              <w:t>州</w:t>
            </w:r>
          </w:p>
        </w:tc>
        <w:tc>
          <w:tcPr>
            <w:tcW w:w="4960" w:type="dxa"/>
            <w:shd w:val="clear" w:color="auto" w:fill="auto"/>
          </w:tcPr>
          <w:p w:rsidR="00334AE2" w:rsidRDefault="00334AE2">
            <w:pPr>
              <w:pStyle w:val="a5"/>
              <w:rPr>
                <w:lang w:val="en-GB"/>
              </w:rPr>
            </w:pPr>
            <w:r>
              <w:rPr>
                <w:rFonts w:hint="eastAsia"/>
                <w:lang w:val="en-GB"/>
              </w:rPr>
              <w:t>正在制定行动方案</w:t>
            </w:r>
          </w:p>
        </w:tc>
      </w:tr>
      <w:tr w:rsidR="00334AE2">
        <w:tc>
          <w:tcPr>
            <w:tcW w:w="2551" w:type="dxa"/>
            <w:shd w:val="clear" w:color="auto" w:fill="auto"/>
          </w:tcPr>
          <w:p w:rsidR="00334AE2" w:rsidRDefault="00334AE2">
            <w:pPr>
              <w:pStyle w:val="a5"/>
              <w:rPr>
                <w:lang w:val="en-GB"/>
              </w:rPr>
            </w:pPr>
            <w:hyperlink r:id="rId22" w:tooltip="石勒苏益格－荷尔斯泰因" w:history="1">
              <w:r>
                <w:rPr>
                  <w:rStyle w:val="Hyperlink"/>
                  <w:color w:val="auto"/>
                  <w:u w:val="none"/>
                  <w:lang w:val="en-GB"/>
                </w:rPr>
                <w:t>石勒苏益格</w:t>
              </w:r>
              <w:r>
                <w:rPr>
                  <w:rStyle w:val="Hyperlink"/>
                  <w:rFonts w:hint="eastAsia"/>
                  <w:color w:val="auto"/>
                  <w:u w:val="none"/>
                  <w:lang w:val="en-GB"/>
                </w:rPr>
                <w:t>﹣</w:t>
              </w:r>
              <w:r>
                <w:rPr>
                  <w:rStyle w:val="Hyperlink"/>
                  <w:color w:val="auto"/>
                  <w:u w:val="none"/>
                  <w:lang w:val="en-GB"/>
                </w:rPr>
                <w:t>荷尔斯泰因</w:t>
              </w:r>
            </w:hyperlink>
            <w:r>
              <w:rPr>
                <w:lang w:val="en-GB"/>
              </w:rPr>
              <w:t>州</w:t>
            </w:r>
          </w:p>
        </w:tc>
        <w:tc>
          <w:tcPr>
            <w:tcW w:w="4960" w:type="dxa"/>
            <w:shd w:val="clear" w:color="auto" w:fill="auto"/>
          </w:tcPr>
          <w:p w:rsidR="00334AE2" w:rsidRDefault="00334AE2">
            <w:pPr>
              <w:pStyle w:val="a5"/>
              <w:rPr>
                <w:lang w:val="en-GB"/>
              </w:rPr>
            </w:pPr>
            <w:r>
              <w:rPr>
                <w:rFonts w:hint="eastAsia"/>
                <w:lang w:val="en-GB"/>
              </w:rPr>
              <w:t>自</w:t>
            </w:r>
            <w:r>
              <w:rPr>
                <w:rFonts w:hint="eastAsia"/>
                <w:lang w:val="en-GB"/>
              </w:rPr>
              <w:t>2006</w:t>
            </w:r>
            <w:r>
              <w:rPr>
                <w:rFonts w:hint="eastAsia"/>
                <w:lang w:val="en-GB"/>
              </w:rPr>
              <w:t>年以来，一直有“全部包容”举措议</w:t>
            </w:r>
          </w:p>
        </w:tc>
      </w:tr>
      <w:tr w:rsidR="00334AE2">
        <w:tc>
          <w:tcPr>
            <w:tcW w:w="2551" w:type="dxa"/>
            <w:tcBorders>
              <w:bottom w:val="single" w:sz="12" w:space="0" w:color="auto"/>
            </w:tcBorders>
            <w:shd w:val="clear" w:color="auto" w:fill="auto"/>
          </w:tcPr>
          <w:p w:rsidR="00334AE2" w:rsidRDefault="00334AE2">
            <w:pPr>
              <w:pStyle w:val="a5"/>
              <w:rPr>
                <w:lang w:val="en-GB"/>
              </w:rPr>
            </w:pPr>
            <w:hyperlink r:id="rId23" w:tooltip="图林根" w:history="1">
              <w:r>
                <w:rPr>
                  <w:rStyle w:val="Hyperlink"/>
                  <w:color w:val="auto"/>
                  <w:u w:val="none"/>
                  <w:lang w:val="en-GB"/>
                </w:rPr>
                <w:t>图林根</w:t>
              </w:r>
            </w:hyperlink>
            <w:r>
              <w:rPr>
                <w:lang w:val="en-GB"/>
              </w:rPr>
              <w:t>州</w:t>
            </w:r>
          </w:p>
        </w:tc>
        <w:tc>
          <w:tcPr>
            <w:tcW w:w="4960" w:type="dxa"/>
            <w:tcBorders>
              <w:bottom w:val="single" w:sz="12" w:space="0" w:color="auto"/>
            </w:tcBorders>
            <w:shd w:val="clear" w:color="auto" w:fill="auto"/>
          </w:tcPr>
          <w:p w:rsidR="00334AE2" w:rsidRDefault="00334AE2">
            <w:pPr>
              <w:pStyle w:val="a5"/>
              <w:rPr>
                <w:lang w:val="en-GB"/>
              </w:rPr>
            </w:pPr>
            <w:r>
              <w:rPr>
                <w:rFonts w:hint="eastAsia"/>
                <w:lang w:val="en-GB"/>
              </w:rPr>
              <w:t>计划于</w:t>
            </w:r>
            <w:r>
              <w:rPr>
                <w:rFonts w:hint="eastAsia"/>
                <w:lang w:val="en-GB"/>
              </w:rPr>
              <w:t>2011</w:t>
            </w:r>
            <w:r>
              <w:rPr>
                <w:rFonts w:hint="eastAsia"/>
                <w:lang w:val="en-GB"/>
              </w:rPr>
              <w:t>年年底制订《行动计划》</w:t>
            </w:r>
          </w:p>
        </w:tc>
      </w:tr>
    </w:tbl>
    <w:p w:rsidR="00334AE2" w:rsidRDefault="00334AE2">
      <w:pPr>
        <w:pStyle w:val="H1GC"/>
        <w:rPr>
          <w:lang w:val="en-GB"/>
        </w:rPr>
      </w:pPr>
      <w:bookmarkStart w:id="6" w:name="_Toc303932217"/>
      <w:r>
        <w:rPr>
          <w:lang w:val="en-GB"/>
        </w:rPr>
        <w:tab/>
      </w:r>
      <w:r>
        <w:rPr>
          <w:lang w:val="en-GB"/>
        </w:rPr>
        <w:tab/>
      </w:r>
      <w:bookmarkEnd w:id="6"/>
      <w:r>
        <w:rPr>
          <w:rFonts w:hint="eastAsia"/>
          <w:lang w:val="en-GB"/>
        </w:rPr>
        <w:t>第五条</w:t>
      </w:r>
      <w:r>
        <w:rPr>
          <w:rFonts w:hint="eastAsia"/>
          <w:lang w:val="en-GB"/>
        </w:rPr>
        <w:br/>
      </w:r>
      <w:r>
        <w:rPr>
          <w:rFonts w:hint="eastAsia"/>
          <w:lang w:val="en-GB"/>
        </w:rPr>
        <w:t>平等和不歧视</w:t>
      </w:r>
    </w:p>
    <w:p w:rsidR="00334AE2" w:rsidRDefault="00334AE2">
      <w:pPr>
        <w:pStyle w:val="SingleTxtGC"/>
        <w:rPr>
          <w:lang w:val="en-GB"/>
        </w:rPr>
      </w:pPr>
      <w:r>
        <w:rPr>
          <w:lang w:val="en-GB"/>
        </w:rPr>
        <w:t xml:space="preserve">33.  </w:t>
      </w:r>
      <w:r>
        <w:rPr>
          <w:rFonts w:hint="eastAsia"/>
          <w:lang w:val="en-GB"/>
        </w:rPr>
        <w:t>《基本法》规定了平等待遇总原则</w:t>
      </w:r>
      <w:r>
        <w:rPr>
          <w:rFonts w:hint="eastAsia"/>
          <w:lang w:val="en-GB"/>
        </w:rPr>
        <w:t>(</w:t>
      </w:r>
      <w:r>
        <w:rPr>
          <w:rFonts w:hint="eastAsia"/>
          <w:lang w:val="en-GB"/>
        </w:rPr>
        <w:t>《基本法》第</w:t>
      </w:r>
      <w:r>
        <w:rPr>
          <w:rFonts w:hint="eastAsia"/>
          <w:lang w:val="en-GB"/>
        </w:rPr>
        <w:t>3</w:t>
      </w:r>
      <w:r>
        <w:rPr>
          <w:rFonts w:hint="eastAsia"/>
          <w:lang w:val="en-GB"/>
        </w:rPr>
        <w:t>条第</w:t>
      </w:r>
      <w:r>
        <w:rPr>
          <w:rFonts w:hint="eastAsia"/>
          <w:lang w:val="en-GB"/>
        </w:rPr>
        <w:t>1</w:t>
      </w:r>
      <w:r>
        <w:rPr>
          <w:rFonts w:hint="eastAsia"/>
          <w:lang w:val="en-GB"/>
        </w:rPr>
        <w:t>款</w:t>
      </w:r>
      <w:r>
        <w:rPr>
          <w:rFonts w:hint="eastAsia"/>
          <w:lang w:val="en-GB"/>
        </w:rPr>
        <w:t>)</w:t>
      </w:r>
      <w:r>
        <w:rPr>
          <w:rStyle w:val="FootnoteReference"/>
        </w:rPr>
        <w:footnoteReference w:id="15"/>
      </w:r>
      <w:r>
        <w:rPr>
          <w:rFonts w:hint="eastAsia"/>
          <w:lang w:val="en-GB"/>
        </w:rPr>
        <w:t>，该法保证在法律面前人人平等。</w:t>
      </w:r>
      <w:r>
        <w:rPr>
          <w:rFonts w:hint="eastAsia"/>
          <w:lang w:val="en-GB"/>
        </w:rPr>
        <w:t>1994</w:t>
      </w:r>
      <w:r>
        <w:rPr>
          <w:rFonts w:hint="eastAsia"/>
          <w:lang w:val="en-GB"/>
        </w:rPr>
        <w:t>年</w:t>
      </w:r>
      <w:r>
        <w:rPr>
          <w:rFonts w:hint="eastAsia"/>
          <w:lang w:val="en-GB"/>
        </w:rPr>
        <w:t>11</w:t>
      </w:r>
      <w:r>
        <w:rPr>
          <w:rFonts w:hint="eastAsia"/>
          <w:lang w:val="en-GB"/>
        </w:rPr>
        <w:t>月生效的对残疾人有利的一个条款对此进行了补充。在《基本法》第</w:t>
      </w:r>
      <w:r>
        <w:rPr>
          <w:rFonts w:hint="eastAsia"/>
          <w:lang w:val="en-GB"/>
        </w:rPr>
        <w:t>3</w:t>
      </w:r>
      <w:r>
        <w:rPr>
          <w:rFonts w:hint="eastAsia"/>
          <w:lang w:val="en-GB"/>
        </w:rPr>
        <w:t>条第</w:t>
      </w:r>
      <w:r>
        <w:rPr>
          <w:rFonts w:hint="eastAsia"/>
          <w:lang w:val="en-GB"/>
        </w:rPr>
        <w:t>3</w:t>
      </w:r>
      <w:r>
        <w:rPr>
          <w:rFonts w:hint="eastAsia"/>
          <w:lang w:val="en-GB"/>
        </w:rPr>
        <w:t>段中，增补了一句话：“不得基于残疾歧视任何人。”</w:t>
      </w:r>
      <w:r>
        <w:rPr>
          <w:rStyle w:val="FootnoteReference"/>
        </w:rPr>
        <w:footnoteReference w:id="16"/>
      </w:r>
      <w:r>
        <w:rPr>
          <w:rStyle w:val="FootnoteReference"/>
        </w:rPr>
        <w:t xml:space="preserve"> </w:t>
      </w:r>
      <w:r>
        <w:rPr>
          <w:rFonts w:hint="eastAsia"/>
          <w:lang w:val="en-GB"/>
        </w:rPr>
        <w:t>与《基本法》第</w:t>
      </w:r>
      <w:r>
        <w:rPr>
          <w:rFonts w:hint="eastAsia"/>
          <w:lang w:val="en-GB"/>
        </w:rPr>
        <w:t>3</w:t>
      </w:r>
      <w:r>
        <w:rPr>
          <w:rFonts w:hint="eastAsia"/>
          <w:lang w:val="en-GB"/>
        </w:rPr>
        <w:t>条第</w:t>
      </w:r>
      <w:r>
        <w:rPr>
          <w:rFonts w:hint="eastAsia"/>
          <w:lang w:val="en-GB"/>
        </w:rPr>
        <w:t>3</w:t>
      </w:r>
      <w:r>
        <w:rPr>
          <w:rFonts w:hint="eastAsia"/>
          <w:lang w:val="en-GB"/>
        </w:rPr>
        <w:t>段第</w:t>
      </w:r>
      <w:r>
        <w:rPr>
          <w:rFonts w:hint="eastAsia"/>
          <w:lang w:val="en-GB"/>
        </w:rPr>
        <w:t>1</w:t>
      </w:r>
      <w:r>
        <w:rPr>
          <w:rFonts w:hint="eastAsia"/>
          <w:lang w:val="en-GB"/>
        </w:rPr>
        <w:t>句</w:t>
      </w:r>
      <w:r>
        <w:rPr>
          <w:rStyle w:val="FootnoteReference"/>
        </w:rPr>
        <w:footnoteReference w:id="17"/>
      </w:r>
      <w:r>
        <w:rPr>
          <w:rStyle w:val="FootnoteReference"/>
        </w:rPr>
        <w:t xml:space="preserve"> </w:t>
      </w:r>
      <w:r>
        <w:rPr>
          <w:rFonts w:hint="eastAsia"/>
          <w:lang w:val="en-GB"/>
        </w:rPr>
        <w:t>所载的禁止歧视有别，仍然允许与残疾相关的优惠待遇。</w:t>
      </w:r>
    </w:p>
    <w:p w:rsidR="00334AE2" w:rsidRDefault="00334AE2">
      <w:pPr>
        <w:pStyle w:val="SingleTxtGC"/>
        <w:rPr>
          <w:lang w:val="en-GB"/>
        </w:rPr>
      </w:pPr>
      <w:r>
        <w:rPr>
          <w:lang w:val="en-GB"/>
        </w:rPr>
        <w:t xml:space="preserve">34.  </w:t>
      </w:r>
      <w:r>
        <w:rPr>
          <w:rFonts w:hint="eastAsia"/>
          <w:lang w:val="en-GB"/>
        </w:rPr>
        <w:t>虽然残疾人已经享有免受歧视的宪法保护，但是对《基本法》的增补，</w:t>
      </w:r>
      <w:r>
        <w:rPr>
          <w:lang w:val="en-GB"/>
        </w:rPr>
        <w:t>凭藉</w:t>
      </w:r>
      <w:r>
        <w:rPr>
          <w:rFonts w:hint="eastAsia"/>
          <w:lang w:val="en-GB"/>
        </w:rPr>
        <w:t>《基本法》第</w:t>
      </w:r>
      <w:r>
        <w:rPr>
          <w:rFonts w:hint="eastAsia"/>
          <w:lang w:val="en-GB"/>
        </w:rPr>
        <w:t>3</w:t>
      </w:r>
      <w:r>
        <w:rPr>
          <w:rFonts w:hint="eastAsia"/>
          <w:lang w:val="en-GB"/>
        </w:rPr>
        <w:t>条第</w:t>
      </w:r>
      <w:r>
        <w:rPr>
          <w:rFonts w:hint="eastAsia"/>
          <w:lang w:val="en-GB"/>
        </w:rPr>
        <w:t>3</w:t>
      </w:r>
      <w:r>
        <w:rPr>
          <w:rFonts w:hint="eastAsia"/>
          <w:lang w:val="en-GB"/>
        </w:rPr>
        <w:t>段第</w:t>
      </w:r>
      <w:r>
        <w:rPr>
          <w:rFonts w:hint="eastAsia"/>
          <w:lang w:val="en-GB"/>
        </w:rPr>
        <w:t>2</w:t>
      </w:r>
      <w:r>
        <w:rPr>
          <w:rFonts w:hint="eastAsia"/>
          <w:lang w:val="en-GB"/>
        </w:rPr>
        <w:t>句，加强了残疾人的地位。该句表达了一个明确的宪法价值决定，授权各州执行努力实现残疾人平等参与社会生活的任务。</w:t>
      </w:r>
    </w:p>
    <w:p w:rsidR="00334AE2" w:rsidRDefault="00334AE2">
      <w:pPr>
        <w:pStyle w:val="Bullet1GC"/>
        <w:numPr>
          <w:ilvl w:val="0"/>
          <w:numId w:val="5"/>
        </w:numPr>
        <w:tabs>
          <w:tab w:val="clear" w:pos="2477"/>
          <w:tab w:val="left" w:pos="431"/>
          <w:tab w:val="left" w:pos="1134"/>
          <w:tab w:val="left" w:pos="1565"/>
          <w:tab w:val="left" w:pos="1996"/>
        </w:tabs>
        <w:ind w:left="1134"/>
        <w:rPr>
          <w:lang w:val="en-GB"/>
        </w:rPr>
      </w:pPr>
      <w:r>
        <w:rPr>
          <w:rFonts w:hint="eastAsia"/>
          <w:lang w:val="en-GB"/>
        </w:rPr>
        <w:t>为了对宪法性禁止歧视赋予具体形式，在若干法规中有具体条款，旨在防止残疾人遭受不利处境：</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根据《社会法典》第九部第</w:t>
      </w:r>
      <w:r>
        <w:rPr>
          <w:rFonts w:hint="eastAsia"/>
          <w:lang w:val="en-GB"/>
        </w:rPr>
        <w:t>1</w:t>
      </w:r>
      <w:r>
        <w:rPr>
          <w:rFonts w:hint="eastAsia"/>
          <w:lang w:val="en-GB"/>
        </w:rPr>
        <w:t>条，残疾人或处于残疾风险的人，为了促进他们的自主和平等参与社会生活，以及避免或扭转不利处境，而获得补贴；</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根据《残疾人平等机会法》第</w:t>
      </w:r>
      <w:r>
        <w:rPr>
          <w:rFonts w:hint="eastAsia"/>
          <w:lang w:val="en-GB"/>
        </w:rPr>
        <w:t>1</w:t>
      </w:r>
      <w:r>
        <w:rPr>
          <w:rFonts w:hint="eastAsia"/>
          <w:lang w:val="en-GB"/>
        </w:rPr>
        <w:t>条，该法的目的是，消除和扭转残疾人的不利处境，确保他们平等参与社会生活，使他们过自主的和参与的生活。在《残疾人平等机会法》第</w:t>
      </w:r>
      <w:r>
        <w:rPr>
          <w:rFonts w:hint="eastAsia"/>
          <w:lang w:val="en-GB"/>
        </w:rPr>
        <w:t>7</w:t>
      </w:r>
      <w:r>
        <w:rPr>
          <w:rFonts w:hint="eastAsia"/>
          <w:lang w:val="en-GB"/>
        </w:rPr>
        <w:t>条规定中，对于掌握公共权力的人来说，禁止歧视</w:t>
      </w:r>
      <w:r>
        <w:rPr>
          <w:lang w:val="en-GB"/>
        </w:rPr>
        <w:t>具有</w:t>
      </w:r>
      <w:r>
        <w:rPr>
          <w:rFonts w:hint="eastAsia"/>
          <w:lang w:val="en-GB"/>
        </w:rPr>
        <w:t>具体形式。根据《残疾人平等机会法》第</w:t>
      </w:r>
      <w:r>
        <w:rPr>
          <w:rFonts w:hint="eastAsia"/>
          <w:lang w:val="en-GB"/>
        </w:rPr>
        <w:t>15</w:t>
      </w:r>
      <w:r>
        <w:rPr>
          <w:rFonts w:hint="eastAsia"/>
          <w:lang w:val="en-GB"/>
        </w:rPr>
        <w:t>条，残疾人事务专员必须努力确保联邦履行职责，确保残疾人和非残疾人在社会生活的所有领域享有平等</w:t>
      </w:r>
      <w:r>
        <w:rPr>
          <w:lang w:val="en-GB"/>
        </w:rPr>
        <w:t>的</w:t>
      </w:r>
      <w:r>
        <w:rPr>
          <w:rFonts w:hint="eastAsia"/>
          <w:lang w:val="en-GB"/>
        </w:rPr>
        <w:t>生活条件。专员通过参与所有立法程序和议会质询，保障实现这一点；</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根据《社会法典》第一部第</w:t>
      </w:r>
      <w:r>
        <w:rPr>
          <w:rFonts w:hint="eastAsia"/>
          <w:lang w:val="en-GB"/>
        </w:rPr>
        <w:t>33c</w:t>
      </w:r>
      <w:r>
        <w:rPr>
          <w:rFonts w:hint="eastAsia"/>
          <w:lang w:val="en-GB"/>
        </w:rPr>
        <w:t>条，在基于残疾请求</w:t>
      </w:r>
      <w:r>
        <w:rPr>
          <w:lang w:val="en-GB"/>
        </w:rPr>
        <w:t>获得</w:t>
      </w:r>
      <w:r>
        <w:rPr>
          <w:rFonts w:hint="eastAsia"/>
          <w:lang w:val="en-GB"/>
        </w:rPr>
        <w:t>社会权利时，不得将任何人置于不利处境。在所有社会福利领域中，这一规定都实施对歧视的宪法性禁止；</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根据《社会法典》第九部第</w:t>
      </w:r>
      <w:r>
        <w:rPr>
          <w:rFonts w:hint="eastAsia"/>
          <w:lang w:val="en-GB"/>
        </w:rPr>
        <w:t>81</w:t>
      </w:r>
      <w:r>
        <w:rPr>
          <w:rFonts w:hint="eastAsia"/>
          <w:lang w:val="en-GB"/>
        </w:rPr>
        <w:t>条第</w:t>
      </w:r>
      <w:r>
        <w:rPr>
          <w:rFonts w:hint="eastAsia"/>
          <w:lang w:val="en-GB"/>
        </w:rPr>
        <w:t>2</w:t>
      </w:r>
      <w:r>
        <w:rPr>
          <w:rFonts w:hint="eastAsia"/>
          <w:lang w:val="en-GB"/>
        </w:rPr>
        <w:t>款，连同《普遍反歧视法》的有关规定，雇主不得基于残疾将重度残疾人置于不利处境；</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《普遍反歧视法》的目的包括，防止或消除基于残疾的不利处境。</w:t>
      </w:r>
      <w:r>
        <w:rPr>
          <w:rStyle w:val="FootnoteReference"/>
        </w:rPr>
        <w:footnoteReference w:id="18"/>
      </w:r>
      <w:r>
        <w:rPr>
          <w:rStyle w:val="FootnoteReference"/>
        </w:rPr>
        <w:t xml:space="preserve"> </w:t>
      </w:r>
      <w:r>
        <w:rPr>
          <w:rFonts w:hint="eastAsia"/>
          <w:lang w:val="en-GB"/>
        </w:rPr>
        <w:t>作为原则，在选择申请人或分配职业、进修培训或者在提升方面，不得基于残疾使残疾人在他们的工作生活中处于不利处境</w:t>
      </w:r>
      <w:r>
        <w:rPr>
          <w:rStyle w:val="FootnoteReference"/>
        </w:rPr>
        <w:footnoteReference w:id="19"/>
      </w:r>
      <w:r>
        <w:rPr>
          <w:rFonts w:hint="eastAsia"/>
          <w:lang w:val="en-GB"/>
        </w:rPr>
        <w:t>。《普遍反歧视法》第</w:t>
      </w:r>
      <w:r>
        <w:rPr>
          <w:rFonts w:hint="eastAsia"/>
          <w:lang w:val="en-GB"/>
        </w:rPr>
        <w:t>19</w:t>
      </w:r>
      <w:r>
        <w:rPr>
          <w:rFonts w:hint="eastAsia"/>
          <w:lang w:val="en-GB"/>
        </w:rPr>
        <w:t>条也包含一条禁止歧视的民事法规。这特别涉及日常交易</w:t>
      </w:r>
      <w:r>
        <w:rPr>
          <w:rFonts w:hint="eastAsia"/>
          <w:lang w:val="en-GB"/>
        </w:rPr>
        <w:t>(</w:t>
      </w:r>
      <w:r>
        <w:rPr>
          <w:rFonts w:hint="eastAsia"/>
          <w:lang w:val="en-GB"/>
        </w:rPr>
        <w:t>所谓的大宗交易</w:t>
      </w:r>
      <w:r>
        <w:rPr>
          <w:rFonts w:hint="eastAsia"/>
          <w:lang w:val="en-GB"/>
        </w:rPr>
        <w:t>)</w:t>
      </w:r>
      <w:r>
        <w:rPr>
          <w:rFonts w:hint="eastAsia"/>
          <w:lang w:val="en-GB"/>
        </w:rPr>
        <w:t>，包括零售合同、酒吧和餐馆及交通，例如乘坐公共交通、购物、光顾餐厅、</w:t>
      </w:r>
      <w:r>
        <w:rPr>
          <w:lang w:val="en-GB"/>
        </w:rPr>
        <w:t>迪斯科</w:t>
      </w:r>
      <w:r>
        <w:rPr>
          <w:rFonts w:hint="eastAsia"/>
          <w:lang w:val="en-GB"/>
        </w:rPr>
        <w:t>舞厅、博物馆和剧院。此外，在签署私人保险政策时，保护残疾人；</w:t>
      </w:r>
    </w:p>
    <w:p w:rsidR="00334AE2" w:rsidRDefault="00334AE2">
      <w:pPr>
        <w:pStyle w:val="Bullet2GC"/>
        <w:numPr>
          <w:ilvl w:val="0"/>
          <w:numId w:val="7"/>
        </w:numPr>
        <w:tabs>
          <w:tab w:val="clear" w:pos="431"/>
          <w:tab w:val="clear" w:pos="1134"/>
          <w:tab w:val="clear" w:pos="1565"/>
          <w:tab w:val="clear" w:pos="1996"/>
          <w:tab w:val="clear" w:pos="2693"/>
          <w:tab w:val="left" w:pos="2211"/>
        </w:tabs>
        <w:ind w:left="2600" w:hanging="553"/>
        <w:rPr>
          <w:lang w:val="en-GB"/>
        </w:rPr>
      </w:pPr>
      <w:r>
        <w:rPr>
          <w:rFonts w:hint="eastAsia"/>
          <w:lang w:val="en-GB"/>
        </w:rPr>
        <w:t>旨在确保男女平等的《联邦行政机构和联邦法院男女平等法》</w:t>
      </w:r>
      <w:r>
        <w:rPr>
          <w:lang w:val="en-GB"/>
        </w:rPr>
        <w:t>(</w:t>
      </w:r>
      <w:r>
        <w:rPr>
          <w:i/>
          <w:iCs/>
          <w:lang w:val="en-GB"/>
        </w:rPr>
        <w:t>Gesetz</w:t>
      </w:r>
      <w:r>
        <w:rPr>
          <w:rFonts w:hint="eastAsia"/>
          <w:i/>
          <w:iCs/>
          <w:lang w:val="en-GB"/>
        </w:rPr>
        <w:t xml:space="preserve"> </w:t>
      </w:r>
      <w:r>
        <w:rPr>
          <w:i/>
          <w:iCs/>
          <w:lang w:val="en-GB"/>
        </w:rPr>
        <w:t>zur</w:t>
      </w:r>
      <w:r>
        <w:rPr>
          <w:rFonts w:hint="eastAsia"/>
          <w:i/>
          <w:iCs/>
          <w:lang w:val="en-GB"/>
        </w:rPr>
        <w:t xml:space="preserve"> </w:t>
      </w:r>
      <w:r>
        <w:rPr>
          <w:i/>
          <w:iCs/>
          <w:lang w:val="en-GB"/>
        </w:rPr>
        <w:t>Gleichstellung</w:t>
      </w:r>
      <w:r>
        <w:rPr>
          <w:rFonts w:hint="eastAsia"/>
          <w:i/>
          <w:iCs/>
          <w:lang w:val="en-GB"/>
        </w:rPr>
        <w:t xml:space="preserve"> </w:t>
      </w:r>
      <w:r>
        <w:rPr>
          <w:i/>
          <w:iCs/>
          <w:lang w:val="en-GB"/>
        </w:rPr>
        <w:t>von</w:t>
      </w:r>
      <w:r>
        <w:rPr>
          <w:rFonts w:hint="eastAsia"/>
          <w:i/>
          <w:iCs/>
          <w:lang w:val="en-GB"/>
        </w:rPr>
        <w:t xml:space="preserve"> </w:t>
      </w:r>
      <w:r>
        <w:rPr>
          <w:i/>
          <w:iCs/>
          <w:lang w:val="en-GB"/>
        </w:rPr>
        <w:t>Frauenund</w:t>
      </w:r>
      <w:r>
        <w:rPr>
          <w:rFonts w:hint="eastAsia"/>
          <w:i/>
          <w:iCs/>
          <w:lang w:val="en-GB"/>
        </w:rPr>
        <w:t xml:space="preserve"> </w:t>
      </w:r>
      <w:r>
        <w:rPr>
          <w:i/>
          <w:iCs/>
          <w:lang w:val="en-GB"/>
        </w:rPr>
        <w:t>Männern</w:t>
      </w:r>
      <w:r>
        <w:rPr>
          <w:rFonts w:hint="eastAsia"/>
          <w:i/>
          <w:iCs/>
          <w:lang w:val="en-GB"/>
        </w:rPr>
        <w:t xml:space="preserve"> </w:t>
      </w:r>
      <w:r>
        <w:rPr>
          <w:i/>
          <w:iCs/>
          <w:lang w:val="en-GB"/>
        </w:rPr>
        <w:t>in</w:t>
      </w:r>
      <w:r>
        <w:rPr>
          <w:rFonts w:hint="eastAsia"/>
          <w:i/>
          <w:iCs/>
          <w:lang w:val="en-GB"/>
        </w:rPr>
        <w:t xml:space="preserve"> </w:t>
      </w:r>
      <w:r>
        <w:rPr>
          <w:i/>
          <w:iCs/>
          <w:lang w:val="en-GB"/>
        </w:rPr>
        <w:t>der</w:t>
      </w:r>
      <w:r>
        <w:rPr>
          <w:rFonts w:hint="eastAsia"/>
          <w:i/>
          <w:iCs/>
          <w:lang w:val="en-GB"/>
        </w:rPr>
        <w:t xml:space="preserve"> </w:t>
      </w:r>
      <w:r>
        <w:rPr>
          <w:i/>
          <w:iCs/>
          <w:lang w:val="en-GB"/>
        </w:rPr>
        <w:t>Bundes</w:t>
      </w:r>
      <w:r>
        <w:rPr>
          <w:i/>
          <w:iCs/>
          <w:lang w:val="en-GB"/>
        </w:rPr>
        <w:softHyphen/>
        <w:t>verwaltung</w:t>
      </w:r>
      <w:r>
        <w:rPr>
          <w:rFonts w:hint="eastAsia"/>
          <w:i/>
          <w:iCs/>
          <w:lang w:val="en-GB"/>
        </w:rPr>
        <w:t xml:space="preserve"> </w:t>
      </w:r>
      <w:r>
        <w:rPr>
          <w:i/>
          <w:iCs/>
          <w:lang w:val="en-GB"/>
        </w:rPr>
        <w:t>und</w:t>
      </w:r>
      <w:r>
        <w:rPr>
          <w:rFonts w:hint="eastAsia"/>
          <w:i/>
          <w:iCs/>
          <w:lang w:val="en-GB"/>
        </w:rPr>
        <w:t xml:space="preserve"> </w:t>
      </w:r>
      <w:r>
        <w:rPr>
          <w:i/>
          <w:iCs/>
          <w:lang w:val="en-GB"/>
        </w:rPr>
        <w:t>in</w:t>
      </w:r>
      <w:r>
        <w:rPr>
          <w:rFonts w:hint="eastAsia"/>
          <w:i/>
          <w:iCs/>
          <w:lang w:val="en-GB"/>
        </w:rPr>
        <w:t xml:space="preserve"> </w:t>
      </w:r>
      <w:r>
        <w:rPr>
          <w:i/>
          <w:iCs/>
          <w:lang w:val="en-GB"/>
        </w:rPr>
        <w:t>den</w:t>
      </w:r>
      <w:r>
        <w:rPr>
          <w:rFonts w:hint="eastAsia"/>
          <w:i/>
          <w:iCs/>
          <w:lang w:val="en-GB"/>
        </w:rPr>
        <w:t xml:space="preserve"> </w:t>
      </w:r>
      <w:r>
        <w:rPr>
          <w:i/>
          <w:iCs/>
          <w:lang w:val="en-GB"/>
        </w:rPr>
        <w:t>Gerichten</w:t>
      </w:r>
      <w:r>
        <w:rPr>
          <w:rFonts w:hint="eastAsia"/>
          <w:i/>
          <w:iCs/>
          <w:lang w:val="en-GB"/>
        </w:rPr>
        <w:t xml:space="preserve"> </w:t>
      </w:r>
      <w:r>
        <w:rPr>
          <w:i/>
          <w:iCs/>
          <w:lang w:val="en-GB"/>
        </w:rPr>
        <w:t>des</w:t>
      </w:r>
      <w:r>
        <w:rPr>
          <w:rFonts w:hint="eastAsia"/>
          <w:i/>
          <w:iCs/>
          <w:lang w:val="en-GB"/>
        </w:rPr>
        <w:t xml:space="preserve"> </w:t>
      </w:r>
      <w:r>
        <w:rPr>
          <w:i/>
          <w:iCs/>
          <w:lang w:val="en-GB"/>
        </w:rPr>
        <w:t>Bundes</w:t>
      </w:r>
      <w:r>
        <w:rPr>
          <w:lang w:val="en-GB"/>
        </w:rPr>
        <w:t>)</w:t>
      </w:r>
      <w:r>
        <w:rPr>
          <w:rFonts w:hint="eastAsia"/>
          <w:lang w:val="en-GB"/>
        </w:rPr>
        <w:t>第</w:t>
      </w:r>
      <w:r>
        <w:rPr>
          <w:rFonts w:hint="eastAsia"/>
          <w:lang w:val="en-GB"/>
        </w:rPr>
        <w:t>1</w:t>
      </w:r>
      <w:r>
        <w:rPr>
          <w:rFonts w:hint="eastAsia"/>
          <w:lang w:val="en-GB"/>
        </w:rPr>
        <w:t>条规定，在防止和消除基于性别的歧视上，考虑残疾妇女的特别利益。</w:t>
      </w:r>
    </w:p>
    <w:p w:rsidR="00334AE2" w:rsidRDefault="00334AE2">
      <w:pPr>
        <w:pStyle w:val="SingleTxtGC"/>
        <w:rPr>
          <w:lang w:val="en-GB"/>
        </w:rPr>
      </w:pPr>
      <w:r>
        <w:rPr>
          <w:lang w:val="en-GB"/>
        </w:rPr>
        <w:t xml:space="preserve">35.  </w:t>
      </w:r>
      <w:r>
        <w:rPr>
          <w:rFonts w:hint="eastAsia"/>
          <w:lang w:val="en-GB"/>
        </w:rPr>
        <w:t>如果残疾人在日常生活、工作生活或签署私人保险政策中，仍然被置于不利处境，根据《普遍反歧视法》，他们有权消除目前的不利处境，和</w:t>
      </w:r>
      <w:r>
        <w:rPr>
          <w:rFonts w:hint="eastAsia"/>
          <w:lang w:val="en-GB"/>
        </w:rPr>
        <w:t>(</w:t>
      </w:r>
      <w:r>
        <w:rPr>
          <w:rFonts w:hint="eastAsia"/>
          <w:lang w:val="en-GB"/>
        </w:rPr>
        <w:t>或</w:t>
      </w:r>
      <w:r>
        <w:rPr>
          <w:rFonts w:hint="eastAsia"/>
          <w:lang w:val="en-GB"/>
        </w:rPr>
        <w:t>)</w:t>
      </w:r>
      <w:r>
        <w:rPr>
          <w:rFonts w:hint="eastAsia"/>
          <w:lang w:val="en-GB"/>
        </w:rPr>
        <w:t>预防将来的不利处境。此外，他们可以提出损害索赔。然而，如果有客观原因，譬如为了避免风险，《普遍反歧视法》允许对残疾人和非残疾人区别对待。</w:t>
      </w:r>
    </w:p>
    <w:p w:rsidR="00334AE2" w:rsidRDefault="00334AE2">
      <w:pPr>
        <w:pStyle w:val="SingleTxtGC"/>
        <w:rPr>
          <w:lang w:val="en-GB"/>
        </w:rPr>
      </w:pPr>
      <w:r>
        <w:rPr>
          <w:lang w:val="en-GB"/>
        </w:rPr>
        <w:t xml:space="preserve">36.  </w:t>
      </w:r>
      <w:r>
        <w:rPr>
          <w:rFonts w:hint="eastAsia"/>
          <w:lang w:val="en-GB"/>
        </w:rPr>
        <w:t>在《普遍反歧视法》的基础上，建立了联邦反歧视</w:t>
      </w:r>
      <w:r>
        <w:rPr>
          <w:lang w:val="en-GB"/>
        </w:rPr>
        <w:t>署</w:t>
      </w:r>
      <w:r>
        <w:rPr>
          <w:rFonts w:hint="eastAsia"/>
          <w:lang w:val="en-GB"/>
        </w:rPr>
        <w:t>。该署独立执行其任务</w:t>
      </w:r>
      <w:r>
        <w:rPr>
          <w:rFonts w:hint="eastAsia"/>
          <w:lang w:val="en-GB"/>
        </w:rPr>
        <w:t>(</w:t>
      </w:r>
      <w:r>
        <w:rPr>
          <w:rFonts w:hint="eastAsia"/>
          <w:lang w:val="en-GB"/>
        </w:rPr>
        <w:t>咨询、研究和公关工作</w:t>
      </w:r>
      <w:r>
        <w:rPr>
          <w:rFonts w:hint="eastAsia"/>
          <w:lang w:val="en-GB"/>
        </w:rPr>
        <w:t>)</w:t>
      </w:r>
      <w:r>
        <w:rPr>
          <w:rFonts w:hint="eastAsia"/>
          <w:lang w:val="en-GB"/>
        </w:rPr>
        <w:t>，不接受指示。它向基于种族或</w:t>
      </w:r>
      <w:r>
        <w:rPr>
          <w:lang w:val="en-GB"/>
        </w:rPr>
        <w:t>民族血统</w:t>
      </w:r>
      <w:r>
        <w:rPr>
          <w:rFonts w:hint="eastAsia"/>
          <w:lang w:val="en-GB"/>
        </w:rPr>
        <w:t>、性别、宗教或哲学信仰、残疾、年龄及</w:t>
      </w:r>
      <w:r>
        <w:rPr>
          <w:lang w:val="en-GB"/>
        </w:rPr>
        <w:t>性别特性</w:t>
      </w:r>
      <w:r>
        <w:rPr>
          <w:rFonts w:hint="eastAsia"/>
          <w:lang w:val="en-GB"/>
        </w:rPr>
        <w:t>，而处于不利处境的人，提建议。该</w:t>
      </w:r>
      <w:r>
        <w:rPr>
          <w:lang w:val="en-GB"/>
        </w:rPr>
        <w:t>署</w:t>
      </w:r>
      <w:r>
        <w:rPr>
          <w:rFonts w:hint="eastAsia"/>
          <w:lang w:val="en-GB"/>
        </w:rPr>
        <w:t>免费提供服务，既没有具体的正式先决条件，也没有最后期限。迄今，该署已总共记录了</w:t>
      </w:r>
      <w:r>
        <w:rPr>
          <w:rFonts w:hint="eastAsia"/>
          <w:lang w:val="en-GB"/>
        </w:rPr>
        <w:t>14,115</w:t>
      </w:r>
      <w:r>
        <w:rPr>
          <w:rFonts w:hint="eastAsia"/>
          <w:lang w:val="en-GB"/>
        </w:rPr>
        <w:t>次寻求咨询意见的咨询</w:t>
      </w:r>
      <w:r>
        <w:rPr>
          <w:rFonts w:hint="eastAsia"/>
          <w:lang w:val="en-GB"/>
        </w:rPr>
        <w:t>(</w:t>
      </w:r>
      <w:r>
        <w:rPr>
          <w:rFonts w:hint="eastAsia"/>
          <w:lang w:val="en-GB"/>
        </w:rPr>
        <w:t>其中有</w:t>
      </w:r>
      <w:r>
        <w:rPr>
          <w:rFonts w:hint="eastAsia"/>
          <w:lang w:val="en-GB"/>
        </w:rPr>
        <w:t>5,273</w:t>
      </w:r>
      <w:r>
        <w:rPr>
          <w:rFonts w:hint="eastAsia"/>
          <w:lang w:val="en-GB"/>
        </w:rPr>
        <w:t>个是多次咨询</w:t>
      </w:r>
      <w:r>
        <w:rPr>
          <w:rFonts w:hint="eastAsia"/>
          <w:lang w:val="en-GB"/>
        </w:rPr>
        <w:t>)</w:t>
      </w:r>
      <w:r>
        <w:rPr>
          <w:rStyle w:val="FootnoteReference"/>
        </w:rPr>
        <w:footnoteReference w:id="20"/>
      </w:r>
      <w:r>
        <w:rPr>
          <w:rFonts w:hint="eastAsia"/>
          <w:lang w:val="en-GB"/>
        </w:rPr>
        <w:t>。与该署联系最多的是残疾人</w:t>
      </w:r>
      <w:r>
        <w:rPr>
          <w:rFonts w:hint="eastAsia"/>
          <w:lang w:val="en-GB"/>
        </w:rPr>
        <w:t>(</w:t>
      </w:r>
      <w:r>
        <w:rPr>
          <w:rFonts w:hint="eastAsia"/>
          <w:lang w:val="en-GB"/>
        </w:rPr>
        <w:t>占</w:t>
      </w:r>
      <w:r>
        <w:rPr>
          <w:rFonts w:hint="eastAsia"/>
          <w:lang w:val="en-GB"/>
        </w:rPr>
        <w:t>24.7%)</w:t>
      </w:r>
      <w:r>
        <w:rPr>
          <w:rFonts w:hint="eastAsia"/>
          <w:lang w:val="en-GB"/>
        </w:rPr>
        <w:t>。就多方面处境不利而言，陈述的最多的是：残疾与年龄相叠加</w:t>
      </w:r>
      <w:r>
        <w:rPr>
          <w:rFonts w:hint="eastAsia"/>
          <w:lang w:val="en-GB"/>
        </w:rPr>
        <w:t>(</w:t>
      </w:r>
      <w:r>
        <w:rPr>
          <w:rFonts w:hint="eastAsia"/>
          <w:lang w:val="en-GB"/>
        </w:rPr>
        <w:t>占</w:t>
      </w:r>
      <w:r>
        <w:rPr>
          <w:rFonts w:hint="eastAsia"/>
          <w:lang w:val="en-GB"/>
        </w:rPr>
        <w:t>16.44%)</w:t>
      </w:r>
      <w:r>
        <w:rPr>
          <w:rFonts w:hint="eastAsia"/>
          <w:lang w:val="en-GB"/>
        </w:rPr>
        <w:t>和残疾与性别相叠加</w:t>
      </w:r>
      <w:r>
        <w:rPr>
          <w:rFonts w:hint="eastAsia"/>
          <w:lang w:val="en-GB"/>
        </w:rPr>
        <w:t>(</w:t>
      </w:r>
      <w:r>
        <w:rPr>
          <w:rFonts w:hint="eastAsia"/>
          <w:lang w:val="en-GB"/>
        </w:rPr>
        <w:t>占</w:t>
      </w:r>
      <w:r>
        <w:rPr>
          <w:rFonts w:hint="eastAsia"/>
          <w:lang w:val="en-GB"/>
        </w:rPr>
        <w:t>7.55%)</w:t>
      </w:r>
      <w:r>
        <w:rPr>
          <w:rFonts w:hint="eastAsia"/>
          <w:lang w:val="en-GB"/>
        </w:rPr>
        <w:t>造成的多方面处境不利。</w:t>
      </w:r>
    </w:p>
    <w:p w:rsidR="00334AE2" w:rsidRDefault="00334AE2">
      <w:pPr>
        <w:pStyle w:val="SingleTxtGC"/>
        <w:rPr>
          <w:lang w:val="en-GB"/>
        </w:rPr>
      </w:pPr>
      <w:r>
        <w:rPr>
          <w:lang w:val="en-GB"/>
        </w:rPr>
        <w:t xml:space="preserve">37.  </w:t>
      </w:r>
      <w:r>
        <w:rPr>
          <w:rFonts w:hint="eastAsia"/>
          <w:lang w:val="en-GB"/>
        </w:rPr>
        <w:t>联邦政府根据《残疾人平等机会法》第</w:t>
      </w:r>
      <w:r>
        <w:rPr>
          <w:rFonts w:hint="eastAsia"/>
          <w:lang w:val="en-GB"/>
        </w:rPr>
        <w:t>14</w:t>
      </w:r>
      <w:r>
        <w:rPr>
          <w:rFonts w:hint="eastAsia"/>
          <w:lang w:val="en-GB"/>
        </w:rPr>
        <w:t>条，任命立法期间残疾人事务专员。他</w:t>
      </w:r>
      <w:r>
        <w:rPr>
          <w:rFonts w:hint="eastAsia"/>
          <w:lang w:val="en-GB"/>
        </w:rPr>
        <w:t>(</w:t>
      </w:r>
      <w:r>
        <w:rPr>
          <w:rFonts w:hint="eastAsia"/>
          <w:lang w:val="en-GB"/>
        </w:rPr>
        <w:t>她</w:t>
      </w:r>
      <w:r>
        <w:rPr>
          <w:rFonts w:hint="eastAsia"/>
          <w:lang w:val="en-GB"/>
        </w:rPr>
        <w:t>)</w:t>
      </w:r>
      <w:r>
        <w:rPr>
          <w:rFonts w:hint="eastAsia"/>
          <w:lang w:val="en-GB"/>
        </w:rPr>
        <w:t>的任务是，促使联邦政府履行职责，确保残疾人与非残疾人在社会生活各个领域的平等生活条件</w:t>
      </w:r>
      <w:r>
        <w:rPr>
          <w:rStyle w:val="FootnoteReference"/>
        </w:rPr>
        <w:footnoteReference w:id="21"/>
      </w:r>
      <w:r>
        <w:rPr>
          <w:rFonts w:hint="eastAsia"/>
          <w:lang w:val="en-GB"/>
        </w:rPr>
        <w:t>。这确保在所有相关政策领域，都考虑与残疾人相关的事宜。专员的任务包括：</w:t>
      </w:r>
    </w:p>
    <w:p w:rsidR="00334AE2" w:rsidRDefault="00334AE2">
      <w:pPr>
        <w:pStyle w:val="SingleTxtGC"/>
        <w:numPr>
          <w:ilvl w:val="0"/>
          <w:numId w:val="14"/>
        </w:numPr>
        <w:ind w:left="1134"/>
        <w:rPr>
          <w:lang w:val="en-GB"/>
        </w:rPr>
      </w:pPr>
      <w:r>
        <w:rPr>
          <w:rFonts w:hint="eastAsia"/>
          <w:lang w:val="en-GB"/>
        </w:rPr>
        <w:t>参加立法程序和议会质询，</w:t>
      </w:r>
    </w:p>
    <w:p w:rsidR="00334AE2" w:rsidRDefault="00334AE2">
      <w:pPr>
        <w:pStyle w:val="SingleTxtGC"/>
        <w:numPr>
          <w:ilvl w:val="0"/>
          <w:numId w:val="14"/>
        </w:numPr>
        <w:ind w:left="1134"/>
        <w:rPr>
          <w:lang w:val="en-GB"/>
        </w:rPr>
      </w:pPr>
      <w:r>
        <w:rPr>
          <w:rFonts w:hint="eastAsia"/>
          <w:lang w:val="en-GB"/>
        </w:rPr>
        <w:t>提高认识和公关工作。例如，通过组织专家讨论、会议和新闻工作，进行提高认识和公关工作</w:t>
      </w:r>
      <w:r>
        <w:rPr>
          <w:rFonts w:hint="eastAsia"/>
          <w:lang w:val="en-GB"/>
        </w:rPr>
        <w:t>(</w:t>
      </w:r>
      <w:r>
        <w:rPr>
          <w:rFonts w:hint="eastAsia"/>
          <w:lang w:val="en-GB"/>
        </w:rPr>
        <w:t>也参见第八条</w:t>
      </w:r>
      <w:r>
        <w:rPr>
          <w:rFonts w:hint="eastAsia"/>
          <w:lang w:val="en-GB"/>
        </w:rPr>
        <w:t>)</w:t>
      </w:r>
      <w:r>
        <w:rPr>
          <w:rFonts w:hint="eastAsia"/>
          <w:lang w:val="en-GB"/>
        </w:rPr>
        <w:t>；以及</w:t>
      </w:r>
    </w:p>
    <w:p w:rsidR="00334AE2" w:rsidRDefault="00334AE2">
      <w:pPr>
        <w:pStyle w:val="SingleTxtGC"/>
        <w:numPr>
          <w:ilvl w:val="0"/>
          <w:numId w:val="14"/>
        </w:numPr>
        <w:ind w:left="1134"/>
        <w:rPr>
          <w:lang w:val="en-GB"/>
        </w:rPr>
      </w:pPr>
      <w:r>
        <w:rPr>
          <w:rFonts w:hint="eastAsia"/>
          <w:lang w:val="en-GB"/>
        </w:rPr>
        <w:t>每年答复公民的</w:t>
      </w:r>
      <w:r>
        <w:rPr>
          <w:rFonts w:hint="eastAsia"/>
          <w:lang w:val="en-GB"/>
        </w:rPr>
        <w:t>2,500</w:t>
      </w:r>
      <w:r>
        <w:rPr>
          <w:rFonts w:hint="eastAsia"/>
          <w:lang w:val="en-GB"/>
        </w:rPr>
        <w:t>多份关于残疾人平等和平等权利的书面咨询。</w:t>
      </w:r>
    </w:p>
    <w:p w:rsidR="00334AE2" w:rsidRDefault="00334AE2">
      <w:pPr>
        <w:pStyle w:val="SingleTxtGC"/>
        <w:rPr>
          <w:lang w:val="en-GB"/>
        </w:rPr>
      </w:pPr>
      <w:r>
        <w:rPr>
          <w:lang w:val="en-GB"/>
        </w:rPr>
        <w:t xml:space="preserve">38.  </w:t>
      </w:r>
      <w:r>
        <w:rPr>
          <w:rFonts w:hint="eastAsia"/>
          <w:lang w:val="en-GB"/>
        </w:rPr>
        <w:t>此外，联邦所有州也都建立了</w:t>
      </w:r>
      <w:r>
        <w:rPr>
          <w:lang w:val="en-GB"/>
        </w:rPr>
        <w:t>残疾人事务专员</w:t>
      </w:r>
      <w:r>
        <w:rPr>
          <w:rFonts w:hint="eastAsia"/>
          <w:lang w:val="en-GB"/>
        </w:rPr>
        <w:t>，他们有类似的任务和职权，他们相互及与联邦专员就当前与残疾人政策有关的问题交流经验。另外，许多农村地区、城镇和地方当局有全职或名誉市残疾事务专员和辅助残疾人委员会，特别在地方一级，为有残疾的公民的利益开展活动。</w:t>
      </w:r>
    </w:p>
    <w:p w:rsidR="00334AE2" w:rsidRDefault="00334AE2">
      <w:pPr>
        <w:pStyle w:val="SingleTxtGC"/>
        <w:rPr>
          <w:lang w:val="en-GB"/>
        </w:rPr>
      </w:pPr>
      <w:r>
        <w:rPr>
          <w:lang w:val="en-GB"/>
        </w:rPr>
        <w:t xml:space="preserve">39.  </w:t>
      </w:r>
      <w:r>
        <w:rPr>
          <w:rFonts w:hint="eastAsia"/>
          <w:lang w:val="en-GB"/>
        </w:rPr>
        <w:t>联邦政府的目的是，防止和有效地扭转残疾人在生活的各个领域面临的不利处境。这适用于公共和私营领域。为此，联邦政府将评估《残疾人平等机会法》所载的相应规定，并澄清是否已经妥善处理了所有残疾人群体的问题</w:t>
      </w:r>
      <w:r>
        <w:rPr>
          <w:rFonts w:hint="eastAsia"/>
          <w:lang w:val="en-GB"/>
        </w:rPr>
        <w:t>(</w:t>
      </w:r>
      <w:r>
        <w:rPr>
          <w:rFonts w:hint="eastAsia"/>
          <w:lang w:val="en-GB"/>
        </w:rPr>
        <w:t>包括有</w:t>
      </w:r>
      <w:r>
        <w:rPr>
          <w:lang w:val="en-GB"/>
        </w:rPr>
        <w:t>学习</w:t>
      </w:r>
      <w:r>
        <w:rPr>
          <w:rFonts w:hint="eastAsia"/>
          <w:lang w:val="en-GB"/>
        </w:rPr>
        <w:t>和智力残疾的人和重度多重残疾的人</w:t>
      </w:r>
      <w:r>
        <w:rPr>
          <w:rFonts w:hint="eastAsia"/>
          <w:lang w:val="en-GB"/>
        </w:rPr>
        <w:t>)</w:t>
      </w:r>
      <w:r>
        <w:rPr>
          <w:rFonts w:hint="eastAsia"/>
          <w:lang w:val="en-GB"/>
        </w:rPr>
        <w:t>，以及该法提供的工具是否已经证明有价值。各州也正在审查或修改残疾人平等法</w:t>
      </w:r>
      <w:r>
        <w:rPr>
          <w:rFonts w:hint="eastAsia"/>
          <w:lang w:val="en-GB"/>
        </w:rPr>
        <w:t>(</w:t>
      </w:r>
      <w:r>
        <w:rPr>
          <w:rFonts w:hint="eastAsia"/>
          <w:lang w:val="en-GB"/>
        </w:rPr>
        <w:t>例如，萨克森﹣安哈尔特州</w:t>
      </w:r>
      <w:r>
        <w:rPr>
          <w:rFonts w:hint="eastAsia"/>
          <w:lang w:val="en-GB"/>
        </w:rPr>
        <w:t>)</w:t>
      </w:r>
      <w:r>
        <w:rPr>
          <w:rFonts w:hint="eastAsia"/>
          <w:lang w:val="en-GB"/>
        </w:rPr>
        <w:t>。</w:t>
      </w:r>
    </w:p>
    <w:p w:rsidR="00334AE2" w:rsidRDefault="00334AE2">
      <w:pPr>
        <w:pStyle w:val="SingleTxtGC"/>
        <w:rPr>
          <w:lang w:val="en-GB"/>
        </w:rPr>
      </w:pPr>
      <w:r>
        <w:rPr>
          <w:lang w:val="en-GB"/>
        </w:rPr>
        <w:t xml:space="preserve">40.  </w:t>
      </w:r>
      <w:r>
        <w:rPr>
          <w:rFonts w:hint="eastAsia"/>
          <w:lang w:val="en-GB"/>
        </w:rPr>
        <w:t>自</w:t>
      </w:r>
      <w:r>
        <w:rPr>
          <w:rFonts w:hint="eastAsia"/>
          <w:lang w:val="en-GB"/>
        </w:rPr>
        <w:t>2009</w:t>
      </w:r>
      <w:r>
        <w:rPr>
          <w:rFonts w:hint="eastAsia"/>
          <w:lang w:val="en-GB"/>
        </w:rPr>
        <w:t>年以来，为了避免使残疾人处于不利处境，联邦政府一直在推进德国人权研究所的“加强协会在保护免受歧视领域的行动能力”的项目。在</w:t>
      </w:r>
      <w:r>
        <w:rPr>
          <w:rFonts w:hint="eastAsia"/>
          <w:lang w:val="en-GB"/>
        </w:rPr>
        <w:t>2011</w:t>
      </w:r>
      <w:r>
        <w:rPr>
          <w:rFonts w:hint="eastAsia"/>
          <w:lang w:val="en-GB"/>
        </w:rPr>
        <w:t>年年底之前，将继续这样做。该项目旨在加强德国协会在实际保护残疾人免遭不利处境方面采取行动的必要能力，并为此开展培训。在这方面一个特别重点是，有效地保护免陷不利处境，协会可以实施这种保护。</w:t>
      </w:r>
    </w:p>
    <w:p w:rsidR="00334AE2" w:rsidRDefault="00334AE2">
      <w:pPr>
        <w:pStyle w:val="SingleTxtGC"/>
        <w:rPr>
          <w:lang w:val="en-GB"/>
        </w:rPr>
      </w:pPr>
      <w:r>
        <w:rPr>
          <w:lang w:val="en-GB"/>
        </w:rPr>
        <w:t xml:space="preserve">41.  </w:t>
      </w:r>
      <w:r>
        <w:rPr>
          <w:rFonts w:hint="eastAsia"/>
          <w:lang w:val="en-GB"/>
        </w:rPr>
        <w:t>此外，在未来几年中，联邦政府将越来越多地让公众关注残疾人在私人领域遭受的不利处境。例如，</w:t>
      </w:r>
      <w:r>
        <w:rPr>
          <w:rFonts w:hint="eastAsia"/>
          <w:lang w:val="en-GB"/>
        </w:rPr>
        <w:t>ADS</w:t>
      </w:r>
      <w:r>
        <w:rPr>
          <w:rFonts w:hint="eastAsia"/>
          <w:lang w:val="en-GB"/>
        </w:rPr>
        <w:t>希望发起将</w:t>
      </w:r>
      <w:r>
        <w:rPr>
          <w:rFonts w:hint="eastAsia"/>
          <w:lang w:val="en-GB"/>
        </w:rPr>
        <w:t>2013</w:t>
      </w:r>
      <w:r>
        <w:rPr>
          <w:rFonts w:hint="eastAsia"/>
          <w:lang w:val="en-GB"/>
        </w:rPr>
        <w:t>年定为残疾人不利处境年。</w:t>
      </w:r>
    </w:p>
    <w:p w:rsidR="00334AE2" w:rsidRDefault="00334AE2">
      <w:pPr>
        <w:pStyle w:val="SingleTxtGC"/>
        <w:rPr>
          <w:lang w:val="en-GB"/>
        </w:rPr>
      </w:pPr>
      <w:r>
        <w:rPr>
          <w:lang w:val="en-GB"/>
        </w:rPr>
        <w:t xml:space="preserve">42.  </w:t>
      </w:r>
      <w:r>
        <w:rPr>
          <w:rFonts w:hint="eastAsia"/>
          <w:lang w:val="en-GB"/>
        </w:rPr>
        <w:t>2006</w:t>
      </w:r>
      <w:r>
        <w:rPr>
          <w:rFonts w:hint="eastAsia"/>
          <w:lang w:val="en-GB"/>
        </w:rPr>
        <w:t>年，推出的《多样性宪章》，是联邦总理安格拉·默克尔赞助的企业倡议，旨在创建一种具有公平和尊重特征的企业文化。签署者承诺创造一个没有偏见和边缘化的工作环境。在其中，不管性别、种族、国籍、民族血统、宗教或哲学信仰、残疾、年龄、性取向及身份，每个工人都受到尊重。迄今，德国各地超过</w:t>
      </w:r>
      <w:r>
        <w:rPr>
          <w:rFonts w:hint="eastAsia"/>
          <w:lang w:val="en-GB"/>
        </w:rPr>
        <w:t>900</w:t>
      </w:r>
      <w:r>
        <w:rPr>
          <w:rFonts w:hint="eastAsia"/>
          <w:lang w:val="en-GB"/>
        </w:rPr>
        <w:t>家企业和公共机构已经签署了《多样性宪章》。</w:t>
      </w:r>
    </w:p>
    <w:p w:rsidR="00334AE2" w:rsidRDefault="00334AE2">
      <w:pPr>
        <w:pStyle w:val="H1GC"/>
        <w:rPr>
          <w:lang w:val="en-GB"/>
        </w:rPr>
      </w:pPr>
      <w:bookmarkStart w:id="7" w:name="_Toc303932218"/>
      <w:r>
        <w:rPr>
          <w:lang w:val="en-GB"/>
        </w:rPr>
        <w:tab/>
      </w:r>
      <w:r>
        <w:rPr>
          <w:lang w:val="en-GB"/>
        </w:rPr>
        <w:tab/>
      </w:r>
      <w:bookmarkEnd w:id="7"/>
      <w:r>
        <w:rPr>
          <w:rFonts w:hint="eastAsia"/>
          <w:lang w:val="en-GB"/>
        </w:rPr>
        <w:t>第六条</w:t>
      </w:r>
      <w:r>
        <w:rPr>
          <w:rFonts w:hint="eastAsia"/>
          <w:lang w:val="en-GB"/>
        </w:rPr>
        <w:br/>
      </w:r>
      <w:r>
        <w:rPr>
          <w:rFonts w:hint="eastAsia"/>
          <w:lang w:val="en-GB"/>
        </w:rPr>
        <w:t>残疾妇女</w:t>
      </w:r>
    </w:p>
    <w:p w:rsidR="00334AE2" w:rsidRDefault="00334AE2">
      <w:pPr>
        <w:pStyle w:val="SingleTxtGC"/>
        <w:rPr>
          <w:lang w:val="en-GB"/>
        </w:rPr>
      </w:pPr>
      <w:r>
        <w:rPr>
          <w:lang w:val="en-GB"/>
        </w:rPr>
        <w:t xml:space="preserve">43.  </w:t>
      </w:r>
      <w:r>
        <w:rPr>
          <w:rFonts w:hint="eastAsia"/>
          <w:lang w:val="en-GB"/>
        </w:rPr>
        <w:t>在德意志联邦共和国，除了适用于所有人的现有基本权利外，有旨在缓解残疾妇女遭受的不利处境的特别法规。</w:t>
      </w:r>
    </w:p>
    <w:p w:rsidR="00334AE2" w:rsidRDefault="00334AE2">
      <w:pPr>
        <w:pStyle w:val="SingleTxtGC"/>
        <w:rPr>
          <w:lang w:val="en-GB"/>
        </w:rPr>
      </w:pPr>
      <w:r>
        <w:rPr>
          <w:lang w:val="en-GB"/>
        </w:rPr>
        <w:t xml:space="preserve">44.  </w:t>
      </w:r>
      <w:r>
        <w:rPr>
          <w:rFonts w:hint="eastAsia"/>
          <w:lang w:val="en-GB"/>
        </w:rPr>
        <w:t>为了促进自主和参与，</w:t>
      </w:r>
      <w:r>
        <w:rPr>
          <w:lang w:val="en-GB"/>
        </w:rPr>
        <w:t>《社会法典》</w:t>
      </w:r>
      <w:r>
        <w:rPr>
          <w:rFonts w:hint="eastAsia"/>
          <w:lang w:val="en-GB"/>
        </w:rPr>
        <w:t>第九部第</w:t>
      </w:r>
      <w:r>
        <w:rPr>
          <w:rFonts w:hint="eastAsia"/>
          <w:lang w:val="en-GB"/>
        </w:rPr>
        <w:t>1</w:t>
      </w:r>
      <w:r>
        <w:rPr>
          <w:rFonts w:hint="eastAsia"/>
          <w:lang w:val="en-GB"/>
        </w:rPr>
        <w:t>条规定，</w:t>
      </w:r>
      <w:r>
        <w:rPr>
          <w:lang w:val="en-GB"/>
        </w:rPr>
        <w:t>立法机构</w:t>
      </w:r>
      <w:r>
        <w:rPr>
          <w:rFonts w:hint="eastAsia"/>
          <w:lang w:val="en-GB"/>
        </w:rPr>
        <w:t>要特别考虑残疾妇女和处于残疾风险的妇女的需求。妇女经常处于</w:t>
      </w:r>
      <w:r>
        <w:rPr>
          <w:lang w:val="en-GB"/>
        </w:rPr>
        <w:t>多重</w:t>
      </w:r>
      <w:r>
        <w:rPr>
          <w:rFonts w:hint="eastAsia"/>
          <w:lang w:val="en-GB"/>
        </w:rPr>
        <w:t>不利处境。</w:t>
      </w:r>
    </w:p>
    <w:p w:rsidR="00334AE2" w:rsidRDefault="00334AE2">
      <w:pPr>
        <w:pStyle w:val="SingleTxtGC"/>
        <w:rPr>
          <w:lang w:val="en-GB"/>
        </w:rPr>
      </w:pPr>
      <w:r>
        <w:rPr>
          <w:lang w:val="en-GB"/>
        </w:rPr>
        <w:t xml:space="preserve">45.  </w:t>
      </w:r>
      <w:r>
        <w:rPr>
          <w:rFonts w:hint="eastAsia"/>
          <w:lang w:val="en-GB"/>
        </w:rPr>
        <w:t>此外，《残疾人平等机会法》第</w:t>
      </w:r>
      <w:r>
        <w:rPr>
          <w:rFonts w:hint="eastAsia"/>
          <w:lang w:val="en-GB"/>
        </w:rPr>
        <w:t>2</w:t>
      </w:r>
      <w:r>
        <w:rPr>
          <w:rFonts w:hint="eastAsia"/>
          <w:lang w:val="en-GB"/>
        </w:rPr>
        <w:t>条规定，要考虑残疾妇女实现男女平等的特别利益，纠正现存的不利处境。在这方面，允许实施旨在促进残疾妇女</w:t>
      </w:r>
      <w:r>
        <w:rPr>
          <w:lang w:val="en-GB"/>
        </w:rPr>
        <w:t>事实上的</w:t>
      </w:r>
      <w:r>
        <w:rPr>
          <w:rFonts w:hint="eastAsia"/>
          <w:lang w:val="en-GB"/>
        </w:rPr>
        <w:t>平等和消除现存不利处境的特别方案。</w:t>
      </w:r>
    </w:p>
    <w:p w:rsidR="00334AE2" w:rsidRDefault="00334AE2">
      <w:pPr>
        <w:pStyle w:val="SingleTxtGC"/>
        <w:rPr>
          <w:lang w:val="en-GB"/>
        </w:rPr>
      </w:pPr>
      <w:r>
        <w:rPr>
          <w:lang w:val="en-GB"/>
        </w:rPr>
        <w:t xml:space="preserve">46.  </w:t>
      </w:r>
      <w:r>
        <w:rPr>
          <w:rFonts w:hint="eastAsia"/>
          <w:lang w:val="en-GB"/>
        </w:rPr>
        <w:t>2009</w:t>
      </w:r>
      <w:r>
        <w:rPr>
          <w:rFonts w:hint="eastAsia"/>
          <w:lang w:val="en-GB"/>
        </w:rPr>
        <w:t>年，针对残疾妇女面临的处境问题，对</w:t>
      </w:r>
      <w:r>
        <w:rPr>
          <w:rFonts w:hint="eastAsia"/>
          <w:lang w:val="en-GB"/>
        </w:rPr>
        <w:t>2005</w:t>
      </w:r>
      <w:r>
        <w:rPr>
          <w:rFonts w:hint="eastAsia"/>
          <w:lang w:val="en-GB"/>
        </w:rPr>
        <w:t>年微型人口</w:t>
      </w:r>
      <w:r>
        <w:rPr>
          <w:lang w:val="en-GB"/>
        </w:rPr>
        <w:t>普查</w:t>
      </w:r>
      <w:r>
        <w:rPr>
          <w:rFonts w:hint="eastAsia"/>
          <w:lang w:val="en-GB"/>
        </w:rPr>
        <w:t>进行了一次单独评估。评估显示了关于与残疾有关的和典型的女性处境不利结构的初步信息。至于残疾妇女的实际情况，</w:t>
      </w:r>
      <w:r>
        <w:rPr>
          <w:lang w:val="en-GB"/>
        </w:rPr>
        <w:t>总的来说</w:t>
      </w:r>
      <w:r>
        <w:rPr>
          <w:rFonts w:hint="eastAsia"/>
          <w:lang w:val="en-GB"/>
        </w:rPr>
        <w:t>，迄今数据和信息相对较少。为了提高对残疾妇女面临的多重歧视的认识，采取适合这一目标群体的措施，必须更好的照顾她们的特别情况。一旦重新设计了《残疾报告》</w:t>
      </w:r>
      <w:r>
        <w:rPr>
          <w:rFonts w:hint="eastAsia"/>
          <w:lang w:val="en-GB"/>
        </w:rPr>
        <w:t>(</w:t>
      </w:r>
      <w:r>
        <w:rPr>
          <w:rFonts w:hint="eastAsia"/>
          <w:lang w:val="en-GB"/>
        </w:rPr>
        <w:t>在每个立法期间，都必须制订《残疾报告》</w:t>
      </w:r>
      <w:r>
        <w:rPr>
          <w:rFonts w:hint="eastAsia"/>
          <w:lang w:val="en-GB"/>
        </w:rPr>
        <w:t>)(</w:t>
      </w:r>
      <w:r>
        <w:rPr>
          <w:rFonts w:hint="eastAsia"/>
          <w:lang w:val="en-GB"/>
        </w:rPr>
        <w:t>参见第三十一条</w:t>
      </w:r>
      <w:r>
        <w:rPr>
          <w:rFonts w:hint="eastAsia"/>
          <w:lang w:val="en-GB"/>
        </w:rPr>
        <w:t>)</w:t>
      </w:r>
      <w:r>
        <w:rPr>
          <w:rFonts w:hint="eastAsia"/>
          <w:lang w:val="en-GB"/>
        </w:rPr>
        <w:t>，联邦政府将从而更加密切地集中调查残疾妇女所面临的状况。此外，联邦政府打算制订一个残疾问题主流化导则，该导则也将特别考虑残疾妇女面临的状况。</w:t>
      </w:r>
    </w:p>
    <w:p w:rsidR="00334AE2" w:rsidRDefault="00334AE2">
      <w:pPr>
        <w:pStyle w:val="SingleTxtGC"/>
        <w:rPr>
          <w:lang w:val="en-GB"/>
        </w:rPr>
      </w:pPr>
      <w:r>
        <w:rPr>
          <w:lang w:val="en-GB"/>
        </w:rPr>
        <w:t xml:space="preserve">47.  </w:t>
      </w:r>
      <w:r>
        <w:rPr>
          <w:rFonts w:hint="eastAsia"/>
          <w:lang w:val="en-GB"/>
        </w:rPr>
        <w:t>将支持残疾妇女为了在改善自己的处境上发挥积极作用，在捍卫自己的利益方面作努力。联邦政府因而推动题为“残疾妇女权益的政治代表”的全国网络。该项目的宣传重点是，启动旨在实现残疾人妇女参与的方案，特别在工作生活、防止免遭暴力侵害、医疗保健及家长身份等领域的参与。自</w:t>
      </w:r>
      <w:r>
        <w:rPr>
          <w:rFonts w:hint="eastAsia"/>
          <w:lang w:val="en-GB"/>
        </w:rPr>
        <w:t>2011</w:t>
      </w:r>
      <w:r>
        <w:rPr>
          <w:rFonts w:hint="eastAsia"/>
          <w:lang w:val="en-GB"/>
        </w:rPr>
        <w:t>年</w:t>
      </w:r>
      <w:r>
        <w:rPr>
          <w:rFonts w:hint="eastAsia"/>
          <w:lang w:val="en-GB"/>
        </w:rPr>
        <w:t>3</w:t>
      </w:r>
      <w:r>
        <w:rPr>
          <w:rFonts w:hint="eastAsia"/>
          <w:lang w:val="en-GB"/>
        </w:rPr>
        <w:t>月</w:t>
      </w:r>
      <w:r>
        <w:rPr>
          <w:rFonts w:hint="eastAsia"/>
          <w:lang w:val="en-GB"/>
        </w:rPr>
        <w:t>1</w:t>
      </w:r>
      <w:r>
        <w:rPr>
          <w:rFonts w:hint="eastAsia"/>
          <w:lang w:val="en-GB"/>
        </w:rPr>
        <w:t>日以来，《公约》的实施，一直是项目的重点，这体现在它的新名称“残疾妇女权益的政治代表</w:t>
      </w:r>
      <w:r>
        <w:rPr>
          <w:rFonts w:hint="eastAsia"/>
          <w:spacing w:val="-50"/>
          <w:lang w:val="en-GB"/>
        </w:rPr>
        <w:t>―</w:t>
      </w:r>
      <w:r>
        <w:rPr>
          <w:rFonts w:hint="eastAsia"/>
          <w:lang w:val="en-GB"/>
        </w:rPr>
        <w:t>―履行实施联合国残疾公约的任务和保护免遭暴力侵害”上。</w:t>
      </w:r>
    </w:p>
    <w:p w:rsidR="00334AE2" w:rsidRDefault="00334AE2">
      <w:pPr>
        <w:pStyle w:val="SingleTxtGC"/>
        <w:rPr>
          <w:lang w:val="en-GB"/>
        </w:rPr>
      </w:pPr>
      <w:r>
        <w:rPr>
          <w:lang w:val="en-GB"/>
        </w:rPr>
        <w:t xml:space="preserve">48.  </w:t>
      </w:r>
      <w:r>
        <w:rPr>
          <w:rFonts w:hint="eastAsia"/>
          <w:lang w:val="en-GB"/>
        </w:rPr>
        <w:t>除了残疾妇女权益的政治代表外，也将在日常生活中增强残疾妇女的能力，以使她们能够更好地阐明和</w:t>
      </w:r>
      <w:r>
        <w:rPr>
          <w:lang w:val="en-GB"/>
        </w:rPr>
        <w:t>提出</w:t>
      </w:r>
      <w:r>
        <w:rPr>
          <w:rFonts w:hint="eastAsia"/>
          <w:lang w:val="en-GB"/>
        </w:rPr>
        <w:t>自己的利益。因此，联邦政府推进题为“残疾人工作坊和</w:t>
      </w:r>
      <w:r>
        <w:rPr>
          <w:lang w:val="en-GB"/>
        </w:rPr>
        <w:t>居住</w:t>
      </w:r>
      <w:r>
        <w:rPr>
          <w:rFonts w:hint="eastAsia"/>
          <w:lang w:val="en-GB"/>
        </w:rPr>
        <w:t>设施妇女专员”的项目。在这个项目中，启用残疾妇女担任工作坊和</w:t>
      </w:r>
      <w:r>
        <w:rPr>
          <w:lang w:val="en-GB"/>
        </w:rPr>
        <w:t>居住</w:t>
      </w:r>
      <w:r>
        <w:rPr>
          <w:rFonts w:hint="eastAsia"/>
          <w:lang w:val="en-GB"/>
        </w:rPr>
        <w:t>区妇女权益专员角色。因此，向残疾妇女提供了解决她们的问题的地方。联邦政府将使用从这个项目得到的信息</w:t>
      </w:r>
      <w:r>
        <w:rPr>
          <w:rFonts w:hint="eastAsia"/>
          <w:lang w:val="en-GB"/>
        </w:rPr>
        <w:t>(</w:t>
      </w:r>
      <w:r>
        <w:rPr>
          <w:rFonts w:hint="eastAsia"/>
          <w:lang w:val="en-GB"/>
        </w:rPr>
        <w:t>这个项目在</w:t>
      </w:r>
      <w:r>
        <w:rPr>
          <w:rFonts w:hint="eastAsia"/>
          <w:lang w:val="en-GB"/>
        </w:rPr>
        <w:t>2011</w:t>
      </w:r>
      <w:r>
        <w:rPr>
          <w:rFonts w:hint="eastAsia"/>
          <w:lang w:val="en-GB"/>
        </w:rPr>
        <w:t>年年中完成</w:t>
      </w:r>
      <w:r>
        <w:rPr>
          <w:rFonts w:hint="eastAsia"/>
          <w:lang w:val="en-GB"/>
        </w:rPr>
        <w:t>)</w:t>
      </w:r>
      <w:r>
        <w:rPr>
          <w:rFonts w:hint="eastAsia"/>
          <w:lang w:val="en-GB"/>
        </w:rPr>
        <w:t>，讨论关于将许多工作坊纳入长期方案的重要性和未来可能性。</w:t>
      </w:r>
    </w:p>
    <w:p w:rsidR="00334AE2" w:rsidRDefault="00334AE2">
      <w:pPr>
        <w:pStyle w:val="H1GC"/>
        <w:rPr>
          <w:lang w:val="en-GB"/>
        </w:rPr>
      </w:pPr>
      <w:bookmarkStart w:id="8" w:name="_Toc303932219"/>
      <w:r>
        <w:rPr>
          <w:lang w:val="en-GB"/>
        </w:rPr>
        <w:tab/>
      </w:r>
      <w:r>
        <w:rPr>
          <w:lang w:val="en-GB"/>
        </w:rPr>
        <w:tab/>
      </w:r>
      <w:bookmarkEnd w:id="8"/>
      <w:r>
        <w:rPr>
          <w:rFonts w:hint="eastAsia"/>
          <w:lang w:val="en-GB"/>
        </w:rPr>
        <w:t>第七条</w:t>
      </w:r>
      <w:r>
        <w:rPr>
          <w:rFonts w:hint="eastAsia"/>
          <w:lang w:val="en-GB"/>
        </w:rPr>
        <w:br/>
      </w:r>
      <w:r>
        <w:rPr>
          <w:rFonts w:hint="eastAsia"/>
          <w:lang w:val="en-GB"/>
        </w:rPr>
        <w:t>残疾儿童</w:t>
      </w:r>
    </w:p>
    <w:p w:rsidR="00334AE2" w:rsidRDefault="00334AE2">
      <w:pPr>
        <w:pStyle w:val="SingleTxtGC"/>
        <w:rPr>
          <w:lang w:val="en-GB"/>
        </w:rPr>
      </w:pPr>
      <w:r>
        <w:rPr>
          <w:lang w:val="en-GB"/>
        </w:rPr>
        <w:t xml:space="preserve">49.  </w:t>
      </w:r>
      <w:r>
        <w:rPr>
          <w:lang w:val="en-GB"/>
        </w:rPr>
        <w:t>《社会法典》</w:t>
      </w:r>
      <w:r>
        <w:rPr>
          <w:rFonts w:hint="eastAsia"/>
          <w:lang w:val="en-GB"/>
        </w:rPr>
        <w:t>第九部规定，尊重残疾儿童的需求，尽可能使他们在家庭环境中生活</w:t>
      </w:r>
      <w:r>
        <w:rPr>
          <w:rFonts w:hint="eastAsia"/>
          <w:lang w:val="en-GB"/>
        </w:rPr>
        <w:t>(</w:t>
      </w:r>
      <w:r>
        <w:rPr>
          <w:rFonts w:hint="eastAsia"/>
          <w:lang w:val="en-GB"/>
        </w:rPr>
        <w:t>《社会法典》第九部第</w:t>
      </w:r>
      <w:r>
        <w:rPr>
          <w:rFonts w:hint="eastAsia"/>
          <w:lang w:val="en-GB"/>
        </w:rPr>
        <w:t>1</w:t>
      </w:r>
      <w:r>
        <w:rPr>
          <w:rFonts w:hint="eastAsia"/>
          <w:lang w:val="en-GB"/>
        </w:rPr>
        <w:t>条第</w:t>
      </w:r>
      <w:r>
        <w:rPr>
          <w:rFonts w:hint="eastAsia"/>
          <w:lang w:val="en-GB"/>
        </w:rPr>
        <w:t>2</w:t>
      </w:r>
      <w:r>
        <w:rPr>
          <w:rFonts w:hint="eastAsia"/>
          <w:lang w:val="en-GB"/>
        </w:rPr>
        <w:t>款及第</w:t>
      </w:r>
      <w:r>
        <w:rPr>
          <w:rFonts w:hint="eastAsia"/>
          <w:lang w:val="en-GB"/>
        </w:rPr>
        <w:t>4</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。按照残疾儿童的年龄和发育情况，让他们参与个人</w:t>
      </w:r>
      <w:r>
        <w:rPr>
          <w:lang w:val="en-GB"/>
        </w:rPr>
        <w:t>辅助</w:t>
      </w:r>
      <w:r>
        <w:rPr>
          <w:rFonts w:hint="eastAsia"/>
          <w:lang w:val="en-GB"/>
        </w:rPr>
        <w:t>的规划和设计。父母也必须深入参与</w:t>
      </w:r>
      <w:r>
        <w:rPr>
          <w:lang w:val="en-GB"/>
        </w:rPr>
        <w:t>辅助</w:t>
      </w:r>
      <w:r>
        <w:rPr>
          <w:rFonts w:hint="eastAsia"/>
          <w:lang w:val="en-GB"/>
        </w:rPr>
        <w:t>手段的规划和设计。在这方面，必须考虑家长和儿童的特别需求。此外，</w:t>
      </w:r>
      <w:r>
        <w:rPr>
          <w:lang w:val="en-GB"/>
        </w:rPr>
        <w:t>《社会法典》</w:t>
      </w:r>
      <w:r>
        <w:rPr>
          <w:rFonts w:hint="eastAsia"/>
          <w:lang w:val="en-GB"/>
        </w:rPr>
        <w:t>第八部和第九部明确提出，努力实现残疾儿童与无残疾儿童一起成长的环境。</w:t>
      </w:r>
    </w:p>
    <w:p w:rsidR="00334AE2" w:rsidRDefault="00334AE2">
      <w:pPr>
        <w:pStyle w:val="SingleTxtGC"/>
        <w:rPr>
          <w:rStyle w:val="FootnoteReference"/>
        </w:rPr>
      </w:pPr>
      <w:r>
        <w:rPr>
          <w:lang w:val="en-GB"/>
        </w:rPr>
        <w:t xml:space="preserve">50.  </w:t>
      </w:r>
      <w:r>
        <w:rPr>
          <w:rFonts w:hint="eastAsia"/>
          <w:lang w:val="en-GB"/>
        </w:rPr>
        <w:t>从一开始就促进残疾儿童的发育，使他们强健，可以体验人类生活的多样性，并将此作为</w:t>
      </w:r>
      <w:r>
        <w:rPr>
          <w:lang w:val="en-GB"/>
        </w:rPr>
        <w:t>自然</w:t>
      </w:r>
      <w:r>
        <w:rPr>
          <w:rFonts w:hint="eastAsia"/>
          <w:lang w:val="en-GB"/>
        </w:rPr>
        <w:t>的事情和丰富生活的</w:t>
      </w:r>
      <w:r>
        <w:rPr>
          <w:lang w:val="en-GB"/>
        </w:rPr>
        <w:t>源泉</w:t>
      </w:r>
      <w:r>
        <w:rPr>
          <w:rFonts w:hint="eastAsia"/>
          <w:lang w:val="en-GB"/>
        </w:rPr>
        <w:t>进行体验。在这方面，赋予儿童日托机构核心作用。自</w:t>
      </w:r>
      <w:r>
        <w:rPr>
          <w:rFonts w:hint="eastAsia"/>
          <w:lang w:val="en-GB"/>
        </w:rPr>
        <w:t>1996</w:t>
      </w:r>
      <w:r>
        <w:rPr>
          <w:rFonts w:hint="eastAsia"/>
          <w:lang w:val="en-GB"/>
        </w:rPr>
        <w:t>年以来，</w:t>
      </w:r>
      <w:r>
        <w:rPr>
          <w:rFonts w:hint="eastAsia"/>
          <w:lang w:val="en-GB"/>
        </w:rPr>
        <w:t>3</w:t>
      </w:r>
      <w:r>
        <w:rPr>
          <w:rFonts w:hint="eastAsia"/>
          <w:lang w:val="en-GB"/>
        </w:rPr>
        <w:t>至</w:t>
      </w:r>
      <w:r>
        <w:rPr>
          <w:rFonts w:hint="eastAsia"/>
          <w:lang w:val="en-GB"/>
        </w:rPr>
        <w:t>6</w:t>
      </w:r>
      <w:r>
        <w:rPr>
          <w:rFonts w:hint="eastAsia"/>
          <w:lang w:val="en-GB"/>
        </w:rPr>
        <w:t>岁的儿童，有进入托儿所的合法权利。自</w:t>
      </w:r>
      <w:r>
        <w:rPr>
          <w:rFonts w:hint="eastAsia"/>
          <w:lang w:val="en-GB"/>
        </w:rPr>
        <w:t>2013</w:t>
      </w:r>
      <w:r>
        <w:rPr>
          <w:rFonts w:hint="eastAsia"/>
          <w:lang w:val="en-GB"/>
        </w:rPr>
        <w:t>年</w:t>
      </w:r>
      <w:r>
        <w:rPr>
          <w:rFonts w:hint="eastAsia"/>
          <w:lang w:val="en-GB"/>
        </w:rPr>
        <w:t>8</w:t>
      </w:r>
      <w:r>
        <w:rPr>
          <w:rFonts w:hint="eastAsia"/>
          <w:lang w:val="en-GB"/>
        </w:rPr>
        <w:t>月</w:t>
      </w:r>
      <w:r>
        <w:rPr>
          <w:rFonts w:hint="eastAsia"/>
          <w:lang w:val="en-GB"/>
        </w:rPr>
        <w:t>1</w:t>
      </w:r>
      <w:r>
        <w:rPr>
          <w:rFonts w:hint="eastAsia"/>
          <w:lang w:val="en-GB"/>
        </w:rPr>
        <w:t>日开始，《鼓励和关怀</w:t>
      </w:r>
      <w:r>
        <w:rPr>
          <w:rFonts w:hint="eastAsia"/>
          <w:lang w:val="en-GB"/>
        </w:rPr>
        <w:t>3</w:t>
      </w:r>
      <w:r>
        <w:rPr>
          <w:rFonts w:hint="eastAsia"/>
          <w:lang w:val="en-GB"/>
        </w:rPr>
        <w:t>岁以下儿童法》</w:t>
      </w:r>
      <w:r>
        <w:rPr>
          <w:rFonts w:hint="eastAsia"/>
          <w:lang w:val="en-GB"/>
        </w:rPr>
        <w:t>(</w:t>
      </w:r>
      <w:r>
        <w:rPr>
          <w:i/>
          <w:iCs/>
          <w:lang w:val="en-GB"/>
        </w:rPr>
        <w:t>Kinderförderungsgesetz</w:t>
      </w:r>
      <w:r>
        <w:rPr>
          <w:rFonts w:hint="eastAsia"/>
          <w:lang w:val="en-GB"/>
        </w:rPr>
        <w:t>)</w:t>
      </w:r>
      <w:r>
        <w:rPr>
          <w:rFonts w:hint="eastAsia"/>
          <w:lang w:val="en-GB"/>
        </w:rPr>
        <w:t>规定了</w:t>
      </w:r>
      <w:r>
        <w:rPr>
          <w:rFonts w:hint="eastAsia"/>
          <w:lang w:val="en-GB"/>
        </w:rPr>
        <w:t>1</w:t>
      </w:r>
      <w:r>
        <w:rPr>
          <w:rFonts w:hint="eastAsia"/>
          <w:lang w:val="en-GB"/>
        </w:rPr>
        <w:t>岁以上儿童的合法权利。为了保证从这个年龄起儿童的合法权利，联邦、州和地方当局正在推动为</w:t>
      </w:r>
      <w:r>
        <w:rPr>
          <w:rFonts w:hint="eastAsia"/>
          <w:lang w:val="en-GB"/>
        </w:rPr>
        <w:t>3</w:t>
      </w:r>
      <w:r>
        <w:rPr>
          <w:rFonts w:hint="eastAsia"/>
          <w:lang w:val="en-GB"/>
        </w:rPr>
        <w:t>岁以下儿童扩大提供适合他们需求的优质照顾。联邦为此贡献</w:t>
      </w:r>
      <w:r>
        <w:rPr>
          <w:rFonts w:hint="eastAsia"/>
          <w:lang w:val="en-GB"/>
        </w:rPr>
        <w:t>40</w:t>
      </w:r>
      <w:r>
        <w:rPr>
          <w:rFonts w:hint="eastAsia"/>
          <w:lang w:val="en-GB"/>
        </w:rPr>
        <w:t>亿欧元，相当于成本的三分之一。在一些地方扩大提供照顾中，将考虑联邦法律规定的促进残疾儿童与非残疾儿童组成混合小组的要求</w:t>
      </w:r>
      <w:r>
        <w:rPr>
          <w:rFonts w:hint="eastAsia"/>
          <w:lang w:val="en-GB"/>
        </w:rPr>
        <w:t>(</w:t>
      </w:r>
      <w:r>
        <w:rPr>
          <w:rFonts w:hint="eastAsia"/>
          <w:lang w:val="en-GB"/>
        </w:rPr>
        <w:t>《社会法典》第八部第</w:t>
      </w:r>
      <w:r>
        <w:rPr>
          <w:lang w:val="en-GB"/>
        </w:rPr>
        <w:t>22a</w:t>
      </w:r>
      <w:r>
        <w:rPr>
          <w:rFonts w:hint="eastAsia"/>
          <w:lang w:val="en-GB"/>
        </w:rPr>
        <w:t>条第</w:t>
      </w:r>
      <w:r>
        <w:rPr>
          <w:rFonts w:hint="eastAsia"/>
          <w:lang w:val="en-GB"/>
        </w:rPr>
        <w:t>4</w:t>
      </w:r>
      <w:r>
        <w:rPr>
          <w:rFonts w:hint="eastAsia"/>
          <w:lang w:val="en-GB"/>
        </w:rPr>
        <w:t>款</w:t>
      </w:r>
      <w:r>
        <w:rPr>
          <w:rFonts w:hint="eastAsia"/>
          <w:lang w:val="en-GB"/>
        </w:rPr>
        <w:t>)</w:t>
      </w:r>
      <w:r>
        <w:rPr>
          <w:rFonts w:hint="eastAsia"/>
          <w:lang w:val="en-GB"/>
        </w:rPr>
        <w:t>。汉诺威市的“儿童乐园”项目，为这种举措提供了一个模式。在这个项目中，将在</w:t>
      </w:r>
      <w:r>
        <w:rPr>
          <w:rFonts w:hint="eastAsia"/>
          <w:lang w:val="en-GB"/>
        </w:rPr>
        <w:t>2011</w:t>
      </w:r>
      <w:r>
        <w:rPr>
          <w:rFonts w:hint="eastAsia"/>
          <w:lang w:val="en-GB"/>
        </w:rPr>
        <w:t>年底，建成国家的从</w:t>
      </w:r>
      <w:r>
        <w:rPr>
          <w:lang w:val="en-GB"/>
        </w:rPr>
        <w:t>幼童</w:t>
      </w:r>
      <w:r>
        <w:rPr>
          <w:rFonts w:hint="eastAsia"/>
          <w:lang w:val="en-GB"/>
        </w:rPr>
        <w:t>班组到托儿所不间断地按照</w:t>
      </w:r>
      <w:r>
        <w:rPr>
          <w:lang w:val="en-GB"/>
        </w:rPr>
        <w:t>包容</w:t>
      </w:r>
      <w:r>
        <w:rPr>
          <w:rFonts w:hint="eastAsia"/>
          <w:lang w:val="en-GB"/>
        </w:rPr>
        <w:t>原则运行的第一所幼儿园。换句话说，在这所幼儿园中，对没有残疾的儿童与有肢体、精神及心理残疾的儿童放在一起照顾。</w:t>
      </w:r>
      <w:r>
        <w:rPr>
          <w:rStyle w:val="FootnoteReference"/>
        </w:rPr>
        <w:footnoteReference w:id="22"/>
      </w:r>
    </w:p>
    <w:p w:rsidR="00334AE2" w:rsidRDefault="00334AE2">
      <w:pPr>
        <w:pStyle w:val="SingleTxtGC"/>
        <w:rPr>
          <w:rStyle w:val="FootnoteReference"/>
          <w:color w:val="auto"/>
          <w:vertAlign w:val="baseline"/>
        </w:rPr>
      </w:pPr>
      <w:r>
        <w:rPr>
          <w:lang w:val="en-GB"/>
        </w:rPr>
        <w:t xml:space="preserve">51.  </w:t>
      </w:r>
      <w:r>
        <w:rPr>
          <w:rFonts w:hint="eastAsia"/>
          <w:lang w:val="en-GB"/>
        </w:rPr>
        <w:t>在德国，所有儿童都有权享有现有的最高水平的医疗保健，利用治疗疾病设施，以及恢复健康。在这方面，各州所有的促进和协助方案，都必须符合融合观念，不允许任何边缘化。在所有的规划和决策过程中，都减少了性别、语言、地位及隔离</w:t>
      </w:r>
      <w:r>
        <w:rPr>
          <w:rFonts w:cs="SimHei" w:hint="eastAsia"/>
          <w:lang w:val="en-GB"/>
        </w:rPr>
        <w:t>障碍，都考虑到残疾儿童和残疾青少年的情况</w:t>
      </w:r>
      <w:r>
        <w:rPr>
          <w:rFonts w:cs="SimHei" w:hint="eastAsia"/>
          <w:lang w:val="en-GB"/>
        </w:rPr>
        <w:t>(</w:t>
      </w:r>
      <w:r>
        <w:rPr>
          <w:rFonts w:cs="SimHei" w:hint="eastAsia"/>
          <w:lang w:val="en-GB"/>
        </w:rPr>
        <w:t>将残疾问题主流化</w:t>
      </w:r>
      <w:r>
        <w:rPr>
          <w:rFonts w:cs="SimHei" w:hint="eastAsia"/>
          <w:lang w:val="en-GB"/>
        </w:rPr>
        <w:t>)</w:t>
      </w:r>
      <w:r>
        <w:rPr>
          <w:rFonts w:cs="SimHei" w:hint="eastAsia"/>
          <w:lang w:val="en-GB"/>
        </w:rPr>
        <w:t>。在德国，根据</w:t>
      </w:r>
      <w:r>
        <w:rPr>
          <w:lang w:val="en-GB"/>
        </w:rPr>
        <w:t>《社会法典》</w:t>
      </w:r>
      <w:r>
        <w:rPr>
          <w:rFonts w:hint="eastAsia"/>
          <w:lang w:val="en-GB"/>
        </w:rPr>
        <w:t>第七部第</w:t>
      </w:r>
      <w:r>
        <w:rPr>
          <w:rFonts w:hint="eastAsia"/>
          <w:lang w:val="en-GB"/>
        </w:rPr>
        <w:t>53</w:t>
      </w:r>
      <w:r>
        <w:rPr>
          <w:rFonts w:hint="eastAsia"/>
          <w:lang w:val="en-GB"/>
        </w:rPr>
        <w:t>条、</w:t>
      </w:r>
      <w:r>
        <w:rPr>
          <w:lang w:val="en-GB"/>
        </w:rPr>
        <w:t>《社会法典》</w:t>
      </w:r>
      <w:r>
        <w:rPr>
          <w:rFonts w:hint="eastAsia"/>
          <w:lang w:val="en-GB"/>
        </w:rPr>
        <w:t>第八部第</w:t>
      </w:r>
      <w:r>
        <w:rPr>
          <w:lang w:val="en-GB"/>
        </w:rPr>
        <w:t>35a</w:t>
      </w:r>
      <w:r>
        <w:rPr>
          <w:rFonts w:hint="eastAsia"/>
          <w:lang w:val="en-GB"/>
        </w:rPr>
        <w:t>条或《联邦战争受害者救济法》第</w:t>
      </w:r>
      <w:r>
        <w:rPr>
          <w:rFonts w:hint="eastAsia"/>
          <w:lang w:val="en-GB"/>
        </w:rPr>
        <w:t>27d</w:t>
      </w:r>
      <w:r>
        <w:rPr>
          <w:rFonts w:hint="eastAsia"/>
          <w:lang w:val="en-GB"/>
        </w:rPr>
        <w:t>条，残疾儿童和残疾青少年，可以根据残疾类型，领取融入协助津贴，以促进他们自主和平等地参与社会生活，避免或减轻不利处境。</w:t>
      </w:r>
      <w:r>
        <w:rPr>
          <w:rStyle w:val="FootnoteReference"/>
        </w:rPr>
        <w:footnoteReference w:id="23"/>
      </w:r>
    </w:p>
    <w:p w:rsidR="00334AE2" w:rsidRDefault="00334AE2">
      <w:pPr>
        <w:pStyle w:val="SingleTxtGC"/>
        <w:rPr>
          <w:lang w:val="en-GB"/>
        </w:rPr>
      </w:pPr>
      <w:r>
        <w:rPr>
          <w:lang w:val="en-GB"/>
        </w:rPr>
        <w:t xml:space="preserve">52.  </w:t>
      </w:r>
      <w:r>
        <w:rPr>
          <w:rFonts w:hint="eastAsia"/>
          <w:lang w:val="en-GB"/>
        </w:rPr>
        <w:t>更重要的是，残疾儿童和处于残疾风险的儿童，从出生到开始上学期间，有权享有早期</w:t>
      </w:r>
      <w:r>
        <w:rPr>
          <w:lang w:val="en-GB"/>
        </w:rPr>
        <w:t>促进</w:t>
      </w:r>
      <w:r>
        <w:rPr>
          <w:rFonts w:hint="eastAsia"/>
          <w:lang w:val="en-GB"/>
        </w:rPr>
        <w:t>。根据《社会法典》第九部第</w:t>
      </w:r>
      <w:r>
        <w:rPr>
          <w:rFonts w:hint="eastAsia"/>
          <w:lang w:val="en-GB"/>
        </w:rPr>
        <w:t>30</w:t>
      </w:r>
      <w:r>
        <w:rPr>
          <w:rFonts w:hint="eastAsia"/>
          <w:lang w:val="en-GB"/>
        </w:rPr>
        <w:t>条第</w:t>
      </w:r>
      <w:r>
        <w:rPr>
          <w:rFonts w:hint="eastAsia"/>
          <w:lang w:val="en-GB"/>
        </w:rPr>
        <w:t>1</w:t>
      </w:r>
      <w:r>
        <w:rPr>
          <w:rFonts w:hint="eastAsia"/>
          <w:lang w:val="en-GB"/>
        </w:rPr>
        <w:t>款第</w:t>
      </w:r>
      <w:r>
        <w:rPr>
          <w:rFonts w:hint="eastAsia"/>
          <w:lang w:val="en-GB"/>
        </w:rPr>
        <w:t>2</w:t>
      </w:r>
      <w:r>
        <w:rPr>
          <w:rFonts w:hint="eastAsia"/>
          <w:lang w:val="en-GB"/>
        </w:rPr>
        <w:t>句，连同《早期促进条例》</w:t>
      </w:r>
      <w:r>
        <w:rPr>
          <w:lang w:val="en-GB"/>
        </w:rPr>
        <w:t>(</w:t>
      </w:r>
      <w:r>
        <w:rPr>
          <w:i/>
          <w:iCs/>
          <w:lang w:val="en-GB"/>
        </w:rPr>
        <w:t>Frühförderungsverordnung</w:t>
      </w:r>
      <w:r>
        <w:rPr>
          <w:lang w:val="en-GB"/>
        </w:rPr>
        <w:t>)</w:t>
      </w:r>
      <w:r>
        <w:rPr>
          <w:rFonts w:hint="eastAsia"/>
          <w:lang w:val="en-GB"/>
        </w:rPr>
        <w:t>，以</w:t>
      </w:r>
      <w:r>
        <w:rPr>
          <w:lang w:val="en-GB"/>
        </w:rPr>
        <w:t>跨领域</w:t>
      </w:r>
      <w:r>
        <w:rPr>
          <w:rFonts w:hint="eastAsia"/>
          <w:lang w:val="en-GB"/>
        </w:rPr>
        <w:t>综合补贴形式，进行早期</w:t>
      </w:r>
      <w:r>
        <w:rPr>
          <w:lang w:val="en-GB"/>
        </w:rPr>
        <w:t>促进</w:t>
      </w:r>
      <w:r>
        <w:rPr>
          <w:rFonts w:hint="eastAsia"/>
          <w:lang w:val="en-GB"/>
        </w:rPr>
        <w:t>。为需要医学治疗补贴和医疗教学补贴的儿童，从一个机构提供这两种类型的补贴，并刻意将家庭环境包括进来。受影响的残疾儿童的家长和残疾人协会多次指出，在早期促进方面，主管康复服务机构</w:t>
      </w:r>
      <w:r>
        <w:rPr>
          <w:rFonts w:hint="eastAsia"/>
          <w:lang w:val="en-GB"/>
        </w:rPr>
        <w:t>(</w:t>
      </w:r>
      <w:r>
        <w:rPr>
          <w:rFonts w:hint="eastAsia"/>
          <w:lang w:val="en-GB"/>
        </w:rPr>
        <w:t>医疗保险基金会与社会协助机构</w:t>
      </w:r>
      <w:r>
        <w:rPr>
          <w:rFonts w:hint="eastAsia"/>
          <w:lang w:val="en-GB"/>
        </w:rPr>
        <w:t>)</w:t>
      </w:r>
      <w:r>
        <w:rPr>
          <w:rFonts w:hint="eastAsia"/>
          <w:lang w:val="en-GB"/>
        </w:rPr>
        <w:t>之间在实施早期促进补贴上，存在能力和资金问题。</w:t>
      </w:r>
    </w:p>
    <w:p w:rsidR="00334AE2" w:rsidRDefault="00334AE2">
      <w:pPr>
        <w:pStyle w:val="SingleTxtGC"/>
        <w:rPr>
          <w:lang w:val="en-GB"/>
        </w:rPr>
      </w:pPr>
      <w:r>
        <w:rPr>
          <w:lang w:val="en-GB"/>
        </w:rPr>
        <w:t xml:space="preserve">53.  </w:t>
      </w:r>
      <w:r>
        <w:rPr>
          <w:rFonts w:hint="eastAsia"/>
          <w:lang w:val="en-GB"/>
        </w:rPr>
        <w:t>在德国，联邦</w:t>
      </w:r>
      <w:r>
        <w:rPr>
          <w:rFonts w:hint="eastAsia"/>
          <w:spacing w:val="-50"/>
          <w:lang w:val="en-GB"/>
        </w:rPr>
        <w:t>―</w:t>
      </w:r>
      <w:r>
        <w:rPr>
          <w:rFonts w:hint="eastAsia"/>
          <w:lang w:val="en-GB"/>
        </w:rPr>
        <w:t>―州联席会议工作小组，正在讨论对儿童和青少年社会援助制度进行根本性重组，全国城市协会和联邦区域社会援助机构协会参与了这个小组。为了儿童和青少年的</w:t>
      </w:r>
      <w:r>
        <w:rPr>
          <w:lang w:val="en-GB"/>
        </w:rPr>
        <w:t>爱幼的</w:t>
      </w:r>
      <w:r>
        <w:rPr>
          <w:rFonts w:hint="eastAsia"/>
          <w:lang w:val="en-GB"/>
        </w:rPr>
        <w:t>最佳的促进和照顾利益，也将在关于残疾儿童和残疾青少年的讨论框架之内，对德国援助系统进行重组。在重组中，将特别审查从前关于促进有精神残疾的儿童和青少年</w:t>
      </w:r>
      <w:r>
        <w:rPr>
          <w:rFonts w:hint="eastAsia"/>
          <w:lang w:val="en-GB"/>
        </w:rPr>
        <w:t>(</w:t>
      </w:r>
      <w:r>
        <w:rPr>
          <w:rFonts w:hint="eastAsia"/>
          <w:lang w:val="en-GB"/>
        </w:rPr>
        <w:t>儿童和青少年援助</w:t>
      </w:r>
      <w:r>
        <w:rPr>
          <w:rFonts w:hint="eastAsia"/>
          <w:lang w:val="en-GB"/>
        </w:rPr>
        <w:t>)</w:t>
      </w:r>
      <w:r>
        <w:rPr>
          <w:rFonts w:hint="eastAsia"/>
          <w:lang w:val="en-GB"/>
        </w:rPr>
        <w:t>和有精神和</w:t>
      </w:r>
      <w:r>
        <w:rPr>
          <w:rFonts w:hint="eastAsia"/>
          <w:lang w:val="en-GB"/>
        </w:rPr>
        <w:t>(</w:t>
      </w:r>
      <w:r>
        <w:rPr>
          <w:rFonts w:hint="eastAsia"/>
          <w:lang w:val="en-GB"/>
        </w:rPr>
        <w:t>或</w:t>
      </w:r>
      <w:r>
        <w:rPr>
          <w:rFonts w:hint="eastAsia"/>
          <w:lang w:val="en-GB"/>
        </w:rPr>
        <w:t>)</w:t>
      </w:r>
      <w:r>
        <w:rPr>
          <w:rFonts w:hint="eastAsia"/>
          <w:lang w:val="en-GB"/>
        </w:rPr>
        <w:t>肢体残疾的儿童和青少年</w:t>
      </w:r>
      <w:r>
        <w:rPr>
          <w:rFonts w:hint="eastAsia"/>
          <w:lang w:val="en-GB"/>
        </w:rPr>
        <w:t>(</w:t>
      </w:r>
      <w:r>
        <w:rPr>
          <w:rFonts w:hint="eastAsia"/>
          <w:lang w:val="en-GB"/>
        </w:rPr>
        <w:t>社会援助</w:t>
      </w:r>
      <w:r>
        <w:rPr>
          <w:rFonts w:hint="eastAsia"/>
          <w:lang w:val="en-GB"/>
        </w:rPr>
        <w:t>)</w:t>
      </w:r>
      <w:r>
        <w:rPr>
          <w:rFonts w:hint="eastAsia"/>
          <w:lang w:val="en-GB"/>
        </w:rPr>
        <w:t>的职责分配。就观念而言，这是一个克服职责分配中的</w:t>
      </w:r>
      <w:r>
        <w:rPr>
          <w:lang w:val="en-GB"/>
        </w:rPr>
        <w:t>偏差</w:t>
      </w:r>
      <w:r>
        <w:rPr>
          <w:rFonts w:hint="eastAsia"/>
          <w:lang w:val="en-GB"/>
        </w:rPr>
        <w:t>的问题，将根据联邦、各州及地方当局形成的共识</w:t>
      </w:r>
      <w:r>
        <w:rPr>
          <w:rFonts w:hint="eastAsia"/>
          <w:lang w:val="en-GB"/>
        </w:rPr>
        <w:t>(</w:t>
      </w:r>
      <w:r>
        <w:rPr>
          <w:bCs/>
          <w:lang w:val="en-GB"/>
        </w:rPr>
        <w:t>《社会法典》</w:t>
      </w:r>
      <w:r>
        <w:rPr>
          <w:rFonts w:hint="eastAsia"/>
          <w:lang w:val="en-GB"/>
        </w:rPr>
        <w:t>第八部“盛大解决方案”</w:t>
      </w:r>
      <w:r>
        <w:rPr>
          <w:rFonts w:hint="eastAsia"/>
          <w:lang w:val="en-GB"/>
        </w:rPr>
        <w:t>)</w:t>
      </w:r>
      <w:r>
        <w:rPr>
          <w:rFonts w:hint="eastAsia"/>
          <w:lang w:val="en-GB"/>
        </w:rPr>
        <w:t>，在</w:t>
      </w:r>
      <w:r>
        <w:rPr>
          <w:bCs/>
          <w:lang w:val="en-GB"/>
        </w:rPr>
        <w:t>《社会法典》</w:t>
      </w:r>
      <w:r>
        <w:rPr>
          <w:rFonts w:hint="eastAsia"/>
          <w:bCs/>
          <w:lang w:val="en-GB"/>
        </w:rPr>
        <w:t>第八部</w:t>
      </w:r>
      <w:r>
        <w:rPr>
          <w:rFonts w:hint="eastAsia"/>
          <w:lang w:val="en-GB"/>
        </w:rPr>
        <w:t>(</w:t>
      </w:r>
      <w:r>
        <w:rPr>
          <w:rFonts w:hint="eastAsia"/>
          <w:lang w:val="en-GB"/>
        </w:rPr>
        <w:t>儿童和青年援助</w:t>
      </w:r>
      <w:r>
        <w:rPr>
          <w:rFonts w:hint="eastAsia"/>
          <w:lang w:val="en-GB"/>
        </w:rPr>
        <w:t>)</w:t>
      </w:r>
      <w:r>
        <w:rPr>
          <w:rFonts w:hint="eastAsia"/>
          <w:lang w:val="en-GB"/>
        </w:rPr>
        <w:t>总括规定之下，将残疾儿童和残疾青少年的融入援助结合起来。</w:t>
      </w:r>
    </w:p>
    <w:p w:rsidR="00334AE2" w:rsidRDefault="00334AE2">
      <w:pPr>
        <w:pStyle w:val="SingleTxtGC"/>
        <w:rPr>
          <w:lang w:val="en-GB"/>
        </w:rPr>
      </w:pPr>
      <w:r>
        <w:rPr>
          <w:lang w:val="en-GB"/>
        </w:rPr>
        <w:t xml:space="preserve">54.  </w:t>
      </w:r>
      <w:r>
        <w:rPr>
          <w:rFonts w:hint="eastAsia"/>
          <w:lang w:val="en-GB"/>
        </w:rPr>
        <w:t>此外，还有旨在实现处境不利的青少年的融入与包容的其他举措。例如，联邦家庭事务、老年公民、妇女和青年事务部</w:t>
      </w:r>
      <w:r>
        <w:rPr>
          <w:rFonts w:hint="eastAsia"/>
          <w:lang w:val="en-GB"/>
        </w:rPr>
        <w:t>2009</w:t>
      </w:r>
      <w:r>
        <w:rPr>
          <w:rFonts w:hint="eastAsia"/>
          <w:lang w:val="en-GB"/>
        </w:rPr>
        <w:t>年</w:t>
      </w:r>
      <w:r>
        <w:rPr>
          <w:rFonts w:hint="eastAsia"/>
          <w:lang w:val="en-GB"/>
        </w:rPr>
        <w:t>6</w:t>
      </w:r>
      <w:r>
        <w:rPr>
          <w:rFonts w:hint="eastAsia"/>
          <w:lang w:val="en-GB"/>
        </w:rPr>
        <w:t>月</w:t>
      </w:r>
      <w:r>
        <w:rPr>
          <w:rFonts w:hint="eastAsia"/>
          <w:lang w:val="en-GB"/>
        </w:rPr>
        <w:t>15</w:t>
      </w:r>
      <w:r>
        <w:rPr>
          <w:rFonts w:hint="eastAsia"/>
          <w:lang w:val="en-GB"/>
        </w:rPr>
        <w:t>日启动了题为“</w:t>
      </w:r>
      <w:r>
        <w:rPr>
          <w:lang w:val="en-GB"/>
        </w:rPr>
        <w:t>支持</w:t>
      </w:r>
      <w:r>
        <w:rPr>
          <w:rFonts w:hint="eastAsia"/>
          <w:lang w:val="en-GB"/>
        </w:rPr>
        <w:t>青年人”</w:t>
      </w:r>
      <w:r>
        <w:rPr>
          <w:rFonts w:hint="eastAsia"/>
          <w:lang w:val="en-GB"/>
        </w:rPr>
        <w:t>(</w:t>
      </w:r>
      <w:r>
        <w:rPr>
          <w:i/>
          <w:iCs/>
          <w:lang w:val="en-GB"/>
        </w:rPr>
        <w:t>JUGEND</w:t>
      </w:r>
      <w:r>
        <w:rPr>
          <w:rFonts w:hint="eastAsia"/>
          <w:i/>
          <w:iCs/>
          <w:lang w:val="en-GB"/>
        </w:rPr>
        <w:t xml:space="preserve"> </w:t>
      </w:r>
      <w:r>
        <w:rPr>
          <w:i/>
          <w:iCs/>
          <w:lang w:val="en-GB"/>
        </w:rPr>
        <w:t>STÄRKEN</w:t>
      </w:r>
      <w:r>
        <w:rPr>
          <w:rFonts w:hint="eastAsia"/>
          <w:lang w:val="en-GB"/>
        </w:rPr>
        <w:t>)</w:t>
      </w:r>
      <w:r>
        <w:rPr>
          <w:rFonts w:hint="eastAsia"/>
          <w:lang w:val="en-GB"/>
        </w:rPr>
        <w:t>的举措。随着这一举措的实施，联邦家庭事务、老年公民、妇女和青年事务部将把为有移民背景的弱势儿童、青少年和年轻人融入社会而组织的活动捆绑在一起，并将它们扩大。</w:t>
      </w:r>
    </w:p>
    <w:p w:rsidR="00334AE2" w:rsidRDefault="00334AE2">
      <w:pPr>
        <w:pStyle w:val="SingleTxtGC"/>
        <w:rPr>
          <w:lang w:val="en-GB"/>
        </w:rPr>
      </w:pPr>
      <w:r>
        <w:rPr>
          <w:lang w:val="en-GB"/>
        </w:rPr>
        <w:t xml:space="preserve">55.  </w:t>
      </w:r>
      <w:r>
        <w:rPr>
          <w:rFonts w:hint="eastAsia"/>
          <w:lang w:val="en-GB"/>
        </w:rPr>
        <w:t>使儿童和青少年能够参与，而不被用作实现政治目标的工具。因此，从</w:t>
      </w:r>
      <w:r>
        <w:rPr>
          <w:rFonts w:hint="eastAsia"/>
          <w:lang w:val="en-GB"/>
        </w:rPr>
        <w:t>2013</w:t>
      </w:r>
      <w:r>
        <w:rPr>
          <w:rFonts w:hint="eastAsia"/>
          <w:lang w:val="en-GB"/>
        </w:rPr>
        <w:t>年起，联邦政府将与协会一起，制订残疾儿童和残疾青少年直接参与概念</w:t>
      </w:r>
      <w:r>
        <w:rPr>
          <w:rFonts w:hint="eastAsia"/>
          <w:lang w:val="en-GB"/>
        </w:rPr>
        <w:t>(</w:t>
      </w:r>
      <w:r>
        <w:rPr>
          <w:rFonts w:hint="eastAsia"/>
          <w:lang w:val="en-GB"/>
        </w:rPr>
        <w:t>例如，定期儿童和青年议会</w:t>
      </w:r>
      <w:r>
        <w:rPr>
          <w:rFonts w:hint="eastAsia"/>
          <w:lang w:val="en-GB"/>
        </w:rPr>
        <w:t>)</w:t>
      </w:r>
      <w:r>
        <w:rPr>
          <w:rFonts w:hint="eastAsia"/>
          <w:lang w:val="en-GB"/>
        </w:rPr>
        <w:t>。</w:t>
      </w:r>
    </w:p>
    <w:p w:rsidR="00334AE2" w:rsidRDefault="00334AE2">
      <w:pPr>
        <w:pStyle w:val="H1GC"/>
        <w:rPr>
          <w:lang w:val="en-GB"/>
        </w:rPr>
      </w:pPr>
      <w:bookmarkStart w:id="9" w:name="_Toc303932220"/>
      <w:r>
        <w:rPr>
          <w:lang w:val="en-GB"/>
        </w:rPr>
        <w:tab/>
      </w:r>
      <w:r>
        <w:rPr>
          <w:lang w:val="en-GB"/>
        </w:rPr>
        <w:tab/>
      </w:r>
      <w:bookmarkEnd w:id="9"/>
      <w:r>
        <w:rPr>
          <w:rFonts w:hint="eastAsia"/>
          <w:lang w:val="en-GB"/>
        </w:rPr>
        <w:t>第八条</w:t>
      </w:r>
      <w:r>
        <w:rPr>
          <w:rFonts w:hint="eastAsia"/>
          <w:lang w:val="en-GB"/>
        </w:rPr>
        <w:br/>
      </w:r>
      <w:r>
        <w:rPr>
          <w:rFonts w:hint="eastAsia"/>
          <w:lang w:val="en-GB"/>
        </w:rPr>
        <w:t>提高认识</w:t>
      </w:r>
    </w:p>
    <w:p w:rsidR="00334AE2" w:rsidRDefault="00334AE2">
      <w:pPr>
        <w:pStyle w:val="SingleTxtGC"/>
        <w:rPr>
          <w:lang w:val="en-GB"/>
        </w:rPr>
      </w:pPr>
      <w:r>
        <w:rPr>
          <w:lang w:val="en-GB"/>
        </w:rPr>
        <w:t xml:space="preserve">56.  </w:t>
      </w:r>
      <w:r>
        <w:rPr>
          <w:rFonts w:hint="eastAsia"/>
          <w:lang w:val="en-GB"/>
        </w:rPr>
        <w:t>《社会法典》第九部、《残疾人平等机会法》及</w:t>
      </w:r>
      <w:r>
        <w:rPr>
          <w:lang w:val="en-GB"/>
        </w:rPr>
        <w:t>《普遍反歧视法》</w:t>
      </w:r>
      <w:r>
        <w:rPr>
          <w:rFonts w:hint="eastAsia"/>
          <w:lang w:val="en-GB"/>
        </w:rPr>
        <w:t>，都</w:t>
      </w:r>
      <w:r>
        <w:rPr>
          <w:lang w:val="en-GB"/>
        </w:rPr>
        <w:t>有助于</w:t>
      </w:r>
      <w:r>
        <w:rPr>
          <w:rFonts w:hint="eastAsia"/>
          <w:lang w:val="en-GB"/>
        </w:rPr>
        <w:t>改进避免残疾人陷入不利处境的框架。法规为实现残疾人充分参与我们的社会生活的目标，作出了重大贡献。此外，需要改变我们的社会对残疾人的态度。</w:t>
      </w:r>
    </w:p>
    <w:p w:rsidR="00334AE2" w:rsidRDefault="00334AE2">
      <w:pPr>
        <w:pStyle w:val="SingleTxtGC"/>
        <w:rPr>
          <w:lang w:val="en-GB"/>
        </w:rPr>
      </w:pPr>
      <w:r>
        <w:rPr>
          <w:lang w:val="en-GB"/>
        </w:rPr>
        <w:t xml:space="preserve">57.  </w:t>
      </w:r>
      <w:r>
        <w:rPr>
          <w:rFonts w:hint="eastAsia"/>
          <w:lang w:val="en-GB"/>
        </w:rPr>
        <w:t>2003</w:t>
      </w:r>
      <w:r>
        <w:rPr>
          <w:rFonts w:hint="eastAsia"/>
          <w:lang w:val="en-GB"/>
        </w:rPr>
        <w:t>年欧洲残疾人年，有助于向欧洲联盟会员国指出残疾的异质性和多样性，有助于提高公众对残疾人有关事项的认识。</w:t>
      </w:r>
      <w:r>
        <w:rPr>
          <w:rFonts w:hint="eastAsia"/>
          <w:lang w:val="en-GB"/>
        </w:rPr>
        <w:t>2003</w:t>
      </w:r>
      <w:r>
        <w:rPr>
          <w:rFonts w:hint="eastAsia"/>
          <w:lang w:val="en-GB"/>
        </w:rPr>
        <w:t>年欧洲晴雨表调查显示，通过成员国实施的举措，</w:t>
      </w:r>
      <w:r>
        <w:rPr>
          <w:rFonts w:hint="eastAsia"/>
          <w:lang w:val="en-GB"/>
        </w:rPr>
        <w:t>59%</w:t>
      </w:r>
      <w:r>
        <w:rPr>
          <w:rFonts w:hint="eastAsia"/>
          <w:lang w:val="en-GB"/>
        </w:rPr>
        <w:t>的公民对残疾人的利益有了更多的了解。德国充分利用欧洲年，激发讨论，为改变提供动力和支持。由此引发的</w:t>
      </w:r>
      <w:r>
        <w:rPr>
          <w:lang w:val="en-GB"/>
        </w:rPr>
        <w:t>动力</w:t>
      </w:r>
      <w:r>
        <w:rPr>
          <w:rFonts w:hint="eastAsia"/>
          <w:lang w:val="en-GB"/>
        </w:rPr>
        <w:t>，持续到</w:t>
      </w:r>
      <w:r>
        <w:rPr>
          <w:rFonts w:hint="eastAsia"/>
          <w:lang w:val="en-GB"/>
        </w:rPr>
        <w:t>2003</w:t>
      </w:r>
      <w:r>
        <w:rPr>
          <w:rFonts w:hint="eastAsia"/>
          <w:lang w:val="en-GB"/>
        </w:rPr>
        <w:t>年以后。欧洲年有助于大大加强联邦政府在残疾人政策领域中的公关工作：</w:t>
      </w:r>
    </w:p>
    <w:p w:rsidR="00334AE2" w:rsidRDefault="00334AE2">
      <w:pPr>
        <w:pStyle w:val="SingleTxtGC"/>
        <w:numPr>
          <w:ilvl w:val="0"/>
          <w:numId w:val="19"/>
        </w:numPr>
        <w:ind w:left="1134"/>
        <w:rPr>
          <w:lang w:val="en-GB"/>
        </w:rPr>
      </w:pPr>
      <w:r>
        <w:rPr>
          <w:rFonts w:hint="eastAsia"/>
          <w:lang w:val="en-GB"/>
        </w:rPr>
        <w:t>联邦家庭事务、老年公民、妇女和青年事务部推动题为“痴呆症指南”</w:t>
      </w:r>
      <w:r>
        <w:rPr>
          <w:rFonts w:hint="eastAsia"/>
          <w:lang w:val="en-GB"/>
        </w:rPr>
        <w:t>(</w:t>
      </w:r>
      <w:r>
        <w:rPr>
          <w:i/>
          <w:iCs/>
          <w:lang w:val="en-GB"/>
        </w:rPr>
        <w:t>Wegweiser</w:t>
      </w:r>
      <w:r>
        <w:rPr>
          <w:rFonts w:hint="eastAsia"/>
          <w:i/>
          <w:iCs/>
          <w:lang w:val="en-GB"/>
        </w:rPr>
        <w:t xml:space="preserve"> </w:t>
      </w:r>
      <w:r>
        <w:rPr>
          <w:i/>
          <w:iCs/>
          <w:lang w:val="en-GB"/>
        </w:rPr>
        <w:t>Demenz</w:t>
      </w:r>
      <w:r>
        <w:rPr>
          <w:rFonts w:hint="eastAsia"/>
          <w:lang w:val="en-GB"/>
        </w:rPr>
        <w:t>)</w:t>
      </w:r>
      <w:r>
        <w:rPr>
          <w:rFonts w:hint="eastAsia"/>
          <w:lang w:val="en-GB"/>
        </w:rPr>
        <w:t>的因特网门户网站。它将向社会介绍关于痴呆症的知识和减少</w:t>
      </w:r>
      <w:r>
        <w:rPr>
          <w:lang w:val="en-GB"/>
        </w:rPr>
        <w:t>抑制</w:t>
      </w:r>
      <w:r>
        <w:rPr>
          <w:rFonts w:hint="eastAsia"/>
          <w:lang w:val="en-GB"/>
        </w:rPr>
        <w:t>的能力。可以通过论坛和博客交流经验；</w:t>
      </w:r>
    </w:p>
    <w:p w:rsidR="00334AE2" w:rsidRDefault="00334AE2">
      <w:pPr>
        <w:pStyle w:val="SingleTxtGC"/>
        <w:numPr>
          <w:ilvl w:val="0"/>
          <w:numId w:val="19"/>
        </w:numPr>
        <w:ind w:left="1134"/>
        <w:rPr>
          <w:lang w:val="en-GB"/>
        </w:rPr>
      </w:pPr>
      <w:r>
        <w:rPr>
          <w:rFonts w:hint="eastAsia"/>
          <w:lang w:val="en-GB"/>
        </w:rPr>
        <w:t>自</w:t>
      </w:r>
      <w:r>
        <w:rPr>
          <w:rFonts w:hint="eastAsia"/>
          <w:lang w:val="en-GB"/>
        </w:rPr>
        <w:t>2008</w:t>
      </w:r>
      <w:r>
        <w:rPr>
          <w:rFonts w:hint="eastAsia"/>
          <w:lang w:val="en-GB"/>
        </w:rPr>
        <w:t>年以来，联邦卫生部一直在推动建立精神卫生行动联盟。有</w:t>
      </w:r>
      <w:r>
        <w:rPr>
          <w:rFonts w:hint="eastAsia"/>
          <w:lang w:val="en-GB"/>
        </w:rPr>
        <w:t>70</w:t>
      </w:r>
      <w:r>
        <w:rPr>
          <w:rFonts w:hint="eastAsia"/>
          <w:lang w:val="en-GB"/>
        </w:rPr>
        <w:t>个协会通过建立行动联盟，实施旨在向公众提供心理疾病信息和减少</w:t>
      </w:r>
      <w:r>
        <w:rPr>
          <w:lang w:val="en-GB"/>
        </w:rPr>
        <w:t>歧视</w:t>
      </w:r>
      <w:r>
        <w:rPr>
          <w:rFonts w:hint="eastAsia"/>
          <w:lang w:val="en-GB"/>
        </w:rPr>
        <w:t>的举措；</w:t>
      </w:r>
    </w:p>
    <w:p w:rsidR="00334AE2" w:rsidRDefault="00334AE2">
      <w:pPr>
        <w:pStyle w:val="SingleTxtGC"/>
        <w:numPr>
          <w:ilvl w:val="0"/>
          <w:numId w:val="19"/>
        </w:numPr>
        <w:ind w:left="1134"/>
        <w:rPr>
          <w:lang w:val="en-GB"/>
        </w:rPr>
      </w:pPr>
      <w:r>
        <w:rPr>
          <w:rFonts w:hint="eastAsia"/>
          <w:lang w:val="en-GB"/>
        </w:rPr>
        <w:t>2007</w:t>
      </w:r>
      <w:r>
        <w:rPr>
          <w:rFonts w:hint="eastAsia"/>
          <w:lang w:val="en-GB"/>
        </w:rPr>
        <w:t>年，联邦政府开展了关于“个人预算”的广泛宣传活动，以告知残疾人及其亲属“个人预算”提供的机会。</w:t>
      </w:r>
    </w:p>
    <w:p w:rsidR="00334AE2" w:rsidRDefault="00334AE2">
      <w:pPr>
        <w:pStyle w:val="SingleTxtGC"/>
        <w:rPr>
          <w:lang w:val="en-GB"/>
        </w:rPr>
      </w:pPr>
      <w:r>
        <w:rPr>
          <w:lang w:val="en-GB"/>
        </w:rPr>
        <w:t xml:space="preserve">58.  </w:t>
      </w:r>
      <w:r>
        <w:rPr>
          <w:rFonts w:hint="eastAsia"/>
          <w:lang w:val="en-GB"/>
        </w:rPr>
        <w:t>近年来，各州和地方当局及残疾人协会也大大扩展了它们的公关工作。通过就一般残疾问题和《残疾人权利公约》所有核心议题举办范围广泛的公共活动，在因特网上提供信息，公民参与，举行各种各样的大会、专家会议和论坛，提高了公众关于残疾人面临的特别问题的认识。监察机构和民间社会组织也都帮助公众关注《公约》</w:t>
      </w:r>
      <w:r>
        <w:rPr>
          <w:rStyle w:val="FootnoteReference"/>
        </w:rPr>
        <w:footnoteReference w:id="24"/>
      </w:r>
      <w:r>
        <w:rPr>
          <w:rFonts w:hint="eastAsia"/>
          <w:lang w:val="en-GB"/>
        </w:rPr>
        <w:t>。</w:t>
      </w:r>
    </w:p>
    <w:p w:rsidR="00334AE2" w:rsidRDefault="00334AE2">
      <w:pPr>
        <w:pStyle w:val="SingleTxtGC"/>
        <w:rPr>
          <w:lang w:val="en-GB"/>
        </w:rPr>
      </w:pPr>
      <w:r>
        <w:rPr>
          <w:lang w:val="en-GB"/>
        </w:rPr>
        <w:t xml:space="preserve">59.  </w:t>
      </w:r>
      <w:r>
        <w:rPr>
          <w:rFonts w:hint="eastAsia"/>
          <w:lang w:val="en-GB"/>
        </w:rPr>
        <w:t>联邦、各州和地方当局也</w:t>
      </w:r>
      <w:r>
        <w:rPr>
          <w:lang w:val="en-GB"/>
        </w:rPr>
        <w:t>发行</w:t>
      </w:r>
      <w:r>
        <w:rPr>
          <w:rFonts w:hint="eastAsia"/>
          <w:lang w:val="en-GB"/>
        </w:rPr>
        <w:t>了大量关于残疾人政策</w:t>
      </w:r>
      <w:r>
        <w:rPr>
          <w:lang w:val="en-GB"/>
        </w:rPr>
        <w:t>议题</w:t>
      </w:r>
      <w:r>
        <w:rPr>
          <w:rFonts w:hint="eastAsia"/>
          <w:lang w:val="en-GB"/>
        </w:rPr>
        <w:t>的小册子。残疾人协会也提供关于残疾人和非残疾人的综合信息。联邦劳动和社会事务部公布了《残疾人指南》</w:t>
      </w:r>
      <w:r>
        <w:rPr>
          <w:rFonts w:hint="eastAsia"/>
          <w:lang w:val="en-GB"/>
        </w:rPr>
        <w:t>(</w:t>
      </w:r>
      <w:r>
        <w:rPr>
          <w:i/>
          <w:iCs/>
          <w:lang w:val="en-GB"/>
        </w:rPr>
        <w:t>Ratgeber</w:t>
      </w:r>
      <w:r>
        <w:rPr>
          <w:rFonts w:hint="eastAsia"/>
          <w:i/>
          <w:iCs/>
          <w:lang w:val="en-GB"/>
        </w:rPr>
        <w:t xml:space="preserve"> </w:t>
      </w:r>
      <w:r>
        <w:rPr>
          <w:i/>
          <w:iCs/>
          <w:lang w:val="en-GB"/>
        </w:rPr>
        <w:t>für</w:t>
      </w:r>
      <w:r>
        <w:rPr>
          <w:rFonts w:hint="eastAsia"/>
          <w:i/>
          <w:iCs/>
          <w:lang w:val="en-GB"/>
        </w:rPr>
        <w:t xml:space="preserve"> </w:t>
      </w:r>
      <w:r>
        <w:rPr>
          <w:i/>
          <w:iCs/>
          <w:lang w:val="en-GB"/>
        </w:rPr>
        <w:t>Menschen</w:t>
      </w:r>
      <w:r>
        <w:rPr>
          <w:rFonts w:hint="eastAsia"/>
          <w:i/>
          <w:iCs/>
          <w:lang w:val="en-GB"/>
        </w:rPr>
        <w:t xml:space="preserve"> </w:t>
      </w:r>
      <w:r>
        <w:rPr>
          <w:i/>
          <w:iCs/>
          <w:lang w:val="en-GB"/>
        </w:rPr>
        <w:t>mit</w:t>
      </w:r>
      <w:r>
        <w:rPr>
          <w:rFonts w:hint="eastAsia"/>
          <w:i/>
          <w:iCs/>
          <w:lang w:val="en-GB"/>
        </w:rPr>
        <w:t xml:space="preserve"> </w:t>
      </w:r>
      <w:r>
        <w:rPr>
          <w:i/>
          <w:iCs/>
          <w:lang w:val="en-GB"/>
        </w:rPr>
        <w:t>Behinderung</w:t>
      </w:r>
      <w:r>
        <w:rPr>
          <w:rFonts w:hint="eastAsia"/>
          <w:lang w:val="en-GB"/>
        </w:rPr>
        <w:t>)</w:t>
      </w:r>
      <w:r>
        <w:rPr>
          <w:rFonts w:hint="eastAsia"/>
          <w:lang w:val="en-GB"/>
        </w:rPr>
        <w:t>，这是一个免费的关于残疾议题的标准出版物，其中包含了关于残疾人和非残疾人的综合信息。每年对它进行更新，每年平均有</w:t>
      </w:r>
      <w:r>
        <w:rPr>
          <w:rFonts w:hint="eastAsia"/>
          <w:lang w:val="en-GB"/>
        </w:rPr>
        <w:t>10</w:t>
      </w:r>
      <w:r>
        <w:rPr>
          <w:rFonts w:hint="eastAsia"/>
          <w:lang w:val="en-GB"/>
        </w:rPr>
        <w:t>万次的检索。为了提高对残疾问题和发展合作的认识，联邦经济合作与发展部已出版了各种出版物，譬如，题为《残疾与发展</w:t>
      </w:r>
      <w:r>
        <w:rPr>
          <w:rFonts w:hint="eastAsia"/>
          <w:spacing w:val="-50"/>
          <w:lang w:val="en-GB"/>
        </w:rPr>
        <w:t>―</w:t>
      </w:r>
      <w:r>
        <w:rPr>
          <w:rFonts w:hint="eastAsia"/>
          <w:lang w:val="en-GB"/>
        </w:rPr>
        <w:t>―十问》</w:t>
      </w:r>
      <w:r>
        <w:rPr>
          <w:rFonts w:hint="eastAsia"/>
          <w:lang w:val="en-GB"/>
        </w:rPr>
        <w:t>(</w:t>
      </w:r>
      <w:r>
        <w:rPr>
          <w:i/>
          <w:iCs/>
          <w:lang w:val="en-GB"/>
        </w:rPr>
        <w:t>Behinderung</w:t>
      </w:r>
      <w:r>
        <w:rPr>
          <w:rFonts w:hint="eastAsia"/>
          <w:i/>
          <w:iCs/>
          <w:lang w:val="en-GB"/>
        </w:rPr>
        <w:t xml:space="preserve"> </w:t>
      </w:r>
      <w:r>
        <w:rPr>
          <w:i/>
          <w:iCs/>
          <w:lang w:val="en-GB"/>
        </w:rPr>
        <w:t>und</w:t>
      </w:r>
      <w:r>
        <w:rPr>
          <w:rFonts w:hint="eastAsia"/>
          <w:i/>
          <w:iCs/>
          <w:lang w:val="en-GB"/>
        </w:rPr>
        <w:t xml:space="preserve"> </w:t>
      </w:r>
      <w:r>
        <w:rPr>
          <w:i/>
          <w:iCs/>
          <w:lang w:val="en-GB"/>
        </w:rPr>
        <w:t>Entwicklungszusammenarbeit–10</w:t>
      </w:r>
      <w:r>
        <w:rPr>
          <w:rFonts w:hint="eastAsia"/>
          <w:i/>
          <w:iCs/>
          <w:lang w:val="en-GB"/>
        </w:rPr>
        <w:t xml:space="preserve"> </w:t>
      </w:r>
      <w:r>
        <w:rPr>
          <w:i/>
          <w:iCs/>
          <w:lang w:val="en-GB"/>
        </w:rPr>
        <w:t>mal</w:t>
      </w:r>
      <w:r>
        <w:rPr>
          <w:rFonts w:hint="eastAsia"/>
          <w:i/>
          <w:iCs/>
          <w:lang w:val="en-GB"/>
        </w:rPr>
        <w:t xml:space="preserve"> </w:t>
      </w:r>
      <w:r>
        <w:rPr>
          <w:i/>
          <w:iCs/>
          <w:lang w:val="en-GB"/>
        </w:rPr>
        <w:t>nachgehakt</w:t>
      </w:r>
      <w:r>
        <w:rPr>
          <w:rFonts w:hint="eastAsia"/>
          <w:lang w:val="en-GB"/>
        </w:rPr>
        <w:t>)</w:t>
      </w:r>
      <w:r>
        <w:rPr>
          <w:rFonts w:hint="eastAsia"/>
          <w:lang w:val="en-GB"/>
        </w:rPr>
        <w:t>的手册。</w:t>
      </w:r>
    </w:p>
    <w:p w:rsidR="00334AE2" w:rsidRDefault="00334AE2">
      <w:pPr>
        <w:pStyle w:val="SingleTxtGC"/>
        <w:rPr>
          <w:lang w:val="en-GB"/>
        </w:rPr>
      </w:pPr>
      <w:r>
        <w:rPr>
          <w:lang w:val="en-GB"/>
        </w:rPr>
        <w:t xml:space="preserve">60.  </w:t>
      </w:r>
      <w:r>
        <w:rPr>
          <w:rFonts w:hint="eastAsia"/>
          <w:lang w:val="en-GB"/>
        </w:rPr>
        <w:t>联邦政治教育中心通过举办政治教育活动，促进对政治形势的了解，提高民主意识，促进参加政治进程的意愿。在起草教育措施时，联邦中心以多样性方法为基础。这种方法是指人的身份和隶属关系的多样性和差异，旨在在社会中创建在多样性中的平等和平等机会意识。</w:t>
      </w:r>
    </w:p>
    <w:p w:rsidR="00334AE2" w:rsidRDefault="00334AE2">
      <w:pPr>
        <w:pStyle w:val="SingleTxtGC"/>
        <w:rPr>
          <w:lang w:val="en-GB"/>
        </w:rPr>
      </w:pPr>
      <w:r>
        <w:rPr>
          <w:lang w:val="en-GB"/>
        </w:rPr>
        <w:t xml:space="preserve">61.  </w:t>
      </w:r>
      <w:r>
        <w:rPr>
          <w:rFonts w:hint="eastAsia"/>
          <w:lang w:val="en-GB"/>
        </w:rPr>
        <w:t>为了提高认识，联邦政府也已经举行了一些重大的全国和国际活动和会议：</w:t>
      </w:r>
    </w:p>
    <w:p w:rsidR="00334AE2" w:rsidRDefault="00334AE2">
      <w:pPr>
        <w:pStyle w:val="SingleTxtGC"/>
        <w:numPr>
          <w:ilvl w:val="0"/>
          <w:numId w:val="23"/>
        </w:numPr>
        <w:ind w:left="1134"/>
        <w:rPr>
          <w:lang w:val="en-GB"/>
        </w:rPr>
      </w:pPr>
      <w:r>
        <w:rPr>
          <w:rFonts w:hint="eastAsia"/>
          <w:lang w:val="en-GB"/>
        </w:rPr>
        <w:t>2007</w:t>
      </w:r>
      <w:r>
        <w:rPr>
          <w:rFonts w:hint="eastAsia"/>
          <w:lang w:val="en-GB"/>
        </w:rPr>
        <w:t>年</w:t>
      </w:r>
      <w:r>
        <w:rPr>
          <w:rFonts w:hint="eastAsia"/>
          <w:lang w:val="en-GB"/>
        </w:rPr>
        <w:t>6</w:t>
      </w:r>
      <w:r>
        <w:rPr>
          <w:rFonts w:hint="eastAsia"/>
          <w:lang w:val="en-GB"/>
        </w:rPr>
        <w:t>月，联邦劳动和社会事务部组织了题为“教育、就业、无障碍</w:t>
      </w:r>
      <w:r>
        <w:rPr>
          <w:rFonts w:hint="eastAsia"/>
          <w:spacing w:val="-50"/>
          <w:lang w:val="en-GB"/>
        </w:rPr>
        <w:t>―</w:t>
      </w:r>
      <w:r>
        <w:rPr>
          <w:rFonts w:hint="eastAsia"/>
          <w:lang w:val="en-GB"/>
        </w:rPr>
        <w:t>―使残疾人强大”的关于残疾人融入社会的欧洲会议，政界、行业、协会、研究机构和残疾人等代表参见了会议。除其他目的外，此次会议旨在提高公众对《公约》的认识。</w:t>
      </w:r>
    </w:p>
    <w:p w:rsidR="00334AE2" w:rsidRDefault="00334AE2">
      <w:pPr>
        <w:pStyle w:val="SingleTxtGC"/>
        <w:numPr>
          <w:ilvl w:val="0"/>
          <w:numId w:val="23"/>
        </w:numPr>
        <w:ind w:left="1134"/>
        <w:rPr>
          <w:lang w:val="en-GB"/>
        </w:rPr>
      </w:pPr>
      <w:r>
        <w:rPr>
          <w:rFonts w:hint="eastAsia"/>
          <w:lang w:val="en-GB"/>
        </w:rPr>
        <w:t>2009</w:t>
      </w:r>
      <w:r>
        <w:rPr>
          <w:rFonts w:hint="eastAsia"/>
          <w:lang w:val="en-GB"/>
        </w:rPr>
        <w:t>年</w:t>
      </w:r>
      <w:r>
        <w:rPr>
          <w:rFonts w:hint="eastAsia"/>
          <w:lang w:val="en-GB"/>
        </w:rPr>
        <w:t>5</w:t>
      </w:r>
      <w:r>
        <w:rPr>
          <w:rFonts w:hint="eastAsia"/>
          <w:lang w:val="en-GB"/>
        </w:rPr>
        <w:t>月，联邦劳动和社会事务部举办了题为“团结起来</w:t>
      </w:r>
      <w:r>
        <w:rPr>
          <w:lang w:val="en-GB"/>
        </w:rPr>
        <w:t>实行</w:t>
      </w:r>
      <w:r>
        <w:rPr>
          <w:rFonts w:hint="eastAsia"/>
          <w:lang w:val="en-GB"/>
        </w:rPr>
        <w:t>融合</w:t>
      </w:r>
      <w:r>
        <w:rPr>
          <w:lang w:val="en-GB"/>
        </w:rPr>
        <w:t>教育</w:t>
      </w:r>
      <w:r>
        <w:rPr>
          <w:lang w:val="en-GB"/>
        </w:rPr>
        <w:t>–</w:t>
      </w:r>
      <w:r>
        <w:rPr>
          <w:rFonts w:hint="eastAsia"/>
          <w:lang w:val="en-GB"/>
        </w:rPr>
        <w:t>关于《残疾人权利公约》第</w:t>
      </w:r>
      <w:r>
        <w:rPr>
          <w:rFonts w:hint="eastAsia"/>
          <w:lang w:val="en-GB"/>
        </w:rPr>
        <w:t>24</w:t>
      </w:r>
      <w:r>
        <w:rPr>
          <w:rFonts w:hint="eastAsia"/>
          <w:lang w:val="en-GB"/>
        </w:rPr>
        <w:t>条的全国会议”的专家会议，除了来自学校和职业机构的专家外，残疾人、特别是有残疾的中小学生参加了会议。会议为所有参加者提供了一个就进一步发展包容性学习交流经验的平台；</w:t>
      </w:r>
    </w:p>
    <w:p w:rsidR="00334AE2" w:rsidRDefault="00334AE2">
      <w:pPr>
        <w:pStyle w:val="SingleTxtGC"/>
        <w:numPr>
          <w:ilvl w:val="0"/>
          <w:numId w:val="23"/>
        </w:numPr>
        <w:ind w:left="1134"/>
        <w:rPr>
          <w:lang w:val="en-GB"/>
        </w:rPr>
      </w:pPr>
      <w:r>
        <w:rPr>
          <w:rFonts w:hint="eastAsia"/>
          <w:lang w:val="en-GB"/>
        </w:rPr>
        <w:t>从</w:t>
      </w:r>
      <w:r>
        <w:rPr>
          <w:rFonts w:hint="eastAsia"/>
          <w:lang w:val="en-GB"/>
        </w:rPr>
        <w:t>2009</w:t>
      </w:r>
      <w:r>
        <w:rPr>
          <w:rFonts w:hint="eastAsia"/>
          <w:lang w:val="en-GB"/>
        </w:rPr>
        <w:t>年</w:t>
      </w:r>
      <w:r>
        <w:rPr>
          <w:rFonts w:hint="eastAsia"/>
          <w:lang w:val="en-GB"/>
        </w:rPr>
        <w:t>1</w:t>
      </w:r>
      <w:r>
        <w:rPr>
          <w:rFonts w:hint="eastAsia"/>
          <w:lang w:val="en-GB"/>
        </w:rPr>
        <w:t>月至</w:t>
      </w:r>
      <w:r>
        <w:rPr>
          <w:rFonts w:hint="eastAsia"/>
          <w:lang w:val="en-GB"/>
        </w:rPr>
        <w:t>3</w:t>
      </w:r>
      <w:r>
        <w:rPr>
          <w:rFonts w:hint="eastAsia"/>
          <w:lang w:val="en-GB"/>
        </w:rPr>
        <w:t>月，在“全面包容！新联合国公约”题目下，联邦政府前残疾人事务专员与各个残疾人协会一起，举办了</w:t>
      </w:r>
      <w:r>
        <w:rPr>
          <w:rFonts w:hint="eastAsia"/>
          <w:lang w:val="en-GB"/>
        </w:rPr>
        <w:t>8</w:t>
      </w:r>
      <w:r>
        <w:rPr>
          <w:rFonts w:hint="eastAsia"/>
          <w:lang w:val="en-GB"/>
        </w:rPr>
        <w:t>次为期一天的关于《公约》的中心议题</w:t>
      </w:r>
      <w:r>
        <w:rPr>
          <w:rFonts w:hint="eastAsia"/>
          <w:lang w:val="en-GB"/>
        </w:rPr>
        <w:t>(</w:t>
      </w:r>
      <w:r>
        <w:rPr>
          <w:rFonts w:hint="eastAsia"/>
          <w:lang w:val="en-GB"/>
        </w:rPr>
        <w:t>例如：教育、健康、</w:t>
      </w:r>
      <w:r>
        <w:rPr>
          <w:lang w:val="en-GB"/>
        </w:rPr>
        <w:t>无障碍</w:t>
      </w:r>
      <w:r>
        <w:rPr>
          <w:rFonts w:hint="eastAsia"/>
          <w:lang w:val="en-GB"/>
        </w:rPr>
        <w:t>)</w:t>
      </w:r>
      <w:r>
        <w:rPr>
          <w:rFonts w:hint="eastAsia"/>
          <w:lang w:val="en-GB"/>
        </w:rPr>
        <w:t>的专家会议。除其他事项外，这项活动及通过与之相伴随开展的</w:t>
      </w:r>
      <w:r>
        <w:rPr>
          <w:lang w:val="en-GB"/>
        </w:rPr>
        <w:t>媒体</w:t>
      </w:r>
      <w:r>
        <w:rPr>
          <w:rFonts w:hint="eastAsia"/>
          <w:lang w:val="en-GB"/>
        </w:rPr>
        <w:t>和公关工作，力求实现的目标是，提高对《公约》的认识，在生活的各个领域建立实施的条件。</w:t>
      </w:r>
      <w:r>
        <w:rPr>
          <w:rStyle w:val="FootnoteReference"/>
        </w:rPr>
        <w:footnoteReference w:id="25"/>
      </w:r>
      <w:r>
        <w:rPr>
          <w:rStyle w:val="FootnoteReference"/>
        </w:rPr>
        <w:t xml:space="preserve"> </w:t>
      </w:r>
      <w:r>
        <w:rPr>
          <w:rFonts w:hint="eastAsia"/>
          <w:lang w:val="en-GB"/>
        </w:rPr>
        <w:t>残疾人事务专员工作的一个重点是，组织关于实施《公约》的行动的主要领域的活动。譬如，在</w:t>
      </w:r>
      <w:r>
        <w:rPr>
          <w:rFonts w:hint="eastAsia"/>
          <w:lang w:val="en-GB"/>
        </w:rPr>
        <w:t>2010</w:t>
      </w:r>
      <w:r>
        <w:rPr>
          <w:rFonts w:hint="eastAsia"/>
          <w:lang w:val="en-GB"/>
        </w:rPr>
        <w:t>年秋季，为企业举办了关于残疾青少年培训的信息活动；从</w:t>
      </w:r>
      <w:r>
        <w:rPr>
          <w:rFonts w:hint="eastAsia"/>
          <w:lang w:val="en-GB"/>
        </w:rPr>
        <w:t>2010</w:t>
      </w:r>
      <w:r>
        <w:rPr>
          <w:rFonts w:hint="eastAsia"/>
          <w:lang w:val="en-GB"/>
        </w:rPr>
        <w:t>年秋季至</w:t>
      </w:r>
      <w:r>
        <w:rPr>
          <w:rFonts w:hint="eastAsia"/>
          <w:lang w:val="en-GB"/>
        </w:rPr>
        <w:t>2011</w:t>
      </w:r>
      <w:r>
        <w:rPr>
          <w:rFonts w:hint="eastAsia"/>
          <w:lang w:val="en-GB"/>
        </w:rPr>
        <w:t>年秋季，举办了一系列关于“残疾人的健康”议题的专家会议。这些活动的重点是，实现有关人士的最大可能的参与；</w:t>
      </w:r>
    </w:p>
    <w:p w:rsidR="00334AE2" w:rsidRDefault="00334AE2">
      <w:pPr>
        <w:pStyle w:val="SingleTxtGC"/>
        <w:numPr>
          <w:ilvl w:val="0"/>
          <w:numId w:val="23"/>
        </w:numPr>
        <w:ind w:left="1134"/>
        <w:rPr>
          <w:lang w:val="en-GB"/>
        </w:rPr>
      </w:pPr>
      <w:r>
        <w:rPr>
          <w:rFonts w:hint="eastAsia"/>
          <w:lang w:val="en-GB"/>
        </w:rPr>
        <w:t>此外，在</w:t>
      </w:r>
      <w:r>
        <w:rPr>
          <w:rFonts w:hint="eastAsia"/>
          <w:lang w:val="en-GB"/>
        </w:rPr>
        <w:t>2010</w:t>
      </w:r>
      <w:r>
        <w:rPr>
          <w:rFonts w:hint="eastAsia"/>
          <w:lang w:val="en-GB"/>
        </w:rPr>
        <w:t>年</w:t>
      </w:r>
      <w:r>
        <w:rPr>
          <w:rFonts w:hint="eastAsia"/>
          <w:lang w:val="en-GB"/>
        </w:rPr>
        <w:t>12</w:t>
      </w:r>
      <w:r>
        <w:rPr>
          <w:rFonts w:hint="eastAsia"/>
          <w:lang w:val="en-GB"/>
        </w:rPr>
        <w:t>月</w:t>
      </w:r>
      <w:r>
        <w:rPr>
          <w:rFonts w:hint="eastAsia"/>
          <w:lang w:val="en-GB"/>
        </w:rPr>
        <w:t>3</w:t>
      </w:r>
      <w:r>
        <w:rPr>
          <w:rFonts w:hint="eastAsia"/>
          <w:lang w:val="en-GB"/>
        </w:rPr>
        <w:t>日，专员在</w:t>
      </w:r>
      <w:r>
        <w:rPr>
          <w:lang w:val="en-GB"/>
        </w:rPr>
        <w:t>www.inklusionslandkarte.de</w:t>
      </w:r>
      <w:r>
        <w:rPr>
          <w:rFonts w:hint="eastAsia"/>
          <w:lang w:val="en-GB"/>
        </w:rPr>
        <w:t>网站上发布了包容性范例图，该图收集了全国有关残疾人与非残疾人一起生活、学习、工作、玩耍等最佳做法范例和关于总体包容性的最佳做法范例。一个例子是否可以被定为包容性并列入包容性范例图，有严格的标准。</w:t>
      </w:r>
      <w:r>
        <w:rPr>
          <w:rStyle w:val="FootnoteReference"/>
        </w:rPr>
        <w:footnoteReference w:id="26"/>
      </w:r>
      <w:r>
        <w:rPr>
          <w:rStyle w:val="FootnoteReference"/>
        </w:rPr>
        <w:t xml:space="preserve"> </w:t>
      </w:r>
      <w:r>
        <w:rPr>
          <w:rFonts w:hint="eastAsia"/>
          <w:lang w:val="en-GB"/>
        </w:rPr>
        <w:t>由在专员包容咨询委员会中有代表的有不同残疾的人组成的小组，对于申请进行评估和选择</w:t>
      </w:r>
      <w:r>
        <w:rPr>
          <w:rFonts w:hint="eastAsia"/>
          <w:lang w:val="en-GB"/>
        </w:rPr>
        <w:t>(</w:t>
      </w:r>
      <w:r>
        <w:rPr>
          <w:rFonts w:hint="eastAsia"/>
          <w:lang w:val="en-GB"/>
        </w:rPr>
        <w:t>参见关于第三十三条的信息</w:t>
      </w:r>
      <w:r>
        <w:rPr>
          <w:rFonts w:hint="eastAsia"/>
          <w:lang w:val="en-GB"/>
        </w:rPr>
        <w:t>)</w:t>
      </w:r>
      <w:r>
        <w:rPr>
          <w:rFonts w:hint="eastAsia"/>
          <w:lang w:val="en-GB"/>
        </w:rPr>
        <w:t>。为了提高对这个包容性范例图的认识，宣传它的实施，专员与各州残疾人事务专员一起，正在开展题为“德国正在实现包容</w:t>
      </w:r>
      <w:r>
        <w:rPr>
          <w:rFonts w:hint="eastAsia"/>
          <w:spacing w:val="-50"/>
          <w:lang w:val="en-GB"/>
        </w:rPr>
        <w:t>―</w:t>
      </w:r>
      <w:r>
        <w:rPr>
          <w:rFonts w:hint="eastAsia"/>
          <w:lang w:val="en-GB"/>
        </w:rPr>
        <w:t>―我们也实现包容”的运动。在运动中，参观全国各地的包容性范例，对它们的奉献颁发奖状。</w:t>
      </w:r>
    </w:p>
    <w:p w:rsidR="00334AE2" w:rsidRDefault="00334AE2">
      <w:pPr>
        <w:pStyle w:val="SingleTxtGC"/>
        <w:rPr>
          <w:lang w:val="en-GB"/>
        </w:rPr>
      </w:pPr>
      <w:r>
        <w:rPr>
          <w:lang w:val="en-GB"/>
        </w:rPr>
        <w:t xml:space="preserve">62.  </w:t>
      </w:r>
      <w:r>
        <w:rPr>
          <w:rFonts w:hint="eastAsia"/>
          <w:lang w:val="en-GB"/>
        </w:rPr>
        <w:t>为了规划和制订《国家行动计划》，联邦政府和联邦政府残疾人事务专员已举行了多次会议和研讨会，在德国负有残疾人政策责任的民间社会和机构积极参与了这些活动：</w:t>
      </w:r>
    </w:p>
    <w:p w:rsidR="00334AE2" w:rsidRDefault="00334AE2">
      <w:pPr>
        <w:pStyle w:val="SingleTxtGC"/>
        <w:numPr>
          <w:ilvl w:val="0"/>
          <w:numId w:val="25"/>
        </w:numPr>
        <w:ind w:left="1134"/>
        <w:rPr>
          <w:lang w:val="en-GB"/>
        </w:rPr>
      </w:pPr>
      <w:r>
        <w:rPr>
          <w:rFonts w:hint="eastAsia"/>
          <w:lang w:val="en-GB"/>
        </w:rPr>
        <w:t>譬如，</w:t>
      </w:r>
      <w:r>
        <w:rPr>
          <w:rFonts w:hint="eastAsia"/>
          <w:lang w:val="en-GB"/>
        </w:rPr>
        <w:t>2010</w:t>
      </w:r>
      <w:r>
        <w:rPr>
          <w:rFonts w:hint="eastAsia"/>
          <w:lang w:val="en-GB"/>
        </w:rPr>
        <w:t>年</w:t>
      </w:r>
      <w:r>
        <w:rPr>
          <w:rFonts w:hint="eastAsia"/>
          <w:lang w:val="en-GB"/>
        </w:rPr>
        <w:t>3</w:t>
      </w:r>
      <w:r>
        <w:rPr>
          <w:rFonts w:hint="eastAsia"/>
          <w:lang w:val="en-GB"/>
        </w:rPr>
        <w:t>月</w:t>
      </w:r>
      <w:r>
        <w:rPr>
          <w:rFonts w:hint="eastAsia"/>
          <w:lang w:val="en-GB"/>
        </w:rPr>
        <w:t>24</w:t>
      </w:r>
      <w:r>
        <w:rPr>
          <w:rFonts w:hint="eastAsia"/>
          <w:lang w:val="en-GB"/>
        </w:rPr>
        <w:t>日，与残疾人协会一起，讨论并制定了《国家行动计划》的未来结构及关于行动领域和具有代表性的议题的详细规划；</w:t>
      </w:r>
    </w:p>
    <w:p w:rsidR="00334AE2" w:rsidRDefault="00334AE2">
      <w:pPr>
        <w:pStyle w:val="SingleTxtGC"/>
        <w:numPr>
          <w:ilvl w:val="0"/>
          <w:numId w:val="25"/>
        </w:numPr>
        <w:ind w:left="1134"/>
        <w:rPr>
          <w:lang w:val="en-GB"/>
        </w:rPr>
      </w:pPr>
      <w:r>
        <w:rPr>
          <w:rFonts w:hint="eastAsia"/>
          <w:lang w:val="en-GB"/>
        </w:rPr>
        <w:t>2010</w:t>
      </w:r>
      <w:r>
        <w:rPr>
          <w:rFonts w:hint="eastAsia"/>
          <w:lang w:val="en-GB"/>
        </w:rPr>
        <w:t>年</w:t>
      </w:r>
      <w:r>
        <w:rPr>
          <w:rFonts w:hint="eastAsia"/>
          <w:lang w:val="en-GB"/>
        </w:rPr>
        <w:t>6</w:t>
      </w:r>
      <w:r>
        <w:rPr>
          <w:rFonts w:hint="eastAsia"/>
          <w:lang w:val="en-GB"/>
        </w:rPr>
        <w:t>月</w:t>
      </w:r>
      <w:r>
        <w:rPr>
          <w:rFonts w:hint="eastAsia"/>
          <w:lang w:val="en-GB"/>
        </w:rPr>
        <w:t>23</w:t>
      </w:r>
      <w:r>
        <w:rPr>
          <w:rFonts w:hint="eastAsia"/>
          <w:lang w:val="en-GB"/>
        </w:rPr>
        <w:t>日，联邦劳动和社会事务部组织了题为“参与需要愿景”的会议，约</w:t>
      </w:r>
      <w:r>
        <w:rPr>
          <w:rFonts w:hint="eastAsia"/>
          <w:lang w:val="en-GB"/>
        </w:rPr>
        <w:t>300</w:t>
      </w:r>
      <w:r>
        <w:rPr>
          <w:rFonts w:hint="eastAsia"/>
          <w:lang w:val="en-GB"/>
        </w:rPr>
        <w:t>人与会，他们就属于行动领域的愿景、指导思想和目标开展工作。与此平行进行，公民几个星期可以通过</w:t>
      </w:r>
      <w:r>
        <w:rPr>
          <w:lang w:val="en-GB"/>
        </w:rPr>
        <w:t>因特网门户</w:t>
      </w:r>
      <w:r>
        <w:rPr>
          <w:lang w:val="en-GB"/>
        </w:rPr>
        <w:t>www.einfach-teilhaben.de</w:t>
      </w:r>
      <w:r>
        <w:rPr>
          <w:rFonts w:hint="eastAsia"/>
          <w:lang w:val="en-GB"/>
        </w:rPr>
        <w:t>，在线参与这一进程；</w:t>
      </w:r>
    </w:p>
    <w:p w:rsidR="00334AE2" w:rsidRDefault="00334AE2">
      <w:pPr>
        <w:pStyle w:val="SingleTxtGC"/>
        <w:numPr>
          <w:ilvl w:val="0"/>
          <w:numId w:val="25"/>
        </w:numPr>
        <w:ind w:left="1134"/>
        <w:rPr>
          <w:lang w:val="en-GB"/>
        </w:rPr>
      </w:pPr>
      <w:r>
        <w:rPr>
          <w:rFonts w:hint="eastAsia"/>
          <w:lang w:val="en-GB"/>
        </w:rPr>
        <w:t>2010</w:t>
      </w:r>
      <w:r>
        <w:rPr>
          <w:rFonts w:hint="eastAsia"/>
          <w:lang w:val="en-GB"/>
        </w:rPr>
        <w:t>年</w:t>
      </w:r>
      <w:r>
        <w:rPr>
          <w:rFonts w:hint="eastAsia"/>
          <w:lang w:val="en-GB"/>
        </w:rPr>
        <w:t>11</w:t>
      </w:r>
      <w:r>
        <w:rPr>
          <w:rFonts w:hint="eastAsia"/>
          <w:lang w:val="en-GB"/>
        </w:rPr>
        <w:t>月</w:t>
      </w:r>
      <w:r>
        <w:rPr>
          <w:rFonts w:hint="eastAsia"/>
          <w:lang w:val="en-GB"/>
        </w:rPr>
        <w:t>4</w:t>
      </w:r>
      <w:r>
        <w:rPr>
          <w:rFonts w:hint="eastAsia"/>
          <w:lang w:val="en-GB"/>
        </w:rPr>
        <w:t>日，在“参与需要方案”题目下，举行了第二次会议。约有</w:t>
      </w:r>
      <w:r>
        <w:rPr>
          <w:rFonts w:hint="eastAsia"/>
          <w:lang w:val="en-GB"/>
        </w:rPr>
        <w:t>300</w:t>
      </w:r>
      <w:r>
        <w:rPr>
          <w:rFonts w:hint="eastAsia"/>
          <w:lang w:val="en-GB"/>
        </w:rPr>
        <w:t>名来自联邦和州部委、地方当局、残疾人协会及更广泛的民间社会组织的人参加了会议。会议的目标和讨论的中心议题是，制订实施指导思想和目标的具体方案和项目。此次，也通过</w:t>
      </w:r>
      <w:r>
        <w:rPr>
          <w:lang w:val="en-GB"/>
        </w:rPr>
        <w:t>因特网门户</w:t>
      </w:r>
      <w:r>
        <w:rPr>
          <w:lang w:val="en-GB"/>
        </w:rPr>
        <w:t>www.einfach-teilhaben.de.</w:t>
      </w:r>
      <w:r>
        <w:rPr>
          <w:rFonts w:hint="eastAsia"/>
          <w:lang w:val="en-GB"/>
        </w:rPr>
        <w:t>，为更多人参与提供了机会。</w:t>
      </w:r>
    </w:p>
    <w:p w:rsidR="00334AE2" w:rsidRDefault="00334AE2">
      <w:pPr>
        <w:pStyle w:val="SingleTxtGC"/>
        <w:rPr>
          <w:lang w:val="en-GB"/>
        </w:rPr>
      </w:pPr>
      <w:r>
        <w:rPr>
          <w:lang w:val="en-GB"/>
        </w:rPr>
        <w:t xml:space="preserve">63.  </w:t>
      </w:r>
      <w:r>
        <w:rPr>
          <w:rFonts w:hint="eastAsia"/>
          <w:lang w:val="en-GB"/>
        </w:rPr>
        <w:t>最重要的是，联邦政府将通过长期开展宣传活动，支持和配合《国家行动计划》的实施。将与民间社会、在这方面特别是与残疾人协会，就宣传活动的主要元素进行协调。宣传活动的元素是：</w:t>
      </w:r>
    </w:p>
    <w:p w:rsidR="00334AE2" w:rsidRDefault="00334AE2">
      <w:pPr>
        <w:pStyle w:val="SingleTxtGC"/>
        <w:numPr>
          <w:ilvl w:val="0"/>
          <w:numId w:val="27"/>
        </w:numPr>
        <w:ind w:left="1134"/>
        <w:rPr>
          <w:lang w:val="en-GB"/>
        </w:rPr>
      </w:pPr>
      <w:r>
        <w:rPr>
          <w:rFonts w:hint="eastAsia"/>
          <w:lang w:val="en-GB"/>
        </w:rPr>
        <w:t>一个</w:t>
      </w:r>
      <w:r>
        <w:rPr>
          <w:lang w:val="en-GB"/>
        </w:rPr>
        <w:t>标识</w:t>
      </w:r>
      <w:r>
        <w:rPr>
          <w:rFonts w:hint="eastAsia"/>
          <w:lang w:val="en-GB"/>
        </w:rPr>
        <w:t>。与民间社会共同制作一个</w:t>
      </w:r>
      <w:r>
        <w:rPr>
          <w:lang w:val="en-GB"/>
        </w:rPr>
        <w:t>标识</w:t>
      </w:r>
      <w:r>
        <w:rPr>
          <w:rFonts w:hint="eastAsia"/>
          <w:lang w:val="en-GB"/>
        </w:rPr>
        <w:t>，以表明《国家行动计划》的实施。这个</w:t>
      </w:r>
      <w:r>
        <w:rPr>
          <w:lang w:val="en-GB"/>
        </w:rPr>
        <w:t>标识</w:t>
      </w:r>
      <w:r>
        <w:rPr>
          <w:rFonts w:hint="eastAsia"/>
          <w:lang w:val="en-GB"/>
        </w:rPr>
        <w:t>也可以被用于制订和实施其他行动计划，以及实施协会的宣传措施；</w:t>
      </w:r>
    </w:p>
    <w:p w:rsidR="00334AE2" w:rsidRDefault="00334AE2">
      <w:pPr>
        <w:pStyle w:val="SingleTxtGC"/>
        <w:numPr>
          <w:ilvl w:val="0"/>
          <w:numId w:val="27"/>
        </w:numPr>
        <w:ind w:left="1134"/>
        <w:rPr>
          <w:lang w:val="en-GB"/>
        </w:rPr>
      </w:pPr>
      <w:r>
        <w:rPr>
          <w:rFonts w:hint="eastAsia"/>
          <w:lang w:val="en-GB"/>
        </w:rPr>
        <w:t>一个宣传平台。通过</w:t>
      </w:r>
      <w:r>
        <w:rPr>
          <w:lang w:val="en-GB"/>
        </w:rPr>
        <w:t>www.einfach-teilhaben.de</w:t>
      </w:r>
      <w:r>
        <w:rPr>
          <w:lang w:val="en-GB"/>
        </w:rPr>
        <w:t>因特网</w:t>
      </w:r>
      <w:r>
        <w:rPr>
          <w:rFonts w:hint="eastAsia"/>
          <w:lang w:val="en-GB"/>
        </w:rPr>
        <w:t>演示，提供宣传平台；</w:t>
      </w:r>
    </w:p>
    <w:p w:rsidR="00334AE2" w:rsidRDefault="00334AE2">
      <w:pPr>
        <w:pStyle w:val="SingleTxtGC"/>
        <w:numPr>
          <w:ilvl w:val="0"/>
          <w:numId w:val="27"/>
        </w:numPr>
        <w:ind w:left="1134"/>
        <w:rPr>
          <w:lang w:val="en-GB"/>
        </w:rPr>
      </w:pPr>
      <w:r>
        <w:rPr>
          <w:rFonts w:hint="eastAsia"/>
          <w:lang w:val="en-GB"/>
        </w:rPr>
        <w:t>一个综合宣传运动。通过开展综合宣传运动，提高人口的认识，以有利于《公约》的实施；</w:t>
      </w:r>
    </w:p>
    <w:p w:rsidR="00334AE2" w:rsidRDefault="00334AE2">
      <w:pPr>
        <w:pStyle w:val="SingleTxtGC"/>
        <w:numPr>
          <w:ilvl w:val="0"/>
          <w:numId w:val="27"/>
        </w:numPr>
        <w:ind w:left="1134"/>
        <w:rPr>
          <w:lang w:val="en-GB"/>
        </w:rPr>
      </w:pPr>
      <w:r>
        <w:rPr>
          <w:rFonts w:hint="eastAsia"/>
          <w:lang w:val="en-GB"/>
        </w:rPr>
        <w:t>宣传材料。向公司和重度残疾人代表发放宣传材料。这些看起来像大型企业的行动计划，可以作为大型企业的行动计划予以实施</w:t>
      </w:r>
      <w:r>
        <w:rPr>
          <w:rFonts w:hint="eastAsia"/>
          <w:lang w:val="en-GB"/>
        </w:rPr>
        <w:t>(</w:t>
      </w:r>
      <w:r>
        <w:rPr>
          <w:rFonts w:hint="eastAsia"/>
          <w:lang w:val="en-GB"/>
        </w:rPr>
        <w:t>与民间社会的各个行为体、特别是社会伙伴及残疾人协会合作</w:t>
      </w:r>
      <w:r>
        <w:rPr>
          <w:rFonts w:hint="eastAsia"/>
          <w:lang w:val="en-GB"/>
        </w:rPr>
        <w:t>)</w:t>
      </w:r>
      <w:r>
        <w:rPr>
          <w:rFonts w:hint="eastAsia"/>
          <w:lang w:val="en-GB"/>
        </w:rPr>
        <w:t>；</w:t>
      </w:r>
    </w:p>
    <w:p w:rsidR="00334AE2" w:rsidRDefault="00334AE2">
      <w:pPr>
        <w:pStyle w:val="SingleTxtGC"/>
        <w:numPr>
          <w:ilvl w:val="0"/>
          <w:numId w:val="27"/>
        </w:numPr>
        <w:ind w:left="1134"/>
        <w:rPr>
          <w:lang w:val="en-GB"/>
        </w:rPr>
      </w:pPr>
      <w:r>
        <w:rPr>
          <w:rFonts w:hint="eastAsia"/>
          <w:lang w:val="en-GB"/>
        </w:rPr>
        <w:t>宣传运动项目。每个公民在日常生活中都可以使用的宣传运动项目，以宣传《公约》，并提请注意可能的改进。</w:t>
      </w:r>
    </w:p>
    <w:p w:rsidR="00334AE2" w:rsidRDefault="00334AE2">
      <w:pPr>
        <w:pStyle w:val="SingleTxtGC"/>
        <w:rPr>
          <w:lang w:val="en-GB"/>
        </w:rPr>
      </w:pPr>
      <w:r>
        <w:rPr>
          <w:lang w:val="en-GB"/>
        </w:rPr>
        <w:t xml:space="preserve">64.  </w:t>
      </w:r>
      <w:r>
        <w:rPr>
          <w:rFonts w:hint="eastAsia"/>
          <w:lang w:val="en-GB"/>
        </w:rPr>
        <w:t>举行这些会议和大会，以及通过《国家行动计划》，有助于确保残疾问题得到媒体的更多关注。报纸、期刊及电视，现在更频繁地报道有关残疾人的消息，因而有助于减少对他们的残留偏见。</w:t>
      </w:r>
    </w:p>
    <w:p w:rsidR="00334AE2" w:rsidRDefault="00334AE2">
      <w:pPr>
        <w:pStyle w:val="SingleTxtGC"/>
        <w:rPr>
          <w:lang w:val="en-GB"/>
        </w:rPr>
      </w:pPr>
      <w:r>
        <w:rPr>
          <w:lang w:val="en-GB"/>
        </w:rPr>
        <w:t xml:space="preserve">65.  </w:t>
      </w:r>
      <w:r>
        <w:rPr>
          <w:rFonts w:hint="eastAsia"/>
          <w:lang w:val="en-GB"/>
        </w:rPr>
        <w:t>在德国，不仅会议、活动和宣传运动在提高认识方面发挥了作用，而且联邦、州和地方政府出资支持的项目和方案也把重点放在提高认识上。譬如，残疾人参与工作生活的改善，就可以作为一个例子</w:t>
      </w:r>
      <w:r>
        <w:rPr>
          <w:rFonts w:hint="eastAsia"/>
          <w:lang w:val="en-GB"/>
        </w:rPr>
        <w:t>(</w:t>
      </w:r>
      <w:r>
        <w:rPr>
          <w:rFonts w:hint="eastAsia"/>
          <w:lang w:val="en-GB"/>
        </w:rPr>
        <w:t>参见第二十七条</w:t>
      </w:r>
      <w:r>
        <w:rPr>
          <w:rFonts w:hint="eastAsia"/>
          <w:lang w:val="en-GB"/>
        </w:rPr>
        <w:t>)</w:t>
      </w:r>
      <w:r>
        <w:rPr>
          <w:rFonts w:hint="eastAsia"/>
          <w:lang w:val="en-GB"/>
        </w:rPr>
        <w:t>：“工作</w:t>
      </w:r>
      <w:r>
        <w:rPr>
          <w:lang w:val="en-GB"/>
        </w:rPr>
        <w:t>–</w:t>
      </w:r>
      <w:r>
        <w:rPr>
          <w:rFonts w:hint="eastAsia"/>
          <w:lang w:val="en-GB"/>
        </w:rPr>
        <w:t>无障碍地工作”举措和“就业</w:t>
      </w:r>
      <w:r>
        <w:rPr>
          <w:rFonts w:hint="eastAsia"/>
          <w:lang w:val="en-GB"/>
        </w:rPr>
        <w:t>4000</w:t>
      </w:r>
      <w:r>
        <w:rPr>
          <w:rFonts w:hint="eastAsia"/>
          <w:lang w:val="en-GB"/>
        </w:rPr>
        <w:t>”劳动力市场方案，通过促进负有责任的企业与机构在残疾人参与工作生活上建立合作关系，形成网络，促进沿着这条道路前进。</w:t>
      </w:r>
    </w:p>
    <w:p w:rsidR="00334AE2" w:rsidRDefault="00334AE2">
      <w:pPr>
        <w:pStyle w:val="H1GC"/>
        <w:rPr>
          <w:lang w:val="en-GB"/>
        </w:rPr>
      </w:pPr>
      <w:bookmarkStart w:id="12" w:name="_Toc303932221"/>
      <w:r>
        <w:rPr>
          <w:lang w:val="en-GB"/>
        </w:rPr>
        <w:tab/>
      </w:r>
      <w:r>
        <w:rPr>
          <w:lang w:val="en-GB"/>
        </w:rPr>
        <w:tab/>
      </w:r>
      <w:bookmarkEnd w:id="12"/>
      <w:r>
        <w:rPr>
          <w:rFonts w:hint="eastAsia"/>
          <w:lang w:val="en-GB"/>
        </w:rPr>
        <w:t>第九条</w:t>
      </w:r>
      <w:r>
        <w:rPr>
          <w:rFonts w:hint="eastAsia"/>
          <w:lang w:val="en-GB"/>
        </w:rPr>
        <w:br/>
      </w:r>
      <w:r>
        <w:rPr>
          <w:rFonts w:hint="eastAsia"/>
          <w:lang w:val="en-GB"/>
        </w:rPr>
        <w:t>无障碍</w:t>
      </w:r>
    </w:p>
    <w:p w:rsidR="00334AE2" w:rsidRDefault="00334AE2">
      <w:pPr>
        <w:pStyle w:val="SingleTxtGC"/>
        <w:rPr>
          <w:lang w:val="en-GB"/>
        </w:rPr>
      </w:pPr>
      <w:r>
        <w:rPr>
          <w:lang w:val="en-GB"/>
        </w:rPr>
        <w:t xml:space="preserve">66.  </w:t>
      </w:r>
      <w:r>
        <w:rPr>
          <w:rFonts w:hint="eastAsia"/>
          <w:lang w:val="en-GB"/>
        </w:rPr>
        <w:t>德国在无障碍方案中，实行一个广泛的方法，即把在所有生活领域创造无障碍定为目标：在建筑和其他设施、交通工具、技术器具、信息处理系统、</w:t>
      </w:r>
      <w:r>
        <w:rPr>
          <w:lang w:val="en-GB"/>
        </w:rPr>
        <w:t>声音和视觉信息</w:t>
      </w:r>
      <w:r>
        <w:rPr>
          <w:rFonts w:hint="eastAsia"/>
          <w:lang w:val="en-GB"/>
        </w:rPr>
        <w:t>源泉、通讯设施及生活中的其他设计领域，都将是无障碍的，都将是残疾人在没有特别障碍、以惯常方式、作为一项原则在没有其他人的协助的情况下可以使用的</w:t>
      </w:r>
      <w:r>
        <w:rPr>
          <w:rFonts w:hint="eastAsia"/>
          <w:lang w:val="en-GB"/>
        </w:rPr>
        <w:t>(</w:t>
      </w:r>
      <w:r>
        <w:rPr>
          <w:rFonts w:hint="eastAsia"/>
          <w:lang w:val="en-GB"/>
        </w:rPr>
        <w:t>也参见第二十、二十一和三十条</w:t>
      </w:r>
      <w:r>
        <w:rPr>
          <w:rFonts w:hint="eastAsia"/>
          <w:lang w:val="en-GB"/>
        </w:rPr>
        <w:t>)</w:t>
      </w:r>
      <w:r>
        <w:rPr>
          <w:rStyle w:val="FootnoteReference"/>
        </w:rPr>
        <w:footnoteReference w:id="27"/>
      </w:r>
      <w:r>
        <w:rPr>
          <w:rFonts w:hint="eastAsia"/>
          <w:lang w:val="en-GB"/>
        </w:rPr>
        <w:t>。在这中间的特别重点是，在</w:t>
      </w:r>
      <w:r>
        <w:rPr>
          <w:lang w:val="en-GB"/>
        </w:rPr>
        <w:t>通用设计意义上</w:t>
      </w:r>
      <w:r>
        <w:rPr>
          <w:rFonts w:hint="eastAsia"/>
          <w:lang w:val="en-GB"/>
        </w:rPr>
        <w:t>特有的“作为一项原则在没有其他人协助的情况下”。这尤其加强残疾人的自主和个人责任。因此，关于创造无障碍的规</w:t>
      </w:r>
      <w:r>
        <w:rPr>
          <w:rFonts w:cs="SimHei" w:hint="eastAsia"/>
          <w:lang w:val="en-GB"/>
        </w:rPr>
        <w:t>定，是《残疾人平等机会法》的核心，它为</w:t>
      </w:r>
      <w:r>
        <w:rPr>
          <w:rFonts w:hint="eastAsia"/>
          <w:lang w:val="en-GB"/>
        </w:rPr>
        <w:t>16</w:t>
      </w:r>
      <w:r>
        <w:rPr>
          <w:rFonts w:hint="eastAsia"/>
          <w:lang w:val="en-GB"/>
        </w:rPr>
        <w:t>个州《平等机会法》提供了模式。</w:t>
      </w:r>
    </w:p>
    <w:p w:rsidR="00334AE2" w:rsidRDefault="00334AE2">
      <w:pPr>
        <w:pStyle w:val="SingleTxtGC"/>
        <w:rPr>
          <w:lang w:val="en-GB"/>
        </w:rPr>
      </w:pPr>
      <w:r>
        <w:rPr>
          <w:lang w:val="en-GB"/>
        </w:rPr>
        <w:t xml:space="preserve">67.  </w:t>
      </w:r>
      <w:r>
        <w:rPr>
          <w:rFonts w:hint="eastAsia"/>
          <w:lang w:val="en-GB"/>
        </w:rPr>
        <w:t>创造无障碍，是一个动态过程，只能逐步实施，考虑相称原则。使用的无障碍标准是不断变化的。特别是在各个监管领域，根据公认的行业规则</w:t>
      </w:r>
      <w:r>
        <w:rPr>
          <w:rFonts w:hint="eastAsia"/>
          <w:lang w:val="en-GB"/>
        </w:rPr>
        <w:t>(</w:t>
      </w:r>
      <w:r>
        <w:rPr>
          <w:rFonts w:hint="eastAsia"/>
          <w:lang w:val="en-GB"/>
        </w:rPr>
        <w:t>包括《德国工业标准》</w:t>
      </w:r>
      <w:r>
        <w:rPr>
          <w:rFonts w:hint="eastAsia"/>
          <w:lang w:val="en-GB"/>
        </w:rPr>
        <w:t>)</w:t>
      </w:r>
      <w:r>
        <w:rPr>
          <w:rFonts w:hint="eastAsia"/>
          <w:lang w:val="en-GB"/>
        </w:rPr>
        <w:t>，以及根据《残疾人平等机会法》，通过方案、计划及商定的目标，确定无障碍标准。鉴于现有基础设施和车辆的长期使用寿命，只能逐步满足后续需求。正在陆续对建筑和其他设备、交通工具、信息处理系统及通讯设施进行设计，以使残疾人可以在没有特别困难、作为一项原则在没有其他人协助的情况下使用它们。</w:t>
      </w:r>
    </w:p>
    <w:p w:rsidR="00334AE2" w:rsidRDefault="00334AE2">
      <w:pPr>
        <w:pStyle w:val="H23GC"/>
        <w:rPr>
          <w:rFonts w:hint="eastAsia"/>
          <w:lang w:val="en-GB"/>
        </w:rPr>
      </w:pPr>
      <w:r>
        <w:rPr>
          <w:lang w:val="en-GB"/>
        </w:rPr>
        <w:tab/>
        <w:t>1.</w:t>
      </w:r>
      <w:r>
        <w:rPr>
          <w:rFonts w:ascii="SimSun" w:eastAsia="SimSun" w:hAnsi="SimSun" w:cs="SimSun" w:hint="eastAsia"/>
          <w:lang w:val="en-GB"/>
        </w:rPr>
        <w:tab/>
      </w:r>
      <w:r>
        <w:rPr>
          <w:rFonts w:hint="eastAsia"/>
          <w:lang w:val="en-GB"/>
        </w:rPr>
        <w:t>欧洲举措</w:t>
      </w:r>
    </w:p>
    <w:p w:rsidR="00334AE2" w:rsidRDefault="00334AE2">
      <w:pPr>
        <w:pStyle w:val="SingleTxtGC"/>
        <w:rPr>
          <w:lang w:val="en-GB"/>
        </w:rPr>
      </w:pPr>
      <w:r>
        <w:rPr>
          <w:lang w:val="en-GB"/>
        </w:rPr>
        <w:t xml:space="preserve">68.  </w:t>
      </w:r>
      <w:r>
        <w:rPr>
          <w:rFonts w:hint="eastAsia"/>
          <w:lang w:val="en-GB"/>
        </w:rPr>
        <w:t>在欧洲，无障碍和通用设计发挥了重要作用。</w:t>
      </w:r>
      <w:r>
        <w:rPr>
          <w:rFonts w:hint="eastAsia"/>
          <w:lang w:val="en-GB"/>
        </w:rPr>
        <w:t>2007</w:t>
      </w:r>
      <w:r>
        <w:rPr>
          <w:rFonts w:hint="eastAsia"/>
          <w:lang w:val="en-GB"/>
        </w:rPr>
        <w:t>年，欧洲委员会部长委员会作为决议通过了一份题为“通过通用设计实现全面参与”的报告。报告载有向政府提出的关于如何制定、推出及实施通用设计战略的建议；然而，它也指出，在包括德国在内的许多欧洲国家，已经有好的经验和举措。</w:t>
      </w:r>
    </w:p>
    <w:p w:rsidR="00334AE2" w:rsidRDefault="00334AE2">
      <w:pPr>
        <w:pStyle w:val="SingleTxtGC"/>
        <w:rPr>
          <w:lang w:val="en-GB"/>
        </w:rPr>
      </w:pPr>
      <w:r>
        <w:rPr>
          <w:lang w:val="en-GB"/>
        </w:rPr>
        <w:t xml:space="preserve">69.  </w:t>
      </w:r>
      <w:r>
        <w:rPr>
          <w:rFonts w:hint="eastAsia"/>
          <w:lang w:val="en-GB"/>
        </w:rPr>
        <w:t>在欧盟委员会的倡议下，欧盟通过了关于行动不便的人和残疾人的乘客权利的法规，确保这些人在欧盟更容易使用航空、铁路、船舶及</w:t>
      </w:r>
      <w:r>
        <w:rPr>
          <w:lang w:val="en-GB"/>
        </w:rPr>
        <w:t>汽车</w:t>
      </w:r>
      <w:r>
        <w:rPr>
          <w:rFonts w:hint="eastAsia"/>
          <w:lang w:val="en-GB"/>
        </w:rPr>
        <w:t>等交通工具。这增加了残疾人在欧洲各地的个人移动性</w:t>
      </w:r>
      <w:r>
        <w:rPr>
          <w:rFonts w:hint="eastAsia"/>
          <w:lang w:val="en-GB"/>
        </w:rPr>
        <w:t>(</w:t>
      </w:r>
      <w:r>
        <w:rPr>
          <w:rFonts w:hint="eastAsia"/>
          <w:lang w:val="en-GB"/>
        </w:rPr>
        <w:t>参见第二十条</w:t>
      </w:r>
      <w:r>
        <w:rPr>
          <w:rFonts w:hint="eastAsia"/>
          <w:lang w:val="en-GB"/>
        </w:rPr>
        <w:t>)</w:t>
      </w:r>
      <w:r>
        <w:rPr>
          <w:rFonts w:hint="eastAsia"/>
          <w:lang w:val="en-GB"/>
        </w:rPr>
        <w:t>。</w:t>
      </w:r>
    </w:p>
    <w:p w:rsidR="00334AE2" w:rsidRDefault="00334AE2">
      <w:pPr>
        <w:pStyle w:val="SingleTxtGC"/>
        <w:rPr>
          <w:lang w:val="en-GB"/>
        </w:rPr>
      </w:pPr>
      <w:r>
        <w:rPr>
          <w:lang w:val="en-GB"/>
        </w:rPr>
        <w:t xml:space="preserve">70.  </w:t>
      </w:r>
      <w:r>
        <w:rPr>
          <w:rFonts w:hint="eastAsia"/>
          <w:lang w:val="en-GB"/>
        </w:rPr>
        <w:t>根据第</w:t>
      </w:r>
      <w:r>
        <w:rPr>
          <w:lang w:val="en-GB"/>
        </w:rPr>
        <w:t>2004/18/EC</w:t>
      </w:r>
      <w:r>
        <w:rPr>
          <w:rFonts w:hint="eastAsia"/>
          <w:lang w:val="en-GB"/>
        </w:rPr>
        <w:t>号欧盟指令，在授予公共合同时，授权签约当局可以对合同的执行规定附加条件。这些也可以是关于无障碍的总体条件，譬如在施工方案、交通系统、交通工具或因特网演示设计上的条件。在德国，通过对《反对限制竞争法》</w:t>
      </w:r>
      <w:r>
        <w:rPr>
          <w:rFonts w:hint="eastAsia"/>
          <w:lang w:val="en-GB"/>
        </w:rPr>
        <w:t>(</w:t>
      </w:r>
      <w:r>
        <w:rPr>
          <w:i/>
          <w:iCs/>
          <w:lang w:val="en-GB"/>
        </w:rPr>
        <w:t>Gesetz</w:t>
      </w:r>
      <w:r>
        <w:rPr>
          <w:rFonts w:hint="eastAsia"/>
          <w:i/>
          <w:iCs/>
          <w:lang w:val="en-GB"/>
        </w:rPr>
        <w:t xml:space="preserve"> </w:t>
      </w:r>
      <w:r>
        <w:rPr>
          <w:i/>
          <w:iCs/>
          <w:lang w:val="en-GB"/>
        </w:rPr>
        <w:t>gegen</w:t>
      </w:r>
      <w:r>
        <w:rPr>
          <w:rFonts w:hint="eastAsia"/>
          <w:i/>
          <w:iCs/>
          <w:lang w:val="en-GB"/>
        </w:rPr>
        <w:t xml:space="preserve"> </w:t>
      </w:r>
      <w:r>
        <w:rPr>
          <w:i/>
          <w:iCs/>
          <w:lang w:val="en-GB"/>
        </w:rPr>
        <w:t>Wettbewerbsbeschränkungen</w:t>
      </w:r>
      <w:r>
        <w:rPr>
          <w:rFonts w:hint="eastAsia"/>
          <w:lang w:val="en-GB"/>
        </w:rPr>
        <w:t>)</w:t>
      </w:r>
      <w:r>
        <w:rPr>
          <w:rFonts w:hint="eastAsia"/>
          <w:lang w:val="en-GB"/>
        </w:rPr>
        <w:t>进行的相应修订，对这些法规进行了修正。</w:t>
      </w:r>
    </w:p>
    <w:p w:rsidR="00334AE2" w:rsidRDefault="00334AE2">
      <w:pPr>
        <w:pStyle w:val="SingleTxtGC"/>
        <w:rPr>
          <w:lang w:val="en-GB"/>
        </w:rPr>
      </w:pPr>
      <w:r>
        <w:rPr>
          <w:lang w:val="en-GB"/>
        </w:rPr>
        <w:t xml:space="preserve">71.  </w:t>
      </w:r>
      <w:r>
        <w:rPr>
          <w:rFonts w:hint="eastAsia"/>
          <w:lang w:val="en-GB"/>
        </w:rPr>
        <w:t>欧盟委员会在</w:t>
      </w:r>
      <w:r>
        <w:rPr>
          <w:rFonts w:hint="eastAsia"/>
          <w:lang w:val="en-GB"/>
        </w:rPr>
        <w:t>2010</w:t>
      </w:r>
      <w:r>
        <w:rPr>
          <w:rFonts w:hint="eastAsia"/>
          <w:lang w:val="en-GB"/>
        </w:rPr>
        <w:t>年</w:t>
      </w:r>
      <w:r>
        <w:rPr>
          <w:rFonts w:hint="eastAsia"/>
          <w:lang w:val="en-GB"/>
        </w:rPr>
        <w:t>11</w:t>
      </w:r>
      <w:r>
        <w:rPr>
          <w:rFonts w:hint="eastAsia"/>
          <w:lang w:val="en-GB"/>
        </w:rPr>
        <w:t>月</w:t>
      </w:r>
      <w:r>
        <w:rPr>
          <w:rFonts w:hint="eastAsia"/>
          <w:lang w:val="en-GB"/>
        </w:rPr>
        <w:t>15</w:t>
      </w:r>
      <w:r>
        <w:rPr>
          <w:rFonts w:hint="eastAsia"/>
          <w:lang w:val="en-GB"/>
        </w:rPr>
        <w:t>日关于“欧洲残疾人战略</w:t>
      </w:r>
      <w:r>
        <w:rPr>
          <w:rFonts w:hint="eastAsia"/>
          <w:lang w:val="en-GB"/>
        </w:rPr>
        <w:t>(2010-2020</w:t>
      </w:r>
      <w:r>
        <w:rPr>
          <w:rFonts w:hint="eastAsia"/>
          <w:lang w:val="en-GB"/>
        </w:rPr>
        <w:t>年</w:t>
      </w:r>
      <w:r>
        <w:rPr>
          <w:rFonts w:hint="eastAsia"/>
          <w:lang w:val="en-GB"/>
        </w:rPr>
        <w:t>)</w:t>
      </w:r>
      <w:r>
        <w:rPr>
          <w:rFonts w:hint="eastAsia"/>
          <w:lang w:val="en-GB"/>
        </w:rPr>
        <w:t>：对无障碍欧洲的再承诺”的通讯中，赞成为残疾人改善无障碍地获得商品、服务和援助提供保障。经与成员国和其他利益相关团体协商后，委员会将审议是否在</w:t>
      </w:r>
      <w:r>
        <w:rPr>
          <w:rFonts w:hint="eastAsia"/>
          <w:lang w:val="en-GB"/>
        </w:rPr>
        <w:t>2012</w:t>
      </w:r>
      <w:r>
        <w:rPr>
          <w:rFonts w:hint="eastAsia"/>
          <w:lang w:val="en-GB"/>
        </w:rPr>
        <w:t>年之前提交欧洲无障碍法案。在时机成熟时，德国将就委员会的建议采取立场，但目前并没有看到有在欧洲层面立法的任何需要。关于残疾人的各种需求的有针对性的法律法规协调，以及可以采取适当行动的各国的环境，必须主要在国家一级进行。</w:t>
      </w:r>
    </w:p>
    <w:p w:rsidR="00334AE2" w:rsidRDefault="00334AE2">
      <w:pPr>
        <w:pStyle w:val="H23GC"/>
        <w:rPr>
          <w:lang w:val="en-GB"/>
        </w:rPr>
      </w:pPr>
      <w:r>
        <w:rPr>
          <w:lang w:val="en-GB"/>
        </w:rPr>
        <w:tab/>
        <w:t>2.</w:t>
      </w:r>
      <w:r>
        <w:rPr>
          <w:rFonts w:ascii="SimSun" w:eastAsia="SimSun" w:hAnsi="SimSun" w:cs="SimSun" w:hint="eastAsia"/>
          <w:lang w:val="en-GB"/>
        </w:rPr>
        <w:tab/>
      </w:r>
      <w:r>
        <w:rPr>
          <w:rFonts w:hint="eastAsia"/>
          <w:lang w:val="en-GB"/>
        </w:rPr>
        <w:t>建筑和住房</w:t>
      </w:r>
    </w:p>
    <w:p w:rsidR="00334AE2" w:rsidRDefault="00334AE2">
      <w:pPr>
        <w:pStyle w:val="SingleTxtGC"/>
        <w:rPr>
          <w:rFonts w:hint="eastAsia"/>
          <w:lang w:val="en-GB"/>
        </w:rPr>
      </w:pPr>
      <w:r>
        <w:rPr>
          <w:rFonts w:hint="eastAsia"/>
          <w:lang w:val="en-GB"/>
        </w:rPr>
        <w:t xml:space="preserve">72.  </w:t>
      </w:r>
      <w:r>
        <w:rPr>
          <w:rFonts w:hint="eastAsia"/>
          <w:lang w:val="en-GB"/>
        </w:rPr>
        <w:t>根据《残疾人平等机会法》的规定，联邦当局</w:t>
      </w:r>
      <w:r>
        <w:rPr>
          <w:lang w:val="en-GB"/>
        </w:rPr>
        <w:t>有义务</w:t>
      </w:r>
      <w:r>
        <w:rPr>
          <w:rFonts w:hint="eastAsia"/>
          <w:lang w:val="en-GB"/>
        </w:rPr>
        <w:t>按照公认的</w:t>
      </w:r>
      <w:r>
        <w:rPr>
          <w:lang w:val="en-GB"/>
        </w:rPr>
        <w:t>最新工艺水平创</w:t>
      </w:r>
      <w:r>
        <w:rPr>
          <w:rFonts w:hint="eastAsia"/>
          <w:lang w:val="en-GB"/>
        </w:rPr>
        <w:t>建</w:t>
      </w:r>
      <w:r>
        <w:rPr>
          <w:lang w:val="en-GB"/>
        </w:rPr>
        <w:t>无障碍环境</w:t>
      </w:r>
      <w:r>
        <w:rPr>
          <w:rFonts w:hint="eastAsia"/>
          <w:lang w:val="en-GB"/>
        </w:rPr>
        <w:t>。这适用于新建民用建筑物，也适用于联邦重大民房改造或扩建。各州也有关于各州建筑物及地方机构建筑物的类似规定。尽管如此，各州关于无障碍建筑的建筑法规适用于所有建筑项目。这些法规可能规定，联邦各个州全部或部分遵守无障碍建筑技术法规，譬如《德国工业标准》。</w:t>
      </w:r>
    </w:p>
    <w:p w:rsidR="00334AE2" w:rsidRDefault="00334AE2">
      <w:pPr>
        <w:pStyle w:val="SingleTxtGC"/>
        <w:rPr>
          <w:lang w:val="en-GB"/>
        </w:rPr>
      </w:pPr>
      <w:r>
        <w:rPr>
          <w:lang w:val="en-GB"/>
        </w:rPr>
        <w:t xml:space="preserve">73.  </w:t>
      </w:r>
      <w:r>
        <w:rPr>
          <w:rFonts w:hint="eastAsia"/>
          <w:lang w:val="en-GB"/>
        </w:rPr>
        <w:t>德国复兴信贷银行</w:t>
      </w:r>
      <w:r>
        <w:rPr>
          <w:rFonts w:hint="eastAsia"/>
          <w:lang w:val="en-GB"/>
        </w:rPr>
        <w:t>(</w:t>
      </w:r>
      <w:r>
        <w:rPr>
          <w:lang w:val="en-GB"/>
        </w:rPr>
        <w:t>KfW</w:t>
      </w:r>
      <w:r>
        <w:rPr>
          <w:rFonts w:hint="eastAsia"/>
          <w:lang w:val="en-GB"/>
        </w:rPr>
        <w:t>)</w:t>
      </w:r>
      <w:r>
        <w:rPr>
          <w:rFonts w:hint="eastAsia"/>
          <w:lang w:val="en-GB"/>
        </w:rPr>
        <w:t>重建集团的题为“按照年龄量身</w:t>
      </w:r>
      <w:r>
        <w:rPr>
          <w:lang w:val="en-GB"/>
        </w:rPr>
        <w:t>定制</w:t>
      </w:r>
      <w:r>
        <w:rPr>
          <w:rFonts w:hint="eastAsia"/>
          <w:lang w:val="en-GB"/>
        </w:rPr>
        <w:t>的改造”方案，为住房无障碍或减少障碍改造，作出了重大贡献。为此，从</w:t>
      </w:r>
      <w:r>
        <w:rPr>
          <w:rFonts w:hint="eastAsia"/>
          <w:lang w:val="en-GB"/>
        </w:rPr>
        <w:t>2009</w:t>
      </w:r>
      <w:r>
        <w:rPr>
          <w:rFonts w:hint="eastAsia"/>
          <w:lang w:val="en-GB"/>
        </w:rPr>
        <w:t>年到</w:t>
      </w:r>
      <w:r>
        <w:rPr>
          <w:rFonts w:hint="eastAsia"/>
          <w:lang w:val="en-GB"/>
        </w:rPr>
        <w:t>2011</w:t>
      </w:r>
      <w:r>
        <w:rPr>
          <w:rFonts w:hint="eastAsia"/>
          <w:lang w:val="en-GB"/>
        </w:rPr>
        <w:t>年，可以从联邦交通、建筑和城市事务部的预算中，为每个方案得到约</w:t>
      </w:r>
      <w:r>
        <w:rPr>
          <w:rFonts w:hint="eastAsia"/>
          <w:lang w:val="en-GB"/>
        </w:rPr>
        <w:t>8,000</w:t>
      </w:r>
      <w:r>
        <w:rPr>
          <w:rFonts w:hint="eastAsia"/>
          <w:lang w:val="en-GB"/>
        </w:rPr>
        <w:t>万到</w:t>
      </w:r>
      <w:r>
        <w:rPr>
          <w:rFonts w:hint="eastAsia"/>
          <w:lang w:val="en-GB"/>
        </w:rPr>
        <w:t>1</w:t>
      </w:r>
      <w:r>
        <w:rPr>
          <w:rFonts w:hint="eastAsia"/>
          <w:lang w:val="en-GB"/>
        </w:rPr>
        <w:t>亿欧元的低息贷款和投资补贴。方案有助于消除或至少减少个体使用的或者出租的住宅的结构性障碍。除其他事项外，譬如，推动的重点是安装电梯、卫生区域的调整、门和房间内部的改造及邻近住宅环境的调整。</w:t>
      </w:r>
    </w:p>
    <w:p w:rsidR="00334AE2" w:rsidRDefault="00334AE2">
      <w:pPr>
        <w:pStyle w:val="SingleTxtGC"/>
        <w:rPr>
          <w:lang w:val="en-GB"/>
        </w:rPr>
      </w:pPr>
      <w:r>
        <w:rPr>
          <w:lang w:val="en-GB"/>
        </w:rPr>
        <w:t xml:space="preserve">74.  </w:t>
      </w:r>
      <w:r>
        <w:rPr>
          <w:rFonts w:hint="eastAsia"/>
          <w:lang w:val="en-GB"/>
        </w:rPr>
        <w:t>此外，联邦政府将继续在题为“按照年龄量身</w:t>
      </w:r>
      <w:r>
        <w:rPr>
          <w:lang w:val="en-GB"/>
        </w:rPr>
        <w:t>定制</w:t>
      </w:r>
      <w:r>
        <w:rPr>
          <w:rFonts w:hint="eastAsia"/>
          <w:lang w:val="en-GB"/>
        </w:rPr>
        <w:t>的改造”议题上，开展提高认识的工作</w:t>
      </w:r>
      <w:r>
        <w:rPr>
          <w:rFonts w:hint="eastAsia"/>
          <w:spacing w:val="-50"/>
          <w:lang w:val="en-GB"/>
        </w:rPr>
        <w:t>―</w:t>
      </w:r>
      <w:r>
        <w:rPr>
          <w:rFonts w:hint="eastAsia"/>
          <w:lang w:val="en-GB"/>
        </w:rPr>
        <w:t>―不仅对于老年人。关于这一议题的</w:t>
      </w:r>
      <w:r>
        <w:rPr>
          <w:rFonts w:hint="eastAsia"/>
          <w:lang w:val="en-GB"/>
        </w:rPr>
        <w:t>20</w:t>
      </w:r>
      <w:r>
        <w:rPr>
          <w:rFonts w:hint="eastAsia"/>
          <w:lang w:val="en-GB"/>
        </w:rPr>
        <w:t>个示范项目，为此作出了贡献。参与者竭力尝试和分析减少现有房屋和住宅环境障碍的解决方案。它们还正在建立老住房咨询和中介服务机构。</w:t>
      </w:r>
    </w:p>
    <w:p w:rsidR="00334AE2" w:rsidRDefault="00334AE2">
      <w:pPr>
        <w:pStyle w:val="SingleTxtGC"/>
        <w:rPr>
          <w:lang w:val="en-GB"/>
        </w:rPr>
      </w:pPr>
      <w:r>
        <w:rPr>
          <w:lang w:val="en-GB"/>
        </w:rPr>
        <w:t xml:space="preserve">75.  </w:t>
      </w:r>
      <w:r>
        <w:rPr>
          <w:rFonts w:hint="eastAsia"/>
          <w:lang w:val="en-GB"/>
        </w:rPr>
        <w:t>此外，公共促进无障碍住房的重点之一，是促进社会住房无障碍。在联邦改革第一阶段中，从</w:t>
      </w:r>
      <w:r>
        <w:rPr>
          <w:rFonts w:hint="eastAsia"/>
          <w:lang w:val="en-GB"/>
        </w:rPr>
        <w:t>2007</w:t>
      </w:r>
      <w:r>
        <w:rPr>
          <w:rFonts w:hint="eastAsia"/>
          <w:lang w:val="en-GB"/>
        </w:rPr>
        <w:t>年起，促进社会住房无障碍工作，完全转移到各州。在</w:t>
      </w:r>
      <w:r>
        <w:rPr>
          <w:rFonts w:hint="eastAsia"/>
          <w:lang w:val="en-GB"/>
        </w:rPr>
        <w:t>2019</w:t>
      </w:r>
      <w:r>
        <w:rPr>
          <w:rFonts w:hint="eastAsia"/>
          <w:lang w:val="en-GB"/>
        </w:rPr>
        <w:t>年之前，联邦将向各州为投资方案提供补偿补贴；在</w:t>
      </w:r>
      <w:r>
        <w:rPr>
          <w:rFonts w:hint="eastAsia"/>
          <w:lang w:val="en-GB"/>
        </w:rPr>
        <w:t>2013</w:t>
      </w:r>
      <w:r>
        <w:rPr>
          <w:rFonts w:hint="eastAsia"/>
          <w:lang w:val="en-GB"/>
        </w:rPr>
        <w:t>年之前，每年将有</w:t>
      </w:r>
      <w:r>
        <w:rPr>
          <w:rFonts w:hint="eastAsia"/>
          <w:lang w:val="en-GB"/>
        </w:rPr>
        <w:t>5,182</w:t>
      </w:r>
      <w:r>
        <w:rPr>
          <w:rFonts w:hint="eastAsia"/>
          <w:lang w:val="en-GB"/>
        </w:rPr>
        <w:t>亿欧元资金与促进住房无障碍捆绑在一起。在这一立法期间的中期，将根据《联盟协议》，就各州</w:t>
      </w:r>
      <w:r>
        <w:rPr>
          <w:rFonts w:hint="eastAsia"/>
          <w:lang w:val="en-GB"/>
        </w:rPr>
        <w:t>2014</w:t>
      </w:r>
      <w:r>
        <w:rPr>
          <w:rFonts w:hint="eastAsia"/>
          <w:lang w:val="en-GB"/>
        </w:rPr>
        <w:t>年以后</w:t>
      </w:r>
      <w:r>
        <w:rPr>
          <w:lang w:val="en-GB"/>
        </w:rPr>
        <w:t>补偿</w:t>
      </w:r>
      <w:r>
        <w:rPr>
          <w:rFonts w:hint="eastAsia"/>
          <w:lang w:val="en-GB"/>
        </w:rPr>
        <w:t>补贴的需求和条件作决定。各州对资金的分配不同，取决于确定的政治重点。除其他外，促进减少现有住房障碍的方案，促进老年人和残疾人新租用和业主自用的住房，或者促进老年人之家和养老院的现代化的</w:t>
      </w:r>
      <w:r>
        <w:rPr>
          <w:lang w:val="en-GB"/>
        </w:rPr>
        <w:t>无障碍</w:t>
      </w:r>
      <w:r>
        <w:rPr>
          <w:rFonts w:hint="eastAsia"/>
          <w:lang w:val="en-GB"/>
        </w:rPr>
        <w:t>建筑。</w:t>
      </w:r>
    </w:p>
    <w:p w:rsidR="00334AE2" w:rsidRDefault="00334AE2">
      <w:pPr>
        <w:pStyle w:val="SingleTxtGC"/>
        <w:rPr>
          <w:lang w:val="en-GB"/>
        </w:rPr>
      </w:pPr>
      <w:r>
        <w:rPr>
          <w:bCs/>
          <w:lang w:val="en-GB"/>
        </w:rPr>
        <w:t>76</w:t>
      </w:r>
      <w:r>
        <w:rPr>
          <w:rFonts w:hint="eastAsia"/>
          <w:lang w:val="en-GB"/>
        </w:rPr>
        <w:t>更重要的是，联邦政府将通过发放小册子和在名为</w:t>
      </w:r>
      <w:r>
        <w:rPr>
          <w:lang w:val="en-GB"/>
        </w:rPr>
        <w:t>www.einfach-teilhaben.de</w:t>
      </w:r>
      <w:r>
        <w:rPr>
          <w:rFonts w:hint="eastAsia"/>
          <w:lang w:val="en-GB"/>
        </w:rPr>
        <w:t>的因特网</w:t>
      </w:r>
      <w:r>
        <w:rPr>
          <w:lang w:val="en-GB"/>
        </w:rPr>
        <w:t>演示</w:t>
      </w:r>
      <w:r>
        <w:rPr>
          <w:rFonts w:hint="eastAsia"/>
          <w:lang w:val="en-GB"/>
        </w:rPr>
        <w:t>，增加和改进提出的关于无障碍住房的建议。这也包括，与</w:t>
      </w:r>
      <w:r>
        <w:rPr>
          <w:lang w:val="en-GB"/>
        </w:rPr>
        <w:t>利益相关者</w:t>
      </w:r>
      <w:r>
        <w:rPr>
          <w:rFonts w:hint="eastAsia"/>
          <w:lang w:val="en-GB"/>
        </w:rPr>
        <w:t>合作，就残疾人住宅中“环境辅助生活”的新可能性进行讨论。</w:t>
      </w:r>
    </w:p>
    <w:p w:rsidR="00334AE2" w:rsidRDefault="00334AE2">
      <w:pPr>
        <w:pStyle w:val="SingleTxtGC"/>
        <w:rPr>
          <w:lang w:val="en-GB"/>
        </w:rPr>
      </w:pPr>
      <w:r>
        <w:rPr>
          <w:lang w:val="en-GB"/>
        </w:rPr>
        <w:t xml:space="preserve">77.  </w:t>
      </w:r>
      <w:r>
        <w:rPr>
          <w:rFonts w:hint="eastAsia"/>
          <w:lang w:val="en-GB"/>
        </w:rPr>
        <w:t>在城市规划促进无障碍中，处理与残疾人有关的事项。联邦为此向各州和地方当局提供资金，这些资金也可以用于在促进地区实施住宅环境的无障碍设计。城市规划促进无障碍方案的实施，是各州和地方当局负责落实的事项。</w:t>
      </w:r>
    </w:p>
    <w:p w:rsidR="00334AE2" w:rsidRDefault="00334AE2">
      <w:pPr>
        <w:pStyle w:val="SingleTxtGC"/>
        <w:rPr>
          <w:lang w:val="en-GB"/>
        </w:rPr>
      </w:pPr>
      <w:r>
        <w:rPr>
          <w:lang w:val="en-GB"/>
        </w:rPr>
        <w:t xml:space="preserve">78.  </w:t>
      </w:r>
      <w:r>
        <w:rPr>
          <w:rFonts w:hint="eastAsia"/>
          <w:lang w:val="en-GB"/>
        </w:rPr>
        <w:t>在社会补偿领域，根据《战争受害者救济法》，受害当事人及其幸存的家属都可以领取住房援助补贴。有严重健康损害的人，因为健康受损害造成的后果，必须改建他们的公寓或住宅。除其他外，通过住房援助补贴，向他们提供建议和资金。这方面的例子是，改造浴室或者安装电梯。然而，这些补贴取决于受益人的收入和资产，除非需求完全是伤害造成的。此外，如果符合长期护理保险或康复机构各自的先决条件，也可以由它们资助住房改造。</w:t>
      </w:r>
    </w:p>
    <w:p w:rsidR="00334AE2" w:rsidRDefault="00334AE2">
      <w:pPr>
        <w:pStyle w:val="SingleTxtGC"/>
        <w:rPr>
          <w:lang w:val="en-GB"/>
        </w:rPr>
      </w:pPr>
      <w:r>
        <w:rPr>
          <w:lang w:val="en-GB"/>
        </w:rPr>
        <w:t xml:space="preserve">79.  </w:t>
      </w:r>
      <w:r>
        <w:rPr>
          <w:rFonts w:hint="eastAsia"/>
          <w:lang w:val="en-GB"/>
        </w:rPr>
        <w:t>在对建筑师进行的基本和再培训中，无障碍作为一个议题，将变得更加突出。联邦政府将制定一个关于这个问题的概念。</w:t>
      </w:r>
    </w:p>
    <w:p w:rsidR="00334AE2" w:rsidRDefault="00334AE2">
      <w:pPr>
        <w:pStyle w:val="H23GC"/>
        <w:rPr>
          <w:rFonts w:hint="eastAsia"/>
          <w:lang w:val="en-GB"/>
        </w:rPr>
      </w:pPr>
      <w:r>
        <w:rPr>
          <w:lang w:val="en-GB"/>
        </w:rPr>
        <w:tab/>
        <w:t>3.</w:t>
      </w:r>
      <w:r>
        <w:rPr>
          <w:rFonts w:ascii="SimSun" w:eastAsia="SimSun" w:hAnsi="SimSun" w:cs="SimSun" w:hint="eastAsia"/>
          <w:lang w:val="en-GB"/>
        </w:rPr>
        <w:tab/>
      </w:r>
      <w:r>
        <w:rPr>
          <w:rFonts w:hint="eastAsia"/>
          <w:lang w:val="en-GB"/>
        </w:rPr>
        <w:t>交流</w:t>
      </w:r>
    </w:p>
    <w:p w:rsidR="00334AE2" w:rsidRDefault="00334AE2">
      <w:pPr>
        <w:pStyle w:val="SingleTxtGC"/>
        <w:rPr>
          <w:lang w:val="en-GB"/>
        </w:rPr>
      </w:pPr>
      <w:r>
        <w:rPr>
          <w:lang w:val="en-GB"/>
        </w:rPr>
        <w:t xml:space="preserve">80. </w:t>
      </w:r>
      <w:r>
        <w:rPr>
          <w:spacing w:val="8"/>
          <w:lang w:val="en-GB"/>
        </w:rPr>
        <w:t xml:space="preserve"> </w:t>
      </w:r>
      <w:r>
        <w:rPr>
          <w:rFonts w:hint="eastAsia"/>
          <w:spacing w:val="8"/>
          <w:lang w:val="en-GB"/>
        </w:rPr>
        <w:t>在德国，通过多种方法，确保、促进及完善残疾人与其他人的交流。</w:t>
      </w:r>
      <w:r>
        <w:rPr>
          <w:rFonts w:hint="eastAsia"/>
          <w:lang w:val="en-GB"/>
        </w:rPr>
        <w:t>因此，譬如，联邦《无障碍信息技术条例》</w:t>
      </w:r>
      <w:r>
        <w:rPr>
          <w:rFonts w:hint="eastAsia"/>
          <w:lang w:val="en-GB"/>
        </w:rPr>
        <w:t>(</w:t>
      </w:r>
      <w:r>
        <w:rPr>
          <w:i/>
          <w:iCs/>
          <w:spacing w:val="6"/>
          <w:lang w:val="en-GB"/>
        </w:rPr>
        <w:t>Barrierefreie</w:t>
      </w:r>
      <w:r>
        <w:rPr>
          <w:rFonts w:hint="eastAsia"/>
          <w:i/>
          <w:iCs/>
          <w:spacing w:val="6"/>
          <w:lang w:val="en-GB"/>
        </w:rPr>
        <w:t xml:space="preserve"> </w:t>
      </w:r>
      <w:r>
        <w:rPr>
          <w:i/>
          <w:iCs/>
          <w:lang w:val="en-GB"/>
        </w:rPr>
        <w:t>Informationstechnikve-rordnung</w:t>
      </w:r>
      <w:r>
        <w:rPr>
          <w:rFonts w:hint="eastAsia"/>
          <w:lang w:val="en-GB"/>
        </w:rPr>
        <w:t>)</w:t>
      </w:r>
      <w:r>
        <w:rPr>
          <w:rFonts w:hint="eastAsia"/>
          <w:lang w:val="en-GB"/>
        </w:rPr>
        <w:t>和各州相应的条例，都确保它们的因特网网站对于残疾人是无障碍的。对联邦《无障碍信息技术条例》进行了调整，以符合现行国际</w:t>
      </w:r>
      <w:r>
        <w:rPr>
          <w:lang w:val="en-GB"/>
        </w:rPr>
        <w:t>导则</w:t>
      </w:r>
      <w:r>
        <w:rPr>
          <w:rFonts w:hint="eastAsia"/>
          <w:lang w:val="en-GB"/>
        </w:rPr>
        <w:t>(</w:t>
      </w:r>
      <w:r>
        <w:rPr>
          <w:rFonts w:hint="eastAsia"/>
          <w:lang w:val="en-GB"/>
        </w:rPr>
        <w:t>“</w:t>
      </w:r>
      <w:r>
        <w:rPr>
          <w:lang w:val="en-GB"/>
        </w:rPr>
        <w:t>网页内容无障碍导则</w:t>
      </w:r>
      <w:r>
        <w:rPr>
          <w:rFonts w:hint="eastAsia"/>
          <w:lang w:val="en-GB"/>
        </w:rPr>
        <w:t>”﹣</w:t>
      </w:r>
      <w:r>
        <w:rPr>
          <w:rFonts w:hint="eastAsia"/>
          <w:lang w:val="en-GB"/>
        </w:rPr>
        <w:t>WCAG 2.0)</w:t>
      </w:r>
      <w:r>
        <w:rPr>
          <w:rFonts w:hint="eastAsia"/>
          <w:lang w:val="en-GB"/>
        </w:rPr>
        <w:t>。它作为公认的标准适用于全球，它解释了如何使网页内容对于残疾人是无障碍的。将在</w:t>
      </w:r>
      <w:r>
        <w:rPr>
          <w:rFonts w:hint="eastAsia"/>
          <w:lang w:val="en-GB"/>
        </w:rPr>
        <w:t>2011</w:t>
      </w:r>
      <w:r>
        <w:rPr>
          <w:rFonts w:hint="eastAsia"/>
          <w:lang w:val="en-GB"/>
        </w:rPr>
        <w:t>年夏天，通过新条例《无障碍信息技术条例</w:t>
      </w:r>
      <w:r>
        <w:rPr>
          <w:lang w:val="en-GB"/>
        </w:rPr>
        <w:t>2.0</w:t>
      </w:r>
      <w:r>
        <w:rPr>
          <w:rFonts w:hint="eastAsia"/>
          <w:lang w:val="en-GB"/>
        </w:rPr>
        <w:t>》，而且它将包含要求联邦当局以</w:t>
      </w:r>
      <w:r>
        <w:rPr>
          <w:lang w:val="en-GB"/>
        </w:rPr>
        <w:t>易读易懂的</w:t>
      </w:r>
      <w:r>
        <w:rPr>
          <w:rFonts w:hint="eastAsia"/>
          <w:lang w:val="en-GB"/>
        </w:rPr>
        <w:t>语言和德国手语提供信息。</w:t>
      </w:r>
    </w:p>
    <w:p w:rsidR="00334AE2" w:rsidRDefault="00334AE2">
      <w:pPr>
        <w:pStyle w:val="SingleTxtGC"/>
        <w:rPr>
          <w:lang w:val="en-GB"/>
        </w:rPr>
      </w:pPr>
      <w:r>
        <w:rPr>
          <w:lang w:val="en-GB"/>
        </w:rPr>
        <w:t xml:space="preserve">81.  </w:t>
      </w:r>
      <w:r>
        <w:rPr>
          <w:rFonts w:hint="eastAsia"/>
          <w:lang w:val="en-GB"/>
        </w:rPr>
        <w:t>在行政程序和法院诉讼程序中</w:t>
      </w:r>
      <w:r>
        <w:rPr>
          <w:rFonts w:hint="eastAsia"/>
          <w:lang w:val="en-GB"/>
        </w:rPr>
        <w:t>(</w:t>
      </w:r>
      <w:r>
        <w:rPr>
          <w:rFonts w:hint="eastAsia"/>
          <w:lang w:val="en-GB"/>
        </w:rPr>
        <w:t>也参见第十三条</w:t>
      </w:r>
      <w:r>
        <w:rPr>
          <w:rFonts w:hint="eastAsia"/>
          <w:lang w:val="en-GB"/>
        </w:rPr>
        <w:t>)</w:t>
      </w:r>
      <w:r>
        <w:rPr>
          <w:rFonts w:hint="eastAsia"/>
          <w:lang w:val="en-GB"/>
        </w:rPr>
        <w:t>，有听力障碍或语言障碍的人，有权得到手语翻译或其他辅助交流手段，包括技术</w:t>
      </w:r>
      <w:r>
        <w:rPr>
          <w:lang w:val="en-GB"/>
        </w:rPr>
        <w:t>辅助</w:t>
      </w:r>
      <w:r>
        <w:rPr>
          <w:rFonts w:hint="eastAsia"/>
          <w:lang w:val="en-GB"/>
        </w:rPr>
        <w:t>。联邦政府正在推进多个科研项目，以改善聋人和</w:t>
      </w:r>
      <w:r>
        <w:rPr>
          <w:lang w:val="en-GB"/>
        </w:rPr>
        <w:t>耳背的</w:t>
      </w:r>
      <w:r>
        <w:rPr>
          <w:rFonts w:hint="eastAsia"/>
          <w:lang w:val="en-GB"/>
        </w:rPr>
        <w:t>人的参与</w:t>
      </w:r>
      <w:r>
        <w:rPr>
          <w:rFonts w:hint="eastAsia"/>
          <w:lang w:val="en-GB"/>
        </w:rPr>
        <w:t>(</w:t>
      </w:r>
      <w:r>
        <w:rPr>
          <w:rFonts w:hint="eastAsia"/>
          <w:lang w:val="en-GB"/>
        </w:rPr>
        <w:t>也见第二十七页</w:t>
      </w:r>
      <w:r>
        <w:rPr>
          <w:rFonts w:hint="eastAsia"/>
          <w:lang w:val="en-GB"/>
        </w:rPr>
        <w:t>)</w:t>
      </w:r>
      <w:r>
        <w:rPr>
          <w:rFonts w:hint="eastAsia"/>
          <w:lang w:val="en-GB"/>
        </w:rPr>
        <w:t>。此外，联邦政府已委托进行关于开发和使用手语</w:t>
      </w:r>
      <w:r>
        <w:rPr>
          <w:lang w:val="en-GB"/>
        </w:rPr>
        <w:t>形象化符号</w:t>
      </w:r>
      <w:r>
        <w:rPr>
          <w:rFonts w:hint="eastAsia"/>
          <w:lang w:val="en-GB"/>
        </w:rPr>
        <w:t>的可能性的可行性研究，</w:t>
      </w:r>
      <w:r>
        <w:rPr>
          <w:rFonts w:hint="eastAsia"/>
          <w:lang w:val="en-GB"/>
        </w:rPr>
        <w:t>2011</w:t>
      </w:r>
      <w:r>
        <w:rPr>
          <w:rFonts w:hint="eastAsia"/>
          <w:lang w:val="en-GB"/>
        </w:rPr>
        <w:t>年将获得结果。</w:t>
      </w:r>
    </w:p>
    <w:p w:rsidR="00334AE2" w:rsidRDefault="00334AE2">
      <w:pPr>
        <w:pStyle w:val="SingleTxtGC"/>
        <w:rPr>
          <w:lang w:val="en-GB"/>
        </w:rPr>
      </w:pPr>
      <w:r>
        <w:rPr>
          <w:lang w:val="en-GB"/>
        </w:rPr>
        <w:t xml:space="preserve">82.  </w:t>
      </w:r>
      <w:r>
        <w:rPr>
          <w:rFonts w:hint="eastAsia"/>
          <w:lang w:val="en-GB"/>
        </w:rPr>
        <w:t>联邦政府关于听力残疾者参与的社会政策利益的目的是，安装一个永久中继服务</w:t>
      </w:r>
      <w:r>
        <w:rPr>
          <w:rFonts w:hint="eastAsia"/>
          <w:lang w:val="en-GB"/>
        </w:rPr>
        <w:t>(</w:t>
      </w:r>
      <w:r>
        <w:rPr>
          <w:rFonts w:hint="eastAsia"/>
          <w:lang w:val="en-GB"/>
        </w:rPr>
        <w:t>翻译服务技术</w:t>
      </w:r>
      <w:r>
        <w:rPr>
          <w:rFonts w:hint="eastAsia"/>
          <w:lang w:val="en-GB"/>
        </w:rPr>
        <w:t>)</w:t>
      </w:r>
      <w:r>
        <w:rPr>
          <w:rFonts w:hint="eastAsia"/>
          <w:lang w:val="en-GB"/>
        </w:rPr>
        <w:t>。通过这个服务，德国的聋人和有听力和言语残疾的人，可以通过手语翻译，包括借助电脑和网络摄像头，参与电讯。这得到了《电讯法》</w:t>
      </w:r>
      <w:r>
        <w:rPr>
          <w:rFonts w:hint="eastAsia"/>
          <w:lang w:val="en-GB"/>
        </w:rPr>
        <w:t>(</w:t>
      </w:r>
      <w:r>
        <w:rPr>
          <w:i/>
          <w:lang w:val="en-GB"/>
        </w:rPr>
        <w:t>Telekommunikationsgesetz</w:t>
      </w:r>
      <w:r>
        <w:rPr>
          <w:rFonts w:hint="eastAsia"/>
          <w:lang w:val="en-GB"/>
        </w:rPr>
        <w:t>)</w:t>
      </w:r>
      <w:r>
        <w:rPr>
          <w:rFonts w:hint="eastAsia"/>
          <w:lang w:val="en-GB"/>
        </w:rPr>
        <w:t>修正法案的保障。目前，以“手语翻译”和“书面解释”服务，提供中继服务。</w:t>
      </w:r>
    </w:p>
    <w:p w:rsidR="00334AE2" w:rsidRDefault="00334AE2">
      <w:pPr>
        <w:pStyle w:val="SingleTxtGC"/>
        <w:rPr>
          <w:lang w:val="en-GB"/>
        </w:rPr>
      </w:pPr>
      <w:r>
        <w:rPr>
          <w:lang w:val="en-GB"/>
        </w:rPr>
        <w:t xml:space="preserve">83.  </w:t>
      </w:r>
      <w:r>
        <w:rPr>
          <w:rFonts w:hint="eastAsia"/>
          <w:lang w:val="en-GB"/>
        </w:rPr>
        <w:t>此外，联邦劳动和社会事务部通过符号电话服务，向</w:t>
      </w:r>
      <w:r>
        <w:rPr>
          <w:lang w:val="en-GB"/>
        </w:rPr>
        <w:t>耳背</w:t>
      </w:r>
      <w:r>
        <w:rPr>
          <w:rFonts w:hint="eastAsia"/>
          <w:lang w:val="en-GB"/>
        </w:rPr>
        <w:t>或听力受损的公民提供获取各种与联邦政府有关的议题的信息可能性。此外，联邦劳动和社会事务部与联邦内政部合作，建立了</w:t>
      </w:r>
      <w:r>
        <w:rPr>
          <w:rFonts w:hint="eastAsia"/>
          <w:lang w:val="en-GB"/>
        </w:rPr>
        <w:t>115</w:t>
      </w:r>
      <w:r>
        <w:rPr>
          <w:rFonts w:hint="eastAsia"/>
          <w:lang w:val="en-GB"/>
        </w:rPr>
        <w:t>符号电话热线。</w:t>
      </w:r>
      <w:r>
        <w:rPr>
          <w:rFonts w:hint="eastAsia"/>
          <w:lang w:val="en-GB"/>
        </w:rPr>
        <w:t>115</w:t>
      </w:r>
      <w:r>
        <w:rPr>
          <w:rFonts w:hint="eastAsia"/>
          <w:lang w:val="en-GB"/>
        </w:rPr>
        <w:t>符号电话热线，通过德国符号语言的</w:t>
      </w:r>
      <w:r>
        <w:rPr>
          <w:lang w:val="en-GB"/>
        </w:rPr>
        <w:t>视觉</w:t>
      </w:r>
      <w:r>
        <w:rPr>
          <w:rFonts w:hint="eastAsia"/>
          <w:lang w:val="en-GB"/>
        </w:rPr>
        <w:t>显</w:t>
      </w:r>
      <w:r>
        <w:rPr>
          <w:lang w:val="en-GB"/>
        </w:rPr>
        <w:t>象</w:t>
      </w:r>
      <w:r>
        <w:rPr>
          <w:rFonts w:hint="eastAsia"/>
          <w:lang w:val="en-GB"/>
        </w:rPr>
        <w:t>，克服聋人或有听力障碍的公民之间的言语交流障碍。现在，它使以前不能或者克服很大困难才能使用标准机构的</w:t>
      </w:r>
      <w:r>
        <w:rPr>
          <w:rFonts w:hint="eastAsia"/>
          <w:lang w:val="en-GB"/>
        </w:rPr>
        <w:t>115</w:t>
      </w:r>
      <w:r>
        <w:rPr>
          <w:rFonts w:hint="eastAsia"/>
          <w:lang w:val="en-GB"/>
        </w:rPr>
        <w:t>电话服务的社会群体，通过电视电话，更容易地获得德国整个公共管理机构的一般信息。德国聋人联合会及其他协会，参与了</w:t>
      </w:r>
      <w:r>
        <w:rPr>
          <w:rFonts w:hint="eastAsia"/>
          <w:lang w:val="en-GB"/>
        </w:rPr>
        <w:t>115</w:t>
      </w:r>
      <w:r>
        <w:rPr>
          <w:rFonts w:hint="eastAsia"/>
          <w:lang w:val="en-GB"/>
        </w:rPr>
        <w:t>符号电话的修建。</w:t>
      </w:r>
    </w:p>
    <w:p w:rsidR="00334AE2" w:rsidRDefault="00334AE2">
      <w:pPr>
        <w:pStyle w:val="SingleTxtGC"/>
        <w:rPr>
          <w:lang w:val="en-GB"/>
        </w:rPr>
      </w:pPr>
      <w:r>
        <w:rPr>
          <w:lang w:val="en-GB"/>
        </w:rPr>
        <w:t xml:space="preserve">84.  </w:t>
      </w:r>
      <w:r>
        <w:rPr>
          <w:rFonts w:hint="eastAsia"/>
          <w:lang w:val="en-GB"/>
        </w:rPr>
        <w:t>联邦政府同意协会的观点，有学习和精神残疾的人的无障碍，尚未得到全面保障。因此，联邦、各州及地方当局，越来越多地以</w:t>
      </w:r>
      <w:r>
        <w:rPr>
          <w:lang w:val="en-GB"/>
        </w:rPr>
        <w:t>易读易懂</w:t>
      </w:r>
      <w:r>
        <w:rPr>
          <w:rFonts w:hint="eastAsia"/>
          <w:lang w:val="en-GB"/>
        </w:rPr>
        <w:t>的语言，满足获得信息的需求，以</w:t>
      </w:r>
      <w:r>
        <w:rPr>
          <w:lang w:val="en-GB"/>
        </w:rPr>
        <w:t>易读易懂</w:t>
      </w:r>
      <w:r>
        <w:rPr>
          <w:rFonts w:hint="eastAsia"/>
          <w:lang w:val="en-GB"/>
        </w:rPr>
        <w:t>的语言出版小册子和其他文本</w:t>
      </w:r>
      <w:r>
        <w:rPr>
          <w:rStyle w:val="FootnoteReference"/>
        </w:rPr>
        <w:footnoteReference w:id="28"/>
      </w:r>
      <w:r>
        <w:rPr>
          <w:rFonts w:hint="eastAsia"/>
          <w:lang w:val="en-GB"/>
        </w:rPr>
        <w:t>。也通过《无障碍信息技术条例</w:t>
      </w:r>
      <w:r>
        <w:rPr>
          <w:rFonts w:hint="eastAsia"/>
          <w:lang w:val="en-GB"/>
        </w:rPr>
        <w:t>2.0</w:t>
      </w:r>
      <w:r>
        <w:rPr>
          <w:rFonts w:hint="eastAsia"/>
          <w:lang w:val="en-GB"/>
        </w:rPr>
        <w:t>》，满足这种需求</w:t>
      </w:r>
      <w:r>
        <w:rPr>
          <w:rFonts w:hint="eastAsia"/>
          <w:lang w:val="en-GB"/>
        </w:rPr>
        <w:t>(</w:t>
      </w:r>
      <w:r>
        <w:rPr>
          <w:rFonts w:hint="eastAsia"/>
          <w:lang w:val="en-GB"/>
        </w:rPr>
        <w:t>见上文</w:t>
      </w:r>
      <w:r>
        <w:rPr>
          <w:rFonts w:hint="eastAsia"/>
          <w:lang w:val="en-GB"/>
        </w:rPr>
        <w:t>)</w:t>
      </w:r>
      <w:r>
        <w:rPr>
          <w:rFonts w:hint="eastAsia"/>
          <w:lang w:val="en-GB"/>
        </w:rPr>
        <w:t>。尽管如此，联邦政府在评估《残疾人平等机会法》中，将检查有学习和精神残疾的人的参与情况。</w:t>
      </w:r>
    </w:p>
    <w:p w:rsidR="00334AE2" w:rsidRDefault="00334AE2">
      <w:pPr>
        <w:pStyle w:val="H23GC"/>
        <w:rPr>
          <w:lang w:val="en-GB"/>
        </w:rPr>
      </w:pPr>
      <w:r>
        <w:rPr>
          <w:lang w:val="en-GB"/>
        </w:rPr>
        <w:tab/>
        <w:t>4.</w:t>
      </w:r>
      <w:r>
        <w:rPr>
          <w:rFonts w:ascii="SimSun" w:eastAsia="SimSun" w:hAnsi="SimSun" w:cs="SimSun" w:hint="eastAsia"/>
          <w:lang w:val="en-GB"/>
        </w:rPr>
        <w:tab/>
      </w:r>
      <w:r>
        <w:rPr>
          <w:rFonts w:hint="eastAsia"/>
          <w:lang w:val="en-GB"/>
        </w:rPr>
        <w:t>商定的目标</w:t>
      </w:r>
    </w:p>
    <w:p w:rsidR="00334AE2" w:rsidRDefault="00334AE2">
      <w:pPr>
        <w:pStyle w:val="SingleTxtGC"/>
        <w:rPr>
          <w:lang w:val="en-GB"/>
        </w:rPr>
      </w:pPr>
      <w:r>
        <w:rPr>
          <w:lang w:val="en-GB"/>
        </w:rPr>
        <w:t xml:space="preserve">85.  </w:t>
      </w:r>
      <w:r>
        <w:rPr>
          <w:rFonts w:hint="eastAsia"/>
          <w:lang w:val="en-GB"/>
        </w:rPr>
        <w:t>为了保障在由法律规定的领域的无障碍，《残疾人平等机会法》创造了“商定的目标”工具。这使残疾人协会可以与企业就实际创建无障碍进行谈判。“商定的目标”提供实施灵活解决方案的可能性，可以根据有关人的关于各种无障碍的需求，对解决方案进行调整。它们的范围可以从单独设施的无障碍设计，到开发无障碍产品和服务，到无障碍</w:t>
      </w:r>
      <w:r>
        <w:rPr>
          <w:lang w:val="en-GB"/>
        </w:rPr>
        <w:t>万维网</w:t>
      </w:r>
      <w:r>
        <w:rPr>
          <w:rFonts w:hint="eastAsia"/>
          <w:lang w:val="en-GB"/>
        </w:rPr>
        <w:t>演示设计。</w:t>
      </w:r>
    </w:p>
    <w:p w:rsidR="00334AE2" w:rsidRDefault="00334AE2">
      <w:pPr>
        <w:pStyle w:val="SingleTxtGC"/>
        <w:rPr>
          <w:lang w:val="en-GB"/>
        </w:rPr>
      </w:pPr>
      <w:r>
        <w:rPr>
          <w:lang w:val="en-GB"/>
        </w:rPr>
        <w:t xml:space="preserve">86.  </w:t>
      </w:r>
      <w:r>
        <w:rPr>
          <w:rFonts w:hint="eastAsia"/>
          <w:lang w:val="en-GB"/>
        </w:rPr>
        <w:t>迄今进行的谈判和达成的“商定的目标”清楚表明，“商定的目标”具有广谱性：既包括信息和通讯技术领域，也包括建筑和交通领域。应用范围</w:t>
      </w:r>
      <w:r>
        <w:rPr>
          <w:lang w:val="en-GB"/>
        </w:rPr>
        <w:t>尤其</w:t>
      </w:r>
      <w:r>
        <w:rPr>
          <w:rFonts w:hint="eastAsia"/>
          <w:lang w:val="en-GB"/>
        </w:rPr>
        <w:t>包括与日常生活相关的服务领域，譬如，德国莱茵兰﹣普法尔茨州立储蓄银行协会提供的无障碍服务，或者德国辉瑞公司提供的因特网演示无障碍设计；也包括在旅游业方面重要的服务，譬如巴登机场的无障碍设计，无障碍酒店、餐馆及酒吧的上市和评估。</w:t>
      </w:r>
    </w:p>
    <w:p w:rsidR="00334AE2" w:rsidRDefault="00334AE2">
      <w:pPr>
        <w:pStyle w:val="SingleTxtGC"/>
        <w:rPr>
          <w:lang w:val="en-GB"/>
        </w:rPr>
      </w:pPr>
      <w:r>
        <w:rPr>
          <w:lang w:val="en-GB"/>
        </w:rPr>
        <w:t xml:space="preserve">87.  </w:t>
      </w:r>
      <w:r>
        <w:rPr>
          <w:rFonts w:hint="eastAsia"/>
          <w:lang w:val="en-GB"/>
        </w:rPr>
        <w:t>然而，残疾人协会过去只是迟疑地对待通过“商定的目标”调节无障碍可能性。从</w:t>
      </w:r>
      <w:r>
        <w:rPr>
          <w:rFonts w:hint="eastAsia"/>
          <w:lang w:val="en-GB"/>
        </w:rPr>
        <w:t>2002</w:t>
      </w:r>
      <w:r>
        <w:rPr>
          <w:rFonts w:hint="eastAsia"/>
          <w:lang w:val="en-GB"/>
        </w:rPr>
        <w:t>年《残疾人平等机会法》生效到</w:t>
      </w:r>
      <w:r>
        <w:rPr>
          <w:rFonts w:hint="eastAsia"/>
          <w:lang w:val="en-GB"/>
        </w:rPr>
        <w:t>2009</w:t>
      </w:r>
      <w:r>
        <w:rPr>
          <w:rFonts w:hint="eastAsia"/>
          <w:lang w:val="en-GB"/>
        </w:rPr>
        <w:t>年</w:t>
      </w:r>
      <w:r>
        <w:rPr>
          <w:rFonts w:hint="eastAsia"/>
          <w:lang w:val="en-GB"/>
        </w:rPr>
        <w:t>4</w:t>
      </w:r>
      <w:r>
        <w:rPr>
          <w:rFonts w:hint="eastAsia"/>
          <w:lang w:val="en-GB"/>
        </w:rPr>
        <w:t>月底，联邦劳动和社会</w:t>
      </w:r>
      <w:r>
        <w:rPr>
          <w:rFonts w:hint="eastAsia"/>
          <w:spacing w:val="2"/>
          <w:lang w:val="en-GB"/>
        </w:rPr>
        <w:t>事务部只收到</w:t>
      </w:r>
      <w:r>
        <w:rPr>
          <w:rFonts w:hint="eastAsia"/>
          <w:spacing w:val="2"/>
          <w:lang w:val="en-GB"/>
        </w:rPr>
        <w:t>21</w:t>
      </w:r>
      <w:r>
        <w:rPr>
          <w:rFonts w:hint="eastAsia"/>
          <w:spacing w:val="2"/>
          <w:lang w:val="en-GB"/>
        </w:rPr>
        <w:t>个“商定的目标”。</w:t>
      </w:r>
      <w:r>
        <w:rPr>
          <w:rStyle w:val="FootnoteReference"/>
          <w:spacing w:val="2"/>
        </w:rPr>
        <w:footnoteReference w:id="29"/>
      </w:r>
      <w:r>
        <w:rPr>
          <w:rStyle w:val="FootnoteReference"/>
          <w:spacing w:val="2"/>
        </w:rPr>
        <w:t xml:space="preserve"> </w:t>
      </w:r>
      <w:r>
        <w:rPr>
          <w:rFonts w:hint="eastAsia"/>
          <w:spacing w:val="2"/>
          <w:lang w:val="en-GB"/>
        </w:rPr>
        <w:t>为了更好地利用“商定的目标”工具，联邦政府自</w:t>
      </w:r>
      <w:r>
        <w:rPr>
          <w:rFonts w:hint="eastAsia"/>
          <w:spacing w:val="2"/>
          <w:lang w:val="en-GB"/>
        </w:rPr>
        <w:t>2009</w:t>
      </w:r>
      <w:r>
        <w:rPr>
          <w:rFonts w:hint="eastAsia"/>
          <w:spacing w:val="2"/>
          <w:lang w:val="en-GB"/>
        </w:rPr>
        <w:t>年以来一直推进由残疾人协会推出的“联邦无障碍卓越中心”</w:t>
      </w:r>
      <w:r>
        <w:rPr>
          <w:rStyle w:val="FootnoteReference"/>
        </w:rPr>
        <w:footnoteReference w:id="30"/>
      </w:r>
      <w:r>
        <w:rPr>
          <w:rFonts w:hint="eastAsia"/>
          <w:lang w:val="en-GB"/>
        </w:rPr>
        <w:t>。卓越中心的任务是，根据《残疾人平等机会法》，在制定具体的无障碍环境设计解决方案和记录“商定的目标”上，在组织、技术和法律方面，支持协会、企业和其他有关组织。此外，卓越中心协调和实施有关公共关系、提高意识及技能建设的措施。</w:t>
      </w:r>
    </w:p>
    <w:p w:rsidR="00334AE2" w:rsidRDefault="00334AE2">
      <w:pPr>
        <w:pStyle w:val="H1GC"/>
        <w:rPr>
          <w:lang w:val="en-GB"/>
        </w:rPr>
      </w:pPr>
      <w:bookmarkStart w:id="13" w:name="_Toc303932222"/>
      <w:r>
        <w:rPr>
          <w:lang w:val="en-GB"/>
        </w:rPr>
        <w:tab/>
      </w:r>
      <w:r>
        <w:rPr>
          <w:lang w:val="en-GB"/>
        </w:rPr>
        <w:tab/>
      </w:r>
      <w:bookmarkEnd w:id="13"/>
      <w:r>
        <w:rPr>
          <w:rFonts w:hint="eastAsia"/>
          <w:lang w:val="en-GB"/>
        </w:rPr>
        <w:t>第十条</w:t>
      </w:r>
      <w:r>
        <w:rPr>
          <w:rFonts w:hint="eastAsia"/>
          <w:lang w:val="en-GB"/>
        </w:rPr>
        <w:br/>
      </w:r>
      <w:r>
        <w:rPr>
          <w:rFonts w:hint="eastAsia"/>
          <w:lang w:val="en-GB"/>
        </w:rPr>
        <w:t>生命权</w:t>
      </w:r>
    </w:p>
    <w:p w:rsidR="00334AE2" w:rsidRDefault="00334AE2">
      <w:pPr>
        <w:pStyle w:val="SingleTxtGC"/>
        <w:rPr>
          <w:lang w:val="en-GB"/>
        </w:rPr>
      </w:pPr>
      <w:r>
        <w:rPr>
          <w:lang w:val="en-GB"/>
        </w:rPr>
        <w:t xml:space="preserve">88.  </w:t>
      </w:r>
      <w:r>
        <w:rPr>
          <w:rFonts w:hint="eastAsia"/>
          <w:lang w:val="en-GB"/>
        </w:rPr>
        <w:t>根据德国法律，</w:t>
      </w:r>
      <w:r>
        <w:rPr>
          <w:lang w:val="en-GB"/>
        </w:rPr>
        <w:t>《基本法》</w:t>
      </w:r>
      <w:r>
        <w:rPr>
          <w:rFonts w:hint="eastAsia"/>
          <w:lang w:val="en-GB"/>
        </w:rPr>
        <w:t>第</w:t>
      </w:r>
      <w:r>
        <w:rPr>
          <w:rFonts w:hint="eastAsia"/>
          <w:lang w:val="en-GB"/>
        </w:rPr>
        <w:t>2</w:t>
      </w:r>
      <w:r>
        <w:rPr>
          <w:rFonts w:hint="eastAsia"/>
          <w:lang w:val="en-GB"/>
        </w:rPr>
        <w:t>条第</w:t>
      </w:r>
      <w:r>
        <w:rPr>
          <w:rFonts w:hint="eastAsia"/>
          <w:lang w:val="en-GB"/>
        </w:rPr>
        <w:t>2</w:t>
      </w:r>
      <w:r>
        <w:rPr>
          <w:rFonts w:hint="eastAsia"/>
          <w:lang w:val="en-GB"/>
        </w:rPr>
        <w:t>段第</w:t>
      </w:r>
      <w:r>
        <w:rPr>
          <w:rFonts w:hint="eastAsia"/>
          <w:lang w:val="en-GB"/>
        </w:rPr>
        <w:t>1</w:t>
      </w:r>
      <w:r>
        <w:rPr>
          <w:rFonts w:hint="eastAsia"/>
          <w:lang w:val="en-GB"/>
        </w:rPr>
        <w:t>句</w:t>
      </w:r>
      <w:r>
        <w:rPr>
          <w:rStyle w:val="FootnoteReference"/>
        </w:rPr>
        <w:footnoteReference w:id="31"/>
      </w:r>
      <w:r>
        <w:rPr>
          <w:rStyle w:val="FootnoteReference"/>
        </w:rPr>
        <w:t xml:space="preserve"> </w:t>
      </w:r>
      <w:r>
        <w:rPr>
          <w:rFonts w:hint="eastAsia"/>
          <w:lang w:val="en-GB"/>
        </w:rPr>
        <w:t>在宪法层面上，全面保障保护生命。就刑法而言，《刑法》</w:t>
      </w:r>
      <w:r>
        <w:rPr>
          <w:lang w:val="en-GB"/>
        </w:rPr>
        <w:t>(</w:t>
      </w:r>
      <w:r>
        <w:rPr>
          <w:i/>
          <w:iCs/>
          <w:lang w:val="en-GB"/>
        </w:rPr>
        <w:t>Strafgesetzbuch</w:t>
      </w:r>
      <w:r>
        <w:rPr>
          <w:lang w:val="en-GB"/>
        </w:rPr>
        <w:t>)</w:t>
      </w:r>
      <w:r>
        <w:rPr>
          <w:rFonts w:hint="eastAsia"/>
          <w:lang w:val="en-GB"/>
        </w:rPr>
        <w:t>第</w:t>
      </w:r>
      <w:r>
        <w:rPr>
          <w:rFonts w:hint="eastAsia"/>
          <w:lang w:val="en-GB"/>
        </w:rPr>
        <w:t>211</w:t>
      </w:r>
      <w:r>
        <w:rPr>
          <w:rFonts w:hint="eastAsia"/>
          <w:lang w:val="en-GB"/>
        </w:rPr>
        <w:t>条及此后的条款保护生命权。德国法律也保护未出生的生命</w:t>
      </w:r>
      <w:r>
        <w:rPr>
          <w:rFonts w:hint="eastAsia"/>
          <w:lang w:val="en-GB"/>
        </w:rPr>
        <w:t>(</w:t>
      </w:r>
      <w:r>
        <w:rPr>
          <w:rFonts w:hint="eastAsia"/>
          <w:lang w:val="en-GB"/>
        </w:rPr>
        <w:t>《刑法》第</w:t>
      </w:r>
      <w:r>
        <w:rPr>
          <w:rFonts w:hint="eastAsia"/>
          <w:lang w:val="en-GB"/>
        </w:rPr>
        <w:t>218</w:t>
      </w:r>
      <w:r>
        <w:rPr>
          <w:rFonts w:hint="eastAsia"/>
          <w:lang w:val="en-GB"/>
        </w:rPr>
        <w:t>条及此后的条款</w:t>
      </w:r>
      <w:r>
        <w:rPr>
          <w:rFonts w:hint="eastAsia"/>
          <w:lang w:val="en-GB"/>
        </w:rPr>
        <w:t>)</w:t>
      </w:r>
      <w:r>
        <w:rPr>
          <w:rFonts w:hint="eastAsia"/>
          <w:lang w:val="en-GB"/>
        </w:rPr>
        <w:t>。</w:t>
      </w:r>
    </w:p>
    <w:p w:rsidR="00334AE2" w:rsidRDefault="00334AE2">
      <w:pPr>
        <w:pStyle w:val="SingleTxtGC"/>
        <w:rPr>
          <w:iCs/>
          <w:lang w:val="en-GB"/>
        </w:rPr>
      </w:pPr>
      <w:r>
        <w:rPr>
          <w:iCs/>
          <w:lang w:val="en-GB"/>
        </w:rPr>
        <w:t xml:space="preserve">89.  </w:t>
      </w:r>
      <w:r>
        <w:rPr>
          <w:rFonts w:hint="eastAsia"/>
          <w:lang w:val="en-GB"/>
        </w:rPr>
        <w:t>德国刑法对两种</w:t>
      </w:r>
      <w:r>
        <w:rPr>
          <w:lang w:val="en-GB"/>
        </w:rPr>
        <w:t>人工流产</w:t>
      </w:r>
      <w:r>
        <w:rPr>
          <w:rFonts w:hint="eastAsia"/>
          <w:lang w:val="en-GB"/>
        </w:rPr>
        <w:t>加以区分：如果孕妇在受孕后</w:t>
      </w:r>
      <w:r>
        <w:rPr>
          <w:rFonts w:hint="eastAsia"/>
          <w:lang w:val="en-GB"/>
        </w:rPr>
        <w:t>12</w:t>
      </w:r>
      <w:r>
        <w:rPr>
          <w:rFonts w:hint="eastAsia"/>
          <w:lang w:val="en-GB"/>
        </w:rPr>
        <w:t>周之内要求医生进行人工流产，医生根据《刑法》第</w:t>
      </w:r>
      <w:r>
        <w:rPr>
          <w:rFonts w:hint="eastAsia"/>
          <w:lang w:val="en-GB"/>
        </w:rPr>
        <w:t>219</w:t>
      </w:r>
      <w:r>
        <w:rPr>
          <w:rFonts w:hint="eastAsia"/>
          <w:lang w:val="en-GB"/>
        </w:rPr>
        <w:t>条第</w:t>
      </w:r>
      <w:r>
        <w:rPr>
          <w:rFonts w:hint="eastAsia"/>
          <w:lang w:val="en-GB"/>
        </w:rPr>
        <w:t>2</w:t>
      </w:r>
      <w:r>
        <w:rPr>
          <w:rFonts w:hint="eastAsia"/>
          <w:lang w:val="en-GB"/>
        </w:rPr>
        <w:t>款第</w:t>
      </w:r>
      <w:r>
        <w:rPr>
          <w:rFonts w:hint="eastAsia"/>
          <w:lang w:val="en-GB"/>
        </w:rPr>
        <w:t>2</w:t>
      </w:r>
      <w:r>
        <w:rPr>
          <w:rFonts w:hint="eastAsia"/>
          <w:lang w:val="en-GB"/>
        </w:rPr>
        <w:t>句已经通过认证记录，一个认可的咨询机构至少在手术之前</w:t>
      </w:r>
      <w:r>
        <w:rPr>
          <w:rFonts w:hint="eastAsia"/>
          <w:lang w:val="en-GB"/>
        </w:rPr>
        <w:t>3</w:t>
      </w:r>
      <w:r>
        <w:rPr>
          <w:rFonts w:hint="eastAsia"/>
          <w:lang w:val="en-GB"/>
        </w:rPr>
        <w:t>天已经向她提过建议</w:t>
      </w:r>
      <w:r>
        <w:rPr>
          <w:rFonts w:hint="eastAsia"/>
          <w:lang w:val="en-GB"/>
        </w:rPr>
        <w:t>(</w:t>
      </w:r>
      <w:r>
        <w:rPr>
          <w:lang w:val="en-GB"/>
        </w:rPr>
        <w:t>咨询解决方案</w:t>
      </w:r>
      <w:r>
        <w:rPr>
          <w:rFonts w:hint="eastAsia"/>
          <w:lang w:val="en-GB"/>
        </w:rPr>
        <w:t>)</w:t>
      </w:r>
      <w:r>
        <w:rPr>
          <w:rFonts w:hint="eastAsia"/>
          <w:lang w:val="en-GB"/>
        </w:rPr>
        <w:t>。这种人工流产虽然是非法的，但是可以免予处罚。如果由于怀孕，母亲的生命面临风险，或预料母亲必将遭受严重的健康损害</w:t>
      </w:r>
      <w:r>
        <w:rPr>
          <w:rFonts w:hint="eastAsia"/>
          <w:lang w:val="en-GB"/>
        </w:rPr>
        <w:t>(</w:t>
      </w:r>
      <w:r>
        <w:rPr>
          <w:lang w:val="en-GB"/>
        </w:rPr>
        <w:t>医学指征</w:t>
      </w:r>
      <w:r>
        <w:rPr>
          <w:rFonts w:hint="eastAsia"/>
          <w:lang w:val="en-GB"/>
        </w:rPr>
        <w:t>)</w:t>
      </w:r>
      <w:r>
        <w:rPr>
          <w:rFonts w:hint="eastAsia"/>
          <w:lang w:val="en-GB"/>
        </w:rPr>
        <w:t>，没有时间限制，对这种人工流产免予处罚。如果不可能以该妇女可以接受的其他方式，避免风险</w:t>
      </w:r>
      <w:r>
        <w:rPr>
          <w:rFonts w:hint="eastAsia"/>
          <w:lang w:val="en-GB"/>
        </w:rPr>
        <w:t>(</w:t>
      </w:r>
      <w:r>
        <w:rPr>
          <w:lang w:val="en-GB"/>
        </w:rPr>
        <w:t>指征</w:t>
      </w:r>
      <w:r>
        <w:rPr>
          <w:rFonts w:hint="eastAsia"/>
          <w:lang w:val="en-GB"/>
        </w:rPr>
        <w:t>解决方案</w:t>
      </w:r>
      <w:r>
        <w:rPr>
          <w:rFonts w:hint="eastAsia"/>
          <w:lang w:val="en-GB"/>
        </w:rPr>
        <w:t>)</w:t>
      </w:r>
      <w:r>
        <w:rPr>
          <w:rFonts w:hint="eastAsia"/>
          <w:lang w:val="en-GB"/>
        </w:rPr>
        <w:t>，这种人工流产是不违法的。</w:t>
      </w:r>
    </w:p>
    <w:p w:rsidR="00334AE2" w:rsidRDefault="00334AE2">
      <w:pPr>
        <w:pStyle w:val="SingleTxtGC"/>
        <w:rPr>
          <w:lang w:val="en-GB"/>
        </w:rPr>
      </w:pPr>
      <w:r>
        <w:rPr>
          <w:lang w:val="en-GB"/>
        </w:rPr>
        <w:t xml:space="preserve">90.  </w:t>
      </w:r>
      <w:r>
        <w:rPr>
          <w:rFonts w:hint="eastAsia"/>
          <w:lang w:val="en-GB"/>
        </w:rPr>
        <w:t>在德国，单独孩子残疾</w:t>
      </w:r>
      <w:r>
        <w:rPr>
          <w:rFonts w:hint="eastAsia"/>
          <w:lang w:val="en-GB"/>
        </w:rPr>
        <w:t>(</w:t>
      </w:r>
      <w:r>
        <w:rPr>
          <w:lang w:val="en-GB"/>
        </w:rPr>
        <w:t>胚胎病性指征</w:t>
      </w:r>
      <w:r>
        <w:rPr>
          <w:rFonts w:hint="eastAsia"/>
          <w:lang w:val="en-GB"/>
        </w:rPr>
        <w:t>)</w:t>
      </w:r>
      <w:r>
        <w:rPr>
          <w:rFonts w:hint="eastAsia"/>
          <w:lang w:val="en-GB"/>
        </w:rPr>
        <w:t>，不是允许人工流产的理由；</w:t>
      </w:r>
      <w:r>
        <w:rPr>
          <w:rFonts w:hint="eastAsia"/>
          <w:lang w:val="en-GB"/>
        </w:rPr>
        <w:t>1995</w:t>
      </w:r>
      <w:r>
        <w:rPr>
          <w:rFonts w:hint="eastAsia"/>
          <w:lang w:val="en-GB"/>
        </w:rPr>
        <w:t>年，废除了早期</w:t>
      </w:r>
      <w:r>
        <w:rPr>
          <w:lang w:val="en-GB"/>
        </w:rPr>
        <w:t>胚胎病性指征</w:t>
      </w:r>
      <w:r>
        <w:rPr>
          <w:rFonts w:hint="eastAsia"/>
          <w:lang w:val="en-GB"/>
        </w:rPr>
        <w:t>。在下述个体情况下，可能存在</w:t>
      </w:r>
      <w:r>
        <w:rPr>
          <w:lang w:val="en-GB"/>
        </w:rPr>
        <w:t>医学指征</w:t>
      </w:r>
      <w:r>
        <w:rPr>
          <w:rFonts w:hint="eastAsia"/>
          <w:lang w:val="en-GB"/>
        </w:rPr>
        <w:t>：如果根据产前诊断，出生的孩子有严重障碍的前景，这将对母亲构成负担，以医学观点看来，母亲的生命或健康面临严重风险，而且只有通过人工流产，才能避免这种风险。</w:t>
      </w:r>
    </w:p>
    <w:p w:rsidR="00334AE2" w:rsidRDefault="00334AE2">
      <w:pPr>
        <w:pStyle w:val="SingleTxtGC"/>
        <w:rPr>
          <w:lang w:val="en-GB"/>
        </w:rPr>
      </w:pPr>
      <w:r>
        <w:rPr>
          <w:lang w:val="en-GB"/>
        </w:rPr>
        <w:t xml:space="preserve">91.  </w:t>
      </w:r>
      <w:r>
        <w:rPr>
          <w:rFonts w:hint="eastAsia"/>
          <w:lang w:val="en-GB"/>
        </w:rPr>
        <w:t>为了能够更好地回答下列问题：医学发现，是否导致得出未出生的孩子患病或残疾，将对母亲的健康，构成威胁生命的危险的结论，</w:t>
      </w:r>
      <w:r>
        <w:rPr>
          <w:rFonts w:hint="eastAsia"/>
          <w:lang w:val="en-GB"/>
        </w:rPr>
        <w:t>2009</w:t>
      </w:r>
      <w:r>
        <w:rPr>
          <w:rFonts w:hint="eastAsia"/>
          <w:lang w:val="en-GB"/>
        </w:rPr>
        <w:t>年通过了《妊娠冲突法》</w:t>
      </w:r>
      <w:r>
        <w:rPr>
          <w:lang w:val="en-GB"/>
        </w:rPr>
        <w:t>(</w:t>
      </w:r>
      <w:r>
        <w:rPr>
          <w:iCs/>
          <w:lang w:val="en-GB"/>
        </w:rPr>
        <w:t>Schwanger</w:t>
      </w:r>
      <w:r>
        <w:rPr>
          <w:iCs/>
          <w:lang w:val="en-GB"/>
        </w:rPr>
        <w:softHyphen/>
        <w:t>schafts</w:t>
      </w:r>
      <w:r>
        <w:rPr>
          <w:iCs/>
          <w:lang w:val="en-GB"/>
        </w:rPr>
        <w:softHyphen/>
        <w:t>konflikt</w:t>
      </w:r>
      <w:r>
        <w:rPr>
          <w:iCs/>
          <w:lang w:val="en-GB"/>
        </w:rPr>
        <w:softHyphen/>
        <w:t>gese(tz</w:t>
      </w:r>
      <w:r>
        <w:rPr>
          <w:lang w:val="en-GB"/>
        </w:rPr>
        <w:t>)</w:t>
      </w:r>
      <w:r>
        <w:rPr>
          <w:rFonts w:hint="eastAsia"/>
          <w:lang w:val="en-GB"/>
        </w:rPr>
        <w:t>修正法案，保证为这种状况提供全面的医疗和心理咨询。除了各科医师负有提出建议的扩大的义务外，立法机构出台了在作指征之前有为期</w:t>
      </w:r>
      <w:r>
        <w:rPr>
          <w:rFonts w:hint="eastAsia"/>
          <w:lang w:val="en-GB"/>
        </w:rPr>
        <w:t>3</w:t>
      </w:r>
      <w:r>
        <w:rPr>
          <w:rFonts w:hint="eastAsia"/>
          <w:lang w:val="en-GB"/>
        </w:rPr>
        <w:t>天的考虑时间</w:t>
      </w:r>
      <w:r>
        <w:rPr>
          <w:rStyle w:val="FootnoteReference"/>
        </w:rPr>
        <w:footnoteReference w:id="32"/>
      </w:r>
      <w:r>
        <w:rPr>
          <w:rFonts w:hint="eastAsia"/>
          <w:lang w:val="en-GB"/>
        </w:rPr>
        <w:t>。如果孕妇同意，医生负有提供与咨询机构和</w:t>
      </w:r>
      <w:r>
        <w:rPr>
          <w:lang w:val="en-GB"/>
        </w:rPr>
        <w:t>在适当情况下</w:t>
      </w:r>
      <w:r>
        <w:rPr>
          <w:rFonts w:hint="eastAsia"/>
          <w:lang w:val="en-GB"/>
        </w:rPr>
        <w:t>与自助团体和残疾协会的联系办法的更大义务。</w:t>
      </w:r>
    </w:p>
    <w:p w:rsidR="00334AE2" w:rsidRDefault="00334AE2">
      <w:pPr>
        <w:pStyle w:val="SingleTxtGC"/>
        <w:rPr>
          <w:lang w:val="en-GB"/>
        </w:rPr>
      </w:pPr>
      <w:r>
        <w:rPr>
          <w:lang w:val="en-GB"/>
        </w:rPr>
        <w:t xml:space="preserve">92.  </w:t>
      </w:r>
      <w:r>
        <w:rPr>
          <w:rFonts w:hint="eastAsia"/>
          <w:lang w:val="en-GB"/>
        </w:rPr>
        <w:t>《妊娠冲突法》全面规定了孕妇在与怀孕有关的所有问题和任何冲突</w:t>
      </w:r>
      <w:r>
        <w:rPr>
          <w:lang w:val="en-GB"/>
        </w:rPr>
        <w:t>状况</w:t>
      </w:r>
      <w:r>
        <w:rPr>
          <w:rFonts w:hint="eastAsia"/>
          <w:lang w:val="en-GB"/>
        </w:rPr>
        <w:t>上接受建议的权利。</w:t>
      </w:r>
    </w:p>
    <w:p w:rsidR="00334AE2" w:rsidRDefault="00334AE2">
      <w:pPr>
        <w:pStyle w:val="SingleTxtGC"/>
        <w:rPr>
          <w:lang w:val="en-GB"/>
        </w:rPr>
      </w:pPr>
      <w:r>
        <w:rPr>
          <w:lang w:val="en-GB"/>
        </w:rPr>
        <w:t xml:space="preserve">93.  </w:t>
      </w:r>
      <w:r>
        <w:rPr>
          <w:rFonts w:hint="eastAsia"/>
          <w:lang w:val="en-GB"/>
        </w:rPr>
        <w:t>2010</w:t>
      </w:r>
      <w:r>
        <w:rPr>
          <w:rFonts w:hint="eastAsia"/>
          <w:lang w:val="en-GB"/>
        </w:rPr>
        <w:t>年秋季，联邦法院，在刑事事项上的最高法院，认为在确认存在严重</w:t>
      </w:r>
      <w:r>
        <w:rPr>
          <w:lang w:val="en-GB"/>
        </w:rPr>
        <w:t>遗传基因</w:t>
      </w:r>
      <w:r>
        <w:rPr>
          <w:rFonts w:hint="eastAsia"/>
          <w:lang w:val="en-GB"/>
        </w:rPr>
        <w:t>损伤的特殊情况下，</w:t>
      </w:r>
      <w:r>
        <w:rPr>
          <w:lang w:val="en-GB"/>
        </w:rPr>
        <w:t>胚胎植入前诊断</w:t>
      </w:r>
      <w:r>
        <w:rPr>
          <w:rFonts w:hint="eastAsia"/>
          <w:lang w:val="en-GB"/>
        </w:rPr>
        <w:t>是不受处罚的。此后，</w:t>
      </w:r>
      <w:r>
        <w:rPr>
          <w:lang w:val="en-GB"/>
        </w:rPr>
        <w:t>胚胎植入前诊断</w:t>
      </w:r>
      <w:r>
        <w:rPr>
          <w:rFonts w:hint="eastAsia"/>
          <w:lang w:val="en-GB"/>
        </w:rPr>
        <w:t>一直是德国争论的议题。今后，在德国联邦议院</w:t>
      </w:r>
      <w:r>
        <w:rPr>
          <w:rFonts w:hint="eastAsia"/>
          <w:lang w:val="en-GB"/>
        </w:rPr>
        <w:t>2011</w:t>
      </w:r>
      <w:r>
        <w:rPr>
          <w:rFonts w:hint="eastAsia"/>
          <w:lang w:val="en-GB"/>
        </w:rPr>
        <w:t>年</w:t>
      </w:r>
      <w:r>
        <w:rPr>
          <w:rFonts w:hint="eastAsia"/>
          <w:lang w:val="en-GB"/>
        </w:rPr>
        <w:t>7</w:t>
      </w:r>
      <w:r>
        <w:rPr>
          <w:rFonts w:hint="eastAsia"/>
          <w:lang w:val="en-GB"/>
        </w:rPr>
        <w:t>月</w:t>
      </w:r>
      <w:r>
        <w:rPr>
          <w:rFonts w:hint="eastAsia"/>
          <w:lang w:val="en-GB"/>
        </w:rPr>
        <w:t>7</w:t>
      </w:r>
      <w:r>
        <w:rPr>
          <w:rFonts w:hint="eastAsia"/>
          <w:lang w:val="en-GB"/>
        </w:rPr>
        <w:t>日通过的《</w:t>
      </w:r>
      <w:r>
        <w:rPr>
          <w:lang w:val="en-GB"/>
        </w:rPr>
        <w:t>胚胎植入前诊断</w:t>
      </w:r>
      <w:r>
        <w:rPr>
          <w:rFonts w:hint="eastAsia"/>
          <w:lang w:val="en-GB"/>
        </w:rPr>
        <w:t>规范法》</w:t>
      </w:r>
      <w:r>
        <w:rPr>
          <w:lang w:val="en-GB"/>
        </w:rPr>
        <w:t>(</w:t>
      </w:r>
      <w:r>
        <w:rPr>
          <w:i/>
          <w:iCs/>
          <w:lang w:val="en-GB"/>
        </w:rPr>
        <w:t>Gesetz</w:t>
      </w:r>
      <w:r>
        <w:rPr>
          <w:rFonts w:hint="eastAsia"/>
          <w:i/>
          <w:iCs/>
          <w:lang w:val="en-GB"/>
        </w:rPr>
        <w:t xml:space="preserve"> </w:t>
      </w:r>
      <w:r>
        <w:rPr>
          <w:i/>
          <w:iCs/>
          <w:lang w:val="en-GB"/>
        </w:rPr>
        <w:t>zur</w:t>
      </w:r>
      <w:r>
        <w:rPr>
          <w:rFonts w:hint="eastAsia"/>
          <w:i/>
          <w:iCs/>
          <w:lang w:val="en-GB"/>
        </w:rPr>
        <w:t xml:space="preserve"> </w:t>
      </w:r>
      <w:r>
        <w:rPr>
          <w:i/>
          <w:iCs/>
          <w:lang w:val="en-GB"/>
        </w:rPr>
        <w:t>Regelung</w:t>
      </w:r>
      <w:r>
        <w:rPr>
          <w:rFonts w:hint="eastAsia"/>
          <w:i/>
          <w:iCs/>
          <w:lang w:val="en-GB"/>
        </w:rPr>
        <w:t xml:space="preserve"> </w:t>
      </w:r>
      <w:r>
        <w:rPr>
          <w:i/>
          <w:iCs/>
          <w:lang w:val="en-GB"/>
        </w:rPr>
        <w:t>der</w:t>
      </w:r>
      <w:r>
        <w:rPr>
          <w:rFonts w:hint="eastAsia"/>
          <w:i/>
          <w:iCs/>
          <w:lang w:val="en-GB"/>
        </w:rPr>
        <w:t xml:space="preserve"> </w:t>
      </w:r>
      <w:r>
        <w:rPr>
          <w:i/>
          <w:iCs/>
          <w:lang w:val="en-GB"/>
        </w:rPr>
        <w:t>Präimplantationsdiagnostik</w:t>
      </w:r>
      <w:r>
        <w:rPr>
          <w:lang w:val="en-GB"/>
        </w:rPr>
        <w:t>)</w:t>
      </w:r>
      <w:r>
        <w:rPr>
          <w:rFonts w:hint="eastAsia"/>
          <w:lang w:val="en-GB"/>
        </w:rPr>
        <w:t>的严格规定限制之内，将允许这样做。</w:t>
      </w:r>
    </w:p>
    <w:p w:rsidR="00334AE2" w:rsidRDefault="00334AE2">
      <w:pPr>
        <w:pStyle w:val="H1GC"/>
        <w:rPr>
          <w:lang w:val="en-GB"/>
        </w:rPr>
      </w:pPr>
      <w:bookmarkStart w:id="14" w:name="_Toc303932223"/>
      <w:r>
        <w:rPr>
          <w:lang w:val="en-GB"/>
        </w:rPr>
        <w:tab/>
      </w:r>
      <w:r>
        <w:rPr>
          <w:lang w:val="en-GB"/>
        </w:rPr>
        <w:tab/>
      </w:r>
      <w:bookmarkEnd w:id="14"/>
      <w:r>
        <w:rPr>
          <w:rFonts w:hint="eastAsia"/>
          <w:lang w:val="en-GB"/>
        </w:rPr>
        <w:t>第十一条</w:t>
      </w:r>
      <w:r>
        <w:rPr>
          <w:rFonts w:hint="eastAsia"/>
          <w:lang w:val="en-GB"/>
        </w:rPr>
        <w:br/>
      </w:r>
      <w:r>
        <w:rPr>
          <w:rFonts w:hint="eastAsia"/>
          <w:lang w:val="en-GB"/>
        </w:rPr>
        <w:t>危难情况和人道主义紧急情况</w:t>
      </w:r>
    </w:p>
    <w:p w:rsidR="00334AE2" w:rsidRDefault="00334AE2">
      <w:pPr>
        <w:pStyle w:val="SingleTxtGC"/>
        <w:rPr>
          <w:lang w:val="en-GB"/>
        </w:rPr>
      </w:pPr>
      <w:r>
        <w:rPr>
          <w:lang w:val="en-GB"/>
        </w:rPr>
        <w:t xml:space="preserve">94.  </w:t>
      </w:r>
      <w:r>
        <w:rPr>
          <w:rFonts w:hint="eastAsia"/>
          <w:lang w:val="en-GB"/>
        </w:rPr>
        <w:t>在民防情况下保护人口的法规，不加区分地覆盖残疾人和非残疾人。这同样适用于在</w:t>
      </w:r>
      <w:r>
        <w:rPr>
          <w:lang w:val="en-GB"/>
        </w:rPr>
        <w:t>灾害</w:t>
      </w:r>
      <w:r>
        <w:rPr>
          <w:rFonts w:hint="eastAsia"/>
          <w:lang w:val="en-GB"/>
        </w:rPr>
        <w:t>或其他严重意外情况下保护人口的领域，这属于各州的职权范围。各州和各市，已经在某些情况下提供特别通讯渠道，向聋人发送报警电话</w:t>
      </w:r>
      <w:r>
        <w:rPr>
          <w:rFonts w:hint="eastAsia"/>
          <w:lang w:val="en-GB"/>
        </w:rPr>
        <w:t>(</w:t>
      </w:r>
      <w:r>
        <w:rPr>
          <w:rFonts w:hint="eastAsia"/>
          <w:lang w:val="en-GB"/>
        </w:rPr>
        <w:t>包括可以进行书面对话的聋人电话</w:t>
      </w:r>
      <w:r>
        <w:rPr>
          <w:rFonts w:hint="eastAsia"/>
          <w:lang w:val="en-GB"/>
        </w:rPr>
        <w:t>)</w:t>
      </w:r>
      <w:r>
        <w:rPr>
          <w:rFonts w:hint="eastAsia"/>
          <w:lang w:val="en-GB"/>
        </w:rPr>
        <w:t>。</w:t>
      </w:r>
    </w:p>
    <w:p w:rsidR="00334AE2" w:rsidRDefault="00334AE2">
      <w:pPr>
        <w:pStyle w:val="SingleTxtGC"/>
        <w:rPr>
          <w:lang w:val="en-GB"/>
        </w:rPr>
      </w:pPr>
      <w:r>
        <w:rPr>
          <w:lang w:val="en-GB"/>
        </w:rPr>
        <w:t xml:space="preserve">95.  </w:t>
      </w:r>
      <w:r>
        <w:rPr>
          <w:rFonts w:hint="eastAsia"/>
          <w:lang w:val="en-GB"/>
        </w:rPr>
        <w:t>德国也面临在国际层面紧急援助带来的特别挑战。在面向发展的紧急援助干预的推广概念和促进实施两方面，都明确考虑有特别需求的人口群体的利益。例如，德国在海地资助的紧急和过渡性住宅，在建造上为残疾量身定制，在甄选过程中明确地为残疾人提供住宅。</w:t>
      </w:r>
    </w:p>
    <w:p w:rsidR="00334AE2" w:rsidRDefault="00334AE2">
      <w:pPr>
        <w:pStyle w:val="H1GC"/>
        <w:rPr>
          <w:lang w:val="en-GB"/>
        </w:rPr>
      </w:pPr>
      <w:bookmarkStart w:id="15" w:name="_Toc303932224"/>
      <w:r>
        <w:rPr>
          <w:lang w:val="en-GB"/>
        </w:rPr>
        <w:tab/>
      </w:r>
      <w:r>
        <w:rPr>
          <w:lang w:val="en-GB"/>
        </w:rPr>
        <w:tab/>
      </w:r>
      <w:bookmarkEnd w:id="15"/>
      <w:r>
        <w:rPr>
          <w:rFonts w:hint="eastAsia"/>
          <w:lang w:val="en-GB"/>
        </w:rPr>
        <w:t>第十二条</w:t>
      </w:r>
      <w:r>
        <w:rPr>
          <w:rFonts w:hint="eastAsia"/>
          <w:lang w:val="en-GB"/>
        </w:rPr>
        <w:br/>
      </w:r>
      <w:r>
        <w:rPr>
          <w:rFonts w:hint="eastAsia"/>
          <w:lang w:val="en-GB"/>
        </w:rPr>
        <w:t>在法律面前获得平等承认</w:t>
      </w:r>
    </w:p>
    <w:p w:rsidR="00334AE2" w:rsidRDefault="00334AE2">
      <w:pPr>
        <w:pStyle w:val="SingleTxtGC"/>
        <w:rPr>
          <w:lang w:val="en-GB"/>
        </w:rPr>
      </w:pPr>
      <w:r>
        <w:rPr>
          <w:lang w:val="en-GB"/>
        </w:rPr>
        <w:t xml:space="preserve">96.  </w:t>
      </w:r>
      <w:r>
        <w:rPr>
          <w:rFonts w:hint="eastAsia"/>
          <w:lang w:val="en-GB"/>
        </w:rPr>
        <w:t>德国《民法》</w:t>
      </w:r>
      <w:r>
        <w:rPr>
          <w:rFonts w:hint="eastAsia"/>
          <w:lang w:val="en-GB"/>
        </w:rPr>
        <w:t>(</w:t>
      </w:r>
      <w:r>
        <w:rPr>
          <w:i/>
          <w:iCs/>
          <w:lang w:val="en-GB"/>
        </w:rPr>
        <w:t>Bürgerliches</w:t>
      </w:r>
      <w:r>
        <w:rPr>
          <w:rFonts w:hint="eastAsia"/>
          <w:i/>
          <w:iCs/>
          <w:lang w:val="en-GB"/>
        </w:rPr>
        <w:t xml:space="preserve"> </w:t>
      </w:r>
      <w:r>
        <w:rPr>
          <w:i/>
          <w:iCs/>
          <w:lang w:val="en-GB"/>
        </w:rPr>
        <w:t>Gesetzbuch</w:t>
      </w:r>
      <w:r>
        <w:rPr>
          <w:rFonts w:hint="eastAsia"/>
          <w:lang w:val="en-GB"/>
        </w:rPr>
        <w:t>)</w:t>
      </w:r>
      <w:r>
        <w:rPr>
          <w:rFonts w:hint="eastAsia"/>
          <w:lang w:val="en-GB"/>
        </w:rPr>
        <w:t>对法律行为能力和行动能力进行了规定。这些规定适用于残疾人和非残疾人。根据《民法》第</w:t>
      </w:r>
      <w:r>
        <w:rPr>
          <w:rFonts w:hint="eastAsia"/>
          <w:lang w:val="en-GB"/>
        </w:rPr>
        <w:t>1</w:t>
      </w:r>
      <w:r>
        <w:rPr>
          <w:rFonts w:hint="eastAsia"/>
          <w:lang w:val="en-GB"/>
        </w:rPr>
        <w:t>条，所有活着的人都享有法律行为能力，即他们享有权利和义务。这一条款保证残疾人也享有不受限制的法律行为能力。他们可以享有和拥有其他权利。他们的财产和等同于资产的权利，得到</w:t>
      </w:r>
      <w:r>
        <w:rPr>
          <w:lang w:val="en-GB"/>
        </w:rPr>
        <w:t>《基本法》</w:t>
      </w:r>
      <w:r>
        <w:rPr>
          <w:rFonts w:hint="eastAsia"/>
          <w:lang w:val="en-GB"/>
        </w:rPr>
        <w:t>第</w:t>
      </w:r>
      <w:r>
        <w:rPr>
          <w:rFonts w:hint="eastAsia"/>
          <w:lang w:val="en-GB"/>
        </w:rPr>
        <w:t>14</w:t>
      </w:r>
      <w:r>
        <w:rPr>
          <w:rFonts w:hint="eastAsia"/>
          <w:lang w:val="en-GB"/>
        </w:rPr>
        <w:t>条第</w:t>
      </w:r>
      <w:r>
        <w:rPr>
          <w:rFonts w:hint="eastAsia"/>
          <w:lang w:val="en-GB"/>
        </w:rPr>
        <w:t>1</w:t>
      </w:r>
      <w:r>
        <w:rPr>
          <w:rFonts w:hint="eastAsia"/>
          <w:lang w:val="en-GB"/>
        </w:rPr>
        <w:t>款的保障。根据《基本法》第</w:t>
      </w:r>
      <w:r>
        <w:rPr>
          <w:rFonts w:hint="eastAsia"/>
          <w:lang w:val="en-GB"/>
        </w:rPr>
        <w:t>14</w:t>
      </w:r>
      <w:r>
        <w:rPr>
          <w:rFonts w:hint="eastAsia"/>
          <w:lang w:val="en-GB"/>
        </w:rPr>
        <w:t>条第</w:t>
      </w:r>
      <w:r>
        <w:rPr>
          <w:rFonts w:hint="eastAsia"/>
          <w:lang w:val="en-GB"/>
        </w:rPr>
        <w:t>3</w:t>
      </w:r>
      <w:r>
        <w:rPr>
          <w:rFonts w:hint="eastAsia"/>
          <w:lang w:val="en-GB"/>
        </w:rPr>
        <w:t>款，只允许没收公共物资，只能根据法律裁决或依据确定赔偿性质和程度的法律，进行没收。残疾人可以像非残疾人一样，保护自己的财产免受第三者损害。他们可以根据与非残疾人相同的法规签订合同。根据适用于所有人的规定，他们可以对属于他们的动产项目和房地产行使</w:t>
      </w:r>
      <w:r>
        <w:rPr>
          <w:lang w:val="en-GB"/>
        </w:rPr>
        <w:t>保障权利</w:t>
      </w:r>
      <w:r>
        <w:rPr>
          <w:rFonts w:hint="eastAsia"/>
          <w:lang w:val="en-GB"/>
        </w:rPr>
        <w:t>，尤其是他们也可以进行</w:t>
      </w:r>
      <w:r>
        <w:rPr>
          <w:lang w:val="en-GB"/>
        </w:rPr>
        <w:t>抵押贷款</w:t>
      </w:r>
      <w:r>
        <w:rPr>
          <w:rFonts w:hint="eastAsia"/>
          <w:lang w:val="en-GB"/>
        </w:rPr>
        <w:t>和行使在自己的土地上的其他物权。</w:t>
      </w:r>
    </w:p>
    <w:p w:rsidR="00334AE2" w:rsidRDefault="00334AE2">
      <w:pPr>
        <w:pStyle w:val="SingleTxtGC"/>
        <w:rPr>
          <w:lang w:val="en-GB"/>
        </w:rPr>
      </w:pPr>
      <w:r>
        <w:rPr>
          <w:lang w:val="en-GB"/>
        </w:rPr>
        <w:t xml:space="preserve">97.  </w:t>
      </w:r>
      <w:r>
        <w:rPr>
          <w:rFonts w:hint="eastAsia"/>
          <w:lang w:val="en-GB"/>
        </w:rPr>
        <w:t>根据《民法》第</w:t>
      </w:r>
      <w:r>
        <w:rPr>
          <w:rFonts w:hint="eastAsia"/>
          <w:lang w:val="en-GB"/>
        </w:rPr>
        <w:t>104</w:t>
      </w:r>
      <w:r>
        <w:rPr>
          <w:rFonts w:hint="eastAsia"/>
          <w:lang w:val="en-GB"/>
        </w:rPr>
        <w:t>、</w:t>
      </w:r>
      <w:r>
        <w:rPr>
          <w:rFonts w:hint="eastAsia"/>
          <w:lang w:val="en-GB"/>
        </w:rPr>
        <w:t>827</w:t>
      </w:r>
      <w:r>
        <w:rPr>
          <w:rFonts w:hint="eastAsia"/>
          <w:lang w:val="en-GB"/>
        </w:rPr>
        <w:t>、</w:t>
      </w:r>
      <w:r>
        <w:rPr>
          <w:rFonts w:hint="eastAsia"/>
          <w:lang w:val="en-GB"/>
        </w:rPr>
        <w:t>828</w:t>
      </w:r>
      <w:r>
        <w:rPr>
          <w:rFonts w:hint="eastAsia"/>
          <w:lang w:val="en-GB"/>
        </w:rPr>
        <w:t>条，成年人也可以被视为具有行动能力，即有能力犯罪和进行交易。这些法规假定，他们有参与合法交易的必要洞察力和决策能力。相比之下，以不同的方式规定未成年人的犯罪能力和进行交易的能力。根据《民法》第</w:t>
      </w:r>
      <w:r>
        <w:rPr>
          <w:rFonts w:hint="eastAsia"/>
          <w:lang w:val="en-GB"/>
        </w:rPr>
        <w:t>828</w:t>
      </w:r>
      <w:r>
        <w:rPr>
          <w:rFonts w:hint="eastAsia"/>
          <w:lang w:val="en-GB"/>
        </w:rPr>
        <w:t>条第</w:t>
      </w:r>
      <w:r>
        <w:rPr>
          <w:rFonts w:hint="eastAsia"/>
          <w:lang w:val="en-GB"/>
        </w:rPr>
        <w:t>1</w:t>
      </w:r>
      <w:r>
        <w:rPr>
          <w:rFonts w:hint="eastAsia"/>
          <w:lang w:val="en-GB"/>
        </w:rPr>
        <w:t>款，</w:t>
      </w:r>
      <w:r>
        <w:rPr>
          <w:rFonts w:hint="eastAsia"/>
          <w:lang w:val="en-GB"/>
        </w:rPr>
        <w:t>7</w:t>
      </w:r>
      <w:r>
        <w:rPr>
          <w:rFonts w:hint="eastAsia"/>
          <w:lang w:val="en-GB"/>
        </w:rPr>
        <w:t>岁以下的儿童不具有犯罪能力。在这方面，德国法律假定，这个年龄的儿童不具备认知破坏行为的责任所需要的认知力。按照《民法》第</w:t>
      </w:r>
      <w:r>
        <w:rPr>
          <w:rFonts w:hint="eastAsia"/>
          <w:lang w:val="en-GB"/>
        </w:rPr>
        <w:t>104</w:t>
      </w:r>
      <w:r>
        <w:rPr>
          <w:rFonts w:hint="eastAsia"/>
          <w:lang w:val="en-GB"/>
        </w:rPr>
        <w:t>条第</w:t>
      </w:r>
      <w:r>
        <w:rPr>
          <w:rFonts w:hint="eastAsia"/>
          <w:lang w:val="en-GB"/>
        </w:rPr>
        <w:t>1</w:t>
      </w:r>
      <w:r>
        <w:rPr>
          <w:rFonts w:hint="eastAsia"/>
          <w:lang w:val="en-GB"/>
        </w:rPr>
        <w:t>款，他们也没有能力签署合同，即他们不能有效地提交合同文本和其他意向声明。这是基于下述考虑：这些人在生命的开始几年中，尚缺乏他们在合法交易上采取有效行动的能力所需要的理解和意志力。希望通过合法交易自行决定法律状况的人，必须能够负责任地这样做。</w:t>
      </w:r>
    </w:p>
    <w:p w:rsidR="00334AE2" w:rsidRDefault="00334AE2">
      <w:pPr>
        <w:pStyle w:val="SingleTxtGC"/>
        <w:rPr>
          <w:lang w:val="en-GB"/>
        </w:rPr>
      </w:pPr>
      <w:r>
        <w:rPr>
          <w:lang w:val="en-GB"/>
        </w:rPr>
        <w:t xml:space="preserve">98.  </w:t>
      </w:r>
      <w:r>
        <w:rPr>
          <w:rFonts w:hint="eastAsia"/>
          <w:lang w:val="en-GB"/>
        </w:rPr>
        <w:t>根据《民法》第</w:t>
      </w:r>
      <w:r>
        <w:rPr>
          <w:rFonts w:hint="eastAsia"/>
          <w:lang w:val="en-GB"/>
        </w:rPr>
        <w:t>828</w:t>
      </w:r>
      <w:r>
        <w:rPr>
          <w:rFonts w:hint="eastAsia"/>
          <w:lang w:val="en-GB"/>
        </w:rPr>
        <w:t>条第</w:t>
      </w:r>
      <w:r>
        <w:rPr>
          <w:rFonts w:hint="eastAsia"/>
          <w:lang w:val="en-GB"/>
        </w:rPr>
        <w:t>3</w:t>
      </w:r>
      <w:r>
        <w:rPr>
          <w:rFonts w:hint="eastAsia"/>
          <w:lang w:val="en-GB"/>
        </w:rPr>
        <w:t>款，如果</w:t>
      </w:r>
      <w:r>
        <w:rPr>
          <w:rFonts w:hint="eastAsia"/>
          <w:lang w:val="en-GB"/>
        </w:rPr>
        <w:t>7</w:t>
      </w:r>
      <w:r>
        <w:rPr>
          <w:rFonts w:hint="eastAsia"/>
          <w:lang w:val="en-GB"/>
        </w:rPr>
        <w:t>至</w:t>
      </w:r>
      <w:r>
        <w:rPr>
          <w:rFonts w:hint="eastAsia"/>
          <w:lang w:val="en-GB"/>
        </w:rPr>
        <w:t>18</w:t>
      </w:r>
      <w:r>
        <w:rPr>
          <w:rFonts w:hint="eastAsia"/>
          <w:lang w:val="en-GB"/>
        </w:rPr>
        <w:t>岁的未成年人具备必要的认知力，他们有犯罪能力。《民法》第</w:t>
      </w:r>
      <w:r>
        <w:rPr>
          <w:rFonts w:hint="eastAsia"/>
          <w:lang w:val="en-GB"/>
        </w:rPr>
        <w:t>828</w:t>
      </w:r>
      <w:r>
        <w:rPr>
          <w:rFonts w:hint="eastAsia"/>
          <w:lang w:val="en-GB"/>
        </w:rPr>
        <w:t>条第</w:t>
      </w:r>
      <w:r>
        <w:rPr>
          <w:rFonts w:hint="eastAsia"/>
          <w:lang w:val="en-GB"/>
        </w:rPr>
        <w:t>2</w:t>
      </w:r>
      <w:r>
        <w:rPr>
          <w:rFonts w:hint="eastAsia"/>
          <w:lang w:val="en-GB"/>
        </w:rPr>
        <w:t>款特别规定了在公路和铁路交通中损坏的责任。作为原则，如果未成年人已经满</w:t>
      </w:r>
      <w:r>
        <w:rPr>
          <w:rFonts w:hint="eastAsia"/>
          <w:lang w:val="en-GB"/>
        </w:rPr>
        <w:t>10</w:t>
      </w:r>
      <w:r>
        <w:rPr>
          <w:rFonts w:hint="eastAsia"/>
          <w:lang w:val="en-GB"/>
        </w:rPr>
        <w:t>岁，他们只为这种损坏负责，除非他们有意行事。根据</w:t>
      </w:r>
      <w:r>
        <w:rPr>
          <w:lang w:val="en-GB"/>
        </w:rPr>
        <w:t>《民法》</w:t>
      </w:r>
      <w:r>
        <w:rPr>
          <w:rFonts w:hint="eastAsia"/>
          <w:lang w:val="en-GB"/>
        </w:rPr>
        <w:t>第</w:t>
      </w:r>
      <w:r>
        <w:rPr>
          <w:rFonts w:hint="eastAsia"/>
          <w:lang w:val="en-GB"/>
        </w:rPr>
        <w:t>106</w:t>
      </w:r>
      <w:r>
        <w:rPr>
          <w:rFonts w:hint="eastAsia"/>
          <w:lang w:val="en-GB"/>
        </w:rPr>
        <w:t>条，限制满</w:t>
      </w:r>
      <w:r>
        <w:rPr>
          <w:rFonts w:hint="eastAsia"/>
          <w:lang w:val="en-GB"/>
        </w:rPr>
        <w:t>7</w:t>
      </w:r>
      <w:r>
        <w:rPr>
          <w:rFonts w:hint="eastAsia"/>
          <w:lang w:val="en-GB"/>
        </w:rPr>
        <w:t>岁的未成年人签署合同的能力。根据</w:t>
      </w:r>
      <w:r>
        <w:rPr>
          <w:lang w:val="en-GB"/>
        </w:rPr>
        <w:t>《民法》</w:t>
      </w:r>
      <w:r>
        <w:rPr>
          <w:rFonts w:hint="eastAsia"/>
          <w:lang w:val="en-GB"/>
        </w:rPr>
        <w:t>第</w:t>
      </w:r>
      <w:r>
        <w:rPr>
          <w:rFonts w:hint="eastAsia"/>
          <w:lang w:val="en-GB"/>
        </w:rPr>
        <w:t>106</w:t>
      </w:r>
      <w:r>
        <w:rPr>
          <w:rFonts w:hint="eastAsia"/>
          <w:lang w:val="en-GB"/>
        </w:rPr>
        <w:t>条，限制签署合同的未成年人，只能自己有效地提交意向声明，通过这样做，仅仅获得法律益处。如果他们提交其他的意向声明，只有在法定代表同意的情况下，才有效。这些规定同样适用于有残疾和没有残疾的未成年人。</w:t>
      </w:r>
    </w:p>
    <w:p w:rsidR="00334AE2" w:rsidRDefault="00334AE2">
      <w:pPr>
        <w:pStyle w:val="SingleTxtGC"/>
        <w:rPr>
          <w:lang w:val="en-GB"/>
        </w:rPr>
      </w:pPr>
      <w:r>
        <w:rPr>
          <w:lang w:val="en-GB"/>
        </w:rPr>
        <w:t xml:space="preserve">99.  </w:t>
      </w:r>
      <w:r>
        <w:rPr>
          <w:rFonts w:hint="eastAsia"/>
          <w:lang w:val="en-GB"/>
        </w:rPr>
        <w:t>根据《民法》第</w:t>
      </w:r>
      <w:r>
        <w:rPr>
          <w:rFonts w:hint="eastAsia"/>
          <w:lang w:val="en-GB"/>
        </w:rPr>
        <w:t>827</w:t>
      </w:r>
      <w:r>
        <w:rPr>
          <w:rFonts w:hint="eastAsia"/>
          <w:lang w:val="en-GB"/>
        </w:rPr>
        <w:t>、</w:t>
      </w:r>
      <w:r>
        <w:rPr>
          <w:rFonts w:hint="eastAsia"/>
          <w:lang w:val="en-GB"/>
        </w:rPr>
        <w:t>104</w:t>
      </w:r>
      <w:r>
        <w:rPr>
          <w:rFonts w:hint="eastAsia"/>
          <w:lang w:val="en-GB"/>
        </w:rPr>
        <w:t>条，达到法定年龄的</w:t>
      </w:r>
      <w:r>
        <w:rPr>
          <w:lang w:val="en-GB"/>
        </w:rPr>
        <w:t>人</w:t>
      </w:r>
      <w:r>
        <w:rPr>
          <w:rFonts w:hint="eastAsia"/>
          <w:lang w:val="en-GB"/>
        </w:rPr>
        <w:t>，在特殊情况下，也可以没有行动能力。代表残疾人利益的协会认为，这些条款与第</w:t>
      </w:r>
      <w:r>
        <w:rPr>
          <w:rFonts w:hint="eastAsia"/>
          <w:lang w:val="en-GB"/>
        </w:rPr>
        <w:t>12</w:t>
      </w:r>
      <w:r>
        <w:rPr>
          <w:rFonts w:hint="eastAsia"/>
          <w:lang w:val="en-GB"/>
        </w:rPr>
        <w:t>条的规定不一致。因为这意味着，残疾人基于他们的残疾困难，可以被任意地视为没有行动能力。然而，这是不正确的，因为</w:t>
      </w:r>
      <w:r>
        <w:rPr>
          <w:lang w:val="en-GB"/>
        </w:rPr>
        <w:t>《民法》</w:t>
      </w:r>
      <w:r>
        <w:rPr>
          <w:rFonts w:hint="eastAsia"/>
          <w:lang w:val="en-GB"/>
        </w:rPr>
        <w:t>第</w:t>
      </w:r>
      <w:r>
        <w:rPr>
          <w:rFonts w:hint="eastAsia"/>
          <w:lang w:val="en-GB"/>
        </w:rPr>
        <w:t>827</w:t>
      </w:r>
      <w:r>
        <w:rPr>
          <w:rFonts w:hint="eastAsia"/>
          <w:lang w:val="en-GB"/>
        </w:rPr>
        <w:t>和</w:t>
      </w:r>
      <w:r>
        <w:rPr>
          <w:rFonts w:hint="eastAsia"/>
          <w:lang w:val="en-GB"/>
        </w:rPr>
        <w:t>104</w:t>
      </w:r>
      <w:r>
        <w:rPr>
          <w:rFonts w:hint="eastAsia"/>
          <w:lang w:val="en-GB"/>
        </w:rPr>
        <w:t>条</w:t>
      </w:r>
      <w:r>
        <w:rPr>
          <w:rFonts w:hint="eastAsia"/>
          <w:lang w:val="en-GB"/>
        </w:rPr>
        <w:t>(</w:t>
      </w:r>
      <w:r>
        <w:rPr>
          <w:rFonts w:hint="eastAsia"/>
          <w:lang w:val="en-GB"/>
        </w:rPr>
        <w:t>这些条款在特殊情况下排除达到法定年龄的</w:t>
      </w:r>
      <w:r>
        <w:rPr>
          <w:lang w:val="en-GB"/>
        </w:rPr>
        <w:t>人</w:t>
      </w:r>
      <w:r>
        <w:rPr>
          <w:rFonts w:hint="eastAsia"/>
          <w:lang w:val="en-GB"/>
        </w:rPr>
        <w:t>的犯罪和交易能力</w:t>
      </w:r>
      <w:r>
        <w:rPr>
          <w:rFonts w:hint="eastAsia"/>
          <w:lang w:val="en-GB"/>
        </w:rPr>
        <w:t>)</w:t>
      </w:r>
      <w:r>
        <w:rPr>
          <w:rFonts w:hint="eastAsia"/>
          <w:lang w:val="en-GB"/>
        </w:rPr>
        <w:t>平等地适用于残疾人与非残疾人。如果一个人处于</w:t>
      </w:r>
      <w:r>
        <w:rPr>
          <w:lang w:val="en-GB"/>
        </w:rPr>
        <w:t>病理学精神障碍</w:t>
      </w:r>
      <w:r>
        <w:rPr>
          <w:rFonts w:hint="eastAsia"/>
          <w:lang w:val="en-GB"/>
        </w:rPr>
        <w:t>状态，因而妨碍他自由地行使意志力，</w:t>
      </w:r>
      <w:r>
        <w:rPr>
          <w:lang w:val="en-GB"/>
        </w:rPr>
        <w:t>《民法》</w:t>
      </w:r>
      <w:r>
        <w:rPr>
          <w:rFonts w:hint="eastAsia"/>
          <w:lang w:val="en-GB"/>
        </w:rPr>
        <w:t>第</w:t>
      </w:r>
      <w:r>
        <w:rPr>
          <w:rFonts w:hint="eastAsia"/>
          <w:lang w:val="en-GB"/>
        </w:rPr>
        <w:t>104</w:t>
      </w:r>
      <w:r>
        <w:rPr>
          <w:rFonts w:hint="eastAsia"/>
          <w:lang w:val="en-GB"/>
        </w:rPr>
        <w:t>条第</w:t>
      </w:r>
      <w:r>
        <w:rPr>
          <w:rFonts w:hint="eastAsia"/>
          <w:lang w:val="en-GB"/>
        </w:rPr>
        <w:t>2</w:t>
      </w:r>
      <w:r>
        <w:rPr>
          <w:rFonts w:hint="eastAsia"/>
          <w:lang w:val="en-GB"/>
        </w:rPr>
        <w:t>款排除了这种人签署合同的能力，除非就其性质而言这种状况是临时性的。如果一个人在无意识的状态下，或在</w:t>
      </w:r>
      <w:r>
        <w:rPr>
          <w:lang w:val="en-GB"/>
        </w:rPr>
        <w:t>妨碍</w:t>
      </w:r>
      <w:r>
        <w:rPr>
          <w:rFonts w:hint="eastAsia"/>
          <w:lang w:val="en-GB"/>
        </w:rPr>
        <w:t>自由行使意志力的</w:t>
      </w:r>
      <w:r>
        <w:rPr>
          <w:lang w:val="en-GB"/>
        </w:rPr>
        <w:t>病理学精神障碍</w:t>
      </w:r>
      <w:r>
        <w:rPr>
          <w:rFonts w:hint="eastAsia"/>
          <w:lang w:val="en-GB"/>
        </w:rPr>
        <w:t>状态下，造成对另一个人的伤害，</w:t>
      </w:r>
      <w:r>
        <w:rPr>
          <w:lang w:val="en-GB"/>
        </w:rPr>
        <w:t>《民法》</w:t>
      </w:r>
      <w:r>
        <w:rPr>
          <w:rFonts w:hint="eastAsia"/>
          <w:lang w:val="en-GB"/>
        </w:rPr>
        <w:t>第</w:t>
      </w:r>
      <w:r>
        <w:rPr>
          <w:rFonts w:hint="eastAsia"/>
          <w:lang w:val="en-GB"/>
        </w:rPr>
        <w:t>827</w:t>
      </w:r>
      <w:r>
        <w:rPr>
          <w:rFonts w:hint="eastAsia"/>
          <w:lang w:val="en-GB"/>
        </w:rPr>
        <w:t>条第</w:t>
      </w:r>
      <w:r>
        <w:rPr>
          <w:rFonts w:hint="eastAsia"/>
          <w:lang w:val="en-GB"/>
        </w:rPr>
        <w:t>1</w:t>
      </w:r>
      <w:r>
        <w:rPr>
          <w:rFonts w:hint="eastAsia"/>
          <w:lang w:val="en-GB"/>
        </w:rPr>
        <w:t>句排除这个人犯罪的能力。这些法规保护有关人，避免在</w:t>
      </w:r>
      <w:r>
        <w:rPr>
          <w:lang w:val="en-GB"/>
        </w:rPr>
        <w:t>他们不应</w:t>
      </w:r>
      <w:r>
        <w:rPr>
          <w:rFonts w:hint="eastAsia"/>
          <w:lang w:val="en-GB"/>
        </w:rPr>
        <w:t>受到</w:t>
      </w:r>
      <w:r>
        <w:rPr>
          <w:lang w:val="en-GB"/>
        </w:rPr>
        <w:t>责备的</w:t>
      </w:r>
      <w:r>
        <w:rPr>
          <w:rFonts w:hint="eastAsia"/>
          <w:lang w:val="en-GB"/>
        </w:rPr>
        <w:t>情况下承担损失责任，以及避免他们承担在</w:t>
      </w:r>
      <w:r>
        <w:rPr>
          <w:lang w:val="en-GB"/>
        </w:rPr>
        <w:t>妨碍</w:t>
      </w:r>
      <w:r>
        <w:rPr>
          <w:rFonts w:hint="eastAsia"/>
          <w:lang w:val="en-GB"/>
        </w:rPr>
        <w:t>自由行使意志力状态下犯下的不良法律行为的义务所产生的不利后果。这些条款都没有与残疾相连，因此它们既不包括所有残疾人，它们的应用范围也不限于残疾人。在这两个条款中，使用的关于</w:t>
      </w:r>
      <w:r>
        <w:rPr>
          <w:lang w:val="en-GB"/>
        </w:rPr>
        <w:t>病理学精神障碍</w:t>
      </w:r>
      <w:r>
        <w:rPr>
          <w:rFonts w:hint="eastAsia"/>
          <w:lang w:val="en-GB"/>
        </w:rPr>
        <w:t>状态的法律定义，既覆盖残疾人，他们的残疾由</w:t>
      </w:r>
      <w:r>
        <w:rPr>
          <w:lang w:val="en-GB"/>
        </w:rPr>
        <w:t>妨碍</w:t>
      </w:r>
      <w:r>
        <w:rPr>
          <w:rFonts w:hint="eastAsia"/>
          <w:lang w:val="en-GB"/>
        </w:rPr>
        <w:t>自由行使意志力的长期精神障碍相伴随；也覆盖患持久</w:t>
      </w:r>
      <w:r>
        <w:rPr>
          <w:lang w:val="en-GB"/>
        </w:rPr>
        <w:t>丧失意识</w:t>
      </w:r>
      <w:r>
        <w:rPr>
          <w:rFonts w:hint="eastAsia"/>
          <w:lang w:val="en-GB"/>
        </w:rPr>
        <w:t>或患其他疾病的人，这些人的自由行使意志力只在短期内不受限制。是否符合这些先决条件，总是只涉及各个具体情况。如果发生争议，只有法庭才能就有关犯罪能力或签署合同的先决条件是否特殊地适用于具体行为或言论，作出有约束力的裁决。</w:t>
      </w:r>
    </w:p>
    <w:p w:rsidR="00334AE2" w:rsidRDefault="00334AE2">
      <w:pPr>
        <w:pStyle w:val="SingleTxtGC"/>
        <w:rPr>
          <w:lang w:val="en-GB"/>
        </w:rPr>
      </w:pPr>
      <w:r>
        <w:rPr>
          <w:lang w:val="en-GB"/>
        </w:rPr>
        <w:t xml:space="preserve">100.  </w:t>
      </w:r>
      <w:r>
        <w:rPr>
          <w:rFonts w:hint="eastAsia"/>
          <w:lang w:val="en-GB"/>
        </w:rPr>
        <w:t>如果一个人达到成年人年龄，由于患精神疾病或身体、精神或心理残疾，完全或部分不能处理自己的事务，监管法院根据《民法》第</w:t>
      </w:r>
      <w:r>
        <w:rPr>
          <w:rFonts w:hint="eastAsia"/>
          <w:lang w:val="en-GB"/>
        </w:rPr>
        <w:t>1896</w:t>
      </w:r>
      <w:r>
        <w:rPr>
          <w:rFonts w:hint="eastAsia"/>
          <w:lang w:val="en-GB"/>
        </w:rPr>
        <w:t>条，</w:t>
      </w:r>
      <w:r>
        <w:rPr>
          <w:rFonts w:hint="eastAsia"/>
        </w:rPr>
        <w:t>根据</w:t>
      </w:r>
      <w:r>
        <w:rPr>
          <w:rFonts w:hint="eastAsia"/>
          <w:lang w:val="en-GB"/>
        </w:rPr>
        <w:t>他的申请或法院采取主动，为他</w:t>
      </w:r>
      <w:r>
        <w:rPr>
          <w:rFonts w:hint="eastAsia"/>
          <w:lang w:val="en-GB"/>
        </w:rPr>
        <w:t>(</w:t>
      </w:r>
      <w:r>
        <w:rPr>
          <w:rFonts w:hint="eastAsia"/>
          <w:lang w:val="en-GB"/>
        </w:rPr>
        <w:t>她</w:t>
      </w:r>
      <w:r>
        <w:rPr>
          <w:rFonts w:hint="eastAsia"/>
          <w:lang w:val="en-GB"/>
        </w:rPr>
        <w:t>)</w:t>
      </w:r>
      <w:r>
        <w:rPr>
          <w:rFonts w:hint="eastAsia"/>
          <w:lang w:val="en-GB"/>
        </w:rPr>
        <w:t>指定一个监护人。此人签署合同的法律行为能力和才能，不会因为指定监护人而受到影响。监护人在执行分配给他</w:t>
      </w:r>
      <w:r>
        <w:rPr>
          <w:rFonts w:hint="eastAsia"/>
          <w:lang w:val="en-GB"/>
        </w:rPr>
        <w:t>(</w:t>
      </w:r>
      <w:r>
        <w:rPr>
          <w:rFonts w:hint="eastAsia"/>
          <w:lang w:val="en-GB"/>
        </w:rPr>
        <w:t>她</w:t>
      </w:r>
      <w:r>
        <w:rPr>
          <w:rFonts w:hint="eastAsia"/>
          <w:lang w:val="en-GB"/>
        </w:rPr>
        <w:t>)</w:t>
      </w:r>
      <w:r>
        <w:rPr>
          <w:rFonts w:hint="eastAsia"/>
          <w:lang w:val="en-GB"/>
        </w:rPr>
        <w:t>的任务时，必须为他监护的人采取符合被监护的人的最佳利益的必要措施；根据《民法》第</w:t>
      </w:r>
      <w:r>
        <w:rPr>
          <w:rFonts w:hint="eastAsia"/>
          <w:lang w:val="en-GB"/>
        </w:rPr>
        <w:t>1901</w:t>
      </w:r>
      <w:r>
        <w:rPr>
          <w:rFonts w:hint="eastAsia"/>
          <w:lang w:val="en-GB"/>
        </w:rPr>
        <w:t>条第</w:t>
      </w:r>
      <w:r>
        <w:rPr>
          <w:rFonts w:hint="eastAsia"/>
          <w:lang w:val="en-GB"/>
        </w:rPr>
        <w:t>2</w:t>
      </w:r>
      <w:r>
        <w:rPr>
          <w:rFonts w:hint="eastAsia"/>
          <w:lang w:val="en-GB"/>
        </w:rPr>
        <w:t>、</w:t>
      </w:r>
      <w:r>
        <w:rPr>
          <w:rFonts w:hint="eastAsia"/>
          <w:lang w:val="en-GB"/>
        </w:rPr>
        <w:t>3</w:t>
      </w:r>
      <w:r>
        <w:rPr>
          <w:rFonts w:hint="eastAsia"/>
          <w:lang w:val="en-GB"/>
        </w:rPr>
        <w:t>款，必须考虑他</w:t>
      </w:r>
      <w:r>
        <w:rPr>
          <w:rFonts w:hint="eastAsia"/>
          <w:lang w:val="en-GB"/>
        </w:rPr>
        <w:t>(</w:t>
      </w:r>
      <w:r>
        <w:rPr>
          <w:rFonts w:hint="eastAsia"/>
          <w:lang w:val="en-GB"/>
        </w:rPr>
        <w:t>她</w:t>
      </w:r>
      <w:r>
        <w:rPr>
          <w:rFonts w:hint="eastAsia"/>
          <w:lang w:val="en-GB"/>
        </w:rPr>
        <w:t>)</w:t>
      </w:r>
      <w:r>
        <w:rPr>
          <w:rFonts w:hint="eastAsia"/>
          <w:lang w:val="en-GB"/>
        </w:rPr>
        <w:t>的愿望。根据《民法》第</w:t>
      </w:r>
      <w:r>
        <w:rPr>
          <w:rFonts w:hint="eastAsia"/>
          <w:lang w:val="en-GB"/>
        </w:rPr>
        <w:t>1902</w:t>
      </w:r>
      <w:r>
        <w:rPr>
          <w:rFonts w:hint="eastAsia"/>
          <w:lang w:val="en-GB"/>
        </w:rPr>
        <w:t>条，监护人在执行任务时，监护人代表被监护的人。监护法律的核心是加强个人的自主性。严格的必要性原则，和根据监管法律采取的措施的严格的相称标准，加强了自主保障。</w:t>
      </w:r>
    </w:p>
    <w:p w:rsidR="00334AE2" w:rsidRDefault="00334AE2">
      <w:pPr>
        <w:pStyle w:val="SingleTxtGC"/>
        <w:rPr>
          <w:lang w:val="en-GB"/>
        </w:rPr>
      </w:pPr>
      <w:r>
        <w:rPr>
          <w:lang w:val="en-GB"/>
        </w:rPr>
        <w:t xml:space="preserve">101.  </w:t>
      </w:r>
      <w:r>
        <w:rPr>
          <w:rFonts w:hint="eastAsia"/>
          <w:lang w:val="en-GB"/>
        </w:rPr>
        <w:t>在指定监护人之前，法院必须听取当事人本人的意见</w:t>
      </w:r>
      <w:r>
        <w:rPr>
          <w:rStyle w:val="FootnoteReference"/>
        </w:rPr>
        <w:footnoteReference w:id="33"/>
      </w:r>
      <w:r>
        <w:rPr>
          <w:rFonts w:hint="eastAsia"/>
          <w:lang w:val="en-GB"/>
        </w:rPr>
        <w:t>。在指定监护人时，法院必须根据专家报告作决定。不得违背成年人的自由意志指定监护人</w:t>
      </w:r>
      <w:r>
        <w:rPr>
          <w:rFonts w:hint="eastAsia"/>
          <w:lang w:val="en-GB"/>
        </w:rPr>
        <w:t>(</w:t>
      </w:r>
      <w:r>
        <w:rPr>
          <w:lang w:val="en-GB"/>
        </w:rPr>
        <w:t>《民法》</w:t>
      </w:r>
      <w:r>
        <w:rPr>
          <w:rFonts w:hint="eastAsia"/>
          <w:lang w:val="en-GB"/>
        </w:rPr>
        <w:t>第</w:t>
      </w:r>
      <w:r>
        <w:rPr>
          <w:rFonts w:hint="eastAsia"/>
          <w:lang w:val="en-GB"/>
        </w:rPr>
        <w:t>1896</w:t>
      </w:r>
      <w:r>
        <w:rPr>
          <w:rFonts w:hint="eastAsia"/>
          <w:lang w:val="en-GB"/>
        </w:rPr>
        <w:t>条第</w:t>
      </w:r>
      <w:r>
        <w:rPr>
          <w:lang w:val="en-GB"/>
        </w:rPr>
        <w:t>1a</w:t>
      </w:r>
      <w:r>
        <w:rPr>
          <w:rFonts w:hint="eastAsia"/>
          <w:lang w:val="en-GB"/>
        </w:rPr>
        <w:t>款</w:t>
      </w:r>
      <w:r>
        <w:rPr>
          <w:rFonts w:hint="eastAsia"/>
          <w:lang w:val="en-GB"/>
        </w:rPr>
        <w:t>)</w:t>
      </w:r>
      <w:r>
        <w:rPr>
          <w:rFonts w:hint="eastAsia"/>
          <w:lang w:val="en-GB"/>
        </w:rPr>
        <w:t>。监管法院监督监护人的所有活动</w:t>
      </w:r>
      <w:r>
        <w:rPr>
          <w:rFonts w:hint="eastAsia"/>
          <w:lang w:val="en-GB"/>
        </w:rPr>
        <w:t>(</w:t>
      </w:r>
      <w:r>
        <w:rPr>
          <w:rFonts w:hint="eastAsia"/>
          <w:lang w:val="en-GB"/>
        </w:rPr>
        <w:t>《民法》第</w:t>
      </w:r>
      <w:r>
        <w:rPr>
          <w:rFonts w:hint="eastAsia"/>
          <w:lang w:val="en-GB"/>
        </w:rPr>
        <w:t>1837</w:t>
      </w:r>
      <w:r>
        <w:rPr>
          <w:rFonts w:hint="eastAsia"/>
          <w:lang w:val="en-GB"/>
        </w:rPr>
        <w:t>条第</w:t>
      </w:r>
      <w:r>
        <w:rPr>
          <w:rFonts w:hint="eastAsia"/>
          <w:lang w:val="en-GB"/>
        </w:rPr>
        <w:t>2</w:t>
      </w:r>
      <w:r>
        <w:rPr>
          <w:rFonts w:hint="eastAsia"/>
          <w:lang w:val="en-GB"/>
        </w:rPr>
        <w:t>款和第</w:t>
      </w:r>
      <w:r>
        <w:rPr>
          <w:rFonts w:hint="eastAsia"/>
          <w:lang w:val="en-GB"/>
        </w:rPr>
        <w:t>1908i</w:t>
      </w:r>
      <w:r>
        <w:rPr>
          <w:rFonts w:hint="eastAsia"/>
          <w:lang w:val="en-GB"/>
        </w:rPr>
        <w:t>条第</w:t>
      </w:r>
      <w:r>
        <w:rPr>
          <w:rFonts w:hint="eastAsia"/>
          <w:lang w:val="en-GB"/>
        </w:rPr>
        <w:t>1</w:t>
      </w:r>
      <w:r>
        <w:rPr>
          <w:rFonts w:hint="eastAsia"/>
          <w:lang w:val="en-GB"/>
        </w:rPr>
        <w:t>款第</w:t>
      </w:r>
      <w:r>
        <w:rPr>
          <w:rFonts w:hint="eastAsia"/>
          <w:lang w:val="en-GB"/>
        </w:rPr>
        <w:t>1</w:t>
      </w:r>
      <w:r>
        <w:rPr>
          <w:rFonts w:hint="eastAsia"/>
          <w:lang w:val="en-GB"/>
        </w:rPr>
        <w:t>句</w:t>
      </w:r>
      <w:r>
        <w:rPr>
          <w:rFonts w:hint="eastAsia"/>
          <w:lang w:val="en-GB"/>
        </w:rPr>
        <w:t>)</w:t>
      </w:r>
      <w:r>
        <w:rPr>
          <w:rFonts w:hint="eastAsia"/>
          <w:lang w:val="en-GB"/>
        </w:rPr>
        <w:t>。监管法院通过发布适当的指示和禁令，对监护人违反监护职责进行干预。如果监护人不经常与被监护的人保持联系</w:t>
      </w:r>
      <w:r>
        <w:rPr>
          <w:rFonts w:hint="eastAsia"/>
          <w:lang w:val="en-GB"/>
        </w:rPr>
        <w:t>(</w:t>
      </w:r>
      <w:r>
        <w:rPr>
          <w:rFonts w:hint="eastAsia"/>
          <w:lang w:val="en-GB"/>
        </w:rPr>
        <w:t>《民法》第</w:t>
      </w:r>
      <w:r>
        <w:rPr>
          <w:rFonts w:hint="eastAsia"/>
          <w:lang w:val="en-GB"/>
        </w:rPr>
        <w:t>1897</w:t>
      </w:r>
      <w:r>
        <w:rPr>
          <w:rFonts w:hint="eastAsia"/>
          <w:lang w:val="en-GB"/>
        </w:rPr>
        <w:t>条第</w:t>
      </w:r>
      <w:r>
        <w:rPr>
          <w:lang w:val="en-GB"/>
        </w:rPr>
        <w:t>1</w:t>
      </w:r>
      <w:r>
        <w:rPr>
          <w:rFonts w:hint="eastAsia"/>
          <w:lang w:val="en-GB"/>
        </w:rPr>
        <w:t>款</w:t>
      </w:r>
      <w:r>
        <w:rPr>
          <w:rFonts w:hint="eastAsia"/>
          <w:lang w:val="en-GB"/>
        </w:rPr>
        <w:t>)</w:t>
      </w:r>
      <w:r>
        <w:rPr>
          <w:rFonts w:hint="eastAsia"/>
          <w:lang w:val="en-GB"/>
        </w:rPr>
        <w:t>，不讨论对于被监护的人非常重要的事项</w:t>
      </w:r>
      <w:r>
        <w:rPr>
          <w:rFonts w:hint="eastAsia"/>
          <w:lang w:val="en-GB"/>
        </w:rPr>
        <w:t>(</w:t>
      </w:r>
      <w:r>
        <w:rPr>
          <w:rFonts w:hint="eastAsia"/>
          <w:lang w:val="en-GB"/>
        </w:rPr>
        <w:t>《民法》第</w:t>
      </w:r>
      <w:r>
        <w:rPr>
          <w:rFonts w:hint="eastAsia"/>
          <w:lang w:val="en-GB"/>
        </w:rPr>
        <w:t>1901</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，也是违反职责。如果证明监护人是不适合的，或者有其他令人信服的理由，法院必须撤销监护人</w:t>
      </w:r>
      <w:r>
        <w:rPr>
          <w:rFonts w:hint="eastAsia"/>
          <w:lang w:val="en-GB"/>
        </w:rPr>
        <w:t>(</w:t>
      </w:r>
      <w:r>
        <w:rPr>
          <w:rFonts w:hint="eastAsia"/>
          <w:lang w:val="en-GB"/>
        </w:rPr>
        <w:t>《民法》第</w:t>
      </w:r>
      <w:r>
        <w:rPr>
          <w:rFonts w:hint="eastAsia"/>
          <w:lang w:val="en-GB"/>
        </w:rPr>
        <w:t>1908b</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102.  </w:t>
      </w:r>
      <w:r>
        <w:rPr>
          <w:rFonts w:hint="eastAsia"/>
          <w:lang w:val="en-GB"/>
        </w:rPr>
        <w:t>如果有关的人能够自由地形成自己的意志，自主权利也包括患病的自由。因此，例如，不能为了使有关人接受他周围的人认为必要的检查或治疗，而指定监护人。在监护法律之下的变通，只是在被监护的人由于他</w:t>
      </w:r>
      <w:r>
        <w:rPr>
          <w:rFonts w:hint="eastAsia"/>
          <w:lang w:val="en-GB"/>
        </w:rPr>
        <w:t>(</w:t>
      </w:r>
      <w:r>
        <w:rPr>
          <w:rFonts w:hint="eastAsia"/>
          <w:lang w:val="en-GB"/>
        </w:rPr>
        <w:t>她</w:t>
      </w:r>
      <w:r>
        <w:rPr>
          <w:rFonts w:hint="eastAsia"/>
          <w:lang w:val="en-GB"/>
        </w:rPr>
        <w:t>)</w:t>
      </w:r>
      <w:r>
        <w:rPr>
          <w:rFonts w:hint="eastAsia"/>
          <w:lang w:val="en-GB"/>
        </w:rPr>
        <w:t>的疾病不能行使他</w:t>
      </w:r>
      <w:r>
        <w:rPr>
          <w:rFonts w:hint="eastAsia"/>
          <w:lang w:val="en-GB"/>
        </w:rPr>
        <w:t>(</w:t>
      </w:r>
      <w:r>
        <w:rPr>
          <w:rFonts w:hint="eastAsia"/>
          <w:lang w:val="en-GB"/>
        </w:rPr>
        <w:t>她</w:t>
      </w:r>
      <w:r>
        <w:rPr>
          <w:rFonts w:hint="eastAsia"/>
          <w:lang w:val="en-GB"/>
        </w:rPr>
        <w:t>)</w:t>
      </w:r>
      <w:r>
        <w:rPr>
          <w:rFonts w:hint="eastAsia"/>
          <w:lang w:val="en-GB"/>
        </w:rPr>
        <w:t>的自主权的情况下，为了避免造成重大自我伤害</w:t>
      </w:r>
      <w:r>
        <w:rPr>
          <w:rFonts w:hint="eastAsia"/>
          <w:lang w:val="en-GB"/>
        </w:rPr>
        <w:t>(</w:t>
      </w:r>
      <w:r>
        <w:rPr>
          <w:rFonts w:hint="eastAsia"/>
          <w:lang w:val="en-GB"/>
        </w:rPr>
        <w:t>《民法》第</w:t>
      </w:r>
      <w:r>
        <w:rPr>
          <w:rFonts w:hint="eastAsia"/>
          <w:lang w:val="en-GB"/>
        </w:rPr>
        <w:t>1906</w:t>
      </w:r>
      <w:r>
        <w:rPr>
          <w:rFonts w:hint="eastAsia"/>
          <w:lang w:val="en-GB"/>
        </w:rPr>
        <w:t>条</w:t>
      </w:r>
      <w:r>
        <w:rPr>
          <w:rFonts w:hint="eastAsia"/>
          <w:lang w:val="en-GB"/>
        </w:rPr>
        <w:t>)</w:t>
      </w:r>
      <w:r>
        <w:rPr>
          <w:rFonts w:hint="eastAsia"/>
          <w:lang w:val="en-GB"/>
        </w:rPr>
        <w:t>。《民法》规定，只有得到监管法院的适当批准，才能对被监护的人实行变通</w:t>
      </w:r>
      <w:r>
        <w:rPr>
          <w:rFonts w:hint="eastAsia"/>
          <w:lang w:val="en-GB"/>
        </w:rPr>
        <w:t>(</w:t>
      </w:r>
      <w:r>
        <w:rPr>
          <w:rFonts w:hint="eastAsia"/>
          <w:lang w:val="en-GB"/>
        </w:rPr>
        <w:t>《民法》第</w:t>
      </w:r>
      <w:r>
        <w:rPr>
          <w:rFonts w:hint="eastAsia"/>
          <w:lang w:val="en-GB"/>
        </w:rPr>
        <w:t>1906</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w:t>
      </w:r>
    </w:p>
    <w:p w:rsidR="00334AE2" w:rsidRDefault="00334AE2">
      <w:pPr>
        <w:pStyle w:val="SingleTxtGC"/>
        <w:rPr>
          <w:lang w:val="en-GB"/>
        </w:rPr>
      </w:pPr>
      <w:r>
        <w:rPr>
          <w:lang w:val="en-GB"/>
        </w:rPr>
        <w:t>103</w:t>
      </w:r>
      <w:r>
        <w:rPr>
          <w:rFonts w:hint="eastAsia"/>
          <w:lang w:val="en-GB"/>
        </w:rPr>
        <w:t xml:space="preserve">.  </w:t>
      </w:r>
      <w:r>
        <w:rPr>
          <w:rFonts w:hint="eastAsia"/>
          <w:lang w:val="en-GB"/>
        </w:rPr>
        <w:t>虽然德国关于监管的法律与《公约》一致，没有必要采取立法行动，但是各有关方面正在努力运用法律，利用潜力优势进行改进。因此，</w:t>
      </w:r>
      <w:r>
        <w:rPr>
          <w:lang w:val="en-GB"/>
        </w:rPr>
        <w:t>除其他</w:t>
      </w:r>
      <w:r>
        <w:rPr>
          <w:rFonts w:hint="eastAsia"/>
          <w:lang w:val="en-GB"/>
        </w:rPr>
        <w:t>问题外，一个关于监管法律的工作小组将探讨，以《残疾人权利公约》的观点，探讨在监管系统中存在什么改进可能性的问题。此外，计划对《家庭案件和无争议事项诉讼程序法》</w:t>
      </w:r>
      <w:r>
        <w:rPr>
          <w:lang w:val="en-GB"/>
        </w:rPr>
        <w:t>(</w:t>
      </w:r>
      <w:r>
        <w:rPr>
          <w:i/>
          <w:iCs/>
          <w:lang w:val="en-GB"/>
        </w:rPr>
        <w:t>Gesetz</w:t>
      </w:r>
      <w:r>
        <w:rPr>
          <w:rFonts w:hint="eastAsia"/>
          <w:i/>
          <w:iCs/>
          <w:lang w:val="en-GB"/>
        </w:rPr>
        <w:t xml:space="preserve"> </w:t>
      </w:r>
      <w:r>
        <w:rPr>
          <w:i/>
          <w:iCs/>
          <w:lang w:val="en-GB"/>
        </w:rPr>
        <w:t>über</w:t>
      </w:r>
      <w:r>
        <w:rPr>
          <w:rFonts w:hint="eastAsia"/>
          <w:i/>
          <w:iCs/>
          <w:lang w:val="en-GB"/>
        </w:rPr>
        <w:t xml:space="preserve"> </w:t>
      </w:r>
      <w:r>
        <w:rPr>
          <w:i/>
          <w:iCs/>
          <w:lang w:val="en-GB"/>
        </w:rPr>
        <w:t>das</w:t>
      </w:r>
      <w:r>
        <w:rPr>
          <w:rFonts w:hint="eastAsia"/>
          <w:i/>
          <w:iCs/>
          <w:lang w:val="en-GB"/>
        </w:rPr>
        <w:t xml:space="preserve"> </w:t>
      </w:r>
      <w:r>
        <w:rPr>
          <w:i/>
          <w:iCs/>
          <w:lang w:val="en-GB"/>
        </w:rPr>
        <w:t>Verfahren</w:t>
      </w:r>
      <w:r>
        <w:rPr>
          <w:rFonts w:hint="eastAsia"/>
          <w:i/>
          <w:iCs/>
          <w:lang w:val="en-GB"/>
        </w:rPr>
        <w:t xml:space="preserve"> </w:t>
      </w:r>
      <w:r>
        <w:rPr>
          <w:i/>
          <w:iCs/>
          <w:lang w:val="en-GB"/>
        </w:rPr>
        <w:t>in</w:t>
      </w:r>
      <w:r>
        <w:rPr>
          <w:rFonts w:hint="eastAsia"/>
          <w:i/>
          <w:iCs/>
          <w:lang w:val="en-GB"/>
        </w:rPr>
        <w:t xml:space="preserve"> </w:t>
      </w:r>
      <w:r>
        <w:rPr>
          <w:i/>
          <w:iCs/>
          <w:lang w:val="en-GB"/>
        </w:rPr>
        <w:t>Familiensachen</w:t>
      </w:r>
      <w:r>
        <w:rPr>
          <w:rFonts w:hint="eastAsia"/>
          <w:i/>
          <w:iCs/>
          <w:lang w:val="en-GB"/>
        </w:rPr>
        <w:t xml:space="preserve"> </w:t>
      </w:r>
      <w:r>
        <w:rPr>
          <w:i/>
          <w:iCs/>
          <w:lang w:val="en-GB"/>
        </w:rPr>
        <w:t>und</w:t>
      </w:r>
      <w:r>
        <w:rPr>
          <w:rFonts w:hint="eastAsia"/>
          <w:i/>
          <w:iCs/>
          <w:lang w:val="en-GB"/>
        </w:rPr>
        <w:t xml:space="preserve"> </w:t>
      </w:r>
      <w:r>
        <w:rPr>
          <w:i/>
          <w:iCs/>
          <w:lang w:val="en-GB"/>
        </w:rPr>
        <w:t>in</w:t>
      </w:r>
      <w:r>
        <w:rPr>
          <w:rFonts w:hint="eastAsia"/>
          <w:i/>
          <w:iCs/>
          <w:lang w:val="en-GB"/>
        </w:rPr>
        <w:t xml:space="preserve"> </w:t>
      </w:r>
      <w:r>
        <w:rPr>
          <w:i/>
          <w:iCs/>
          <w:lang w:val="en-GB"/>
        </w:rPr>
        <w:t>den</w:t>
      </w:r>
      <w:r>
        <w:rPr>
          <w:rFonts w:hint="eastAsia"/>
          <w:i/>
          <w:iCs/>
          <w:lang w:val="en-GB"/>
        </w:rPr>
        <w:t xml:space="preserve"> </w:t>
      </w:r>
      <w:r>
        <w:rPr>
          <w:i/>
          <w:iCs/>
          <w:lang w:val="en-GB"/>
        </w:rPr>
        <w:t>Angelegenheiten</w:t>
      </w:r>
      <w:r>
        <w:rPr>
          <w:rFonts w:hint="eastAsia"/>
          <w:i/>
          <w:iCs/>
          <w:lang w:val="en-GB"/>
        </w:rPr>
        <w:t xml:space="preserve"> </w:t>
      </w:r>
      <w:r>
        <w:rPr>
          <w:i/>
          <w:iCs/>
          <w:lang w:val="en-GB"/>
        </w:rPr>
        <w:t>der</w:t>
      </w:r>
      <w:r>
        <w:rPr>
          <w:rFonts w:hint="eastAsia"/>
          <w:i/>
          <w:iCs/>
          <w:lang w:val="en-GB"/>
        </w:rPr>
        <w:t xml:space="preserve"> </w:t>
      </w:r>
      <w:r>
        <w:rPr>
          <w:i/>
          <w:iCs/>
          <w:lang w:val="en-GB"/>
        </w:rPr>
        <w:t>freiwilligen</w:t>
      </w:r>
      <w:r>
        <w:rPr>
          <w:rFonts w:hint="eastAsia"/>
          <w:i/>
          <w:iCs/>
          <w:lang w:val="en-GB"/>
        </w:rPr>
        <w:t xml:space="preserve"> </w:t>
      </w:r>
      <w:r>
        <w:rPr>
          <w:i/>
          <w:iCs/>
          <w:lang w:val="en-GB"/>
        </w:rPr>
        <w:t>Gerichtsbarkeit</w:t>
      </w:r>
      <w:r>
        <w:rPr>
          <w:lang w:val="en-GB"/>
        </w:rPr>
        <w:t>)</w:t>
      </w:r>
      <w:r>
        <w:rPr>
          <w:rFonts w:hint="eastAsia"/>
          <w:lang w:val="en-GB"/>
        </w:rPr>
        <w:t>进行广泛的评估，该法自</w:t>
      </w:r>
      <w:r>
        <w:rPr>
          <w:rFonts w:hint="eastAsia"/>
          <w:lang w:val="en-GB"/>
        </w:rPr>
        <w:t>2009</w:t>
      </w:r>
      <w:r>
        <w:rPr>
          <w:rFonts w:hint="eastAsia"/>
          <w:lang w:val="en-GB"/>
        </w:rPr>
        <w:t>年</w:t>
      </w:r>
      <w:r>
        <w:rPr>
          <w:rFonts w:hint="eastAsia"/>
          <w:lang w:val="en-GB"/>
        </w:rPr>
        <w:t>9</w:t>
      </w:r>
      <w:r>
        <w:rPr>
          <w:rFonts w:hint="eastAsia"/>
          <w:lang w:val="en-GB"/>
        </w:rPr>
        <w:t>月</w:t>
      </w:r>
      <w:r>
        <w:rPr>
          <w:rFonts w:hint="eastAsia"/>
          <w:lang w:val="en-GB"/>
        </w:rPr>
        <w:t>1</w:t>
      </w:r>
      <w:r>
        <w:rPr>
          <w:rFonts w:hint="eastAsia"/>
          <w:lang w:val="en-GB"/>
        </w:rPr>
        <w:t>日起开始生效。除其他事项外，在评估中，将对关于监护和变通案件的法庭诉讼程序的法规进行严格审查。</w:t>
      </w:r>
    </w:p>
    <w:p w:rsidR="00334AE2" w:rsidRDefault="00334AE2">
      <w:pPr>
        <w:pStyle w:val="H1GC"/>
        <w:rPr>
          <w:lang w:val="en-GB"/>
        </w:rPr>
      </w:pPr>
      <w:bookmarkStart w:id="16" w:name="_Toc303932225"/>
      <w:r>
        <w:rPr>
          <w:lang w:val="en-GB"/>
        </w:rPr>
        <w:tab/>
      </w:r>
      <w:r>
        <w:rPr>
          <w:lang w:val="en-GB"/>
        </w:rPr>
        <w:tab/>
      </w:r>
      <w:bookmarkEnd w:id="16"/>
      <w:r>
        <w:rPr>
          <w:rFonts w:hint="eastAsia"/>
          <w:lang w:val="en-GB"/>
        </w:rPr>
        <w:t>第十三条</w:t>
      </w:r>
      <w:r>
        <w:rPr>
          <w:rFonts w:hint="eastAsia"/>
          <w:lang w:val="en-GB"/>
        </w:rPr>
        <w:br/>
      </w:r>
      <w:r>
        <w:rPr>
          <w:rFonts w:hint="eastAsia"/>
          <w:lang w:val="en-GB"/>
        </w:rPr>
        <w:t>获得司法保护</w:t>
      </w:r>
    </w:p>
    <w:p w:rsidR="00334AE2" w:rsidRDefault="00334AE2">
      <w:pPr>
        <w:pStyle w:val="SingleTxtGC"/>
        <w:rPr>
          <w:lang w:val="en-GB"/>
        </w:rPr>
      </w:pPr>
      <w:r>
        <w:rPr>
          <w:lang w:val="en-GB"/>
        </w:rPr>
        <w:t xml:space="preserve">104.  </w:t>
      </w:r>
      <w:r>
        <w:rPr>
          <w:rFonts w:hint="eastAsia"/>
          <w:lang w:val="en-GB"/>
        </w:rPr>
        <w:t>德国法律保障残疾人获得</w:t>
      </w:r>
      <w:r>
        <w:rPr>
          <w:lang w:val="en-GB"/>
        </w:rPr>
        <w:t>司法救助</w:t>
      </w:r>
      <w:r>
        <w:rPr>
          <w:rFonts w:hint="eastAsia"/>
          <w:lang w:val="en-GB"/>
        </w:rPr>
        <w:t>。譬如，《法院宪法法》</w:t>
      </w:r>
      <w:r>
        <w:rPr>
          <w:rFonts w:hint="eastAsia"/>
          <w:lang w:val="en-GB"/>
        </w:rPr>
        <w:t>(</w:t>
      </w:r>
      <w:r>
        <w:rPr>
          <w:i/>
          <w:iCs/>
          <w:lang w:val="en-GB"/>
        </w:rPr>
        <w:t>Gerichtsver-fassungsgesetz</w:t>
      </w:r>
      <w:r>
        <w:rPr>
          <w:rFonts w:hint="eastAsia"/>
          <w:lang w:val="en-GB"/>
        </w:rPr>
        <w:t>)</w:t>
      </w:r>
      <w:r>
        <w:rPr>
          <w:rFonts w:hint="eastAsia"/>
          <w:lang w:val="en-GB"/>
        </w:rPr>
        <w:t>和《刑事诉讼法》</w:t>
      </w:r>
      <w:r>
        <w:rPr>
          <w:rFonts w:hint="eastAsia"/>
          <w:lang w:val="en-GB"/>
        </w:rPr>
        <w:t>(</w:t>
      </w:r>
      <w:r>
        <w:rPr>
          <w:i/>
          <w:iCs/>
          <w:lang w:val="en-GB"/>
        </w:rPr>
        <w:t>Strafprozessordnung</w:t>
      </w:r>
      <w:r>
        <w:rPr>
          <w:rFonts w:hint="eastAsia"/>
          <w:lang w:val="en-GB"/>
        </w:rPr>
        <w:t>)</w:t>
      </w:r>
      <w:r>
        <w:rPr>
          <w:rFonts w:hint="eastAsia"/>
          <w:lang w:val="en-GB"/>
        </w:rPr>
        <w:t>都载有适当的条款。</w:t>
      </w:r>
    </w:p>
    <w:p w:rsidR="00334AE2" w:rsidRDefault="00334AE2">
      <w:pPr>
        <w:pStyle w:val="SingleTxtGC"/>
        <w:rPr>
          <w:lang w:val="en-GB"/>
        </w:rPr>
      </w:pPr>
      <w:bookmarkStart w:id="17" w:name="P191a-A1"/>
      <w:bookmarkEnd w:id="17"/>
      <w:r>
        <w:rPr>
          <w:lang w:val="en-GB"/>
        </w:rPr>
        <w:t xml:space="preserve">105.  </w:t>
      </w:r>
      <w:r>
        <w:rPr>
          <w:rFonts w:hint="eastAsia"/>
          <w:lang w:val="en-GB"/>
        </w:rPr>
        <w:t>因此，例如，根据《法院宪法法》第</w:t>
      </w:r>
      <w:r>
        <w:rPr>
          <w:lang w:val="en-GB"/>
        </w:rPr>
        <w:t>191a</w:t>
      </w:r>
      <w:r>
        <w:rPr>
          <w:rFonts w:hint="eastAsia"/>
          <w:lang w:val="en-GB"/>
        </w:rPr>
        <w:t>条，盲人或视障人可以要求在必要的程度上，以对于他们来说无障碍的形式，向他们提供法庭文件，以维护他们的权利。根据《法院宪法法》第</w:t>
      </w:r>
      <w:r>
        <w:rPr>
          <w:rFonts w:hint="eastAsia"/>
          <w:lang w:val="en-GB"/>
        </w:rPr>
        <w:t>186</w:t>
      </w:r>
      <w:r>
        <w:rPr>
          <w:rFonts w:hint="eastAsia"/>
          <w:lang w:val="en-GB"/>
        </w:rPr>
        <w:t>条，</w:t>
      </w:r>
      <w:r>
        <w:rPr>
          <w:lang w:val="en-GB"/>
        </w:rPr>
        <w:t>在适当情况下</w:t>
      </w:r>
      <w:r>
        <w:rPr>
          <w:rFonts w:hint="eastAsia"/>
          <w:lang w:val="en-GB"/>
        </w:rPr>
        <w:t>，必须向有听力障碍或语言障碍的人提供必要的辅助，以方便他们进行交流。这些条款的规定不仅适用于法院诉讼程序，而且也适用于调查和执行程序。检察机关负责监督程序。《法院宪法法》第</w:t>
      </w:r>
      <w:r>
        <w:rPr>
          <w:rFonts w:hint="eastAsia"/>
          <w:lang w:val="en-GB"/>
        </w:rPr>
        <w:t>187</w:t>
      </w:r>
      <w:r>
        <w:rPr>
          <w:rFonts w:hint="eastAsia"/>
          <w:lang w:val="en-GB"/>
        </w:rPr>
        <w:t>条规定，法院为被告或被定罪的人，或为有听力或语言障碍的有权作为私人辅助公诉人参与公诉的人，安排口译或文字翻译人员。这是他们在刑事诉讼中行使权利所必须的。</w:t>
      </w:r>
    </w:p>
    <w:p w:rsidR="00334AE2" w:rsidRDefault="00334AE2">
      <w:pPr>
        <w:pStyle w:val="SingleTxtGC"/>
        <w:rPr>
          <w:lang w:val="en-GB"/>
        </w:rPr>
      </w:pPr>
      <w:r>
        <w:rPr>
          <w:lang w:val="en-GB"/>
        </w:rPr>
        <w:t xml:space="preserve">106.  </w:t>
      </w:r>
      <w:r>
        <w:rPr>
          <w:rFonts w:hint="eastAsia"/>
          <w:lang w:val="en-GB"/>
        </w:rPr>
        <w:t>如果被告不能在刑事诉讼中为自己辩护，例如由于残疾，为他们指定辩护律师</w:t>
      </w:r>
      <w:r>
        <w:rPr>
          <w:rFonts w:hint="eastAsia"/>
          <w:lang w:val="en-GB"/>
        </w:rPr>
        <w:t>(</w:t>
      </w:r>
      <w:r>
        <w:rPr>
          <w:rFonts w:hint="eastAsia"/>
          <w:lang w:val="en-GB"/>
        </w:rPr>
        <w:t>《刑事诉讼法》第</w:t>
      </w:r>
      <w:r>
        <w:rPr>
          <w:rFonts w:hint="eastAsia"/>
          <w:lang w:val="en-GB"/>
        </w:rPr>
        <w:t>140</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。《刑事诉讼法》第</w:t>
      </w:r>
      <w:r>
        <w:rPr>
          <w:rFonts w:hint="eastAsia"/>
          <w:lang w:val="en-GB"/>
        </w:rPr>
        <w:t>140</w:t>
      </w:r>
      <w:r>
        <w:rPr>
          <w:rFonts w:hint="eastAsia"/>
          <w:lang w:val="en-GB"/>
        </w:rPr>
        <w:t>条第</w:t>
      </w:r>
      <w:r>
        <w:rPr>
          <w:rFonts w:hint="eastAsia"/>
          <w:lang w:val="en-GB"/>
        </w:rPr>
        <w:t>2</w:t>
      </w:r>
      <w:r>
        <w:rPr>
          <w:rFonts w:hint="eastAsia"/>
          <w:lang w:val="en-GB"/>
        </w:rPr>
        <w:t>款第</w:t>
      </w:r>
      <w:r>
        <w:rPr>
          <w:rFonts w:hint="eastAsia"/>
          <w:lang w:val="en-GB"/>
        </w:rPr>
        <w:t>2</w:t>
      </w:r>
      <w:r>
        <w:rPr>
          <w:rFonts w:hint="eastAsia"/>
          <w:lang w:val="en-GB"/>
        </w:rPr>
        <w:t>句另外规定，有听力或语言残疾的被告提出的为他指定辩护律师的申请，必须得到满足。</w:t>
      </w:r>
    </w:p>
    <w:p w:rsidR="00334AE2" w:rsidRDefault="00334AE2">
      <w:pPr>
        <w:pStyle w:val="SingleTxtGC"/>
        <w:rPr>
          <w:lang w:val="en-GB"/>
        </w:rPr>
      </w:pPr>
      <w:r>
        <w:rPr>
          <w:lang w:val="en-GB"/>
        </w:rPr>
        <w:t xml:space="preserve">107.  </w:t>
      </w:r>
      <w:r>
        <w:rPr>
          <w:rFonts w:hint="eastAsia"/>
          <w:lang w:val="en-GB"/>
        </w:rPr>
        <w:t>根据《刑事诉讼法》第</w:t>
      </w:r>
      <w:r>
        <w:rPr>
          <w:rFonts w:hint="eastAsia"/>
          <w:lang w:val="en-GB"/>
        </w:rPr>
        <w:t>259</w:t>
      </w:r>
      <w:r>
        <w:rPr>
          <w:rFonts w:hint="eastAsia"/>
          <w:lang w:val="en-GB"/>
        </w:rPr>
        <w:t>条第</w:t>
      </w:r>
      <w:r>
        <w:rPr>
          <w:rFonts w:hint="eastAsia"/>
          <w:lang w:val="en-GB"/>
        </w:rPr>
        <w:t>2</w:t>
      </w:r>
      <w:r>
        <w:rPr>
          <w:rFonts w:hint="eastAsia"/>
          <w:lang w:val="en-GB"/>
        </w:rPr>
        <w:t>款，必须通过翻译，至少将检察机关和辩护律师的请诉书的最终诉状，告知有听力障碍或语言障碍的被告。</w:t>
      </w:r>
    </w:p>
    <w:p w:rsidR="00334AE2" w:rsidRDefault="00334AE2">
      <w:pPr>
        <w:pStyle w:val="SingleTxtGC"/>
        <w:rPr>
          <w:lang w:val="en-GB"/>
        </w:rPr>
      </w:pPr>
      <w:r>
        <w:rPr>
          <w:lang w:val="en-GB"/>
        </w:rPr>
        <w:t xml:space="preserve">108.  </w:t>
      </w:r>
      <w:r>
        <w:rPr>
          <w:rFonts w:hint="eastAsia"/>
          <w:lang w:val="en-GB"/>
        </w:rPr>
        <w:t>根据《刑事诉讼法》第</w:t>
      </w:r>
      <w:r>
        <w:rPr>
          <w:lang w:val="en-GB"/>
        </w:rPr>
        <w:t>68b</w:t>
      </w:r>
      <w:r>
        <w:rPr>
          <w:rFonts w:hint="eastAsia"/>
          <w:lang w:val="en-GB"/>
        </w:rPr>
        <w:t>条，如果有具体情况明确显示，证人在受到询问时，不能行使自己的权利，在询问持续期间，将为证人指定一名律师。此外，刑事罪行的有残疾和没有残疾的受害者，在作为证人受到询问时，可以带一个他信任的人参加询问</w:t>
      </w:r>
      <w:r>
        <w:rPr>
          <w:rFonts w:hint="eastAsia"/>
          <w:lang w:val="en-GB"/>
        </w:rPr>
        <w:t>(</w:t>
      </w:r>
      <w:r>
        <w:rPr>
          <w:rFonts w:hint="eastAsia"/>
          <w:lang w:val="en-GB"/>
        </w:rPr>
        <w:t>《刑事诉讼法》第</w:t>
      </w:r>
      <w:r>
        <w:rPr>
          <w:lang w:val="en-GB"/>
        </w:rPr>
        <w:t>406f</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w:t>
      </w:r>
    </w:p>
    <w:p w:rsidR="00334AE2" w:rsidRDefault="00334AE2">
      <w:pPr>
        <w:pStyle w:val="SingleTxtGC"/>
        <w:rPr>
          <w:lang w:val="en-GB"/>
        </w:rPr>
      </w:pPr>
      <w:r>
        <w:rPr>
          <w:lang w:val="en-GB"/>
        </w:rPr>
        <w:t xml:space="preserve">109.  </w:t>
      </w:r>
      <w:r>
        <w:rPr>
          <w:rFonts w:hint="eastAsia"/>
          <w:lang w:val="en-GB"/>
        </w:rPr>
        <w:t>根据《刑事诉讼法》第</w:t>
      </w:r>
      <w:r>
        <w:rPr>
          <w:rFonts w:hint="eastAsia"/>
          <w:lang w:val="en-GB"/>
        </w:rPr>
        <w:t>60</w:t>
      </w:r>
      <w:r>
        <w:rPr>
          <w:rFonts w:hint="eastAsia"/>
          <w:lang w:val="en-GB"/>
        </w:rPr>
        <w:t>条第</w:t>
      </w:r>
      <w:r>
        <w:rPr>
          <w:rFonts w:hint="eastAsia"/>
          <w:lang w:val="en-GB"/>
        </w:rPr>
        <w:t>1</w:t>
      </w:r>
      <w:r>
        <w:rPr>
          <w:rFonts w:hint="eastAsia"/>
          <w:lang w:val="en-GB"/>
        </w:rPr>
        <w:t>项，保障一个人基于精神残疾</w:t>
      </w:r>
      <w:r>
        <w:rPr>
          <w:rFonts w:hint="eastAsia"/>
          <w:lang w:val="en-GB"/>
        </w:rPr>
        <w:t>(</w:t>
      </w:r>
      <w:r>
        <w:rPr>
          <w:rFonts w:hint="eastAsia"/>
          <w:lang w:val="en-GB"/>
        </w:rPr>
        <w:t>仅举一例</w:t>
      </w:r>
      <w:r>
        <w:rPr>
          <w:rFonts w:hint="eastAsia"/>
          <w:lang w:val="en-GB"/>
        </w:rPr>
        <w:t>)</w:t>
      </w:r>
      <w:r>
        <w:rPr>
          <w:rFonts w:hint="eastAsia"/>
          <w:lang w:val="en-GB"/>
        </w:rPr>
        <w:t>，不能充分了解誓言的本质，可以不必宣誓。</w:t>
      </w:r>
    </w:p>
    <w:p w:rsidR="00334AE2" w:rsidRDefault="00334AE2">
      <w:pPr>
        <w:pStyle w:val="SingleTxtGC"/>
        <w:rPr>
          <w:lang w:val="en-GB"/>
        </w:rPr>
      </w:pPr>
      <w:r>
        <w:rPr>
          <w:lang w:val="en-GB"/>
        </w:rPr>
        <w:t xml:space="preserve">110.  </w:t>
      </w:r>
      <w:r>
        <w:rPr>
          <w:rFonts w:hint="eastAsia"/>
          <w:lang w:val="en-GB"/>
        </w:rPr>
        <w:t>根据《刑事诉讼法》第</w:t>
      </w:r>
      <w:r>
        <w:rPr>
          <w:rFonts w:hint="eastAsia"/>
          <w:lang w:val="en-GB"/>
        </w:rPr>
        <w:t>66</w:t>
      </w:r>
      <w:r>
        <w:rPr>
          <w:rFonts w:hint="eastAsia"/>
          <w:lang w:val="en-GB"/>
        </w:rPr>
        <w:t>条，必要时，法院必须向作为证人被询问的有听力障碍或语言障碍的人，提供技术辅助，以帮助这些人理解宣誓。</w:t>
      </w:r>
    </w:p>
    <w:p w:rsidR="00334AE2" w:rsidRDefault="00334AE2">
      <w:pPr>
        <w:pStyle w:val="SingleTxtGC"/>
        <w:rPr>
          <w:lang w:val="en-GB"/>
        </w:rPr>
      </w:pPr>
      <w:r>
        <w:rPr>
          <w:lang w:val="en-GB"/>
        </w:rPr>
        <w:t xml:space="preserve">111.  </w:t>
      </w:r>
      <w:r>
        <w:rPr>
          <w:rFonts w:hint="eastAsia"/>
          <w:lang w:val="en-GB"/>
        </w:rPr>
        <w:t>残疾人利益的代表，赞成进一步改善残疾人获得司法救助的可能性。</w:t>
      </w:r>
    </w:p>
    <w:p w:rsidR="00334AE2" w:rsidRDefault="00334AE2">
      <w:pPr>
        <w:pStyle w:val="SingleTxtGC"/>
        <w:rPr>
          <w:lang w:val="en-GB"/>
        </w:rPr>
      </w:pPr>
      <w:r>
        <w:rPr>
          <w:lang w:val="en-GB"/>
        </w:rPr>
        <w:t xml:space="preserve">112.  </w:t>
      </w:r>
      <w:r>
        <w:rPr>
          <w:rFonts w:hint="eastAsia"/>
          <w:lang w:val="en-GB"/>
        </w:rPr>
        <w:t>鉴于残疾人获得司法救助是联邦政府的一个主要关注，联邦政府正在寻求继续改善获得司法救助的可能性，弥补在刑事和行政罚款诉讼程序领域及在家庭和非争议的司法领域中的任何漏洞</w:t>
      </w:r>
      <w:r>
        <w:rPr>
          <w:rFonts w:hint="eastAsia"/>
          <w:lang w:val="en-GB"/>
        </w:rPr>
        <w:t>(</w:t>
      </w:r>
      <w:r>
        <w:rPr>
          <w:rFonts w:hint="eastAsia"/>
          <w:lang w:val="en-GB"/>
        </w:rPr>
        <w:t>参见第</w:t>
      </w:r>
      <w:r>
        <w:rPr>
          <w:rFonts w:hint="eastAsia"/>
          <w:lang w:val="en-GB"/>
        </w:rPr>
        <w:t>12</w:t>
      </w:r>
      <w:r>
        <w:rPr>
          <w:rFonts w:hint="eastAsia"/>
          <w:lang w:val="en-GB"/>
        </w:rPr>
        <w:t>条</w:t>
      </w:r>
      <w:r>
        <w:rPr>
          <w:rFonts w:hint="eastAsia"/>
          <w:lang w:val="en-GB"/>
        </w:rPr>
        <w:t>)</w:t>
      </w:r>
      <w:r>
        <w:rPr>
          <w:rFonts w:hint="eastAsia"/>
          <w:lang w:val="en-GB"/>
        </w:rPr>
        <w:t>。对法官进行的关于残疾人议题的进一步培训，有助于在这一领域提高认识。</w:t>
      </w:r>
    </w:p>
    <w:p w:rsidR="00334AE2" w:rsidRDefault="00334AE2">
      <w:pPr>
        <w:pStyle w:val="H1GC"/>
        <w:rPr>
          <w:lang w:val="en-GB"/>
        </w:rPr>
      </w:pPr>
      <w:bookmarkStart w:id="18" w:name="_Toc303932226"/>
      <w:r>
        <w:rPr>
          <w:lang w:val="en-GB"/>
        </w:rPr>
        <w:tab/>
      </w:r>
      <w:r>
        <w:rPr>
          <w:lang w:val="en-GB"/>
        </w:rPr>
        <w:tab/>
      </w:r>
      <w:bookmarkEnd w:id="18"/>
      <w:r>
        <w:rPr>
          <w:rFonts w:hint="eastAsia"/>
          <w:lang w:val="en-GB"/>
        </w:rPr>
        <w:t>第十四条</w:t>
      </w:r>
      <w:r>
        <w:rPr>
          <w:rFonts w:hint="eastAsia"/>
          <w:lang w:val="en-GB"/>
        </w:rPr>
        <w:br/>
      </w:r>
      <w:r>
        <w:rPr>
          <w:rFonts w:hint="eastAsia"/>
          <w:lang w:val="en-GB"/>
        </w:rPr>
        <w:t>自由和人身安全</w:t>
      </w:r>
    </w:p>
    <w:p w:rsidR="00334AE2" w:rsidRDefault="00334AE2">
      <w:pPr>
        <w:pStyle w:val="SingleTxtGC"/>
        <w:rPr>
          <w:lang w:val="en-GB"/>
        </w:rPr>
      </w:pPr>
      <w:r>
        <w:rPr>
          <w:lang w:val="en-GB"/>
        </w:rPr>
        <w:t xml:space="preserve">113.  </w:t>
      </w:r>
      <w:r>
        <w:rPr>
          <w:rFonts w:hint="eastAsia"/>
          <w:lang w:val="en-GB"/>
        </w:rPr>
        <w:t>在德国，没有人只基于残疾被剥夺自由。所有人享有自由和安全的权利得到保障。</w:t>
      </w:r>
    </w:p>
    <w:p w:rsidR="00334AE2" w:rsidRDefault="00334AE2">
      <w:pPr>
        <w:pStyle w:val="SingleTxtGC"/>
        <w:rPr>
          <w:rStyle w:val="FootnoteReference"/>
        </w:rPr>
      </w:pPr>
      <w:r>
        <w:rPr>
          <w:lang w:val="en-GB"/>
        </w:rPr>
        <w:t xml:space="preserve">114.  </w:t>
      </w:r>
      <w:r>
        <w:rPr>
          <w:rFonts w:hint="eastAsia"/>
          <w:lang w:val="en-GB"/>
        </w:rPr>
        <w:t>只在特别例外的情况下，并在严格的先决条件下，才允许向被监管的人提供与剥夺自由相关的</w:t>
      </w:r>
      <w:r>
        <w:rPr>
          <w:lang w:val="en-GB"/>
        </w:rPr>
        <w:t>便利</w:t>
      </w:r>
      <w:r>
        <w:rPr>
          <w:rFonts w:hint="eastAsia"/>
          <w:lang w:val="en-GB"/>
        </w:rPr>
        <w:t>。根据监管法律，在被监护的人由于疾病无法行使他</w:t>
      </w:r>
      <w:r>
        <w:rPr>
          <w:rFonts w:hint="eastAsia"/>
          <w:lang w:val="en-GB"/>
        </w:rPr>
        <w:t>(</w:t>
      </w:r>
      <w:r>
        <w:rPr>
          <w:rFonts w:hint="eastAsia"/>
          <w:lang w:val="en-GB"/>
        </w:rPr>
        <w:t>她</w:t>
      </w:r>
      <w:r>
        <w:rPr>
          <w:rFonts w:hint="eastAsia"/>
          <w:lang w:val="en-GB"/>
        </w:rPr>
        <w:t>)</w:t>
      </w:r>
      <w:r>
        <w:rPr>
          <w:rFonts w:hint="eastAsia"/>
          <w:lang w:val="en-GB"/>
        </w:rPr>
        <w:t>的自主权的情况下，提供</w:t>
      </w:r>
      <w:r>
        <w:rPr>
          <w:lang w:val="en-GB"/>
        </w:rPr>
        <w:t>便利</w:t>
      </w:r>
      <w:r>
        <w:rPr>
          <w:rFonts w:hint="eastAsia"/>
          <w:lang w:val="en-GB"/>
        </w:rPr>
        <w:t>只是为了避免严重自我伤害。《民法》第</w:t>
      </w:r>
      <w:r>
        <w:rPr>
          <w:rFonts w:hint="eastAsia"/>
          <w:lang w:val="en-GB"/>
        </w:rPr>
        <w:t>1906</w:t>
      </w:r>
      <w:r>
        <w:rPr>
          <w:rFonts w:hint="eastAsia"/>
          <w:lang w:val="en-GB"/>
        </w:rPr>
        <w:t>条规定，只有在被监护的人由于疾病不能自由地行使自己的意志力的情况下，才允许提供</w:t>
      </w:r>
      <w:r>
        <w:rPr>
          <w:lang w:val="en-GB"/>
        </w:rPr>
        <w:t>便利</w:t>
      </w:r>
      <w:r>
        <w:rPr>
          <w:rFonts w:hint="eastAsia"/>
          <w:lang w:val="en-GB"/>
        </w:rPr>
        <w:t>。但是，如果被监护的人仍然能够自由地行使意志力，不允许提供</w:t>
      </w:r>
      <w:r>
        <w:rPr>
          <w:lang w:val="en-GB"/>
        </w:rPr>
        <w:t>便利</w:t>
      </w:r>
      <w:r>
        <w:rPr>
          <w:rFonts w:hint="eastAsia"/>
          <w:lang w:val="en-GB"/>
        </w:rPr>
        <w:t>。在这方面的判例法，对提供</w:t>
      </w:r>
      <w:r>
        <w:rPr>
          <w:lang w:val="en-GB"/>
        </w:rPr>
        <w:t>便利</w:t>
      </w:r>
      <w:r>
        <w:rPr>
          <w:rFonts w:hint="eastAsia"/>
          <w:lang w:val="en-GB"/>
        </w:rPr>
        <w:t>的事实上和法律上的先决条件，有很高的要求。严格的相称标准尤其适用。</w:t>
      </w:r>
      <w:r>
        <w:rPr>
          <w:rStyle w:val="FootnoteReference"/>
        </w:rPr>
        <w:footnoteReference w:id="34"/>
      </w:r>
    </w:p>
    <w:p w:rsidR="00334AE2" w:rsidRDefault="00334AE2">
      <w:pPr>
        <w:pStyle w:val="SingleTxtGC"/>
        <w:rPr>
          <w:lang w:val="en-GB"/>
        </w:rPr>
      </w:pPr>
      <w:r>
        <w:rPr>
          <w:lang w:val="en-GB"/>
        </w:rPr>
        <w:t xml:space="preserve">115.  </w:t>
      </w:r>
      <w:r>
        <w:rPr>
          <w:rFonts w:hint="eastAsia"/>
          <w:lang w:val="en-GB"/>
        </w:rPr>
        <w:t>因此，不得以存在残疾为由，剥夺自由。</w:t>
      </w:r>
    </w:p>
    <w:p w:rsidR="00334AE2" w:rsidRDefault="00334AE2">
      <w:pPr>
        <w:pStyle w:val="SingleTxtGC"/>
        <w:rPr>
          <w:lang w:val="en-GB"/>
        </w:rPr>
      </w:pPr>
      <w:r>
        <w:rPr>
          <w:lang w:val="en-GB"/>
        </w:rPr>
        <w:t xml:space="preserve">116.  </w:t>
      </w:r>
      <w:r>
        <w:rPr>
          <w:rFonts w:hint="eastAsia"/>
          <w:lang w:val="en-GB"/>
        </w:rPr>
        <w:t>根据《刑法》第</w:t>
      </w:r>
      <w:r>
        <w:rPr>
          <w:rFonts w:hint="eastAsia"/>
          <w:lang w:val="en-GB"/>
        </w:rPr>
        <w:t>63</w:t>
      </w:r>
      <w:r>
        <w:rPr>
          <w:rFonts w:hint="eastAsia"/>
          <w:lang w:val="en-GB"/>
        </w:rPr>
        <w:t>条，在精神病医院，必须是一个人犯刑事罪行时，不能感到有罪，或只能感到减轻的内疚，作为这种状态的结果，预料他</w:t>
      </w:r>
      <w:r>
        <w:rPr>
          <w:rFonts w:hint="eastAsia"/>
          <w:lang w:val="en-GB"/>
        </w:rPr>
        <w:t>(</w:t>
      </w:r>
      <w:r>
        <w:rPr>
          <w:rFonts w:hint="eastAsia"/>
          <w:lang w:val="en-GB"/>
        </w:rPr>
        <w:t>她</w:t>
      </w:r>
      <w:r>
        <w:rPr>
          <w:rFonts w:hint="eastAsia"/>
          <w:lang w:val="en-GB"/>
        </w:rPr>
        <w:t>)</w:t>
      </w:r>
      <w:r>
        <w:rPr>
          <w:rFonts w:hint="eastAsia"/>
          <w:lang w:val="en-GB"/>
        </w:rPr>
        <w:t>可能犯下更多严重非法行为，因此他们对公众构成危险，才能提供便利。</w:t>
      </w:r>
    </w:p>
    <w:p w:rsidR="00334AE2" w:rsidRDefault="00334AE2">
      <w:pPr>
        <w:pStyle w:val="SingleTxtGC"/>
        <w:rPr>
          <w:lang w:val="en-GB"/>
        </w:rPr>
      </w:pPr>
      <w:r>
        <w:rPr>
          <w:lang w:val="en-GB"/>
        </w:rPr>
        <w:t xml:space="preserve">117.  </w:t>
      </w:r>
      <w:r>
        <w:rPr>
          <w:rFonts w:hint="eastAsia"/>
          <w:lang w:val="en-GB"/>
        </w:rPr>
        <w:t>根据各州关于向精神病患者提供辅助的法规，类似的先决条件适用于某些情况下提供便利。在精神病医院提供便利，除了精神病外，总是</w:t>
      </w:r>
      <w:r>
        <w:rPr>
          <w:lang w:val="en-GB"/>
        </w:rPr>
        <w:t>取决于</w:t>
      </w:r>
      <w:r>
        <w:rPr>
          <w:rFonts w:hint="eastAsia"/>
          <w:lang w:val="en-GB"/>
        </w:rPr>
        <w:t>对有关人的生命或身体或其他人的合法权益构成危险。</w:t>
      </w:r>
    </w:p>
    <w:p w:rsidR="00334AE2" w:rsidRDefault="00334AE2">
      <w:pPr>
        <w:pStyle w:val="SingleTxtGC"/>
        <w:rPr>
          <w:lang w:val="en-GB"/>
        </w:rPr>
      </w:pPr>
      <w:r>
        <w:rPr>
          <w:lang w:val="en-GB"/>
        </w:rPr>
        <w:t xml:space="preserve">118.  </w:t>
      </w:r>
      <w:r>
        <w:rPr>
          <w:rFonts w:hint="eastAsia"/>
          <w:lang w:val="en-GB"/>
        </w:rPr>
        <w:t>在德意志联邦共和国，根据国际人权法规提供的保障，对待所有被剥夺自由的人。</w:t>
      </w:r>
    </w:p>
    <w:p w:rsidR="00334AE2" w:rsidRDefault="00334AE2">
      <w:pPr>
        <w:pStyle w:val="SingleTxtGC"/>
        <w:rPr>
          <w:lang w:val="en-GB"/>
        </w:rPr>
      </w:pPr>
      <w:r>
        <w:rPr>
          <w:lang w:val="en-GB"/>
        </w:rPr>
        <w:t xml:space="preserve">119.  </w:t>
      </w:r>
      <w:r>
        <w:rPr>
          <w:rFonts w:hint="eastAsia"/>
          <w:lang w:val="en-GB"/>
        </w:rPr>
        <w:t>因此，举例来说，向一个被监护的人提供便利，由一个独立的法庭进行裁决</w:t>
      </w:r>
      <w:r>
        <w:rPr>
          <w:rStyle w:val="FootnoteReference"/>
        </w:rPr>
        <w:footnoteReference w:id="35"/>
      </w:r>
      <w:r>
        <w:rPr>
          <w:rFonts w:hint="eastAsia"/>
          <w:lang w:val="en-GB"/>
        </w:rPr>
        <w:t>。法律还规定，如果提供便利的先决条件不再存在，必须结束向被监护的人提供便利。监护人也必须向监管法院报告结束提供便利</w:t>
      </w:r>
      <w:r>
        <w:rPr>
          <w:rFonts w:hint="eastAsia"/>
          <w:lang w:val="en-GB"/>
        </w:rPr>
        <w:t>(</w:t>
      </w:r>
      <w:r>
        <w:rPr>
          <w:rFonts w:hint="eastAsia"/>
          <w:lang w:val="en-GB"/>
        </w:rPr>
        <w:t>《民法》第</w:t>
      </w:r>
      <w:r>
        <w:rPr>
          <w:rFonts w:hint="eastAsia"/>
          <w:lang w:val="en-GB"/>
        </w:rPr>
        <w:t>1906</w:t>
      </w:r>
      <w:r>
        <w:rPr>
          <w:rFonts w:hint="eastAsia"/>
          <w:lang w:val="en-GB"/>
        </w:rPr>
        <w:t>第</w:t>
      </w:r>
      <w:r>
        <w:rPr>
          <w:rFonts w:hint="eastAsia"/>
          <w:lang w:val="en-GB"/>
        </w:rPr>
        <w:t>2</w:t>
      </w:r>
      <w:r>
        <w:rPr>
          <w:rFonts w:hint="eastAsia"/>
          <w:lang w:val="en-GB"/>
        </w:rPr>
        <w:t>、</w:t>
      </w:r>
      <w:r>
        <w:rPr>
          <w:rFonts w:hint="eastAsia"/>
          <w:lang w:val="en-GB"/>
        </w:rPr>
        <w:t>3</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120.  </w:t>
      </w:r>
      <w:r>
        <w:rPr>
          <w:rFonts w:hint="eastAsia"/>
          <w:lang w:val="en-GB"/>
        </w:rPr>
        <w:t>各州为从事急性精神病治疗的人员实施</w:t>
      </w:r>
      <w:r>
        <w:rPr>
          <w:lang w:val="en-GB"/>
        </w:rPr>
        <w:t>减低强度</w:t>
      </w:r>
      <w:r>
        <w:rPr>
          <w:rFonts w:hint="eastAsia"/>
          <w:lang w:val="en-GB"/>
        </w:rPr>
        <w:t>培训。目标是在联合治疗计划之内，对严重紧急情况进行组织。与地方精神病患者自助团体进行定期协调，也有助于在这种情况下考虑病人的利益。此外，联邦政府将详细研究协会关于建立独立的精神病投诉机构的呼吁。更重要的是，目前，联合联邦委员会正在讨论，发展精神病患者照顾的跨行业系统质量保障。</w:t>
      </w:r>
    </w:p>
    <w:p w:rsidR="00334AE2" w:rsidRDefault="00334AE2">
      <w:pPr>
        <w:pStyle w:val="SingleTxtGC"/>
        <w:rPr>
          <w:lang w:val="en-GB"/>
        </w:rPr>
      </w:pPr>
      <w:r>
        <w:rPr>
          <w:lang w:val="en-GB"/>
        </w:rPr>
        <w:t xml:space="preserve">121.  </w:t>
      </w:r>
      <w:r>
        <w:rPr>
          <w:rFonts w:hint="eastAsia"/>
          <w:lang w:val="en-GB"/>
        </w:rPr>
        <w:t>根据各州的法律规定强迫提供便利的实际做法，遭到有关协会的批评，因为据说这没有满足残疾人的特别需要。</w:t>
      </w:r>
    </w:p>
    <w:p w:rsidR="00334AE2" w:rsidRDefault="00334AE2">
      <w:pPr>
        <w:pStyle w:val="SingleTxtGC"/>
        <w:rPr>
          <w:lang w:val="en-GB"/>
        </w:rPr>
      </w:pPr>
      <w:r>
        <w:rPr>
          <w:lang w:val="en-GB"/>
        </w:rPr>
        <w:t xml:space="preserve">122.  </w:t>
      </w:r>
      <w:r>
        <w:rPr>
          <w:lang w:val="en-GB"/>
        </w:rPr>
        <w:t>至</w:t>
      </w:r>
      <w:r>
        <w:rPr>
          <w:rFonts w:hint="eastAsia"/>
          <w:lang w:val="en-GB"/>
        </w:rPr>
        <w:t>于有必要为正在监狱服刑的残疾人提供医疗方案或援助，各州《监狱法》和联邦《监狱法》中所载的关于医疗保健的规定适用，除非它们通过了自己的</w:t>
      </w:r>
      <w:r>
        <w:rPr>
          <w:lang w:val="en-GB"/>
        </w:rPr>
        <w:t>章程</w:t>
      </w:r>
      <w:r>
        <w:rPr>
          <w:rFonts w:hint="eastAsia"/>
          <w:lang w:val="en-GB"/>
        </w:rPr>
        <w:t>。与此相应，囚犯有权得到辅助。如果一个</w:t>
      </w:r>
      <w:r>
        <w:rPr>
          <w:lang w:val="en-GB"/>
        </w:rPr>
        <w:t>本身</w:t>
      </w:r>
      <w:r>
        <w:rPr>
          <w:rFonts w:hint="eastAsia"/>
          <w:lang w:val="en-GB"/>
        </w:rPr>
        <w:t>负责关押有重度残疾的依赖轮椅的罪犯的监狱，因为缺乏无障碍设施，不适合关押这样的罪犯，可以到另一个合适的监狱去执行判决。</w:t>
      </w:r>
    </w:p>
    <w:p w:rsidR="00334AE2" w:rsidRDefault="00334AE2">
      <w:pPr>
        <w:pStyle w:val="H1GC"/>
        <w:rPr>
          <w:lang w:val="en-GB"/>
        </w:rPr>
      </w:pPr>
      <w:bookmarkStart w:id="19" w:name="_Toc303932227"/>
      <w:r>
        <w:rPr>
          <w:lang w:val="en-GB"/>
        </w:rPr>
        <w:tab/>
      </w:r>
      <w:r>
        <w:rPr>
          <w:lang w:val="en-GB"/>
        </w:rPr>
        <w:tab/>
      </w:r>
      <w:bookmarkEnd w:id="19"/>
      <w:r>
        <w:rPr>
          <w:rFonts w:hint="eastAsia"/>
          <w:lang w:val="en-GB"/>
        </w:rPr>
        <w:t>第十五条</w:t>
      </w:r>
      <w:r>
        <w:rPr>
          <w:rFonts w:hint="eastAsia"/>
          <w:lang w:val="en-GB"/>
        </w:rPr>
        <w:br/>
      </w:r>
      <w:r>
        <w:rPr>
          <w:rFonts w:hint="eastAsia"/>
          <w:lang w:val="en-GB"/>
        </w:rPr>
        <w:t>免于酷刑或残忍、不人道或有辱人格的待遇或处罚</w:t>
      </w:r>
    </w:p>
    <w:p w:rsidR="00334AE2" w:rsidRDefault="00334AE2">
      <w:pPr>
        <w:pStyle w:val="SingleTxtGC"/>
        <w:rPr>
          <w:lang w:val="en-GB"/>
        </w:rPr>
      </w:pPr>
      <w:r>
        <w:rPr>
          <w:lang w:val="en-GB"/>
        </w:rPr>
        <w:t xml:space="preserve">123.  </w:t>
      </w:r>
      <w:r>
        <w:rPr>
          <w:rFonts w:hint="eastAsia"/>
          <w:lang w:val="en-GB"/>
        </w:rPr>
        <w:t>在德国，禁止</w:t>
      </w:r>
      <w:r>
        <w:rPr>
          <w:lang w:val="en-GB"/>
        </w:rPr>
        <w:t>对任何人实施酷刑或残忍、不人道或有辱人格的待遇或处罚</w:t>
      </w:r>
      <w:r>
        <w:rPr>
          <w:rFonts w:hint="eastAsia"/>
          <w:lang w:val="en-GB"/>
        </w:rPr>
        <w:t>。已经将这种禁止写入《基本法》。</w:t>
      </w:r>
      <w:r>
        <w:rPr>
          <w:rStyle w:val="FootnoteReference"/>
        </w:rPr>
        <w:footnoteReference w:id="36"/>
      </w:r>
      <w:r>
        <w:rPr>
          <w:rStyle w:val="FootnoteReference"/>
        </w:rPr>
        <w:t xml:space="preserve"> </w:t>
      </w:r>
      <w:r>
        <w:rPr>
          <w:rFonts w:hint="eastAsia"/>
          <w:lang w:val="en-GB"/>
        </w:rPr>
        <w:t>此外，以非宪法法律中的刑法和刑事程序法的许多条款，保障禁止酷刑。因此，《刑法》第</w:t>
      </w:r>
      <w:r>
        <w:rPr>
          <w:rFonts w:hint="eastAsia"/>
          <w:lang w:val="en-GB"/>
        </w:rPr>
        <w:t>357</w:t>
      </w:r>
      <w:r>
        <w:rPr>
          <w:rFonts w:hint="eastAsia"/>
          <w:lang w:val="en-GB"/>
        </w:rPr>
        <w:t>条禁止上级领导煽动他的工作人员从事非法行为或者实际上仅仅容忍这种行为。此外，在酷刑或酷刑威胁之下，利用胁迫获得的口供，不能作为</w:t>
      </w:r>
      <w:r>
        <w:rPr>
          <w:lang w:val="en-GB"/>
        </w:rPr>
        <w:t>证词</w:t>
      </w:r>
      <w:r>
        <w:rPr>
          <w:rFonts w:hint="eastAsia"/>
          <w:lang w:val="en-GB"/>
        </w:rPr>
        <w:t>使用</w:t>
      </w:r>
      <w:r>
        <w:rPr>
          <w:rFonts w:hint="eastAsia"/>
          <w:lang w:val="en-GB"/>
        </w:rPr>
        <w:t>(</w:t>
      </w:r>
      <w:r>
        <w:rPr>
          <w:rFonts w:hint="eastAsia"/>
          <w:lang w:val="en-GB"/>
        </w:rPr>
        <w:t>《刑事诉讼法》第</w:t>
      </w:r>
      <w:r>
        <w:rPr>
          <w:lang w:val="en-GB"/>
        </w:rPr>
        <w:t>136a</w:t>
      </w:r>
      <w:r>
        <w:rPr>
          <w:rFonts w:hint="eastAsia"/>
          <w:lang w:val="en-GB"/>
        </w:rPr>
        <w:t>条</w:t>
      </w:r>
      <w:r>
        <w:rPr>
          <w:rFonts w:hint="eastAsia"/>
          <w:lang w:val="en-GB"/>
        </w:rPr>
        <w:t>)</w:t>
      </w:r>
      <w:r>
        <w:rPr>
          <w:rFonts w:hint="eastAsia"/>
          <w:lang w:val="en-GB"/>
        </w:rPr>
        <w:t>。强取</w:t>
      </w:r>
      <w:r>
        <w:rPr>
          <w:lang w:val="en-GB"/>
        </w:rPr>
        <w:t>证词</w:t>
      </w:r>
      <w:r>
        <w:rPr>
          <w:rFonts w:hint="eastAsia"/>
          <w:lang w:val="en-GB"/>
        </w:rPr>
        <w:t>本身也是刑事罪行。在这方面，有关人是否有残疾，并不重要。</w:t>
      </w:r>
    </w:p>
    <w:p w:rsidR="00334AE2" w:rsidRDefault="00334AE2">
      <w:pPr>
        <w:pStyle w:val="SingleTxtGC"/>
        <w:rPr>
          <w:lang w:val="en-GB"/>
        </w:rPr>
      </w:pPr>
      <w:r>
        <w:rPr>
          <w:lang w:val="en-GB"/>
        </w:rPr>
        <w:t xml:space="preserve">124.  </w:t>
      </w:r>
      <w:r>
        <w:rPr>
          <w:rFonts w:hint="eastAsia"/>
          <w:lang w:val="en-GB"/>
        </w:rPr>
        <w:t>在德国，在严格限制范围之内，法律允许实施的医学研究措施，不属于本条适用的范围。根据现有法律，作为原则，对人进行</w:t>
      </w:r>
      <w:r>
        <w:rPr>
          <w:lang w:val="en-GB"/>
        </w:rPr>
        <w:t>研究</w:t>
      </w:r>
      <w:r>
        <w:rPr>
          <w:rFonts w:hint="eastAsia"/>
          <w:lang w:val="en-GB"/>
        </w:rPr>
        <w:t>，需要参与者的知情同意。如果他</w:t>
      </w:r>
      <w:r>
        <w:rPr>
          <w:rFonts w:hint="eastAsia"/>
          <w:lang w:val="en-GB"/>
        </w:rPr>
        <w:t>(</w:t>
      </w:r>
      <w:r>
        <w:rPr>
          <w:rFonts w:hint="eastAsia"/>
          <w:lang w:val="en-GB"/>
        </w:rPr>
        <w:t>她</w:t>
      </w:r>
      <w:r>
        <w:rPr>
          <w:rFonts w:hint="eastAsia"/>
          <w:lang w:val="en-GB"/>
        </w:rPr>
        <w:t>)</w:t>
      </w:r>
      <w:r>
        <w:rPr>
          <w:rFonts w:hint="eastAsia"/>
          <w:lang w:val="en-GB"/>
        </w:rPr>
        <w:t>能够认识措施的性质、意义和范围，并能够相应地行使他</w:t>
      </w:r>
      <w:r>
        <w:rPr>
          <w:rFonts w:hint="eastAsia"/>
          <w:lang w:val="en-GB"/>
        </w:rPr>
        <w:t>(</w:t>
      </w:r>
      <w:r>
        <w:rPr>
          <w:rFonts w:hint="eastAsia"/>
          <w:lang w:val="en-GB"/>
        </w:rPr>
        <w:t>她</w:t>
      </w:r>
      <w:r>
        <w:rPr>
          <w:rFonts w:hint="eastAsia"/>
          <w:lang w:val="en-GB"/>
        </w:rPr>
        <w:t>)</w:t>
      </w:r>
      <w:r>
        <w:rPr>
          <w:rFonts w:hint="eastAsia"/>
          <w:lang w:val="en-GB"/>
        </w:rPr>
        <w:t>的意志力，这个人就有能力表示同意。不能这样做的人，只有在医疗行为符合不能表示同意的人的最佳利益</w:t>
      </w:r>
      <w:r>
        <w:rPr>
          <w:rFonts w:hint="eastAsia"/>
          <w:spacing w:val="-60"/>
          <w:lang w:val="en-GB"/>
        </w:rPr>
        <w:t>―</w:t>
      </w:r>
      <w:r>
        <w:rPr>
          <w:rFonts w:hint="eastAsia"/>
          <w:spacing w:val="10"/>
          <w:lang w:val="en-GB"/>
        </w:rPr>
        <w:t>―</w:t>
      </w:r>
      <w:r>
        <w:rPr>
          <w:rFonts w:hint="eastAsia"/>
          <w:lang w:val="en-GB"/>
        </w:rPr>
        <w:t>即符合他们的直接利益的情况下，他的法定代表或委托人才能对医疗行为表示同意</w:t>
      </w:r>
      <w:r>
        <w:rPr>
          <w:rFonts w:hint="eastAsia"/>
          <w:lang w:val="en-GB"/>
        </w:rPr>
        <w:t>(</w:t>
      </w:r>
      <w:r>
        <w:rPr>
          <w:rFonts w:hint="eastAsia"/>
          <w:lang w:val="en-GB"/>
        </w:rPr>
        <w:t>参见《民法》第</w:t>
      </w:r>
      <w:r>
        <w:rPr>
          <w:rFonts w:hint="eastAsia"/>
          <w:lang w:val="en-GB"/>
        </w:rPr>
        <w:t>1901</w:t>
      </w:r>
      <w:r>
        <w:rPr>
          <w:rFonts w:hint="eastAsia"/>
          <w:lang w:val="en-GB"/>
        </w:rPr>
        <w:t>条第</w:t>
      </w:r>
      <w:r>
        <w:rPr>
          <w:rFonts w:hint="eastAsia"/>
          <w:lang w:val="en-GB"/>
        </w:rPr>
        <w:t>2</w:t>
      </w:r>
      <w:r>
        <w:rPr>
          <w:rFonts w:hint="eastAsia"/>
          <w:lang w:val="en-GB"/>
        </w:rPr>
        <w:t>款，《医药产品法》第</w:t>
      </w:r>
      <w:r>
        <w:rPr>
          <w:rFonts w:hint="eastAsia"/>
          <w:lang w:val="en-GB"/>
        </w:rPr>
        <w:t>41</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。根据这些法律，就未成年人而言，法定代表人</w:t>
      </w:r>
      <w:r>
        <w:rPr>
          <w:rFonts w:hint="eastAsia"/>
          <w:lang w:val="en-GB"/>
        </w:rPr>
        <w:t>(</w:t>
      </w:r>
      <w:r>
        <w:rPr>
          <w:rFonts w:hint="eastAsia"/>
          <w:lang w:val="en-GB"/>
        </w:rPr>
        <w:t>作为一项规则，家长</w:t>
      </w:r>
      <w:r>
        <w:rPr>
          <w:rFonts w:hint="eastAsia"/>
          <w:lang w:val="en-GB"/>
        </w:rPr>
        <w:t>)</w:t>
      </w:r>
      <w:r>
        <w:rPr>
          <w:rFonts w:hint="eastAsia"/>
          <w:lang w:val="en-GB"/>
        </w:rPr>
        <w:t>的同意，以医疗措施符合孩子的最佳利益为条件</w:t>
      </w:r>
      <w:r>
        <w:rPr>
          <w:rFonts w:hint="eastAsia"/>
          <w:lang w:val="en-GB"/>
        </w:rPr>
        <w:t>(</w:t>
      </w:r>
      <w:r>
        <w:rPr>
          <w:rFonts w:hint="eastAsia"/>
          <w:lang w:val="en-GB"/>
        </w:rPr>
        <w:t>《民法》第</w:t>
      </w:r>
      <w:r>
        <w:rPr>
          <w:rFonts w:hint="eastAsia"/>
          <w:lang w:val="en-GB"/>
        </w:rPr>
        <w:t>1627</w:t>
      </w:r>
      <w:r>
        <w:rPr>
          <w:rFonts w:hint="eastAsia"/>
          <w:lang w:val="en-GB"/>
        </w:rPr>
        <w:t>条</w:t>
      </w:r>
      <w:r>
        <w:rPr>
          <w:rFonts w:hint="eastAsia"/>
          <w:lang w:val="en-GB"/>
        </w:rPr>
        <w:t>)</w:t>
      </w:r>
      <w:r>
        <w:rPr>
          <w:rFonts w:hint="eastAsia"/>
          <w:lang w:val="en-GB"/>
        </w:rPr>
        <w:t>，即</w:t>
      </w:r>
      <w:r>
        <w:rPr>
          <w:lang w:val="en-GB"/>
        </w:rPr>
        <w:t>研究</w:t>
      </w:r>
      <w:r>
        <w:rPr>
          <w:rFonts w:hint="eastAsia"/>
          <w:lang w:val="en-GB"/>
        </w:rPr>
        <w:t>符合未成年人的自身利益。</w:t>
      </w:r>
    </w:p>
    <w:p w:rsidR="00334AE2" w:rsidRDefault="00334AE2">
      <w:pPr>
        <w:pStyle w:val="SingleTxtGC"/>
        <w:rPr>
          <w:lang w:val="en-GB"/>
        </w:rPr>
      </w:pPr>
      <w:r>
        <w:rPr>
          <w:lang w:val="en-GB"/>
        </w:rPr>
        <w:t xml:space="preserve">125.  </w:t>
      </w:r>
      <w:r>
        <w:rPr>
          <w:rFonts w:hint="eastAsia"/>
          <w:lang w:val="en-GB"/>
        </w:rPr>
        <w:t>根据德国法律，作为一项原则，禁止受照顾和监护的人同意完全使其他人受益的</w:t>
      </w:r>
      <w:r>
        <w:rPr>
          <w:lang w:val="en-GB"/>
        </w:rPr>
        <w:t>研究</w:t>
      </w:r>
      <w:r>
        <w:rPr>
          <w:rFonts w:hint="eastAsia"/>
          <w:lang w:val="en-GB"/>
        </w:rPr>
        <w:t>。对患某种疾病的未成年人进行药物测试、而且测试的药物将用于该疾病的治疗领域，有德国法律</w:t>
      </w:r>
      <w:r>
        <w:rPr>
          <w:rFonts w:hint="eastAsia"/>
          <w:lang w:val="en-GB"/>
        </w:rPr>
        <w:t>(</w:t>
      </w:r>
      <w:r>
        <w:rPr>
          <w:rFonts w:hint="eastAsia"/>
          <w:lang w:val="en-GB"/>
        </w:rPr>
        <w:t>在欧洲共同体法律推动下</w:t>
      </w:r>
      <w:r>
        <w:rPr>
          <w:rFonts w:hint="eastAsia"/>
          <w:lang w:val="en-GB"/>
        </w:rPr>
        <w:t>)</w:t>
      </w:r>
      <w:r>
        <w:rPr>
          <w:rFonts w:hint="eastAsia"/>
          <w:lang w:val="en-GB"/>
        </w:rPr>
        <w:t>规定放松限制，在符合严格的先决条件情况下，允许获得足够的临床试验“群体</w:t>
      </w:r>
      <w:r>
        <w:rPr>
          <w:lang w:val="en-GB"/>
        </w:rPr>
        <w:t>效应</w:t>
      </w:r>
      <w:r>
        <w:rPr>
          <w:rFonts w:hint="eastAsia"/>
          <w:lang w:val="en-GB"/>
        </w:rPr>
        <w:t>”。然而，这种放松明确不适用于在达到成年年龄之后将没有能力表示同意的未成年人</w:t>
      </w:r>
      <w:r>
        <w:rPr>
          <w:rFonts w:hint="eastAsia"/>
          <w:lang w:val="en-GB"/>
        </w:rPr>
        <w:t>(</w:t>
      </w:r>
      <w:r>
        <w:rPr>
          <w:rFonts w:cs="SimHei" w:hint="eastAsia"/>
          <w:lang w:val="en-GB"/>
        </w:rPr>
        <w:t>《医药</w:t>
      </w:r>
      <w:r>
        <w:rPr>
          <w:rFonts w:hint="eastAsia"/>
          <w:lang w:val="en-GB"/>
        </w:rPr>
        <w:t>产品法》第</w:t>
      </w:r>
      <w:r>
        <w:rPr>
          <w:rFonts w:hint="eastAsia"/>
          <w:lang w:val="en-GB"/>
        </w:rPr>
        <w:t>41</w:t>
      </w:r>
      <w:r>
        <w:rPr>
          <w:rFonts w:hint="eastAsia"/>
          <w:lang w:val="en-GB"/>
        </w:rPr>
        <w:t>条第</w:t>
      </w:r>
      <w:r>
        <w:rPr>
          <w:rFonts w:hint="eastAsia"/>
          <w:lang w:val="en-GB"/>
        </w:rPr>
        <w:t>2</w:t>
      </w:r>
      <w:r>
        <w:rPr>
          <w:rFonts w:hint="eastAsia"/>
          <w:lang w:val="en-GB"/>
        </w:rPr>
        <w:t>款</w:t>
      </w:r>
      <w:r>
        <w:rPr>
          <w:rFonts w:hint="eastAsia"/>
          <w:lang w:val="en-GB"/>
        </w:rPr>
        <w:t>)</w:t>
      </w:r>
      <w:r>
        <w:rPr>
          <w:rFonts w:hint="eastAsia"/>
          <w:lang w:val="en-GB"/>
        </w:rPr>
        <w:t>。</w:t>
      </w:r>
    </w:p>
    <w:p w:rsidR="00334AE2" w:rsidRDefault="00334AE2">
      <w:pPr>
        <w:pStyle w:val="H1GC"/>
        <w:rPr>
          <w:lang w:val="en-GB"/>
        </w:rPr>
      </w:pPr>
      <w:bookmarkStart w:id="20" w:name="_Toc303932228"/>
      <w:r>
        <w:rPr>
          <w:lang w:val="en-GB"/>
        </w:rPr>
        <w:tab/>
      </w:r>
      <w:r>
        <w:rPr>
          <w:lang w:val="en-GB"/>
        </w:rPr>
        <w:tab/>
      </w:r>
      <w:bookmarkEnd w:id="20"/>
      <w:r>
        <w:rPr>
          <w:rFonts w:hint="eastAsia"/>
          <w:lang w:val="en-GB"/>
        </w:rPr>
        <w:t>第十六条</w:t>
      </w:r>
      <w:r>
        <w:rPr>
          <w:rFonts w:hint="eastAsia"/>
          <w:lang w:val="en-GB"/>
        </w:rPr>
        <w:br/>
      </w:r>
      <w:r>
        <w:rPr>
          <w:rFonts w:hint="eastAsia"/>
          <w:lang w:val="en-GB"/>
        </w:rPr>
        <w:t>免于剥削、暴力和虐待</w:t>
      </w:r>
    </w:p>
    <w:p w:rsidR="00334AE2" w:rsidRDefault="00334AE2">
      <w:pPr>
        <w:pStyle w:val="SingleTxtGC"/>
        <w:rPr>
          <w:lang w:val="en-GB"/>
        </w:rPr>
      </w:pPr>
      <w:r>
        <w:rPr>
          <w:lang w:val="en-GB"/>
        </w:rPr>
        <w:t xml:space="preserve">126.  </w:t>
      </w:r>
      <w:r>
        <w:rPr>
          <w:rFonts w:hint="eastAsia"/>
          <w:lang w:val="en-GB"/>
        </w:rPr>
        <w:t>在德国，有保护残疾人的特别刑事法规。特别是《刑法》第</w:t>
      </w:r>
      <w:r>
        <w:rPr>
          <w:lang w:val="en-GB"/>
        </w:rPr>
        <w:t>174a</w:t>
      </w:r>
      <w:r>
        <w:rPr>
          <w:rFonts w:hint="eastAsia"/>
          <w:lang w:val="en-GB"/>
        </w:rPr>
        <w:t>条规定，对囚犯、患者和在</w:t>
      </w:r>
      <w:r>
        <w:rPr>
          <w:lang w:val="en-GB"/>
        </w:rPr>
        <w:t>专门机构拘留</w:t>
      </w:r>
      <w:r>
        <w:rPr>
          <w:rFonts w:hint="eastAsia"/>
          <w:lang w:val="en-GB"/>
        </w:rPr>
        <w:t>的人进行性虐待，将受到惩罚。《刑法》第</w:t>
      </w:r>
      <w:r>
        <w:rPr>
          <w:rFonts w:hint="eastAsia"/>
          <w:lang w:val="en-GB"/>
        </w:rPr>
        <w:t>174c</w:t>
      </w:r>
      <w:r>
        <w:rPr>
          <w:rFonts w:hint="eastAsia"/>
          <w:lang w:val="en-GB"/>
        </w:rPr>
        <w:t>条规定，利用咨询、治疗或照顾关系，进行性虐待，将受到惩罚。根据《刑法》第</w:t>
      </w:r>
      <w:r>
        <w:rPr>
          <w:rFonts w:hint="eastAsia"/>
          <w:lang w:val="en-GB"/>
        </w:rPr>
        <w:t>179</w:t>
      </w:r>
      <w:r>
        <w:rPr>
          <w:rFonts w:hint="eastAsia"/>
          <w:lang w:val="en-GB"/>
        </w:rPr>
        <w:t>条，保护失去抵抗能力的人免受性虐待。《刑法》第</w:t>
      </w:r>
      <w:r>
        <w:rPr>
          <w:rFonts w:hint="eastAsia"/>
          <w:lang w:val="en-GB"/>
        </w:rPr>
        <w:t>225</w:t>
      </w:r>
      <w:r>
        <w:rPr>
          <w:rFonts w:hint="eastAsia"/>
          <w:lang w:val="en-GB"/>
        </w:rPr>
        <w:t>条规定，虐待被照顾或监护的人、包括因体弱或生病无力自卫的人，将受到惩罚。</w:t>
      </w:r>
    </w:p>
    <w:p w:rsidR="00334AE2" w:rsidRDefault="00334AE2">
      <w:pPr>
        <w:pStyle w:val="SingleTxtGC"/>
        <w:rPr>
          <w:lang w:val="en-GB"/>
        </w:rPr>
      </w:pPr>
      <w:r>
        <w:rPr>
          <w:lang w:val="en-GB"/>
        </w:rPr>
        <w:t xml:space="preserve">127.  </w:t>
      </w:r>
      <w:r>
        <w:rPr>
          <w:rFonts w:hint="eastAsia"/>
          <w:lang w:val="en-GB"/>
        </w:rPr>
        <w:t>此外，将执行《受害人补偿法》</w:t>
      </w:r>
      <w:r>
        <w:rPr>
          <w:lang w:val="en-GB"/>
        </w:rPr>
        <w:t>(</w:t>
      </w:r>
      <w:r>
        <w:rPr>
          <w:i/>
          <w:iCs/>
          <w:lang w:val="en-GB"/>
        </w:rPr>
        <w:t>Opferentschädigungsgesetz</w:t>
      </w:r>
      <w:r>
        <w:rPr>
          <w:lang w:val="en-GB"/>
        </w:rPr>
        <w:t>)</w:t>
      </w:r>
      <w:r>
        <w:rPr>
          <w:rFonts w:hint="eastAsia"/>
          <w:lang w:val="en-GB"/>
        </w:rPr>
        <w:t>，作为社会补偿的一部分。该法案规定，向在德国的受到暴力行为伤害的所有人，提供一般社会保障制度和社会援助之外的单独的国家补偿。《受害人补偿法》的宗旨是，对暴力行为的健康和经济后果进行补偿。</w:t>
      </w:r>
    </w:p>
    <w:p w:rsidR="00334AE2" w:rsidRDefault="00334AE2">
      <w:pPr>
        <w:pStyle w:val="SingleTxtGC"/>
        <w:rPr>
          <w:lang w:val="en-GB"/>
        </w:rPr>
      </w:pPr>
      <w:r>
        <w:rPr>
          <w:lang w:val="en-GB"/>
        </w:rPr>
        <w:t xml:space="preserve">128.  </w:t>
      </w:r>
      <w:r>
        <w:rPr>
          <w:rFonts w:hint="eastAsia"/>
          <w:lang w:val="en-GB"/>
        </w:rPr>
        <w:t>残疾妇女和女童尤其面临剥削、暴力和虐待风险</w:t>
      </w:r>
      <w:r>
        <w:rPr>
          <w:rStyle w:val="FootnoteReference"/>
        </w:rPr>
        <w:footnoteReference w:id="37"/>
      </w:r>
      <w:r>
        <w:rPr>
          <w:rFonts w:hint="eastAsia"/>
          <w:lang w:val="en-GB"/>
        </w:rPr>
        <w:t>。《行动计划</w:t>
      </w:r>
      <w:r>
        <w:rPr>
          <w:rFonts w:hint="eastAsia"/>
          <w:lang w:val="en-GB"/>
        </w:rPr>
        <w:t>II</w:t>
      </w:r>
      <w:r>
        <w:rPr>
          <w:rFonts w:hint="eastAsia"/>
          <w:lang w:val="en-GB"/>
        </w:rPr>
        <w:t>》对这种认识进行了妥善处理，规定打击暴力侵害妇女</w:t>
      </w:r>
      <w:r>
        <w:rPr>
          <w:rStyle w:val="FootnoteReference"/>
        </w:rPr>
        <w:footnoteReference w:id="38"/>
      </w:r>
      <w:r>
        <w:rPr>
          <w:rFonts w:hint="eastAsia"/>
          <w:lang w:val="en-GB"/>
        </w:rPr>
        <w:t>。《行动计划》讨论了所有形式的暴力和行为和特别需要采取行动的情况，例如，涉及残疾妇女或医疗保健领域。</w:t>
      </w:r>
    </w:p>
    <w:p w:rsidR="00334AE2" w:rsidRDefault="00334AE2">
      <w:pPr>
        <w:pStyle w:val="SingleTxtGC"/>
        <w:rPr>
          <w:lang w:val="en-GB"/>
        </w:rPr>
      </w:pPr>
      <w:r>
        <w:rPr>
          <w:lang w:val="en-GB"/>
        </w:rPr>
        <w:t xml:space="preserve">129.  </w:t>
      </w:r>
      <w:r>
        <w:rPr>
          <w:rFonts w:hint="eastAsia"/>
          <w:lang w:val="en-GB"/>
        </w:rPr>
        <w:t>为了了解残疾妇女遭受暴力侵害的范围和程度的概貌，于</w:t>
      </w:r>
      <w:r>
        <w:rPr>
          <w:rFonts w:hint="eastAsia"/>
          <w:lang w:val="en-GB"/>
        </w:rPr>
        <w:t>2009</w:t>
      </w:r>
      <w:r>
        <w:rPr>
          <w:rFonts w:hint="eastAsia"/>
          <w:lang w:val="en-GB"/>
        </w:rPr>
        <w:t>年</w:t>
      </w:r>
      <w:r>
        <w:rPr>
          <w:rFonts w:hint="eastAsia"/>
          <w:lang w:val="en-GB"/>
        </w:rPr>
        <w:t>2</w:t>
      </w:r>
      <w:r>
        <w:rPr>
          <w:rFonts w:hint="eastAsia"/>
          <w:lang w:val="en-GB"/>
        </w:rPr>
        <w:t>月委托进行了代表性调查研究。该项目将提供关于年龄在</w:t>
      </w:r>
      <w:r>
        <w:rPr>
          <w:rFonts w:hint="eastAsia"/>
          <w:lang w:val="en-GB"/>
        </w:rPr>
        <w:t>16</w:t>
      </w:r>
      <w:r>
        <w:rPr>
          <w:rFonts w:hint="eastAsia"/>
          <w:lang w:val="en-GB"/>
        </w:rPr>
        <w:t>至</w:t>
      </w:r>
      <w:r>
        <w:rPr>
          <w:rFonts w:hint="eastAsia"/>
          <w:lang w:val="en-GB"/>
        </w:rPr>
        <w:t>65</w:t>
      </w:r>
      <w:r>
        <w:rPr>
          <w:rFonts w:hint="eastAsia"/>
          <w:lang w:val="en-GB"/>
        </w:rPr>
        <w:t>岁年龄组的人在门诊、住院和家庭的情况的代表性数据，</w:t>
      </w:r>
      <w:r>
        <w:rPr>
          <w:lang w:val="en-GB"/>
        </w:rPr>
        <w:t>找出问题</w:t>
      </w:r>
      <w:r>
        <w:rPr>
          <w:rFonts w:hint="eastAsia"/>
          <w:lang w:val="en-GB"/>
        </w:rPr>
        <w:t>领域，确定需要提供的支持和采取的行动。可能在</w:t>
      </w:r>
      <w:r>
        <w:rPr>
          <w:rFonts w:hint="eastAsia"/>
          <w:lang w:val="en-GB"/>
        </w:rPr>
        <w:t>2011</w:t>
      </w:r>
      <w:r>
        <w:rPr>
          <w:rFonts w:hint="eastAsia"/>
          <w:lang w:val="en-GB"/>
        </w:rPr>
        <w:t>年年底可以出结果。</w:t>
      </w:r>
    </w:p>
    <w:p w:rsidR="00334AE2" w:rsidRDefault="00334AE2">
      <w:pPr>
        <w:pStyle w:val="SingleTxtGC"/>
        <w:rPr>
          <w:lang w:val="en-GB"/>
        </w:rPr>
      </w:pPr>
      <w:r>
        <w:rPr>
          <w:lang w:val="en-GB"/>
        </w:rPr>
        <w:t xml:space="preserve">130.  </w:t>
      </w:r>
      <w:r>
        <w:rPr>
          <w:rFonts w:hint="eastAsia"/>
          <w:lang w:val="en-GB"/>
        </w:rPr>
        <w:t>一种有效的预防暴力战略，是在有关人成为受害者之前，使他们强大起来。因此，提供了加强自信课程</w:t>
      </w:r>
      <w:r>
        <w:rPr>
          <w:rFonts w:hint="eastAsia"/>
          <w:lang w:val="en-GB"/>
        </w:rPr>
        <w:t>(</w:t>
      </w:r>
      <w:r>
        <w:rPr>
          <w:rFonts w:hint="eastAsia"/>
          <w:lang w:val="en-GB"/>
        </w:rPr>
        <w:t>《社会法典》第九部第</w:t>
      </w:r>
      <w:r>
        <w:rPr>
          <w:rFonts w:hint="eastAsia"/>
          <w:lang w:val="en-GB"/>
        </w:rPr>
        <w:t>44</w:t>
      </w:r>
      <w:r>
        <w:rPr>
          <w:rFonts w:hint="eastAsia"/>
          <w:lang w:val="en-GB"/>
        </w:rPr>
        <w:t>条第</w:t>
      </w:r>
      <w:r>
        <w:rPr>
          <w:rFonts w:hint="eastAsia"/>
          <w:lang w:val="en-GB"/>
        </w:rPr>
        <w:t>1</w:t>
      </w:r>
      <w:r>
        <w:rPr>
          <w:rFonts w:hint="eastAsia"/>
          <w:lang w:val="en-GB"/>
        </w:rPr>
        <w:t>款第</w:t>
      </w:r>
      <w:r>
        <w:rPr>
          <w:rFonts w:hint="eastAsia"/>
          <w:lang w:val="en-GB"/>
        </w:rPr>
        <w:t>3</w:t>
      </w:r>
      <w:r>
        <w:rPr>
          <w:rFonts w:hint="eastAsia"/>
          <w:lang w:val="en-GB"/>
        </w:rPr>
        <w:t>项</w:t>
      </w:r>
      <w:r>
        <w:rPr>
          <w:rFonts w:hint="eastAsia"/>
          <w:lang w:val="en-GB"/>
        </w:rPr>
        <w:t>)</w:t>
      </w:r>
      <w:r>
        <w:rPr>
          <w:rFonts w:hint="eastAsia"/>
          <w:lang w:val="en-GB"/>
        </w:rPr>
        <w:t>。在联邦家庭事务、老年公民、妇女和青年事务部的为期三年的题为《自我》</w:t>
      </w:r>
      <w:r>
        <w:rPr>
          <w:lang w:val="en-GB"/>
        </w:rPr>
        <w:t>(SE(LF)</w:t>
      </w:r>
      <w:r>
        <w:rPr>
          <w:rFonts w:hint="eastAsia"/>
          <w:lang w:val="en-GB"/>
        </w:rPr>
        <w:t>的项目范围之内，获得关于加强自信做法的有效性和结构的知识。开发了一个关于加强自信做法和培训加强自信做法领导人的课程。</w:t>
      </w:r>
    </w:p>
    <w:p w:rsidR="00334AE2" w:rsidRDefault="00334AE2">
      <w:pPr>
        <w:pStyle w:val="SingleTxtGC"/>
        <w:rPr>
          <w:lang w:val="en-GB"/>
        </w:rPr>
      </w:pPr>
      <w:r>
        <w:rPr>
          <w:lang w:val="en-GB"/>
        </w:rPr>
        <w:t xml:space="preserve">131.  </w:t>
      </w:r>
      <w:r>
        <w:rPr>
          <w:rFonts w:hint="eastAsia"/>
          <w:lang w:val="en-GB"/>
        </w:rPr>
        <w:t>在德国，约有</w:t>
      </w:r>
      <w:r>
        <w:rPr>
          <w:rFonts w:hint="eastAsia"/>
          <w:lang w:val="en-GB"/>
        </w:rPr>
        <w:t>360</w:t>
      </w:r>
      <w:r>
        <w:rPr>
          <w:rFonts w:hint="eastAsia"/>
          <w:lang w:val="en-GB"/>
        </w:rPr>
        <w:t>所妇女之家和</w:t>
      </w:r>
      <w:r>
        <w:rPr>
          <w:rFonts w:hint="eastAsia"/>
          <w:lang w:val="en-GB"/>
        </w:rPr>
        <w:t>500</w:t>
      </w:r>
      <w:r>
        <w:rPr>
          <w:rFonts w:hint="eastAsia"/>
          <w:lang w:val="en-GB"/>
        </w:rPr>
        <w:t>个门诊咨询机构，为遭受暴力侵害的妇女提供服务。联邦政府促进它们与妇女之家网络机构、妇女咨询机构及妇女紧急警报服务机构，进行技术连接。这些网络机构开展活动，以使残疾妇女更容易使用妇女支持系统。</w:t>
      </w:r>
    </w:p>
    <w:p w:rsidR="00334AE2" w:rsidRDefault="00334AE2">
      <w:pPr>
        <w:pStyle w:val="SingleTxtGC"/>
        <w:rPr>
          <w:lang w:val="en-GB"/>
        </w:rPr>
      </w:pPr>
      <w:r>
        <w:rPr>
          <w:lang w:val="en-GB"/>
        </w:rPr>
        <w:t xml:space="preserve">132.  </w:t>
      </w:r>
      <w:r>
        <w:rPr>
          <w:rFonts w:hint="eastAsia"/>
          <w:lang w:val="en-GB"/>
        </w:rPr>
        <w:t>计划建立的国家“暴力侵害妇女”电话帮助热线，将是无障碍的：电话帮助热线将通过提供合格的初步咨询和调解，帮助残疾妇女更容易使用和更多了解现有的妇女支持系统。将在</w:t>
      </w:r>
      <w:r>
        <w:rPr>
          <w:rFonts w:hint="eastAsia"/>
          <w:lang w:val="en-GB"/>
        </w:rPr>
        <w:t>2012</w:t>
      </w:r>
      <w:r>
        <w:rPr>
          <w:rFonts w:hint="eastAsia"/>
          <w:lang w:val="en-GB"/>
        </w:rPr>
        <w:t>年底、</w:t>
      </w:r>
      <w:r>
        <w:rPr>
          <w:rFonts w:hint="eastAsia"/>
          <w:lang w:val="en-GB"/>
        </w:rPr>
        <w:t>2013</w:t>
      </w:r>
      <w:r>
        <w:rPr>
          <w:rFonts w:hint="eastAsia"/>
          <w:lang w:val="en-GB"/>
        </w:rPr>
        <w:t>年年初，启用电话帮助热线。</w:t>
      </w:r>
    </w:p>
    <w:p w:rsidR="00334AE2" w:rsidRDefault="00334AE2">
      <w:pPr>
        <w:pStyle w:val="SingleTxtGC"/>
        <w:rPr>
          <w:lang w:val="en-GB"/>
        </w:rPr>
      </w:pPr>
      <w:r>
        <w:rPr>
          <w:lang w:val="en-GB"/>
        </w:rPr>
        <w:t xml:space="preserve">133.  </w:t>
      </w:r>
      <w:r>
        <w:rPr>
          <w:rFonts w:hint="eastAsia"/>
          <w:lang w:val="en-GB"/>
        </w:rPr>
        <w:t>随着《保护儿童和青少年免受性暴力和剥削行动计划》的制订，联邦政府在</w:t>
      </w:r>
      <w:r>
        <w:rPr>
          <w:rFonts w:hint="eastAsia"/>
          <w:lang w:val="en-GB"/>
        </w:rPr>
        <w:t>2003</w:t>
      </w:r>
      <w:r>
        <w:rPr>
          <w:rFonts w:hint="eastAsia"/>
          <w:lang w:val="en-GB"/>
        </w:rPr>
        <w:t>年进一步制订了一个综合整体战略。《行动计划》主要目的是完善刑事保护，加强受害者的预防和保护，促进协助和咨询</w:t>
      </w:r>
      <w:r>
        <w:rPr>
          <w:lang w:val="en-GB"/>
        </w:rPr>
        <w:t>网络化</w:t>
      </w:r>
      <w:r>
        <w:rPr>
          <w:rFonts w:hint="eastAsia"/>
          <w:lang w:val="en-GB"/>
        </w:rPr>
        <w:t>和国际合作，以保护儿童和青少年。联邦政府目前正在完善这个《行动计划》。拥有互联网平台的医疗咨询机构和“克服</w:t>
      </w:r>
      <w:r>
        <w:rPr>
          <w:lang w:val="en-GB"/>
        </w:rPr>
        <w:t>麻烦</w:t>
      </w:r>
      <w:r>
        <w:rPr>
          <w:rFonts w:hint="eastAsia"/>
          <w:lang w:val="en-GB"/>
        </w:rPr>
        <w:t>号码”协会</w:t>
      </w:r>
      <w:r>
        <w:rPr>
          <w:rFonts w:hint="eastAsia"/>
          <w:lang w:val="en-GB"/>
        </w:rPr>
        <w:t>(</w:t>
      </w:r>
      <w:r>
        <w:rPr>
          <w:i/>
          <w:iCs/>
          <w:lang w:val="en-GB"/>
        </w:rPr>
        <w:t>Nummer</w:t>
      </w:r>
      <w:r>
        <w:rPr>
          <w:rFonts w:hint="eastAsia"/>
          <w:i/>
          <w:iCs/>
          <w:lang w:val="en-GB"/>
        </w:rPr>
        <w:t xml:space="preserve"> </w:t>
      </w:r>
      <w:r>
        <w:rPr>
          <w:i/>
          <w:iCs/>
          <w:lang w:val="en-GB"/>
        </w:rPr>
        <w:t>gegen</w:t>
      </w:r>
      <w:r>
        <w:rPr>
          <w:rFonts w:hint="eastAsia"/>
          <w:i/>
          <w:iCs/>
          <w:lang w:val="en-GB"/>
        </w:rPr>
        <w:t xml:space="preserve"> </w:t>
      </w:r>
      <w:r>
        <w:rPr>
          <w:i/>
          <w:iCs/>
          <w:lang w:val="en-GB"/>
        </w:rPr>
        <w:t>Kummer</w:t>
      </w:r>
      <w:r>
        <w:rPr>
          <w:rFonts w:hint="eastAsia"/>
          <w:i/>
          <w:iCs/>
          <w:lang w:val="en-GB"/>
        </w:rPr>
        <w:t xml:space="preserve"> </w:t>
      </w:r>
      <w:r>
        <w:rPr>
          <w:i/>
          <w:iCs/>
          <w:lang w:val="en-GB"/>
        </w:rPr>
        <w:t>e.</w:t>
      </w:r>
      <w:r>
        <w:rPr>
          <w:rFonts w:hint="eastAsia"/>
          <w:i/>
          <w:iCs/>
          <w:lang w:val="en-GB"/>
        </w:rPr>
        <w:t xml:space="preserve"> </w:t>
      </w:r>
      <w:r>
        <w:rPr>
          <w:i/>
          <w:iCs/>
          <w:lang w:val="en-GB"/>
        </w:rPr>
        <w:t>V.</w:t>
      </w:r>
      <w:r>
        <w:rPr>
          <w:rFonts w:hint="eastAsia"/>
          <w:lang w:val="en-GB"/>
        </w:rPr>
        <w:t>)</w:t>
      </w:r>
      <w:r>
        <w:rPr>
          <w:rFonts w:hint="eastAsia"/>
          <w:lang w:val="en-GB"/>
        </w:rPr>
        <w:t>，是扩大援助、咨询和干预及技术基础设施的范例。这是一个全国性的网络，为儿童和青少年免费提供不记名的电话热线，包括因特网咨询和家长电话帮助热线。</w:t>
      </w:r>
    </w:p>
    <w:p w:rsidR="00334AE2" w:rsidRDefault="00334AE2">
      <w:pPr>
        <w:pStyle w:val="SingleTxtGC"/>
        <w:rPr>
          <w:rStyle w:val="FootnoteReference"/>
        </w:rPr>
      </w:pPr>
      <w:r>
        <w:rPr>
          <w:lang w:val="en-GB"/>
        </w:rPr>
        <w:t xml:space="preserve">134.  </w:t>
      </w:r>
      <w:r>
        <w:rPr>
          <w:lang w:val="en-GB"/>
        </w:rPr>
        <w:t>至</w:t>
      </w:r>
      <w:r>
        <w:rPr>
          <w:rFonts w:hint="eastAsia"/>
          <w:lang w:val="en-GB"/>
        </w:rPr>
        <w:t>于保护残疾儿童和非残疾儿童，德国已批准了《儿童权利公约任择议定书》。它已自</w:t>
      </w: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15</w:t>
      </w:r>
      <w:r>
        <w:rPr>
          <w:rFonts w:hint="eastAsia"/>
          <w:lang w:val="en-GB"/>
        </w:rPr>
        <w:t>日起生效。联邦政府关于打击性虐待未成年人的承诺的一个重点，是根据《刑法》进一步加强对他们的保护。在许多方面，特别是在侵犯性自主的刑事罪行领域，刑法的规定更加严格。</w:t>
      </w:r>
      <w:r>
        <w:rPr>
          <w:rStyle w:val="FootnoteReference"/>
        </w:rPr>
        <w:footnoteReference w:id="39"/>
      </w:r>
    </w:p>
    <w:p w:rsidR="00334AE2" w:rsidRDefault="00334AE2">
      <w:pPr>
        <w:pStyle w:val="SingleTxtGC"/>
        <w:rPr>
          <w:lang w:val="en-GB"/>
        </w:rPr>
      </w:pPr>
      <w:r>
        <w:rPr>
          <w:lang w:val="en-GB"/>
        </w:rPr>
        <w:t xml:space="preserve">135.  </w:t>
      </w:r>
      <w:r>
        <w:rPr>
          <w:rFonts w:hint="eastAsia"/>
          <w:lang w:val="en-GB"/>
        </w:rPr>
        <w:t>鉴于在学校、寄宿学校和教堂、国家或独立机构之内的设施中发生了大量性虐待儿童和少年案件，联邦政府</w:t>
      </w:r>
      <w:r>
        <w:rPr>
          <w:rFonts w:hint="eastAsia"/>
          <w:lang w:val="en-GB"/>
        </w:rPr>
        <w:t>2010</w:t>
      </w:r>
      <w:r>
        <w:rPr>
          <w:rFonts w:hint="eastAsia"/>
          <w:lang w:val="en-GB"/>
        </w:rPr>
        <w:t>年在家庭领域设立了一个圆桌会议，由三个联邦部委</w:t>
      </w:r>
      <w:r>
        <w:rPr>
          <w:rFonts w:hint="eastAsia"/>
          <w:lang w:val="en-GB"/>
        </w:rPr>
        <w:t>(</w:t>
      </w:r>
      <w:r>
        <w:rPr>
          <w:rFonts w:hint="eastAsia"/>
          <w:lang w:val="en-GB"/>
        </w:rPr>
        <w:t>联邦家庭事务、老年公民、妇女和青年事务部、联邦司法部及联邦教育和研究部</w:t>
      </w:r>
      <w:r>
        <w:rPr>
          <w:rFonts w:hint="eastAsia"/>
          <w:lang w:val="en-GB"/>
        </w:rPr>
        <w:t>)</w:t>
      </w:r>
      <w:r>
        <w:rPr>
          <w:rFonts w:hint="eastAsia"/>
          <w:lang w:val="en-GB"/>
        </w:rPr>
        <w:t>领导，处理私人和公共设施中凭借依赖关系和基于权力关系性虐待儿童问题</w:t>
      </w:r>
      <w:r>
        <w:rPr>
          <w:rStyle w:val="FootnoteReference"/>
        </w:rPr>
        <w:footnoteReference w:id="40"/>
      </w:r>
      <w:r>
        <w:rPr>
          <w:rFonts w:hint="eastAsia"/>
          <w:lang w:val="en-GB"/>
        </w:rPr>
        <w:t>。圆桌会议的目标是加强对有关人的预防、保护和支持</w:t>
      </w:r>
      <w:r>
        <w:rPr>
          <w:rFonts w:hint="eastAsia"/>
          <w:lang w:val="en-GB"/>
        </w:rPr>
        <w:t>(</w:t>
      </w:r>
      <w:r>
        <w:rPr>
          <w:rFonts w:hint="eastAsia"/>
          <w:lang w:val="en-GB"/>
        </w:rPr>
        <w:t>包括主管机构提供的有形和无形协助</w:t>
      </w:r>
      <w:r>
        <w:rPr>
          <w:rFonts w:hint="eastAsia"/>
          <w:lang w:val="en-GB"/>
        </w:rPr>
        <w:t>)</w:t>
      </w:r>
      <w:r>
        <w:rPr>
          <w:rFonts w:hint="eastAsia"/>
          <w:lang w:val="en-GB"/>
        </w:rPr>
        <w:t>，改进教育和信息披露，保障对性虐待进行及时有效的刑事起诉，推进关于“性暴力”议题的研究和评估。将在</w:t>
      </w:r>
      <w:r>
        <w:rPr>
          <w:rFonts w:hint="eastAsia"/>
          <w:lang w:val="en-GB"/>
        </w:rPr>
        <w:t>2011</w:t>
      </w:r>
      <w:r>
        <w:rPr>
          <w:rFonts w:hint="eastAsia"/>
          <w:lang w:val="en-GB"/>
        </w:rPr>
        <w:t>年年底之前继续举行圆桌会议。</w:t>
      </w:r>
    </w:p>
    <w:p w:rsidR="00334AE2" w:rsidRDefault="00334AE2">
      <w:pPr>
        <w:pStyle w:val="H1GC"/>
        <w:rPr>
          <w:lang w:val="en-GB"/>
        </w:rPr>
      </w:pPr>
      <w:bookmarkStart w:id="21" w:name="_Toc303932229"/>
      <w:r>
        <w:rPr>
          <w:lang w:val="en-GB"/>
        </w:rPr>
        <w:tab/>
      </w:r>
      <w:r>
        <w:rPr>
          <w:lang w:val="en-GB"/>
        </w:rPr>
        <w:tab/>
      </w:r>
      <w:bookmarkEnd w:id="21"/>
      <w:r>
        <w:rPr>
          <w:rFonts w:hint="eastAsia"/>
          <w:lang w:val="en-GB"/>
        </w:rPr>
        <w:t>第十七条</w:t>
      </w:r>
      <w:r>
        <w:rPr>
          <w:rFonts w:hint="eastAsia"/>
          <w:lang w:val="en-GB"/>
        </w:rPr>
        <w:br/>
      </w:r>
      <w:r>
        <w:rPr>
          <w:rFonts w:hint="eastAsia"/>
          <w:lang w:val="en-GB"/>
        </w:rPr>
        <w:t>保护人身完整性</w:t>
      </w:r>
    </w:p>
    <w:p w:rsidR="00334AE2" w:rsidRDefault="00334AE2">
      <w:pPr>
        <w:pStyle w:val="SingleTxtGC"/>
        <w:rPr>
          <w:lang w:val="en-GB"/>
        </w:rPr>
      </w:pPr>
      <w:r>
        <w:rPr>
          <w:lang w:val="en-GB"/>
        </w:rPr>
        <w:t xml:space="preserve">136.  </w:t>
      </w:r>
      <w:r>
        <w:rPr>
          <w:rFonts w:hint="eastAsia"/>
          <w:lang w:val="en-GB"/>
        </w:rPr>
        <w:t>根据德国《刑法》，侵犯</w:t>
      </w:r>
      <w:r>
        <w:rPr>
          <w:bCs/>
          <w:lang w:val="en-GB"/>
        </w:rPr>
        <w:t>人身</w:t>
      </w:r>
      <w:r>
        <w:rPr>
          <w:rFonts w:hint="eastAsia"/>
          <w:lang w:val="en-GB"/>
        </w:rPr>
        <w:t>完整性的任何医疗或其他治疗，必须遵守《刑法》第</w:t>
      </w:r>
      <w:r>
        <w:rPr>
          <w:rFonts w:hint="eastAsia"/>
          <w:lang w:val="en-GB"/>
        </w:rPr>
        <w:t>223</w:t>
      </w:r>
      <w:r>
        <w:rPr>
          <w:rFonts w:hint="eastAsia"/>
          <w:lang w:val="en-GB"/>
        </w:rPr>
        <w:t>条规定的</w:t>
      </w:r>
      <w:r>
        <w:rPr>
          <w:rFonts w:hint="eastAsia"/>
          <w:lang w:val="en-GB"/>
        </w:rPr>
        <w:t>(</w:t>
      </w:r>
      <w:r>
        <w:rPr>
          <w:rFonts w:hint="eastAsia"/>
          <w:lang w:val="en-GB"/>
        </w:rPr>
        <w:t>危险的</w:t>
      </w:r>
      <w:r>
        <w:rPr>
          <w:rFonts w:hint="eastAsia"/>
          <w:lang w:val="en-GB"/>
        </w:rPr>
        <w:t>)</w:t>
      </w:r>
      <w:r>
        <w:rPr>
          <w:rFonts w:hint="eastAsia"/>
          <w:lang w:val="en-GB"/>
        </w:rPr>
        <w:t>人身伤害刑事罪行的要素。根据案件情况，安排也必须遵守《刑法》第</w:t>
      </w:r>
      <w:r>
        <w:rPr>
          <w:rFonts w:hint="eastAsia"/>
          <w:lang w:val="en-GB"/>
        </w:rPr>
        <w:t>224</w:t>
      </w:r>
      <w:r>
        <w:rPr>
          <w:rFonts w:hint="eastAsia"/>
          <w:lang w:val="en-GB"/>
        </w:rPr>
        <w:t>页及此后的条款所载条件要素。</w:t>
      </w:r>
    </w:p>
    <w:p w:rsidR="00334AE2" w:rsidRDefault="00334AE2">
      <w:pPr>
        <w:pStyle w:val="SingleTxtGC"/>
        <w:rPr>
          <w:lang w:val="en-GB"/>
        </w:rPr>
      </w:pPr>
      <w:r>
        <w:rPr>
          <w:lang w:val="en-GB"/>
        </w:rPr>
        <w:t xml:space="preserve">137.  </w:t>
      </w:r>
      <w:r>
        <w:rPr>
          <w:rFonts w:hint="eastAsia"/>
          <w:lang w:val="en-GB"/>
        </w:rPr>
        <w:t>只有受伤害的人对人身伤害表示同意</w:t>
      </w:r>
      <w:r>
        <w:rPr>
          <w:rFonts w:hint="eastAsia"/>
          <w:lang w:val="en-GB"/>
        </w:rPr>
        <w:t>(</w:t>
      </w:r>
      <w:r>
        <w:rPr>
          <w:rFonts w:hint="eastAsia"/>
          <w:lang w:val="en-GB"/>
        </w:rPr>
        <w:t>《刑法》第</w:t>
      </w:r>
      <w:r>
        <w:rPr>
          <w:rFonts w:hint="eastAsia"/>
          <w:lang w:val="en-GB"/>
        </w:rPr>
        <w:t>228</w:t>
      </w:r>
      <w:r>
        <w:rPr>
          <w:rFonts w:hint="eastAsia"/>
          <w:lang w:val="en-GB"/>
        </w:rPr>
        <w:t>条</w:t>
      </w:r>
      <w:r>
        <w:rPr>
          <w:rFonts w:hint="eastAsia"/>
          <w:lang w:val="en-GB"/>
        </w:rPr>
        <w:t>)</w:t>
      </w:r>
      <w:r>
        <w:rPr>
          <w:rFonts w:hint="eastAsia"/>
          <w:lang w:val="en-GB"/>
        </w:rPr>
        <w:t>，才能证明表示的同意是有效的，不存在妨碍行使自由意志力的情况，例如不是欺骗、错误或胁迫造成的表示同意。为了使表示的同意有效，必须在知道具体干预的原因、性质、程度和预期和可能的后果的情况下，对医学干预表示同意。</w:t>
      </w:r>
    </w:p>
    <w:p w:rsidR="00334AE2" w:rsidRDefault="00334AE2">
      <w:pPr>
        <w:pStyle w:val="SingleTxtGC"/>
        <w:rPr>
          <w:lang w:val="en-GB"/>
        </w:rPr>
      </w:pPr>
      <w:r>
        <w:rPr>
          <w:lang w:val="en-GB"/>
        </w:rPr>
        <w:t xml:space="preserve">138.  </w:t>
      </w:r>
      <w:r>
        <w:rPr>
          <w:rFonts w:hint="eastAsia"/>
          <w:lang w:val="en-GB"/>
        </w:rPr>
        <w:t>强迫残疾人绝育，是不允许的，将</w:t>
      </w:r>
      <w:r>
        <w:rPr>
          <w:lang w:val="en-GB"/>
        </w:rPr>
        <w:t>受到</w:t>
      </w:r>
      <w:r>
        <w:rPr>
          <w:rFonts w:hint="eastAsia"/>
          <w:lang w:val="en-GB"/>
        </w:rPr>
        <w:t>处罚。在威胁有关人的生命或严重危害有关人的健康的情况下，《民法》才允许对无法表示同意的成年人进行绝育手术，但是必须符合非常严格的先决条件，只有极少数的特别情况才符合这些条件。如果被监护的人无法表示同意，绝育也不能违背人的自然意志。即使特别指定的监护人表示同意绝育，监管法院也批准同意绝育，但是此时当事人显示抵制，也不能进行绝育。同样，未经孕妇同意，禁止人工流产。否则，将根据《刑法》第</w:t>
      </w:r>
      <w:r>
        <w:rPr>
          <w:rFonts w:hint="eastAsia"/>
          <w:lang w:val="en-GB"/>
        </w:rPr>
        <w:t>218</w:t>
      </w:r>
      <w:r>
        <w:rPr>
          <w:rFonts w:hint="eastAsia"/>
          <w:lang w:val="en-GB"/>
        </w:rPr>
        <w:t>条，以人身伤害罪予以处罚。</w:t>
      </w:r>
    </w:p>
    <w:p w:rsidR="00334AE2" w:rsidRDefault="00334AE2">
      <w:pPr>
        <w:pStyle w:val="H1GC"/>
        <w:rPr>
          <w:lang w:val="en-GB"/>
        </w:rPr>
      </w:pPr>
      <w:bookmarkStart w:id="22" w:name="_Toc303932230"/>
      <w:r>
        <w:rPr>
          <w:lang w:val="en-GB"/>
        </w:rPr>
        <w:tab/>
      </w:r>
      <w:r>
        <w:rPr>
          <w:lang w:val="en-GB"/>
        </w:rPr>
        <w:tab/>
      </w:r>
      <w:bookmarkEnd w:id="22"/>
      <w:r>
        <w:rPr>
          <w:rFonts w:hint="eastAsia"/>
          <w:lang w:val="en-GB"/>
        </w:rPr>
        <w:t>第十八条</w:t>
      </w:r>
      <w:r>
        <w:rPr>
          <w:rFonts w:hint="eastAsia"/>
          <w:lang w:val="en-GB"/>
        </w:rPr>
        <w:br/>
      </w:r>
      <w:r>
        <w:rPr>
          <w:rFonts w:hint="eastAsia"/>
          <w:lang w:val="en-GB"/>
        </w:rPr>
        <w:t>迁徙自由和国籍</w:t>
      </w:r>
    </w:p>
    <w:p w:rsidR="00334AE2" w:rsidRDefault="00334AE2">
      <w:pPr>
        <w:pStyle w:val="SingleTxtGC"/>
        <w:rPr>
          <w:lang w:val="en-GB"/>
        </w:rPr>
      </w:pPr>
      <w:r>
        <w:rPr>
          <w:lang w:val="en-GB"/>
        </w:rPr>
        <w:t xml:space="preserve">139.  </w:t>
      </w:r>
      <w:r>
        <w:rPr>
          <w:lang w:val="en-GB"/>
        </w:rPr>
        <w:t>《基本法》</w:t>
      </w:r>
      <w:r>
        <w:rPr>
          <w:rFonts w:hint="eastAsia"/>
          <w:lang w:val="en-GB"/>
        </w:rPr>
        <w:t>第</w:t>
      </w:r>
      <w:r>
        <w:rPr>
          <w:rFonts w:hint="eastAsia"/>
          <w:lang w:val="en-GB"/>
        </w:rPr>
        <w:t>11</w:t>
      </w:r>
      <w:r>
        <w:rPr>
          <w:rFonts w:hint="eastAsia"/>
          <w:lang w:val="en-GB"/>
        </w:rPr>
        <w:t>条保障德国国民的迁徙自由。这包括在德意志联邦共和国任何地方确定居所和不受阻碍地生活的权利，和进入德意志联邦共和国的权利。</w:t>
      </w:r>
      <w:r>
        <w:rPr>
          <w:lang w:val="en-GB"/>
        </w:rPr>
        <w:t>《基本法》</w:t>
      </w:r>
      <w:r>
        <w:rPr>
          <w:rFonts w:hint="eastAsia"/>
          <w:lang w:val="en-GB"/>
        </w:rPr>
        <w:t>第</w:t>
      </w:r>
      <w:r>
        <w:rPr>
          <w:rFonts w:hint="eastAsia"/>
          <w:lang w:val="en-GB"/>
        </w:rPr>
        <w:t>2</w:t>
      </w:r>
      <w:r>
        <w:rPr>
          <w:rFonts w:hint="eastAsia"/>
          <w:lang w:val="en-GB"/>
        </w:rPr>
        <w:t>条第</w:t>
      </w:r>
      <w:r>
        <w:rPr>
          <w:rFonts w:hint="eastAsia"/>
          <w:lang w:val="en-GB"/>
        </w:rPr>
        <w:t>1</w:t>
      </w:r>
      <w:r>
        <w:rPr>
          <w:rFonts w:hint="eastAsia"/>
          <w:lang w:val="en-GB"/>
        </w:rPr>
        <w:t>款保护非德国国民的自由迁徙。</w:t>
      </w:r>
    </w:p>
    <w:p w:rsidR="00334AE2" w:rsidRDefault="00334AE2">
      <w:pPr>
        <w:pStyle w:val="SingleTxtGC"/>
        <w:rPr>
          <w:lang w:val="en-GB"/>
        </w:rPr>
      </w:pPr>
      <w:r>
        <w:rPr>
          <w:lang w:val="en-GB"/>
        </w:rPr>
        <w:t xml:space="preserve">140.  </w:t>
      </w:r>
      <w:r>
        <w:rPr>
          <w:rFonts w:hint="eastAsia"/>
          <w:lang w:val="en-GB"/>
        </w:rPr>
        <w:t>对外籍人的居所可能有地域限制。例如，法律将已经可以履行离境义务的寻求庇护者的住所和暂停驱逐的外国人的住所，限制在联邦州或移民当局管辖地区。作为一项规则，只能在特别情况下，或经过特别许可，才可以离开指定居住的地区。</w:t>
      </w:r>
    </w:p>
    <w:p w:rsidR="00334AE2" w:rsidRDefault="00334AE2">
      <w:pPr>
        <w:pStyle w:val="SingleTxtGC"/>
        <w:rPr>
          <w:lang w:val="en-GB"/>
        </w:rPr>
      </w:pPr>
      <w:r>
        <w:rPr>
          <w:lang w:val="en-GB"/>
        </w:rPr>
        <w:t xml:space="preserve">141.  </w:t>
      </w:r>
      <w:r>
        <w:rPr>
          <w:rFonts w:hint="eastAsia"/>
          <w:lang w:val="en-GB"/>
        </w:rPr>
        <w:t>通常凭借出生</w:t>
      </w:r>
      <w:r>
        <w:rPr>
          <w:rFonts w:hint="eastAsia"/>
          <w:lang w:val="en-GB"/>
        </w:rPr>
        <w:t>(</w:t>
      </w:r>
      <w:r>
        <w:rPr>
          <w:rFonts w:hint="eastAsia"/>
          <w:lang w:val="en-GB"/>
        </w:rPr>
        <w:t>如果在孩子出生时父母中至少有一人是德国人</w:t>
      </w:r>
      <w:r>
        <w:rPr>
          <w:rFonts w:hint="eastAsia"/>
          <w:lang w:val="en-GB"/>
        </w:rPr>
        <w:t>)</w:t>
      </w:r>
      <w:r>
        <w:rPr>
          <w:rFonts w:hint="eastAsia"/>
          <w:lang w:val="en-GB"/>
        </w:rPr>
        <w:t>、通过收养或通过入籍，可以获得德国国籍</w:t>
      </w:r>
      <w:r>
        <w:rPr>
          <w:rStyle w:val="FootnoteReference"/>
        </w:rPr>
        <w:footnoteReference w:id="41"/>
      </w:r>
      <w:r>
        <w:rPr>
          <w:rFonts w:hint="eastAsia"/>
          <w:lang w:val="en-GB"/>
        </w:rPr>
        <w:t>。</w:t>
      </w:r>
    </w:p>
    <w:p w:rsidR="00334AE2" w:rsidRDefault="00334AE2">
      <w:pPr>
        <w:pStyle w:val="SingleTxtGC"/>
        <w:rPr>
          <w:lang w:val="en-GB"/>
        </w:rPr>
      </w:pPr>
      <w:r>
        <w:rPr>
          <w:lang w:val="en-GB"/>
        </w:rPr>
        <w:t xml:space="preserve">142.  </w:t>
      </w:r>
      <w:r>
        <w:rPr>
          <w:rFonts w:hint="eastAsia"/>
          <w:lang w:val="en-GB"/>
        </w:rPr>
        <w:t>适用的归化法律，使残疾人更容易获得德国国籍。法律规定，如果残疾使入籍更加困难或不可能，譬如，在证明拥有关于德国的知识和必要的</w:t>
      </w:r>
      <w:r>
        <w:rPr>
          <w:lang w:val="en-GB"/>
        </w:rPr>
        <w:t>公民</w:t>
      </w:r>
      <w:r>
        <w:rPr>
          <w:rFonts w:hint="eastAsia"/>
          <w:lang w:val="en-GB"/>
        </w:rPr>
        <w:t>知识上</w:t>
      </w:r>
      <w:r>
        <w:rPr>
          <w:rFonts w:hint="eastAsia"/>
          <w:lang w:val="en-GB"/>
        </w:rPr>
        <w:t>(</w:t>
      </w:r>
      <w:r>
        <w:rPr>
          <w:rFonts w:hint="eastAsia"/>
          <w:lang w:val="en-GB"/>
        </w:rPr>
        <w:t>《国籍法》第</w:t>
      </w:r>
      <w:r>
        <w:rPr>
          <w:rFonts w:hint="eastAsia"/>
          <w:lang w:val="en-GB"/>
        </w:rPr>
        <w:t>10</w:t>
      </w:r>
      <w:r>
        <w:rPr>
          <w:rFonts w:hint="eastAsia"/>
          <w:lang w:val="en-GB"/>
        </w:rPr>
        <w:t>条第</w:t>
      </w:r>
      <w:r>
        <w:rPr>
          <w:rFonts w:hint="eastAsia"/>
          <w:lang w:val="en-GB"/>
        </w:rPr>
        <w:t>6</w:t>
      </w:r>
      <w:r>
        <w:rPr>
          <w:rFonts w:hint="eastAsia"/>
          <w:lang w:val="en-GB"/>
        </w:rPr>
        <w:t>款</w:t>
      </w:r>
      <w:r>
        <w:rPr>
          <w:rFonts w:hint="eastAsia"/>
          <w:lang w:val="en-GB"/>
        </w:rPr>
        <w:t>)</w:t>
      </w:r>
      <w:r>
        <w:rPr>
          <w:rFonts w:hint="eastAsia"/>
          <w:lang w:val="en-GB"/>
        </w:rPr>
        <w:t>，对残疾人适用特别</w:t>
      </w:r>
      <w:r>
        <w:rPr>
          <w:lang w:val="en-GB"/>
        </w:rPr>
        <w:t>法规</w:t>
      </w:r>
      <w:r>
        <w:rPr>
          <w:rFonts w:hint="eastAsia"/>
          <w:lang w:val="en-GB"/>
        </w:rPr>
        <w:t>。此外，特别法规适用于</w:t>
      </w:r>
      <w:r>
        <w:rPr>
          <w:rFonts w:hint="eastAsia"/>
          <w:lang w:val="en-GB"/>
        </w:rPr>
        <w:t>16</w:t>
      </w:r>
      <w:r>
        <w:rPr>
          <w:rFonts w:hint="eastAsia"/>
          <w:lang w:val="en-GB"/>
        </w:rPr>
        <w:t>岁以下的儿童和青少年。</w:t>
      </w:r>
    </w:p>
    <w:p w:rsidR="00334AE2" w:rsidRDefault="00334AE2">
      <w:pPr>
        <w:pStyle w:val="SingleTxtGC"/>
        <w:rPr>
          <w:lang w:val="en-GB"/>
        </w:rPr>
      </w:pPr>
      <w:r>
        <w:rPr>
          <w:lang w:val="en-GB"/>
        </w:rPr>
        <w:t xml:space="preserve">143.  </w:t>
      </w:r>
      <w:r>
        <w:rPr>
          <w:rFonts w:hint="eastAsia"/>
          <w:lang w:val="en-GB"/>
        </w:rPr>
        <w:t>《宪法》排除基于残疾丧失德国国籍，因为这构成了《基本法》所禁止的剥夺德国国籍情况</w:t>
      </w:r>
      <w:r>
        <w:rPr>
          <w:rFonts w:hint="eastAsia"/>
          <w:lang w:val="en-GB"/>
        </w:rPr>
        <w:t>(</w:t>
      </w:r>
      <w:r>
        <w:rPr>
          <w:rFonts w:hint="eastAsia"/>
          <w:lang w:val="en-GB"/>
        </w:rPr>
        <w:t>《基本法》第</w:t>
      </w:r>
      <w:r>
        <w:rPr>
          <w:rFonts w:hint="eastAsia"/>
          <w:lang w:val="en-GB"/>
        </w:rPr>
        <w:t>16</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。然而，如果是通过恶意欺骗、威胁或贿赂或故意提供不正确或不完整的信息获得的国籍，可以取消这个人的国籍。</w:t>
      </w:r>
    </w:p>
    <w:p w:rsidR="00334AE2" w:rsidRDefault="00334AE2">
      <w:pPr>
        <w:pStyle w:val="SingleTxtGC"/>
        <w:rPr>
          <w:lang w:val="en-GB"/>
        </w:rPr>
      </w:pPr>
      <w:r>
        <w:rPr>
          <w:lang w:val="en-GB"/>
        </w:rPr>
        <w:t xml:space="preserve">144.  </w:t>
      </w:r>
      <w:r>
        <w:rPr>
          <w:rFonts w:hint="eastAsia"/>
          <w:lang w:val="en-GB"/>
        </w:rPr>
        <w:t>不管残疾或国籍，在联邦共和国出生的任何孩子，在一周内必须向登记处报告，随即由后者认证。家长、医院及其他设施尤其有义务进行报告。没有关于残疾人的具体规定。然而，现有的法规涵盖他们，不会基于残疾特征直接或间接导致歧视。</w:t>
      </w:r>
    </w:p>
    <w:p w:rsidR="00334AE2" w:rsidRDefault="00334AE2">
      <w:pPr>
        <w:pStyle w:val="H1GC"/>
        <w:rPr>
          <w:lang w:val="en-GB"/>
        </w:rPr>
      </w:pPr>
      <w:bookmarkStart w:id="23" w:name="_Toc303932231"/>
      <w:r>
        <w:rPr>
          <w:lang w:val="en-GB"/>
        </w:rPr>
        <w:tab/>
      </w:r>
      <w:r>
        <w:rPr>
          <w:lang w:val="en-GB"/>
        </w:rPr>
        <w:tab/>
      </w:r>
      <w:bookmarkEnd w:id="23"/>
      <w:r>
        <w:rPr>
          <w:rFonts w:hint="eastAsia"/>
          <w:lang w:val="en-GB"/>
        </w:rPr>
        <w:t>第十九条</w:t>
      </w:r>
      <w:r>
        <w:rPr>
          <w:rFonts w:hint="eastAsia"/>
          <w:lang w:val="en-GB"/>
        </w:rPr>
        <w:br/>
      </w:r>
      <w:r>
        <w:rPr>
          <w:rFonts w:hint="eastAsia"/>
          <w:lang w:val="en-GB"/>
        </w:rPr>
        <w:t>独立生活和融入社区</w:t>
      </w:r>
    </w:p>
    <w:p w:rsidR="00334AE2" w:rsidRDefault="00334AE2">
      <w:pPr>
        <w:pStyle w:val="SingleTxtGC"/>
        <w:rPr>
          <w:lang w:val="en-GB"/>
        </w:rPr>
      </w:pPr>
      <w:r>
        <w:rPr>
          <w:lang w:val="en-GB"/>
        </w:rPr>
        <w:t xml:space="preserve">145.  </w:t>
      </w:r>
      <w:r>
        <w:rPr>
          <w:rFonts w:hint="eastAsia"/>
          <w:lang w:val="en-GB"/>
        </w:rPr>
        <w:t>《社会法典》第九部支持残疾人自主和参与社会生活的原则。例如，《社会法典》第九部第</w:t>
      </w:r>
      <w:r>
        <w:rPr>
          <w:rFonts w:hint="eastAsia"/>
          <w:lang w:val="en-GB"/>
        </w:rPr>
        <w:t>9</w:t>
      </w:r>
      <w:r>
        <w:rPr>
          <w:rFonts w:hint="eastAsia"/>
          <w:lang w:val="en-GB"/>
        </w:rPr>
        <w:t>条第</w:t>
      </w:r>
      <w:r>
        <w:rPr>
          <w:rFonts w:hint="eastAsia"/>
          <w:lang w:val="en-GB"/>
        </w:rPr>
        <w:t>3</w:t>
      </w:r>
      <w:r>
        <w:rPr>
          <w:rFonts w:hint="eastAsia"/>
          <w:lang w:val="en-GB"/>
        </w:rPr>
        <w:t>款规定，福利、服务和设施尽可能留给受益人大的空间，让他们自己负责塑造自己的情况和增进自主。在决定补贴和实施参与补贴时，必须满足受益人的合法愿望</w:t>
      </w:r>
      <w:r>
        <w:rPr>
          <w:rFonts w:hint="eastAsia"/>
          <w:lang w:val="en-GB"/>
        </w:rPr>
        <w:t>(</w:t>
      </w:r>
      <w:r>
        <w:rPr>
          <w:rFonts w:hint="eastAsia"/>
          <w:lang w:val="en-GB"/>
        </w:rPr>
        <w:t>《社会法典》第九部第</w:t>
      </w:r>
      <w:r>
        <w:rPr>
          <w:rFonts w:hint="eastAsia"/>
          <w:lang w:val="en-GB"/>
        </w:rPr>
        <w:t>9</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。考虑到受益人的利益和各个个案的情况，《社会法典》第九部奉行提供门诊补贴优先于提供住院补贴的原则。</w:t>
      </w:r>
    </w:p>
    <w:p w:rsidR="00334AE2" w:rsidRDefault="00334AE2">
      <w:pPr>
        <w:pStyle w:val="SingleTxtGC"/>
        <w:rPr>
          <w:lang w:val="en-GB"/>
        </w:rPr>
      </w:pPr>
      <w:r>
        <w:rPr>
          <w:lang w:val="en-GB"/>
        </w:rPr>
        <w:t xml:space="preserve">146.  </w:t>
      </w:r>
      <w:r>
        <w:rPr>
          <w:rFonts w:hint="eastAsia"/>
          <w:lang w:val="en-GB"/>
        </w:rPr>
        <w:t>根据《社会法典》第九部第</w:t>
      </w:r>
      <w:r>
        <w:rPr>
          <w:rFonts w:hint="eastAsia"/>
          <w:lang w:val="en-GB"/>
        </w:rPr>
        <w:t>17</w:t>
      </w:r>
      <w:r>
        <w:rPr>
          <w:rFonts w:hint="eastAsia"/>
          <w:lang w:val="en-GB"/>
        </w:rPr>
        <w:t>条的“个人预算”，是自主参与和融入社会的一个主要工具。自</w:t>
      </w:r>
      <w:r>
        <w:rPr>
          <w:rFonts w:hint="eastAsia"/>
          <w:lang w:val="en-GB"/>
        </w:rPr>
        <w:t>2008</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日以来，在全国各地，以“个人预算”形式，行使获得所有参与补贴的合法权利。有了“个人预算”，如果残疾人请求，他们可以获得金钱补贴或</w:t>
      </w:r>
      <w:r>
        <w:rPr>
          <w:lang w:val="en-GB"/>
        </w:rPr>
        <w:t>代替</w:t>
      </w:r>
      <w:r>
        <w:rPr>
          <w:rFonts w:hint="eastAsia"/>
          <w:lang w:val="en-GB"/>
        </w:rPr>
        <w:t>服务和实物补贴的</w:t>
      </w:r>
      <w:r>
        <w:rPr>
          <w:lang w:val="en-GB"/>
        </w:rPr>
        <w:t>代金券</w:t>
      </w:r>
      <w:r>
        <w:rPr>
          <w:rFonts w:hint="eastAsia"/>
          <w:lang w:val="en-GB"/>
        </w:rPr>
        <w:t>，以自己获取进行自主参与所必需的协助服务。这赋予残疾人行使表达愿望和选择权利的具体形式。所有残疾人和面临残疾风险的人，都可以领取“个人预算”，不管残疾的性质和严重程度及所需补贴的性质。</w:t>
      </w:r>
    </w:p>
    <w:p w:rsidR="00334AE2" w:rsidRDefault="00334AE2">
      <w:pPr>
        <w:pStyle w:val="SingleTxtGC"/>
        <w:rPr>
          <w:lang w:val="en-GB"/>
        </w:rPr>
      </w:pPr>
      <w:r>
        <w:rPr>
          <w:lang w:val="en-GB"/>
        </w:rPr>
        <w:t xml:space="preserve">147.  </w:t>
      </w:r>
      <w:r>
        <w:rPr>
          <w:rFonts w:hint="eastAsia"/>
          <w:lang w:val="en-GB"/>
        </w:rPr>
        <w:t>根据《社会法典》第九部第</w:t>
      </w:r>
      <w:r>
        <w:rPr>
          <w:rFonts w:hint="eastAsia"/>
          <w:lang w:val="en-GB"/>
        </w:rPr>
        <w:t>102</w:t>
      </w:r>
      <w:r>
        <w:rPr>
          <w:rFonts w:hint="eastAsia"/>
          <w:lang w:val="en-GB"/>
        </w:rPr>
        <w:t>条第</w:t>
      </w:r>
      <w:r>
        <w:rPr>
          <w:rFonts w:hint="eastAsia"/>
          <w:lang w:val="en-GB"/>
        </w:rPr>
        <w:t>4</w:t>
      </w:r>
      <w:r>
        <w:rPr>
          <w:rFonts w:hint="eastAsia"/>
          <w:lang w:val="en-GB"/>
        </w:rPr>
        <w:t>款，残疾人可以为了参与工作</w:t>
      </w:r>
      <w:r>
        <w:rPr>
          <w:rFonts w:hint="eastAsia"/>
          <w:lang w:val="en-GB"/>
        </w:rPr>
        <w:t>(</w:t>
      </w:r>
      <w:r>
        <w:rPr>
          <w:rFonts w:hint="eastAsia"/>
          <w:lang w:val="en-GB"/>
        </w:rPr>
        <w:t>例如：开办驾驶服务，为盲人工人雇用朗读员，为聋人提供手语翻译</w:t>
      </w:r>
      <w:r>
        <w:rPr>
          <w:rFonts w:hint="eastAsia"/>
          <w:lang w:val="en-GB"/>
        </w:rPr>
        <w:t>)</w:t>
      </w:r>
      <w:r>
        <w:rPr>
          <w:rFonts w:hint="eastAsia"/>
          <w:lang w:val="en-GB"/>
        </w:rPr>
        <w:t>获得支助。</w:t>
      </w:r>
    </w:p>
    <w:p w:rsidR="00334AE2" w:rsidRDefault="00334AE2">
      <w:pPr>
        <w:pStyle w:val="SingleTxtGC"/>
        <w:rPr>
          <w:lang w:val="en-GB"/>
        </w:rPr>
      </w:pPr>
      <w:r>
        <w:rPr>
          <w:lang w:val="en-GB"/>
        </w:rPr>
        <w:t xml:space="preserve">148.  </w:t>
      </w:r>
      <w:r>
        <w:rPr>
          <w:rFonts w:hint="eastAsia"/>
          <w:lang w:val="en-GB"/>
        </w:rPr>
        <w:t>在向残疾人提供融入社会援助方面</w:t>
      </w:r>
      <w:r>
        <w:rPr>
          <w:rFonts w:hint="eastAsia"/>
          <w:lang w:val="en-GB"/>
        </w:rPr>
        <w:t>(</w:t>
      </w:r>
      <w:r>
        <w:rPr>
          <w:rFonts w:hint="eastAsia"/>
          <w:lang w:val="en-GB"/>
        </w:rPr>
        <w:t>由社会援助机构提供社会援助</w:t>
      </w:r>
      <w:r>
        <w:rPr>
          <w:rFonts w:hint="eastAsia"/>
          <w:lang w:val="en-GB"/>
        </w:rPr>
        <w:t>)</w:t>
      </w:r>
      <w:r>
        <w:rPr>
          <w:rFonts w:hint="eastAsia"/>
          <w:lang w:val="en-GB"/>
        </w:rPr>
        <w:t>，可能有获得参与</w:t>
      </w:r>
      <w:r>
        <w:rPr>
          <w:lang w:val="en-GB"/>
        </w:rPr>
        <w:t>社区</w:t>
      </w:r>
      <w:r>
        <w:rPr>
          <w:rFonts w:hint="eastAsia"/>
          <w:lang w:val="en-GB"/>
        </w:rPr>
        <w:t>生活津贴的权利。譬如，这些包括在有协助的住宅走向自主生活支助和参与社区生活和文化生活支助。劳动和社会事务部长会议联邦和州“完善残疾人融入社会援助”工作小组，讨论了残疾人融入社会援助的重新定位问题，从主要以机构为主转为以人为中心的参与补贴。</w:t>
      </w:r>
    </w:p>
    <w:p w:rsidR="00334AE2" w:rsidRDefault="00334AE2">
      <w:pPr>
        <w:pStyle w:val="SingleTxtGC"/>
        <w:rPr>
          <w:lang w:val="en-GB"/>
        </w:rPr>
      </w:pPr>
      <w:r>
        <w:rPr>
          <w:lang w:val="en-GB"/>
        </w:rPr>
        <w:t xml:space="preserve">149.  </w:t>
      </w:r>
      <w:r>
        <w:rPr>
          <w:rFonts w:hint="eastAsia"/>
          <w:lang w:val="en-GB"/>
        </w:rPr>
        <w:t>在德国，如果符合《社会法典》第十二部第</w:t>
      </w:r>
      <w:r>
        <w:rPr>
          <w:rFonts w:hint="eastAsia"/>
          <w:lang w:val="en-GB"/>
        </w:rPr>
        <w:t>52</w:t>
      </w:r>
      <w:r>
        <w:rPr>
          <w:rFonts w:hint="eastAsia"/>
          <w:lang w:val="en-GB"/>
        </w:rPr>
        <w:t>条、《社会法典》第八部第</w:t>
      </w:r>
      <w:r>
        <w:rPr>
          <w:lang w:val="en-GB"/>
        </w:rPr>
        <w:t>35a</w:t>
      </w:r>
      <w:r>
        <w:rPr>
          <w:rFonts w:hint="eastAsia"/>
          <w:lang w:val="en-GB"/>
        </w:rPr>
        <w:t>条或《战争受害者救济法》第</w:t>
      </w:r>
      <w:r>
        <w:rPr>
          <w:lang w:val="en-GB"/>
        </w:rPr>
        <w:t>27d</w:t>
      </w:r>
      <w:r>
        <w:rPr>
          <w:rFonts w:hint="eastAsia"/>
          <w:lang w:val="en-GB"/>
        </w:rPr>
        <w:t>条规定的先决条件，残疾儿童和残疾青少年也可以领取融入社会援助补贴，以促进他们的自主和平等参与社会生活，避免或改变不利处境。</w:t>
      </w:r>
    </w:p>
    <w:p w:rsidR="00334AE2" w:rsidRDefault="00334AE2">
      <w:pPr>
        <w:pStyle w:val="SingleTxtGC"/>
        <w:rPr>
          <w:lang w:val="en-GB"/>
        </w:rPr>
      </w:pPr>
      <w:r>
        <w:rPr>
          <w:lang w:val="en-GB"/>
        </w:rPr>
        <w:t xml:space="preserve">150.  </w:t>
      </w:r>
      <w:r>
        <w:rPr>
          <w:rFonts w:hint="eastAsia"/>
          <w:lang w:val="en-GB"/>
        </w:rPr>
        <w:t>如果需要长期护理的老年人和残疾人签订关于提供带有长期护理或护理补贴的居住空间的合同，于</w:t>
      </w:r>
      <w:r>
        <w:rPr>
          <w:rFonts w:hint="eastAsia"/>
          <w:lang w:val="en-GB"/>
        </w:rPr>
        <w:t>2009</w:t>
      </w:r>
      <w:r>
        <w:rPr>
          <w:rFonts w:hint="eastAsia"/>
          <w:lang w:val="en-GB"/>
        </w:rPr>
        <w:t>年生效的《</w:t>
      </w:r>
      <w:r>
        <w:rPr>
          <w:lang w:val="en-GB"/>
        </w:rPr>
        <w:t>膳宿</w:t>
      </w:r>
      <w:r>
        <w:rPr>
          <w:rFonts w:hint="eastAsia"/>
          <w:lang w:val="en-GB"/>
        </w:rPr>
        <w:t>和护理合同法》</w:t>
      </w:r>
      <w:r>
        <w:rPr>
          <w:rFonts w:hint="eastAsia"/>
          <w:lang w:val="en-GB"/>
        </w:rPr>
        <w:t>(</w:t>
      </w:r>
      <w:r>
        <w:rPr>
          <w:i/>
          <w:iCs/>
          <w:lang w:val="en-GB"/>
        </w:rPr>
        <w:t>Wohn-und</w:t>
      </w:r>
      <w:r>
        <w:rPr>
          <w:rFonts w:hint="eastAsia"/>
          <w:i/>
          <w:iCs/>
          <w:lang w:val="en-GB"/>
        </w:rPr>
        <w:t xml:space="preserve"> </w:t>
      </w:r>
      <w:r>
        <w:rPr>
          <w:i/>
          <w:iCs/>
          <w:lang w:val="en-GB"/>
        </w:rPr>
        <w:t>Betreuungsvertragsgesetz</w:t>
      </w:r>
      <w:r>
        <w:rPr>
          <w:rFonts w:hint="eastAsia"/>
          <w:lang w:val="en-GB"/>
        </w:rPr>
        <w:t>)</w:t>
      </w:r>
      <w:r>
        <w:rPr>
          <w:rFonts w:hint="eastAsia"/>
          <w:lang w:val="en-GB"/>
        </w:rPr>
        <w:t>，加强了他们的权利。作为一个现代消费者保护法规，该法有助于《需要长期护理和援助的人权利宪章》第</w:t>
      </w:r>
      <w:r>
        <w:rPr>
          <w:rFonts w:hint="eastAsia"/>
          <w:lang w:val="en-GB"/>
        </w:rPr>
        <w:t>1</w:t>
      </w:r>
      <w:r>
        <w:rPr>
          <w:rFonts w:hint="eastAsia"/>
          <w:lang w:val="en-GB"/>
        </w:rPr>
        <w:t>条所述的自主权利的实施。</w:t>
      </w:r>
    </w:p>
    <w:p w:rsidR="00334AE2" w:rsidRDefault="00334AE2">
      <w:pPr>
        <w:pStyle w:val="SingleTxtGC"/>
        <w:rPr>
          <w:lang w:val="en-GB"/>
        </w:rPr>
      </w:pPr>
      <w:r>
        <w:rPr>
          <w:lang w:val="en-GB"/>
        </w:rPr>
        <w:t xml:space="preserve">151.  </w:t>
      </w:r>
      <w:r>
        <w:rPr>
          <w:rFonts w:hint="eastAsia"/>
          <w:lang w:val="en-GB"/>
        </w:rPr>
        <w:t>然而，除居家外，在邻近基础设施也成为无障碍</w:t>
      </w:r>
      <w:r>
        <w:rPr>
          <w:rFonts w:hint="eastAsia"/>
          <w:lang w:val="en-GB"/>
        </w:rPr>
        <w:t>(</w:t>
      </w:r>
      <w:r>
        <w:rPr>
          <w:rFonts w:hint="eastAsia"/>
          <w:lang w:val="en-GB"/>
        </w:rPr>
        <w:t>包括附近的社会环境</w:t>
      </w:r>
      <w:r>
        <w:rPr>
          <w:rFonts w:hint="eastAsia"/>
          <w:lang w:val="en-GB"/>
        </w:rPr>
        <w:t>)</w:t>
      </w:r>
      <w:r>
        <w:rPr>
          <w:rFonts w:hint="eastAsia"/>
          <w:lang w:val="en-GB"/>
        </w:rPr>
        <w:t>之前，还不可能实现独立生活。为实现这一点，《国家行动计划》规定采取适当措施。</w:t>
      </w:r>
    </w:p>
    <w:p w:rsidR="00334AE2" w:rsidRDefault="00334AE2">
      <w:pPr>
        <w:pStyle w:val="SingleTxtGC"/>
        <w:rPr>
          <w:lang w:val="en-GB"/>
        </w:rPr>
      </w:pPr>
      <w:r>
        <w:rPr>
          <w:lang w:val="en-GB"/>
        </w:rPr>
        <w:t xml:space="preserve">152.  </w:t>
      </w:r>
      <w:r>
        <w:rPr>
          <w:rFonts w:hint="eastAsia"/>
          <w:lang w:val="en-GB"/>
        </w:rPr>
        <w:t>联邦家庭事务、老年公民、妇女和青年事务部，在题为“协助老年人和残疾人建筑模式”的方案范围之内，推广楼宇、家庭、合住住所和社会文化设施的无障碍标准，以此作为残疾人独立生活的模式。</w:t>
      </w:r>
    </w:p>
    <w:p w:rsidR="00334AE2" w:rsidRDefault="00334AE2">
      <w:pPr>
        <w:pStyle w:val="H1GC"/>
        <w:rPr>
          <w:lang w:val="en-GB"/>
        </w:rPr>
      </w:pPr>
      <w:bookmarkStart w:id="24" w:name="_Toc303932232"/>
      <w:r>
        <w:rPr>
          <w:lang w:val="en-GB"/>
        </w:rPr>
        <w:tab/>
      </w:r>
      <w:r>
        <w:rPr>
          <w:lang w:val="en-GB"/>
        </w:rPr>
        <w:tab/>
      </w:r>
      <w:bookmarkEnd w:id="24"/>
      <w:r>
        <w:rPr>
          <w:rFonts w:hint="eastAsia"/>
          <w:lang w:val="en-GB"/>
        </w:rPr>
        <w:t>第二十条</w:t>
      </w:r>
      <w:r>
        <w:rPr>
          <w:rFonts w:hint="eastAsia"/>
          <w:lang w:val="en-GB"/>
        </w:rPr>
        <w:br/>
      </w:r>
      <w:r>
        <w:rPr>
          <w:rFonts w:hint="eastAsia"/>
          <w:lang w:val="en-GB"/>
        </w:rPr>
        <w:t>个人行动能力</w:t>
      </w:r>
    </w:p>
    <w:p w:rsidR="00334AE2" w:rsidRDefault="00334AE2">
      <w:pPr>
        <w:pStyle w:val="SingleTxtGC"/>
        <w:rPr>
          <w:rStyle w:val="SingleTxtGCChar"/>
          <w:szCs w:val="21"/>
        </w:rPr>
      </w:pPr>
      <w:r>
        <w:rPr>
          <w:lang w:val="en-GB"/>
        </w:rPr>
        <w:t>153.</w:t>
      </w:r>
      <w:r>
        <w:rPr>
          <w:rFonts w:hint="eastAsia"/>
          <w:lang w:val="en-GB"/>
        </w:rPr>
        <w:t xml:space="preserve">  </w:t>
      </w:r>
      <w:r>
        <w:rPr>
          <w:rFonts w:hint="eastAsia"/>
          <w:lang w:val="en-GB"/>
        </w:rPr>
        <w:t>残疾人的个人行动能力，是自主和平等参与的核心先决条件之一。对于他们来说，公共交通发挥着决定性的作用。交通系统对他们必须是无障碍的，必须使乘坐尽量容易。基于对无障碍环境设</w:t>
      </w:r>
      <w:r>
        <w:rPr>
          <w:rStyle w:val="SingleTxtGCChar"/>
          <w:rFonts w:hint="eastAsia"/>
          <w:szCs w:val="21"/>
        </w:rPr>
        <w:t>计的理解，《残疾人平等机会法》为德国基础设施设计奠定了重要基础。各州《平等机会法》与之相配套，除其他外，《客运交通法》、《轨道交通建设和运营法》</w:t>
      </w:r>
      <w:r>
        <w:rPr>
          <w:rStyle w:val="SingleTxtGCChar"/>
          <w:rFonts w:hint="eastAsia"/>
          <w:szCs w:val="21"/>
        </w:rPr>
        <w:t>(</w:t>
      </w:r>
      <w:r>
        <w:rPr>
          <w:i/>
          <w:iCs/>
          <w:lang w:val="en-GB"/>
        </w:rPr>
        <w:t>Eisenbahn-Bau-und-Betriebsordnung</w:t>
      </w:r>
      <w:r>
        <w:rPr>
          <w:rStyle w:val="SingleTxtGCChar"/>
          <w:rFonts w:hint="eastAsia"/>
          <w:szCs w:val="21"/>
        </w:rPr>
        <w:t>)</w:t>
      </w:r>
      <w:r>
        <w:rPr>
          <w:rStyle w:val="SingleTxtGCChar"/>
          <w:rFonts w:hint="eastAsia"/>
          <w:szCs w:val="21"/>
        </w:rPr>
        <w:t>及《航空交通法》的修正法案对其予以补充，这些修正法案特别考虑到残疾人的特别利益。</w:t>
      </w:r>
    </w:p>
    <w:p w:rsidR="00334AE2" w:rsidRDefault="00334AE2">
      <w:pPr>
        <w:pStyle w:val="H23GC"/>
        <w:rPr>
          <w:lang w:val="en-GB"/>
        </w:rPr>
      </w:pPr>
      <w:r>
        <w:rPr>
          <w:lang w:val="en-GB"/>
        </w:rPr>
        <w:tab/>
        <w:t>1.</w:t>
      </w:r>
      <w:r>
        <w:rPr>
          <w:rFonts w:ascii="SimSun" w:eastAsia="SimSun" w:hAnsi="SimSun" w:cs="SimSun" w:hint="eastAsia"/>
          <w:lang w:val="en-GB"/>
        </w:rPr>
        <w:tab/>
      </w:r>
      <w:r>
        <w:rPr>
          <w:lang w:val="en-GB"/>
        </w:rPr>
        <w:t>助行器具</w:t>
      </w:r>
    </w:p>
    <w:p w:rsidR="00334AE2" w:rsidRDefault="00334AE2">
      <w:pPr>
        <w:pStyle w:val="SingleTxtGC"/>
        <w:rPr>
          <w:lang w:val="en-GB"/>
        </w:rPr>
      </w:pPr>
      <w:r>
        <w:rPr>
          <w:lang w:val="en-GB"/>
        </w:rPr>
        <w:t xml:space="preserve">154.  </w:t>
      </w:r>
      <w:r>
        <w:rPr>
          <w:rFonts w:hint="eastAsia"/>
          <w:lang w:val="en-GB"/>
        </w:rPr>
        <w:t>根据《社会法典》第九部，向残疾人提供</w:t>
      </w:r>
      <w:r>
        <w:rPr>
          <w:lang w:val="en-GB"/>
        </w:rPr>
        <w:t>助行器具</w:t>
      </w:r>
      <w:r>
        <w:rPr>
          <w:rFonts w:hint="eastAsia"/>
          <w:lang w:val="en-GB"/>
        </w:rPr>
        <w:t>和</w:t>
      </w:r>
      <w:r>
        <w:rPr>
          <w:lang w:val="en-GB"/>
        </w:rPr>
        <w:t>技术辅助</w:t>
      </w:r>
      <w:r>
        <w:rPr>
          <w:rFonts w:hint="eastAsia"/>
          <w:lang w:val="en-GB"/>
        </w:rPr>
        <w:t>，支持他们实现最佳独立和自主。为了确保残疾人在日常生活中可以行动，在参与社区生活补贴范围内，也为他们参与社区和文化生活提供协助。这包括提供必要的</w:t>
      </w:r>
      <w:r>
        <w:rPr>
          <w:lang w:val="en-GB"/>
        </w:rPr>
        <w:t>助行器具</w:t>
      </w:r>
      <w:r>
        <w:rPr>
          <w:rFonts w:hint="eastAsia"/>
          <w:lang w:val="en-GB"/>
        </w:rPr>
        <w:t>，特别是在</w:t>
      </w:r>
      <w:r>
        <w:rPr>
          <w:rFonts w:hint="eastAsia"/>
          <w:lang w:val="en-GB"/>
        </w:rPr>
        <w:t>24</w:t>
      </w:r>
      <w:r>
        <w:rPr>
          <w:rFonts w:hint="eastAsia"/>
          <w:lang w:val="en-GB"/>
        </w:rPr>
        <w:t>小时护理情况下。</w:t>
      </w:r>
    </w:p>
    <w:p w:rsidR="00334AE2" w:rsidRDefault="00334AE2">
      <w:pPr>
        <w:pStyle w:val="H23GC"/>
        <w:rPr>
          <w:lang w:val="en-GB"/>
        </w:rPr>
      </w:pPr>
      <w:r>
        <w:rPr>
          <w:lang w:val="en-GB"/>
        </w:rPr>
        <w:tab/>
        <w:t>2.</w:t>
      </w:r>
      <w:r>
        <w:rPr>
          <w:rFonts w:ascii="SimSun" w:eastAsia="SimSun" w:hAnsi="SimSun" w:cs="SimSun" w:hint="eastAsia"/>
          <w:lang w:val="en-GB"/>
        </w:rPr>
        <w:tab/>
      </w:r>
      <w:r>
        <w:rPr>
          <w:rFonts w:hint="eastAsia"/>
          <w:lang w:val="en-GB"/>
        </w:rPr>
        <w:t>当地公共客运交通</w:t>
      </w:r>
    </w:p>
    <w:p w:rsidR="00334AE2" w:rsidRDefault="00334AE2">
      <w:pPr>
        <w:pStyle w:val="SingleTxtGC"/>
        <w:rPr>
          <w:lang w:val="en-GB"/>
        </w:rPr>
      </w:pPr>
      <w:r>
        <w:rPr>
          <w:lang w:val="en-GB"/>
        </w:rPr>
        <w:t xml:space="preserve">155.  </w:t>
      </w:r>
      <w:r>
        <w:rPr>
          <w:rFonts w:hint="eastAsia"/>
          <w:lang w:val="en-GB"/>
        </w:rPr>
        <w:t>近年来，在当地公共交通无障碍方面，地方当局取得了重大进展。例如，在许多城市进行新购置时，只使用低地板车辆。此外，建造了</w:t>
      </w:r>
      <w:r>
        <w:rPr>
          <w:lang w:val="en-GB"/>
        </w:rPr>
        <w:t>无障碍公交</w:t>
      </w:r>
      <w:r>
        <w:rPr>
          <w:rFonts w:hint="eastAsia"/>
          <w:lang w:val="en-GB"/>
        </w:rPr>
        <w:t>车</w:t>
      </w:r>
      <w:r>
        <w:rPr>
          <w:lang w:val="en-GB"/>
        </w:rPr>
        <w:t>站</w:t>
      </w:r>
      <w:r>
        <w:rPr>
          <w:rFonts w:hint="eastAsia"/>
          <w:lang w:val="en-GB"/>
        </w:rPr>
        <w:t>。修建措施包括</w:t>
      </w:r>
      <w:r>
        <w:rPr>
          <w:lang w:val="en-GB"/>
        </w:rPr>
        <w:t>公交</w:t>
      </w:r>
      <w:r>
        <w:rPr>
          <w:rFonts w:hint="eastAsia"/>
          <w:lang w:val="en-GB"/>
        </w:rPr>
        <w:t>车</w:t>
      </w:r>
      <w:r>
        <w:rPr>
          <w:lang w:val="en-GB"/>
        </w:rPr>
        <w:t>站</w:t>
      </w:r>
      <w:r>
        <w:rPr>
          <w:rFonts w:hint="eastAsia"/>
          <w:lang w:val="en-GB"/>
        </w:rPr>
        <w:t>和火车站站台的修建，使之与低地板车辆相配套，以及使用地板指示器</w:t>
      </w:r>
      <w:r>
        <w:rPr>
          <w:rFonts w:hint="eastAsia"/>
          <w:lang w:val="en-GB"/>
        </w:rPr>
        <w:t>(</w:t>
      </w:r>
      <w:r>
        <w:rPr>
          <w:rFonts w:hint="eastAsia"/>
          <w:lang w:val="en-GB"/>
        </w:rPr>
        <w:t>带凹槽、棱纹及疙瘩的地板</w:t>
      </w:r>
      <w:r>
        <w:rPr>
          <w:rFonts w:hint="eastAsia"/>
          <w:lang w:val="en-GB"/>
        </w:rPr>
        <w:t>)</w:t>
      </w:r>
      <w:r>
        <w:rPr>
          <w:rFonts w:hint="eastAsia"/>
          <w:lang w:val="en-GB"/>
        </w:rPr>
        <w:t>，作为盲人和视障人的一种定向辅助。这些方案是基于各州制订的地方交通规划。自</w:t>
      </w:r>
      <w:r>
        <w:rPr>
          <w:rFonts w:hint="eastAsia"/>
          <w:lang w:val="en-GB"/>
        </w:rPr>
        <w:t>2002</w:t>
      </w:r>
      <w:r>
        <w:rPr>
          <w:rFonts w:hint="eastAsia"/>
          <w:lang w:val="en-GB"/>
        </w:rPr>
        <w:t>年以来，在这方面，必需考虑残疾人的利益。</w:t>
      </w:r>
    </w:p>
    <w:p w:rsidR="00334AE2" w:rsidRDefault="00334AE2">
      <w:pPr>
        <w:pStyle w:val="SingleTxtGC"/>
        <w:rPr>
          <w:lang w:val="en-GB"/>
        </w:rPr>
      </w:pPr>
      <w:r>
        <w:rPr>
          <w:lang w:val="en-GB"/>
        </w:rPr>
        <w:t xml:space="preserve">156.  </w:t>
      </w:r>
      <w:r>
        <w:rPr>
          <w:rFonts w:hint="eastAsia"/>
          <w:lang w:val="en-GB"/>
        </w:rPr>
        <w:t>重度残疾人和盲人或聋人免费搭乘，也对参与当地客运作出了重大贡献。由于残疾，重度残疾人在道路交通方面的行动能力大大减少，处于</w:t>
      </w:r>
      <w:r>
        <w:rPr>
          <w:lang w:val="en-GB"/>
        </w:rPr>
        <w:t>无助</w:t>
      </w:r>
      <w:r>
        <w:rPr>
          <w:rFonts w:hint="eastAsia"/>
          <w:lang w:val="en-GB"/>
        </w:rPr>
        <w:t>状态。这方面的补贴成本，由联邦和各州承担</w:t>
      </w:r>
      <w:r>
        <w:rPr>
          <w:rFonts w:hint="eastAsia"/>
          <w:lang w:val="en-GB"/>
        </w:rPr>
        <w:t>(</w:t>
      </w:r>
      <w:r>
        <w:rPr>
          <w:rFonts w:hint="eastAsia"/>
          <w:lang w:val="en-GB"/>
        </w:rPr>
        <w:t>在</w:t>
      </w:r>
      <w:r>
        <w:rPr>
          <w:rFonts w:hint="eastAsia"/>
          <w:lang w:val="en-GB"/>
        </w:rPr>
        <w:t>2007</w:t>
      </w:r>
      <w:r>
        <w:rPr>
          <w:rFonts w:hint="eastAsia"/>
          <w:lang w:val="en-GB"/>
        </w:rPr>
        <w:t>年，约</w:t>
      </w:r>
      <w:r>
        <w:rPr>
          <w:rFonts w:hint="eastAsia"/>
          <w:lang w:val="en-GB"/>
        </w:rPr>
        <w:t>4.4</w:t>
      </w:r>
      <w:r>
        <w:rPr>
          <w:rFonts w:hint="eastAsia"/>
          <w:lang w:val="en-GB"/>
        </w:rPr>
        <w:t>亿欧元</w:t>
      </w:r>
      <w:r>
        <w:rPr>
          <w:rFonts w:hint="eastAsia"/>
          <w:lang w:val="en-GB"/>
        </w:rPr>
        <w:t>)</w:t>
      </w:r>
      <w:r>
        <w:rPr>
          <w:rFonts w:hint="eastAsia"/>
          <w:lang w:val="en-GB"/>
        </w:rPr>
        <w:t>。</w:t>
      </w:r>
    </w:p>
    <w:p w:rsidR="00334AE2" w:rsidRDefault="00334AE2">
      <w:pPr>
        <w:pStyle w:val="H23GC"/>
        <w:rPr>
          <w:lang w:val="en-GB"/>
        </w:rPr>
      </w:pPr>
      <w:r>
        <w:rPr>
          <w:lang w:val="en-GB"/>
        </w:rPr>
        <w:tab/>
        <w:t>3.</w:t>
      </w:r>
      <w:r>
        <w:rPr>
          <w:rFonts w:ascii="SimSun" w:eastAsia="SimSun" w:hAnsi="SimSun" w:cs="SimSun" w:hint="eastAsia"/>
          <w:lang w:val="en-GB"/>
        </w:rPr>
        <w:tab/>
      </w:r>
      <w:r>
        <w:rPr>
          <w:rFonts w:hint="eastAsia"/>
          <w:lang w:val="en-GB"/>
        </w:rPr>
        <w:t>乘火车旅行</w:t>
      </w:r>
    </w:p>
    <w:p w:rsidR="00334AE2" w:rsidRDefault="00334AE2">
      <w:pPr>
        <w:pStyle w:val="SingleTxtGC"/>
        <w:rPr>
          <w:lang w:val="en-GB"/>
        </w:rPr>
      </w:pPr>
      <w:r>
        <w:rPr>
          <w:lang w:val="en-GB"/>
        </w:rPr>
        <w:t xml:space="preserve">157.  </w:t>
      </w:r>
      <w:r>
        <w:rPr>
          <w:rFonts w:hint="eastAsia"/>
          <w:lang w:val="en-GB"/>
        </w:rPr>
        <w:t>根据第</w:t>
      </w:r>
      <w:r>
        <w:rPr>
          <w:lang w:val="en-GB"/>
        </w:rPr>
        <w:t>1371/2007</w:t>
      </w:r>
      <w:r>
        <w:rPr>
          <w:rFonts w:hint="eastAsia"/>
          <w:lang w:val="en-GB"/>
        </w:rPr>
        <w:t>号条例，铁路公司和车站运营商有义务在协会的积极参与下，为残疾人的无歧视</w:t>
      </w:r>
      <w:r>
        <w:rPr>
          <w:lang w:val="en-GB"/>
        </w:rPr>
        <w:t>无障碍</w:t>
      </w:r>
      <w:r>
        <w:rPr>
          <w:rFonts w:hint="eastAsia"/>
          <w:lang w:val="en-GB"/>
        </w:rPr>
        <w:t>乘坐制定规则。公司必须确保残疾人可以使用火车站、站台、车辆及其他设施。此外，他们有义务竭力提供上下车免费协助。此外，铁路公司必须以实现最佳无障碍为目标，起草铁路设施和车辆设计方案</w:t>
      </w:r>
      <w:r>
        <w:rPr>
          <w:rFonts w:hint="eastAsia"/>
          <w:lang w:val="en-GB"/>
        </w:rPr>
        <w:t>(</w:t>
      </w:r>
      <w:r>
        <w:rPr>
          <w:rFonts w:hint="eastAsia"/>
          <w:lang w:val="en-GB"/>
        </w:rPr>
        <w:t>《轨道交通建设和运营法》第</w:t>
      </w:r>
      <w:r>
        <w:rPr>
          <w:rFonts w:hint="eastAsia"/>
          <w:lang w:val="en-GB"/>
        </w:rPr>
        <w:t>2</w:t>
      </w:r>
      <w:r>
        <w:rPr>
          <w:rFonts w:hint="eastAsia"/>
          <w:lang w:val="en-GB"/>
        </w:rPr>
        <w:t>条第</w:t>
      </w:r>
      <w:r>
        <w:rPr>
          <w:rFonts w:hint="eastAsia"/>
          <w:lang w:val="en-GB"/>
        </w:rPr>
        <w:t>3</w:t>
      </w:r>
      <w:r>
        <w:rPr>
          <w:rFonts w:hint="eastAsia"/>
          <w:lang w:val="en-GB"/>
        </w:rPr>
        <w:t>款</w:t>
      </w:r>
      <w:r>
        <w:rPr>
          <w:rFonts w:hint="eastAsia"/>
          <w:lang w:val="en-GB"/>
        </w:rPr>
        <w:t>)</w:t>
      </w:r>
      <w:r>
        <w:rPr>
          <w:rFonts w:hint="eastAsia"/>
          <w:lang w:val="en-GB"/>
        </w:rPr>
        <w:t>。德国铁路股份公司</w:t>
      </w:r>
      <w:r>
        <w:rPr>
          <w:rFonts w:hint="eastAsia"/>
          <w:lang w:val="en-GB"/>
        </w:rPr>
        <w:t>(</w:t>
      </w:r>
      <w:r>
        <w:rPr>
          <w:lang w:val="en-GB"/>
        </w:rPr>
        <w:t>Deutsche</w:t>
      </w:r>
      <w:r>
        <w:rPr>
          <w:rFonts w:hint="eastAsia"/>
          <w:lang w:val="en-GB"/>
        </w:rPr>
        <w:t xml:space="preserve"> </w:t>
      </w:r>
      <w:r>
        <w:rPr>
          <w:lang w:val="en-GB"/>
        </w:rPr>
        <w:t>Bahn</w:t>
      </w:r>
      <w:r>
        <w:rPr>
          <w:rFonts w:hint="eastAsia"/>
          <w:lang w:val="en-GB"/>
        </w:rPr>
        <w:t xml:space="preserve"> </w:t>
      </w:r>
      <w:r>
        <w:rPr>
          <w:lang w:val="en-GB"/>
        </w:rPr>
        <w:t>AG</w:t>
      </w:r>
      <w:r>
        <w:rPr>
          <w:rFonts w:hint="eastAsia"/>
          <w:lang w:val="en-GB"/>
        </w:rPr>
        <w:t>)2005</w:t>
      </w:r>
      <w:r>
        <w:rPr>
          <w:rFonts w:hint="eastAsia"/>
          <w:lang w:val="en-GB"/>
        </w:rPr>
        <w:t>年</w:t>
      </w:r>
      <w:r>
        <w:rPr>
          <w:rFonts w:hint="eastAsia"/>
          <w:lang w:val="en-GB"/>
        </w:rPr>
        <w:t>6</w:t>
      </w:r>
      <w:r>
        <w:rPr>
          <w:rFonts w:hint="eastAsia"/>
          <w:lang w:val="en-GB"/>
        </w:rPr>
        <w:t>月的方案，优先考虑通过新建火车站和对每天有</w:t>
      </w:r>
      <w:r>
        <w:rPr>
          <w:rFonts w:hint="eastAsia"/>
          <w:lang w:val="en-GB"/>
        </w:rPr>
        <w:t>1,000</w:t>
      </w:r>
      <w:r>
        <w:rPr>
          <w:rFonts w:hint="eastAsia"/>
          <w:lang w:val="en-GB"/>
        </w:rPr>
        <w:t>名以上旅客的火车站进行广泛改造，逐步创建无障碍环境。在这方面，特别规定修建升降机或更长的坡道。如果火车站的乘客每天少于</w:t>
      </w:r>
      <w:r>
        <w:rPr>
          <w:rFonts w:hint="eastAsia"/>
          <w:lang w:val="en-GB"/>
        </w:rPr>
        <w:t>1,000</w:t>
      </w:r>
      <w:r>
        <w:rPr>
          <w:rFonts w:hint="eastAsia"/>
          <w:lang w:val="en-GB"/>
        </w:rPr>
        <w:t>人，如果因为有特别的环境，譬如，因为与一个残疾人特别学校或工作坊邻近，有增加的需求，也可以实施这些方案。</w:t>
      </w:r>
      <w:r>
        <w:rPr>
          <w:rStyle w:val="FootnoteReference"/>
        </w:rPr>
        <w:footnoteReference w:id="42"/>
      </w:r>
      <w:r>
        <w:rPr>
          <w:rStyle w:val="FootnoteReference"/>
        </w:rPr>
        <w:t xml:space="preserve"> </w:t>
      </w:r>
      <w:r>
        <w:rPr>
          <w:rFonts w:hint="eastAsia"/>
          <w:lang w:val="en-GB"/>
        </w:rPr>
        <w:t>残疾人协会和德国铁路股份公司的代表目前正在完善这个方案，有待在</w:t>
      </w:r>
      <w:r>
        <w:rPr>
          <w:rFonts w:hint="eastAsia"/>
          <w:lang w:val="en-GB"/>
        </w:rPr>
        <w:t>2011</w:t>
      </w:r>
      <w:r>
        <w:rPr>
          <w:rFonts w:hint="eastAsia"/>
          <w:lang w:val="en-GB"/>
        </w:rPr>
        <w:t>年通过。这项新方案的重点是，进行大量无障碍改造，计划新一代火车从</w:t>
      </w:r>
      <w:r>
        <w:rPr>
          <w:rFonts w:hint="eastAsia"/>
          <w:lang w:val="en-GB"/>
        </w:rPr>
        <w:t>2014</w:t>
      </w:r>
      <w:r>
        <w:rPr>
          <w:rFonts w:hint="eastAsia"/>
          <w:lang w:val="en-GB"/>
        </w:rPr>
        <w:t>年起开始运营。各州也正在努力通过实施《火车站现代化方案》，在更多火车站提供无障碍。</w:t>
      </w:r>
    </w:p>
    <w:p w:rsidR="00334AE2" w:rsidRDefault="00334AE2">
      <w:pPr>
        <w:pStyle w:val="SingleTxtGC"/>
        <w:rPr>
          <w:lang w:val="en-GB"/>
        </w:rPr>
      </w:pPr>
      <w:r>
        <w:rPr>
          <w:lang w:val="en-GB"/>
        </w:rPr>
        <w:t xml:space="preserve">158.  </w:t>
      </w:r>
      <w:r>
        <w:rPr>
          <w:rFonts w:hint="eastAsia"/>
          <w:lang w:val="en-GB"/>
        </w:rPr>
        <w:t>私营铁路公司起初持保留态度，现在已经知道它们对残疾人的责任，已经提交了它们自己的无障碍车辆方案。</w:t>
      </w:r>
    </w:p>
    <w:p w:rsidR="00334AE2" w:rsidRDefault="00334AE2">
      <w:pPr>
        <w:pStyle w:val="H23GC"/>
        <w:rPr>
          <w:lang w:val="en-GB"/>
        </w:rPr>
      </w:pPr>
      <w:r>
        <w:rPr>
          <w:lang w:val="en-GB"/>
        </w:rPr>
        <w:tab/>
        <w:t>4.</w:t>
      </w:r>
      <w:r>
        <w:rPr>
          <w:rFonts w:ascii="SimSun" w:eastAsia="SimSun" w:hAnsi="SimSun" w:cs="SimSun" w:hint="eastAsia"/>
          <w:lang w:val="en-GB"/>
        </w:rPr>
        <w:tab/>
      </w:r>
      <w:r>
        <w:rPr>
          <w:rFonts w:hint="eastAsia"/>
          <w:lang w:val="en-GB"/>
        </w:rPr>
        <w:t>公路交通</w:t>
      </w:r>
    </w:p>
    <w:p w:rsidR="00334AE2" w:rsidRDefault="00334AE2">
      <w:pPr>
        <w:pStyle w:val="SingleTxtGC"/>
        <w:rPr>
          <w:lang w:val="en-GB"/>
        </w:rPr>
      </w:pPr>
      <w:r>
        <w:rPr>
          <w:lang w:val="en-GB"/>
        </w:rPr>
        <w:t xml:space="preserve">159.  </w:t>
      </w:r>
      <w:r>
        <w:rPr>
          <w:rFonts w:hint="eastAsia"/>
          <w:lang w:val="en-GB"/>
        </w:rPr>
        <w:t>《联邦</w:t>
      </w:r>
      <w:r>
        <w:rPr>
          <w:lang w:val="en-GB"/>
        </w:rPr>
        <w:t>高速公路</w:t>
      </w:r>
      <w:r>
        <w:rPr>
          <w:rFonts w:hint="eastAsia"/>
          <w:lang w:val="en-GB"/>
        </w:rPr>
        <w:t>法》</w:t>
      </w:r>
      <w:r>
        <w:rPr>
          <w:rFonts w:hint="eastAsia"/>
          <w:lang w:val="en-GB"/>
        </w:rPr>
        <w:t>(</w:t>
      </w:r>
      <w:r>
        <w:rPr>
          <w:i/>
          <w:iCs/>
          <w:lang w:val="en-GB"/>
        </w:rPr>
        <w:t>Fernstraßengesetz</w:t>
      </w:r>
      <w:r>
        <w:rPr>
          <w:rFonts w:hint="eastAsia"/>
          <w:lang w:val="en-GB"/>
        </w:rPr>
        <w:t>)</w:t>
      </w:r>
      <w:r>
        <w:rPr>
          <w:rFonts w:hint="eastAsia"/>
          <w:lang w:val="en-GB"/>
        </w:rPr>
        <w:t>第</w:t>
      </w:r>
      <w:r>
        <w:rPr>
          <w:rFonts w:hint="eastAsia"/>
          <w:lang w:val="en-GB"/>
        </w:rPr>
        <w:t>3</w:t>
      </w:r>
      <w:r>
        <w:rPr>
          <w:rFonts w:hint="eastAsia"/>
          <w:lang w:val="en-GB"/>
        </w:rPr>
        <w:t>条第</w:t>
      </w:r>
      <w:r>
        <w:rPr>
          <w:rFonts w:hint="eastAsia"/>
          <w:lang w:val="en-GB"/>
        </w:rPr>
        <w:t>1</w:t>
      </w:r>
      <w:r>
        <w:rPr>
          <w:rFonts w:hint="eastAsia"/>
          <w:lang w:val="en-GB"/>
        </w:rPr>
        <w:t>款，确保在联邦</w:t>
      </w:r>
      <w:r>
        <w:rPr>
          <w:lang w:val="en-GB"/>
        </w:rPr>
        <w:t>高速公路</w:t>
      </w:r>
      <w:r>
        <w:rPr>
          <w:rFonts w:hint="eastAsia"/>
          <w:lang w:val="en-GB"/>
        </w:rPr>
        <w:t>的建设和维护中，考虑残疾人和其他行动受限的人的利益，以实现最佳的无障碍目标。在各州的道路交通法规中，也都载有相应规定。根据《联邦高速公路法》规定的先决条件，在根据大量技术条例进行联邦公路新建、改造和扩建中，总体上考虑残疾人的利益。根据最新信息，对这些技术条例内容进行不断修改。例如，已经在全国各个服务站，修建了残疾人停车位、无障碍路径及厕所。另外，在市政领域</w:t>
      </w:r>
      <w:r>
        <w:rPr>
          <w:rFonts w:hint="eastAsia"/>
          <w:lang w:val="en-GB"/>
        </w:rPr>
        <w:t>(</w:t>
      </w:r>
      <w:r>
        <w:rPr>
          <w:rFonts w:hint="eastAsia"/>
          <w:lang w:val="en-GB"/>
        </w:rPr>
        <w:t>这个领域的无障碍显然是特别重要的</w:t>
      </w:r>
      <w:r>
        <w:rPr>
          <w:rFonts w:hint="eastAsia"/>
          <w:lang w:val="en-GB"/>
        </w:rPr>
        <w:t>)</w:t>
      </w:r>
      <w:r>
        <w:rPr>
          <w:rFonts w:hint="eastAsia"/>
          <w:lang w:val="en-GB"/>
        </w:rPr>
        <w:t>，在道路基础设施的新建、改建及扩建上，考虑残疾人的利益。这得到以无障碍设计为条件的金融资助的支持。道路和交通研究协会已经起草了《交通设施无障碍设计导则》，将于</w:t>
      </w:r>
      <w:r>
        <w:rPr>
          <w:rFonts w:hint="eastAsia"/>
          <w:lang w:val="en-GB"/>
        </w:rPr>
        <w:t>2011</w:t>
      </w:r>
      <w:r>
        <w:rPr>
          <w:rFonts w:hint="eastAsia"/>
          <w:lang w:val="en-GB"/>
        </w:rPr>
        <w:t>年公布。此外，</w:t>
      </w:r>
      <w:r>
        <w:rPr>
          <w:lang w:val="en-GB"/>
        </w:rPr>
        <w:t>德国标准化学</w:t>
      </w:r>
      <w:r>
        <w:rPr>
          <w:rFonts w:hint="eastAsia"/>
          <w:lang w:val="en-GB"/>
        </w:rPr>
        <w:t>协会</w:t>
      </w:r>
      <w:r>
        <w:rPr>
          <w:rFonts w:hint="eastAsia"/>
          <w:lang w:val="en-GB"/>
        </w:rPr>
        <w:t>(</w:t>
      </w:r>
      <w:r>
        <w:rPr>
          <w:i/>
          <w:iCs/>
          <w:lang w:val="en-GB"/>
        </w:rPr>
        <w:t>Deutsches</w:t>
      </w:r>
      <w:r>
        <w:rPr>
          <w:rFonts w:hint="eastAsia"/>
          <w:i/>
          <w:iCs/>
          <w:lang w:val="en-GB"/>
        </w:rPr>
        <w:t xml:space="preserve"> </w:t>
      </w:r>
      <w:r>
        <w:rPr>
          <w:i/>
          <w:iCs/>
          <w:lang w:val="en-GB"/>
        </w:rPr>
        <w:t>Institutfür</w:t>
      </w:r>
      <w:r>
        <w:rPr>
          <w:rFonts w:hint="eastAsia"/>
          <w:i/>
          <w:iCs/>
          <w:lang w:val="en-GB"/>
        </w:rPr>
        <w:t xml:space="preserve"> </w:t>
      </w:r>
      <w:r>
        <w:rPr>
          <w:i/>
          <w:iCs/>
          <w:lang w:val="en-GB"/>
        </w:rPr>
        <w:t>Normung</w:t>
      </w:r>
      <w:r>
        <w:rPr>
          <w:rFonts w:hint="eastAsia"/>
          <w:lang w:val="en-GB"/>
        </w:rPr>
        <w:t>)</w:t>
      </w:r>
      <w:r>
        <w:rPr>
          <w:rFonts w:hint="eastAsia"/>
          <w:lang w:val="en-GB"/>
        </w:rPr>
        <w:t>正在对《德国工业标准》第</w:t>
      </w:r>
      <w:r>
        <w:rPr>
          <w:lang w:val="en-GB"/>
        </w:rPr>
        <w:t>DIN</w:t>
      </w:r>
      <w:r>
        <w:rPr>
          <w:rFonts w:hint="eastAsia"/>
          <w:lang w:val="en-GB"/>
        </w:rPr>
        <w:t xml:space="preserve"> 18024-1</w:t>
      </w:r>
      <w:r>
        <w:rPr>
          <w:rFonts w:hint="eastAsia"/>
          <w:lang w:val="en-GB"/>
        </w:rPr>
        <w:t>号《无障碍建筑物建造》</w:t>
      </w:r>
      <w:r>
        <w:t>进行</w:t>
      </w:r>
      <w:r>
        <w:rPr>
          <w:rFonts w:hint="eastAsia"/>
          <w:lang w:val="en-GB"/>
        </w:rPr>
        <w:t>修改。</w:t>
      </w:r>
    </w:p>
    <w:p w:rsidR="00334AE2" w:rsidRDefault="00334AE2">
      <w:pPr>
        <w:pStyle w:val="SingleTxtGC"/>
        <w:rPr>
          <w:lang w:val="en-GB"/>
        </w:rPr>
      </w:pPr>
      <w:r>
        <w:rPr>
          <w:lang w:val="en-GB"/>
        </w:rPr>
        <w:t xml:space="preserve">160.  </w:t>
      </w:r>
      <w:r>
        <w:rPr>
          <w:rFonts w:hint="eastAsia"/>
          <w:lang w:val="en-GB"/>
        </w:rPr>
        <w:t>在这方面，还需要研究由残疾性质决定的对交通设施无障碍设计的不同要求。因此，在联邦政府的</w:t>
      </w:r>
      <w:r>
        <w:rPr>
          <w:rFonts w:hint="eastAsia"/>
          <w:lang w:val="en-GB"/>
        </w:rPr>
        <w:t>2010</w:t>
      </w:r>
      <w:r>
        <w:rPr>
          <w:rFonts w:hint="eastAsia"/>
          <w:lang w:val="en-GB"/>
        </w:rPr>
        <w:t>年和</w:t>
      </w:r>
      <w:r>
        <w:rPr>
          <w:rFonts w:hint="eastAsia"/>
          <w:lang w:val="en-GB"/>
        </w:rPr>
        <w:t>2011</w:t>
      </w:r>
      <w:r>
        <w:rPr>
          <w:rFonts w:hint="eastAsia"/>
          <w:lang w:val="en-GB"/>
        </w:rPr>
        <w:t>年城市交通研究方案中，包括了研究项目。</w:t>
      </w:r>
    </w:p>
    <w:p w:rsidR="00334AE2" w:rsidRDefault="00334AE2">
      <w:pPr>
        <w:pStyle w:val="SingleTxtGC"/>
        <w:rPr>
          <w:rStyle w:val="FootnoteReference"/>
        </w:rPr>
      </w:pPr>
      <w:r>
        <w:rPr>
          <w:lang w:val="en-GB"/>
        </w:rPr>
        <w:t xml:space="preserve">161.  </w:t>
      </w:r>
      <w:r>
        <w:rPr>
          <w:rFonts w:hint="eastAsia"/>
          <w:lang w:val="en-GB"/>
        </w:rPr>
        <w:t>已扩大了可以在残疾停车场</w:t>
      </w:r>
      <w:r>
        <w:rPr>
          <w:lang w:val="en-GB"/>
        </w:rPr>
        <w:t>停泊</w:t>
      </w:r>
      <w:r>
        <w:rPr>
          <w:rFonts w:hint="eastAsia"/>
          <w:lang w:val="en-GB"/>
        </w:rPr>
        <w:t>机动车辆的人群。以前，行动能力极度降低的残疾人和盲人是受益群体。今后，在残疾停车场</w:t>
      </w:r>
      <w:r>
        <w:rPr>
          <w:lang w:val="en-GB"/>
        </w:rPr>
        <w:t>停泊</w:t>
      </w:r>
      <w:r>
        <w:rPr>
          <w:rFonts w:hint="eastAsia"/>
          <w:lang w:val="en-GB"/>
        </w:rPr>
        <w:t>机动车辆的权利，也适用于</w:t>
      </w:r>
      <w:r>
        <w:rPr>
          <w:rFonts w:cs="SimSun" w:hint="eastAsia"/>
          <w:lang w:val="en-GB"/>
        </w:rPr>
        <w:t>“</w:t>
      </w:r>
      <w:r>
        <w:rPr>
          <w:lang w:val="en-GB"/>
        </w:rPr>
        <w:t>康特甘</w:t>
      </w:r>
      <w:r>
        <w:rPr>
          <w:rFonts w:cs="SimSun" w:hint="eastAsia"/>
          <w:lang w:val="en-GB"/>
        </w:rPr>
        <w:t>”</w:t>
      </w:r>
      <w:r>
        <w:rPr>
          <w:rFonts w:hint="eastAsia"/>
          <w:lang w:val="en-GB"/>
        </w:rPr>
        <w:t>(Contergan)</w:t>
      </w:r>
      <w:r>
        <w:rPr>
          <w:rFonts w:hint="eastAsia"/>
          <w:lang w:val="en-GB"/>
        </w:rPr>
        <w:t>受害者。残疾人由于残疾的性质和严重程度，依赖定期使用机动车参与社区生活，可以根据《社会法典》第十二部或《战争受害者救济法》，在融入援助范围之内，获得资助，以获取或保持配备适合他们的残疾情况的机动车辆。</w:t>
      </w:r>
      <w:r>
        <w:rPr>
          <w:rStyle w:val="FootnoteReference"/>
        </w:rPr>
        <w:footnoteReference w:id="43"/>
      </w:r>
    </w:p>
    <w:p w:rsidR="00334AE2" w:rsidRDefault="00334AE2">
      <w:pPr>
        <w:pStyle w:val="H23GC"/>
        <w:rPr>
          <w:lang w:val="en-GB"/>
        </w:rPr>
      </w:pPr>
      <w:r>
        <w:rPr>
          <w:lang w:val="en-GB"/>
        </w:rPr>
        <w:tab/>
        <w:t>5.</w:t>
      </w:r>
      <w:r>
        <w:rPr>
          <w:rFonts w:ascii="SimSun" w:eastAsia="SimSun" w:hAnsi="SimSun" w:cs="SimSun" w:hint="eastAsia"/>
          <w:lang w:val="en-GB"/>
        </w:rPr>
        <w:tab/>
      </w:r>
      <w:r>
        <w:rPr>
          <w:rFonts w:hint="eastAsia"/>
          <w:lang w:val="en-GB"/>
        </w:rPr>
        <w:t>欧洲法规</w:t>
      </w:r>
    </w:p>
    <w:p w:rsidR="00334AE2" w:rsidRDefault="00334AE2">
      <w:pPr>
        <w:pStyle w:val="SingleTxtGC"/>
        <w:rPr>
          <w:lang w:val="en-GB"/>
        </w:rPr>
      </w:pPr>
      <w:r>
        <w:rPr>
          <w:lang w:val="en-GB"/>
        </w:rPr>
        <w:t xml:space="preserve">162.  </w:t>
      </w:r>
      <w:r>
        <w:rPr>
          <w:rFonts w:hint="eastAsia"/>
          <w:lang w:val="en-GB"/>
        </w:rPr>
        <w:t>近年来，欧洲委员会和欧洲议会已通过一些法规，包括关于乘客乘坐商业航空客运、铁路、船舶和汽车交通车的权利的统一欧洲法规。</w:t>
      </w:r>
    </w:p>
    <w:p w:rsidR="00334AE2" w:rsidRDefault="00334AE2">
      <w:pPr>
        <w:pStyle w:val="SingleTxtGC"/>
        <w:rPr>
          <w:lang w:val="en-GB"/>
        </w:rPr>
      </w:pPr>
      <w:r>
        <w:rPr>
          <w:lang w:val="en-GB"/>
        </w:rPr>
        <w:t xml:space="preserve">163.  </w:t>
      </w:r>
      <w:r>
        <w:rPr>
          <w:rFonts w:hint="eastAsia"/>
          <w:lang w:val="en-GB"/>
        </w:rPr>
        <w:t>2006</w:t>
      </w:r>
      <w:r>
        <w:rPr>
          <w:rFonts w:hint="eastAsia"/>
          <w:lang w:val="en-GB"/>
        </w:rPr>
        <w:t>年</w:t>
      </w:r>
      <w:r>
        <w:rPr>
          <w:rFonts w:hint="eastAsia"/>
          <w:lang w:val="en-GB"/>
        </w:rPr>
        <w:t>7</w:t>
      </w:r>
      <w:r>
        <w:rPr>
          <w:rFonts w:hint="eastAsia"/>
          <w:lang w:val="en-GB"/>
        </w:rPr>
        <w:t>月</w:t>
      </w:r>
      <w:r>
        <w:rPr>
          <w:rFonts w:hint="eastAsia"/>
          <w:lang w:val="en-GB"/>
        </w:rPr>
        <w:t>5</w:t>
      </w:r>
      <w:r>
        <w:rPr>
          <w:rFonts w:hint="eastAsia"/>
          <w:lang w:val="en-GB"/>
        </w:rPr>
        <w:t>日关于残疾人乘飞机旅行的权利的法规</w:t>
      </w:r>
      <w:r>
        <w:rPr>
          <w:rStyle w:val="FootnoteReference"/>
        </w:rPr>
        <w:footnoteReference w:id="44"/>
      </w:r>
      <w:r>
        <w:rPr>
          <w:rFonts w:hint="eastAsia"/>
          <w:lang w:val="en-GB"/>
        </w:rPr>
        <w:t>，禁止航空承运人基于残疾拒绝接受一个人的预订或搭乘飞机。唯一可能的减损是，因为其他法定的合法和正当安全理由，不可能乘坐。必须以书面形式，将拒绝运载或要求由另一人陪同的理由，通知行动受限的人。此外，自</w:t>
      </w:r>
      <w:r>
        <w:rPr>
          <w:rFonts w:hint="eastAsia"/>
          <w:lang w:val="en-GB"/>
        </w:rPr>
        <w:t>2008</w:t>
      </w:r>
      <w:r>
        <w:rPr>
          <w:rFonts w:hint="eastAsia"/>
          <w:lang w:val="en-GB"/>
        </w:rPr>
        <w:t>年中期以来，行动受限的人在机场和上飞机，得到免费协助的益处。</w:t>
      </w:r>
    </w:p>
    <w:p w:rsidR="00334AE2" w:rsidRDefault="00334AE2">
      <w:pPr>
        <w:pStyle w:val="SingleTxtGC"/>
        <w:rPr>
          <w:lang w:val="en-GB"/>
        </w:rPr>
      </w:pPr>
      <w:r>
        <w:rPr>
          <w:lang w:val="en-GB"/>
        </w:rPr>
        <w:t xml:space="preserve">164.  </w:t>
      </w:r>
      <w:r>
        <w:rPr>
          <w:rFonts w:hint="eastAsia"/>
          <w:lang w:val="en-GB"/>
        </w:rPr>
        <w:t>行动受限的人现在在乘坐预定的长途火车、船舶或汽车旅行时，上下车</w:t>
      </w:r>
      <w:r>
        <w:rPr>
          <w:rFonts w:hint="eastAsia"/>
          <w:lang w:val="en-GB"/>
        </w:rPr>
        <w:t>(</w:t>
      </w:r>
      <w:r>
        <w:rPr>
          <w:rFonts w:hint="eastAsia"/>
          <w:lang w:val="en-GB"/>
        </w:rPr>
        <w:t>船</w:t>
      </w:r>
      <w:r>
        <w:rPr>
          <w:rFonts w:hint="eastAsia"/>
          <w:lang w:val="en-GB"/>
        </w:rPr>
        <w:t>)</w:t>
      </w:r>
      <w:r>
        <w:rPr>
          <w:rFonts w:hint="eastAsia"/>
          <w:lang w:val="en-GB"/>
        </w:rPr>
        <w:t>、换乘车</w:t>
      </w:r>
      <w:r>
        <w:rPr>
          <w:rFonts w:hint="eastAsia"/>
          <w:lang w:val="en-GB"/>
        </w:rPr>
        <w:t>(</w:t>
      </w:r>
      <w:r>
        <w:rPr>
          <w:rFonts w:hint="eastAsia"/>
          <w:lang w:val="en-GB"/>
        </w:rPr>
        <w:t>船</w:t>
      </w:r>
      <w:r>
        <w:rPr>
          <w:rFonts w:hint="eastAsia"/>
          <w:lang w:val="en-GB"/>
        </w:rPr>
        <w:t>)</w:t>
      </w:r>
      <w:r>
        <w:rPr>
          <w:rFonts w:hint="eastAsia"/>
          <w:lang w:val="en-GB"/>
        </w:rPr>
        <w:t>及在车</w:t>
      </w:r>
      <w:r>
        <w:rPr>
          <w:rFonts w:hint="eastAsia"/>
          <w:lang w:val="en-GB"/>
        </w:rPr>
        <w:t>(</w:t>
      </w:r>
      <w:r>
        <w:rPr>
          <w:rFonts w:hint="eastAsia"/>
          <w:lang w:val="en-GB"/>
        </w:rPr>
        <w:t>船</w:t>
      </w:r>
      <w:r>
        <w:rPr>
          <w:rFonts w:hint="eastAsia"/>
          <w:lang w:val="en-GB"/>
        </w:rPr>
        <w:t>)</w:t>
      </w:r>
      <w:r>
        <w:rPr>
          <w:rFonts w:hint="eastAsia"/>
          <w:lang w:val="en-GB"/>
        </w:rPr>
        <w:t>上，有权得到免费支持。然而，他们必须在旅行之前，将需要的相应协助，通知有关公司。关于船舶和公共交通的法规，是分别于</w:t>
      </w:r>
      <w:r>
        <w:rPr>
          <w:rFonts w:hint="eastAsia"/>
          <w:lang w:val="en-GB"/>
        </w:rPr>
        <w:t>2010</w:t>
      </w:r>
      <w:r>
        <w:rPr>
          <w:rFonts w:hint="eastAsia"/>
          <w:lang w:val="en-GB"/>
        </w:rPr>
        <w:t>年和</w:t>
      </w:r>
      <w:r>
        <w:rPr>
          <w:rFonts w:hint="eastAsia"/>
          <w:lang w:val="en-GB"/>
        </w:rPr>
        <w:t>2011</w:t>
      </w:r>
      <w:r>
        <w:rPr>
          <w:rFonts w:hint="eastAsia"/>
          <w:lang w:val="en-GB"/>
        </w:rPr>
        <w:t>年通过的，因此在</w:t>
      </w:r>
      <w:r>
        <w:rPr>
          <w:rFonts w:hint="eastAsia"/>
          <w:lang w:val="en-GB"/>
        </w:rPr>
        <w:t>2012</w:t>
      </w:r>
      <w:r>
        <w:rPr>
          <w:rFonts w:hint="eastAsia"/>
          <w:lang w:val="en-GB"/>
        </w:rPr>
        <w:t>年和</w:t>
      </w:r>
      <w:r>
        <w:rPr>
          <w:rFonts w:hint="eastAsia"/>
          <w:lang w:val="en-GB"/>
        </w:rPr>
        <w:t>2013</w:t>
      </w:r>
      <w:r>
        <w:rPr>
          <w:rFonts w:hint="eastAsia"/>
          <w:lang w:val="en-GB"/>
        </w:rPr>
        <w:t>年之前不生效。</w:t>
      </w:r>
    </w:p>
    <w:p w:rsidR="00334AE2" w:rsidRDefault="00334AE2">
      <w:pPr>
        <w:pStyle w:val="H1GC"/>
        <w:rPr>
          <w:lang w:val="en-GB"/>
        </w:rPr>
      </w:pPr>
      <w:bookmarkStart w:id="25" w:name="_Toc303932233"/>
      <w:r>
        <w:rPr>
          <w:lang w:val="en-GB"/>
        </w:rPr>
        <w:tab/>
      </w:r>
      <w:r>
        <w:rPr>
          <w:lang w:val="en-GB"/>
        </w:rPr>
        <w:tab/>
      </w:r>
      <w:bookmarkEnd w:id="25"/>
      <w:r>
        <w:rPr>
          <w:rFonts w:hint="eastAsia"/>
          <w:lang w:val="en-GB"/>
        </w:rPr>
        <w:t>第二十一条</w:t>
      </w:r>
      <w:r>
        <w:rPr>
          <w:rFonts w:hint="eastAsia"/>
          <w:lang w:val="en-GB"/>
        </w:rPr>
        <w:br/>
      </w:r>
      <w:r>
        <w:rPr>
          <w:rFonts w:hint="eastAsia"/>
          <w:lang w:val="en-GB"/>
        </w:rPr>
        <w:t>表达意见的自由和获得信息的机会</w:t>
      </w:r>
    </w:p>
    <w:p w:rsidR="00334AE2" w:rsidRDefault="00334AE2">
      <w:pPr>
        <w:pStyle w:val="SingleTxtGC"/>
        <w:rPr>
          <w:lang w:val="en-GB"/>
        </w:rPr>
      </w:pPr>
      <w:r>
        <w:rPr>
          <w:lang w:val="en-GB"/>
        </w:rPr>
        <w:t xml:space="preserve">165.  </w:t>
      </w:r>
      <w:r>
        <w:rPr>
          <w:rFonts w:hint="eastAsia"/>
          <w:lang w:val="en-GB"/>
        </w:rPr>
        <w:t>在德国，所有人都有权以言论、书面及图片形式表达和传播意见</w:t>
      </w:r>
      <w:r>
        <w:rPr>
          <w:rFonts w:hint="eastAsia"/>
          <w:lang w:val="en-GB"/>
        </w:rPr>
        <w:t>(</w:t>
      </w:r>
      <w:r>
        <w:rPr>
          <w:rFonts w:hint="eastAsia"/>
          <w:lang w:val="en-GB"/>
        </w:rPr>
        <w:t>《基本法》第</w:t>
      </w:r>
      <w:r>
        <w:rPr>
          <w:rFonts w:hint="eastAsia"/>
          <w:lang w:val="en-GB"/>
        </w:rPr>
        <w:t>5</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。自由表达意见的基本权利，作为人在社会上的个性的直接表达，是最重要的人权之一。</w:t>
      </w:r>
    </w:p>
    <w:p w:rsidR="00334AE2" w:rsidRDefault="00334AE2">
      <w:pPr>
        <w:pStyle w:val="SingleTxtGC"/>
        <w:rPr>
          <w:lang w:val="en-GB"/>
        </w:rPr>
      </w:pPr>
      <w:r>
        <w:rPr>
          <w:lang w:val="en-GB"/>
        </w:rPr>
        <w:t xml:space="preserve">166.  </w:t>
      </w:r>
      <w:r>
        <w:rPr>
          <w:rFonts w:hint="eastAsia"/>
          <w:lang w:val="en-GB"/>
        </w:rPr>
        <w:t>残疾人获取信息，是他们行使自由表达意见权利的前提。为了他们的自主和参与利益，应尽可能使信息和媒体对于他们是</w:t>
      </w:r>
      <w:r>
        <w:rPr>
          <w:lang w:val="en-GB"/>
        </w:rPr>
        <w:t>无障碍</w:t>
      </w:r>
      <w:r>
        <w:rPr>
          <w:rFonts w:hint="eastAsia"/>
          <w:lang w:val="en-GB"/>
        </w:rPr>
        <w:t>的，即，他们应该能够没</w:t>
      </w:r>
      <w:r>
        <w:rPr>
          <w:rFonts w:hint="eastAsia"/>
          <w:spacing w:val="2"/>
          <w:lang w:val="en-GB"/>
        </w:rPr>
        <w:t>有特别困难地，作为一项原则在没有他人协助下，获得和使用信息和媒体。联邦当局根据《残疾人平等机会法》，在三个条例中，以具体形式规定了这一权利。</w:t>
      </w:r>
      <w:r>
        <w:rPr>
          <w:rStyle w:val="FootnoteReference"/>
        </w:rPr>
        <w:footnoteReference w:id="45"/>
      </w:r>
      <w:r>
        <w:rPr>
          <w:rStyle w:val="FootnoteReference"/>
        </w:rPr>
        <w:t xml:space="preserve"> </w:t>
      </w:r>
      <w:r>
        <w:rPr>
          <w:rFonts w:hint="eastAsia"/>
          <w:lang w:val="en-GB"/>
        </w:rPr>
        <w:t>这些条例所载规定，由各州在属于其</w:t>
      </w:r>
      <w:r>
        <w:rPr>
          <w:lang w:val="en-GB"/>
        </w:rPr>
        <w:t>职权范围内</w:t>
      </w:r>
      <w:r>
        <w:rPr>
          <w:rFonts w:hint="eastAsia"/>
          <w:lang w:val="en-GB"/>
        </w:rPr>
        <w:t>的领域制定的类似法规相配合</w:t>
      </w:r>
      <w:r>
        <w:rPr>
          <w:rFonts w:hint="eastAsia"/>
          <w:lang w:val="en-GB"/>
        </w:rPr>
        <w:t>(</w:t>
      </w:r>
      <w:r>
        <w:rPr>
          <w:rFonts w:hint="eastAsia"/>
          <w:lang w:val="en-GB"/>
        </w:rPr>
        <w:t>参见第</w:t>
      </w:r>
      <w:r>
        <w:rPr>
          <w:rFonts w:hint="eastAsia"/>
          <w:lang w:val="en-GB"/>
        </w:rPr>
        <w:t>9</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167.  </w:t>
      </w:r>
      <w:r>
        <w:rPr>
          <w:rFonts w:hint="eastAsia"/>
          <w:lang w:val="en-GB"/>
        </w:rPr>
        <w:t>已经承认德国手语为一个单独语言。有听障和视障的人有权以德国手语、德国符号语言或通过其他技术性</w:t>
      </w:r>
      <w:r>
        <w:rPr>
          <w:lang w:val="en-GB"/>
        </w:rPr>
        <w:t>交流</w:t>
      </w:r>
      <w:r>
        <w:rPr>
          <w:rFonts w:hint="eastAsia"/>
          <w:lang w:val="en-GB"/>
        </w:rPr>
        <w:t>辅助，与联邦当局在行政程序中进行交流。这方面的费用由主管机构支付。</w:t>
      </w:r>
    </w:p>
    <w:p w:rsidR="00334AE2" w:rsidRDefault="00334AE2">
      <w:pPr>
        <w:pStyle w:val="SingleTxtGC"/>
        <w:rPr>
          <w:lang w:val="en-GB"/>
        </w:rPr>
      </w:pPr>
      <w:r>
        <w:rPr>
          <w:lang w:val="en-GB"/>
        </w:rPr>
        <w:t xml:space="preserve">168.  </w:t>
      </w:r>
      <w:r>
        <w:rPr>
          <w:rFonts w:hint="eastAsia"/>
          <w:lang w:val="en-GB"/>
        </w:rPr>
        <w:t>参与行政程序的盲人和视障人，有权得到以他们可以理解的形式书写的文件，以维护自己的权利。在这方面，根据有关人识别的可能性，决定文件的形式。除其他方式外，可以通过朗读、声音介质的辅助、盲文、大字体、电子版或其他方式，提供文件。完全由残疾导致的额外费用，不由有关人承担。这也适用于法院诉讼程序。</w:t>
      </w:r>
    </w:p>
    <w:p w:rsidR="00334AE2" w:rsidRDefault="00334AE2">
      <w:pPr>
        <w:pStyle w:val="SingleTxtGC"/>
        <w:rPr>
          <w:lang w:val="en-GB"/>
        </w:rPr>
      </w:pPr>
      <w:r>
        <w:rPr>
          <w:lang w:val="en-GB"/>
        </w:rPr>
        <w:t xml:space="preserve">169.  </w:t>
      </w:r>
      <w:r>
        <w:rPr>
          <w:rFonts w:hint="eastAsia"/>
          <w:lang w:val="en-GB"/>
        </w:rPr>
        <w:t>《联邦无障碍信息技术条例》及各州相应的条例，保障网页对于残疾人是无障碍的。已经对《无障碍信息技术条例》进行了修订，将于</w:t>
      </w:r>
      <w:r>
        <w:rPr>
          <w:rFonts w:hint="eastAsia"/>
          <w:lang w:val="en-GB"/>
        </w:rPr>
        <w:t>2011</w:t>
      </w:r>
      <w:r>
        <w:rPr>
          <w:rFonts w:hint="eastAsia"/>
          <w:lang w:val="en-GB"/>
        </w:rPr>
        <w:t>年夏天通过《无障碍信息技术条例</w:t>
      </w:r>
      <w:r>
        <w:rPr>
          <w:rFonts w:hint="eastAsia"/>
          <w:lang w:val="en-GB"/>
        </w:rPr>
        <w:t>2.0</w:t>
      </w:r>
      <w:r>
        <w:rPr>
          <w:rFonts w:hint="eastAsia"/>
          <w:lang w:val="en-GB"/>
        </w:rPr>
        <w:t>版》。</w:t>
      </w:r>
    </w:p>
    <w:p w:rsidR="00334AE2" w:rsidRDefault="00334AE2">
      <w:pPr>
        <w:pStyle w:val="SingleTxtGC"/>
        <w:rPr>
          <w:lang w:val="en-GB"/>
        </w:rPr>
      </w:pPr>
      <w:r>
        <w:rPr>
          <w:lang w:val="en-GB"/>
        </w:rPr>
        <w:t xml:space="preserve">170.  </w:t>
      </w:r>
      <w:r>
        <w:rPr>
          <w:rFonts w:hint="eastAsia"/>
          <w:lang w:val="en-GB"/>
        </w:rPr>
        <w:t>联邦政府在《国家电子政务战略》中也强调，公民与政府之间的电子通讯，必须是</w:t>
      </w:r>
      <w:r>
        <w:rPr>
          <w:lang w:val="en-GB"/>
        </w:rPr>
        <w:t>方便用户的</w:t>
      </w:r>
      <w:r>
        <w:rPr>
          <w:rFonts w:hint="eastAsia"/>
          <w:lang w:val="en-GB"/>
        </w:rPr>
        <w:t>和无障碍的。在联邦政府内负责处理残疾人事务的联邦劳动和社会事务部，通过自己的《关于残疾人参与的电子政务战略》，强调了这一</w:t>
      </w:r>
      <w:r>
        <w:rPr>
          <w:lang w:val="en-GB"/>
        </w:rPr>
        <w:t>关心</w:t>
      </w:r>
      <w:r>
        <w:rPr>
          <w:rFonts w:hint="eastAsia"/>
          <w:lang w:val="en-GB"/>
        </w:rPr>
        <w:t>事项。这一战略旨在通过使用现代化无障碍信息和通讯技术，提高残疾人的自主参与。该战略的一个主要元素，是联邦劳动和社会事务部的无障碍因特网平台</w:t>
      </w:r>
      <w:r>
        <w:rPr>
          <w:lang w:val="en-GB"/>
        </w:rPr>
        <w:t>www.einfach-teilhaben.de</w:t>
      </w:r>
      <w:r>
        <w:rPr>
          <w:rFonts w:hint="eastAsia"/>
          <w:lang w:val="en-GB"/>
        </w:rPr>
        <w:t>，该平台自</w:t>
      </w:r>
      <w:r>
        <w:rPr>
          <w:rFonts w:hint="eastAsia"/>
          <w:lang w:val="en-GB"/>
        </w:rPr>
        <w:t>2009</w:t>
      </w:r>
      <w:r>
        <w:rPr>
          <w:rFonts w:hint="eastAsia"/>
          <w:lang w:val="en-GB"/>
        </w:rPr>
        <w:t>年</w:t>
      </w:r>
      <w:r>
        <w:rPr>
          <w:rFonts w:hint="eastAsia"/>
          <w:lang w:val="en-GB"/>
        </w:rPr>
        <w:t>7</w:t>
      </w:r>
      <w:r>
        <w:rPr>
          <w:rFonts w:hint="eastAsia"/>
          <w:lang w:val="en-GB"/>
        </w:rPr>
        <w:t>月以来一直运营，提供了大量关于残疾议题的信息和服务，也使公民作为形成政治舆论的一部分，能够积极参与选择的议题。更重要的是，该战略有助于确保行政程序、特别是</w:t>
      </w:r>
      <w:r>
        <w:rPr>
          <w:lang w:val="en-GB"/>
        </w:rPr>
        <w:t>社会行政</w:t>
      </w:r>
      <w:r>
        <w:rPr>
          <w:rFonts w:hint="eastAsia"/>
          <w:lang w:val="en-GB"/>
        </w:rPr>
        <w:t>的行政程序的优化，</w:t>
      </w:r>
      <w:r>
        <w:rPr>
          <w:lang w:val="en-GB"/>
        </w:rPr>
        <w:t>在适当情况下</w:t>
      </w:r>
      <w:r>
        <w:rPr>
          <w:rFonts w:hint="eastAsia"/>
          <w:lang w:val="en-GB"/>
        </w:rPr>
        <w:t>，由电子手段予以支持。</w:t>
      </w:r>
    </w:p>
    <w:p w:rsidR="00334AE2" w:rsidRDefault="00334AE2">
      <w:pPr>
        <w:pStyle w:val="SingleTxtGC"/>
        <w:rPr>
          <w:rStyle w:val="FootnoteReference"/>
        </w:rPr>
      </w:pPr>
      <w:r>
        <w:rPr>
          <w:lang w:val="en-GB"/>
        </w:rPr>
        <w:t xml:space="preserve">171.  </w:t>
      </w:r>
      <w:r>
        <w:rPr>
          <w:rFonts w:hint="eastAsia"/>
          <w:lang w:val="en-GB"/>
        </w:rPr>
        <w:t>各州也在制订方便用户的电子政务战略。残疾人可以通过电子政务，在家中使用行政服务。</w:t>
      </w:r>
      <w:r>
        <w:rPr>
          <w:rStyle w:val="FootnoteReference"/>
        </w:rPr>
        <w:footnoteReference w:id="46"/>
      </w:r>
    </w:p>
    <w:p w:rsidR="00334AE2" w:rsidRDefault="00334AE2">
      <w:pPr>
        <w:pStyle w:val="SingleTxtGC"/>
        <w:rPr>
          <w:lang w:val="en-GB"/>
        </w:rPr>
      </w:pPr>
      <w:r>
        <w:rPr>
          <w:lang w:val="en-GB"/>
        </w:rPr>
        <w:t xml:space="preserve">172.  </w:t>
      </w:r>
      <w:r>
        <w:rPr>
          <w:rFonts w:hint="eastAsia"/>
          <w:lang w:val="en-GB"/>
        </w:rPr>
        <w:t>为了支持行使获取信息的自由，《社会法典》第九部规定，为协助参与社区和文化生活提供支助。除其他外，残疾人可以获得参加活动的支助，获取关于当前事件或文化事件的信息的支助。例如，在这方面，可以考虑承担残疾人和照顾者的门票费用。</w:t>
      </w:r>
    </w:p>
    <w:p w:rsidR="00334AE2" w:rsidRDefault="00334AE2">
      <w:pPr>
        <w:pStyle w:val="SingleTxtGC"/>
        <w:rPr>
          <w:lang w:val="en-GB"/>
        </w:rPr>
      </w:pPr>
      <w:r>
        <w:rPr>
          <w:lang w:val="en-GB"/>
        </w:rPr>
        <w:t xml:space="preserve">173.  </w:t>
      </w:r>
      <w:r>
        <w:rPr>
          <w:rFonts w:hint="eastAsia"/>
          <w:lang w:val="en-GB"/>
        </w:rPr>
        <w:t>更重要的是，根据《州际广播费用协议》</w:t>
      </w:r>
      <w:r>
        <w:rPr>
          <w:rFonts w:hint="eastAsia"/>
          <w:lang w:val="en-GB"/>
        </w:rPr>
        <w:t>(</w:t>
      </w:r>
      <w:r>
        <w:rPr>
          <w:i/>
          <w:iCs/>
          <w:lang w:val="en-GB"/>
        </w:rPr>
        <w:t>Rundfunk</w:t>
      </w:r>
      <w:r>
        <w:rPr>
          <w:i/>
          <w:iCs/>
          <w:lang w:val="en-GB"/>
        </w:rPr>
        <w:softHyphen/>
        <w:t>gebühren</w:t>
      </w:r>
      <w:r>
        <w:rPr>
          <w:i/>
          <w:iCs/>
          <w:lang w:val="en-GB"/>
        </w:rPr>
        <w:softHyphen/>
        <w:t>staats</w:t>
      </w:r>
      <w:r>
        <w:rPr>
          <w:i/>
          <w:iCs/>
          <w:lang w:val="en-GB"/>
        </w:rPr>
        <w:softHyphen/>
        <w:t>vertrag</w:t>
      </w:r>
      <w:r>
        <w:rPr>
          <w:rFonts w:hint="eastAsia"/>
          <w:lang w:val="en-GB"/>
        </w:rPr>
        <w:t>)</w:t>
      </w:r>
      <w:r>
        <w:rPr>
          <w:rFonts w:hint="eastAsia"/>
          <w:lang w:val="en-GB"/>
        </w:rPr>
        <w:t>，残疾人可以在某些条件下免除缴纳电视</w:t>
      </w:r>
      <w:r>
        <w:rPr>
          <w:lang w:val="en-GB"/>
        </w:rPr>
        <w:t>执照</w:t>
      </w:r>
      <w:r>
        <w:rPr>
          <w:rFonts w:hint="eastAsia"/>
          <w:lang w:val="en-GB"/>
        </w:rPr>
        <w:t>费的义务。在制订《州际广播费用协议》修订法案第</w:t>
      </w:r>
      <w:r>
        <w:rPr>
          <w:rFonts w:hint="eastAsia"/>
          <w:lang w:val="en-GB"/>
        </w:rPr>
        <w:t>15</w:t>
      </w:r>
      <w:r>
        <w:rPr>
          <w:rFonts w:hint="eastAsia"/>
          <w:lang w:val="en-GB"/>
        </w:rPr>
        <w:t>版</w:t>
      </w:r>
      <w:r>
        <w:rPr>
          <w:rFonts w:hint="eastAsia"/>
          <w:lang w:val="en-GB"/>
        </w:rPr>
        <w:t>(</w:t>
      </w:r>
      <w:r>
        <w:rPr>
          <w:i/>
          <w:iCs/>
          <w:lang w:val="en-GB"/>
        </w:rPr>
        <w:t>Rundfunk</w:t>
      </w:r>
      <w:r>
        <w:rPr>
          <w:i/>
          <w:iCs/>
          <w:lang w:val="en-GB"/>
        </w:rPr>
        <w:softHyphen/>
        <w:t>änderungs</w:t>
      </w:r>
      <w:r>
        <w:rPr>
          <w:i/>
          <w:iCs/>
          <w:lang w:val="en-GB"/>
        </w:rPr>
        <w:softHyphen/>
        <w:t>staatsvertrag</w:t>
      </w:r>
      <w:r>
        <w:rPr>
          <w:rFonts w:hint="eastAsia"/>
          <w:lang w:val="en-GB"/>
        </w:rPr>
        <w:t>)</w:t>
      </w:r>
      <w:r>
        <w:rPr>
          <w:rFonts w:hint="eastAsia"/>
          <w:lang w:val="en-GB"/>
        </w:rPr>
        <w:t>时，联邦各州</w:t>
      </w:r>
      <w:r>
        <w:rPr>
          <w:rFonts w:hint="eastAsia"/>
          <w:lang w:val="en-GB"/>
        </w:rPr>
        <w:t>(</w:t>
      </w:r>
      <w:r>
        <w:rPr>
          <w:rFonts w:hint="eastAsia"/>
          <w:lang w:val="en-GB"/>
        </w:rPr>
        <w:t>负有广播立法职责</w:t>
      </w:r>
      <w:r>
        <w:rPr>
          <w:rFonts w:hint="eastAsia"/>
          <w:lang w:val="en-GB"/>
        </w:rPr>
        <w:t>)</w:t>
      </w:r>
      <w:r>
        <w:rPr>
          <w:rFonts w:hint="eastAsia"/>
          <w:lang w:val="en-GB"/>
        </w:rPr>
        <w:t>同意对广播费用模式进行结构性改革。这也将影响残疾人。今后，富裕的残疾人缴纳减少了的三分之一缴款。这些款项将用来改进州广播公司在第一频道</w:t>
      </w:r>
      <w:r>
        <w:rPr>
          <w:rFonts w:hint="eastAsia"/>
          <w:lang w:val="en-GB"/>
        </w:rPr>
        <w:t>(</w:t>
      </w:r>
      <w:r>
        <w:rPr>
          <w:i/>
          <w:iCs/>
          <w:lang w:val="en-GB"/>
        </w:rPr>
        <w:t>Arbeitsgemeinschaft</w:t>
      </w:r>
      <w:r>
        <w:rPr>
          <w:rFonts w:hint="eastAsia"/>
          <w:i/>
          <w:iCs/>
          <w:lang w:val="en-GB"/>
        </w:rPr>
        <w:t xml:space="preserve"> </w:t>
      </w:r>
      <w:r>
        <w:rPr>
          <w:i/>
          <w:iCs/>
          <w:lang w:val="en-GB"/>
        </w:rPr>
        <w:t>der</w:t>
      </w:r>
      <w:r>
        <w:rPr>
          <w:rFonts w:hint="eastAsia"/>
          <w:i/>
          <w:iCs/>
          <w:lang w:val="en-GB"/>
        </w:rPr>
        <w:t xml:space="preserve"> </w:t>
      </w:r>
      <w:r>
        <w:rPr>
          <w:i/>
          <w:iCs/>
          <w:lang w:val="en-GB"/>
        </w:rPr>
        <w:t>öffentlich-rechtlichen</w:t>
      </w:r>
      <w:r>
        <w:rPr>
          <w:rFonts w:hint="eastAsia"/>
          <w:i/>
          <w:iCs/>
          <w:lang w:val="en-GB"/>
        </w:rPr>
        <w:t xml:space="preserve"> </w:t>
      </w:r>
      <w:r>
        <w:rPr>
          <w:i/>
          <w:iCs/>
          <w:lang w:val="en-GB"/>
        </w:rPr>
        <w:t>Rundfunkanstalten</w:t>
      </w:r>
      <w:r>
        <w:rPr>
          <w:rFonts w:hint="eastAsia"/>
          <w:i/>
          <w:iCs/>
          <w:lang w:val="en-GB"/>
        </w:rPr>
        <w:t xml:space="preserve"> </w:t>
      </w:r>
      <w:r>
        <w:rPr>
          <w:i/>
          <w:iCs/>
          <w:lang w:val="en-GB"/>
        </w:rPr>
        <w:t>der</w:t>
      </w:r>
      <w:r>
        <w:rPr>
          <w:rFonts w:hint="eastAsia"/>
          <w:i/>
          <w:iCs/>
          <w:lang w:val="en-GB"/>
        </w:rPr>
        <w:t xml:space="preserve"> </w:t>
      </w:r>
      <w:r>
        <w:rPr>
          <w:i/>
          <w:iCs/>
          <w:lang w:val="en-GB"/>
        </w:rPr>
        <w:t>Bundesrepublik</w:t>
      </w:r>
      <w:r>
        <w:rPr>
          <w:rFonts w:hint="eastAsia"/>
          <w:i/>
          <w:iCs/>
          <w:lang w:val="en-GB"/>
        </w:rPr>
        <w:t xml:space="preserve"> </w:t>
      </w:r>
      <w:r>
        <w:rPr>
          <w:i/>
          <w:iCs/>
          <w:lang w:val="en-GB"/>
        </w:rPr>
        <w:t>Deutschland</w:t>
      </w:r>
      <w:r>
        <w:rPr>
          <w:rFonts w:hint="eastAsia"/>
          <w:lang w:val="en-GB"/>
        </w:rPr>
        <w:t>)</w:t>
      </w:r>
      <w:r>
        <w:rPr>
          <w:rFonts w:hint="eastAsia"/>
          <w:lang w:val="en-GB"/>
        </w:rPr>
        <w:t>、第二频道</w:t>
      </w:r>
      <w:r>
        <w:rPr>
          <w:rFonts w:hint="eastAsia"/>
          <w:lang w:val="en-GB"/>
        </w:rPr>
        <w:t>(</w:t>
      </w:r>
      <w:r>
        <w:rPr>
          <w:i/>
          <w:iCs/>
          <w:lang w:val="en-GB"/>
        </w:rPr>
        <w:t>Zweites</w:t>
      </w:r>
      <w:r>
        <w:rPr>
          <w:rFonts w:hint="eastAsia"/>
          <w:i/>
          <w:iCs/>
          <w:lang w:val="en-GB"/>
        </w:rPr>
        <w:t xml:space="preserve"> </w:t>
      </w:r>
      <w:r>
        <w:rPr>
          <w:i/>
          <w:iCs/>
          <w:lang w:val="en-GB"/>
        </w:rPr>
        <w:t>Deutsches</w:t>
      </w:r>
      <w:r>
        <w:rPr>
          <w:rFonts w:hint="eastAsia"/>
          <w:i/>
          <w:iCs/>
          <w:lang w:val="en-GB"/>
        </w:rPr>
        <w:t xml:space="preserve"> </w:t>
      </w:r>
      <w:r>
        <w:rPr>
          <w:i/>
          <w:iCs/>
          <w:lang w:val="en-GB"/>
        </w:rPr>
        <w:t>Fernsehen</w:t>
      </w:r>
      <w:r>
        <w:rPr>
          <w:rFonts w:hint="eastAsia"/>
          <w:lang w:val="en-GB"/>
        </w:rPr>
        <w:t>)</w:t>
      </w:r>
      <w:r>
        <w:rPr>
          <w:rFonts w:hint="eastAsia"/>
          <w:lang w:val="en-GB"/>
        </w:rPr>
        <w:t>及国家</w:t>
      </w:r>
      <w:r>
        <w:rPr>
          <w:rFonts w:hint="eastAsia"/>
          <w:lang w:val="en-GB"/>
        </w:rPr>
        <w:t>Deu</w:t>
      </w:r>
      <w:r>
        <w:rPr>
          <w:lang w:val="en-GB"/>
        </w:rPr>
        <w:t>-</w:t>
      </w:r>
      <w:r>
        <w:rPr>
          <w:rFonts w:hint="eastAsia"/>
          <w:lang w:val="en-GB"/>
        </w:rPr>
        <w:t>tschlandradio</w:t>
      </w:r>
      <w:r>
        <w:rPr>
          <w:rFonts w:hint="eastAsia"/>
          <w:lang w:val="en-GB"/>
        </w:rPr>
        <w:t>无线电服务联合提供的</w:t>
      </w:r>
      <w:r>
        <w:rPr>
          <w:lang w:val="en-GB"/>
        </w:rPr>
        <w:t>无障碍</w:t>
      </w:r>
      <w:r>
        <w:rPr>
          <w:rFonts w:hint="eastAsia"/>
          <w:lang w:val="en-GB"/>
        </w:rPr>
        <w:t>广播水平。《州际广播费用协议》修正法案目前仍然在批准过程中。</w:t>
      </w:r>
    </w:p>
    <w:p w:rsidR="00334AE2" w:rsidRDefault="00334AE2">
      <w:pPr>
        <w:pStyle w:val="SingleTxtGC"/>
        <w:rPr>
          <w:lang w:val="en-GB"/>
        </w:rPr>
      </w:pPr>
      <w:r>
        <w:rPr>
          <w:lang w:val="en-GB"/>
        </w:rPr>
        <w:t xml:space="preserve">174.  </w:t>
      </w:r>
      <w:r>
        <w:rPr>
          <w:rFonts w:hint="eastAsia"/>
          <w:lang w:val="en-GB"/>
        </w:rPr>
        <w:t>为了实现电影和电视无障碍，可以考虑以德国手语提供信息，特别是增加字幕和声音解说，促进为有学习和精神障碍的人提供信息。最重要的是，近年来，靠收视费提供资金的公法电视公司，增加了电影、</w:t>
      </w:r>
      <w:r>
        <w:rPr>
          <w:lang w:val="en-GB"/>
        </w:rPr>
        <w:t>连续剧</w:t>
      </w:r>
      <w:r>
        <w:rPr>
          <w:rFonts w:hint="eastAsia"/>
          <w:lang w:val="en-GB"/>
        </w:rPr>
        <w:t>及直播节目的视频文本字幕和声音解说，并在继续拓展服务。自</w:t>
      </w:r>
      <w:r>
        <w:rPr>
          <w:rFonts w:hint="eastAsia"/>
          <w:lang w:val="en-GB"/>
        </w:rPr>
        <w:t>2009</w:t>
      </w:r>
      <w:r>
        <w:rPr>
          <w:rFonts w:hint="eastAsia"/>
          <w:lang w:val="en-GB"/>
        </w:rPr>
        <w:t>年</w:t>
      </w:r>
      <w:r>
        <w:rPr>
          <w:rFonts w:hint="eastAsia"/>
          <w:lang w:val="en-GB"/>
        </w:rPr>
        <w:t>6</w:t>
      </w:r>
      <w:r>
        <w:rPr>
          <w:rFonts w:hint="eastAsia"/>
          <w:lang w:val="en-GB"/>
        </w:rPr>
        <w:t>月</w:t>
      </w:r>
      <w:r>
        <w:rPr>
          <w:rFonts w:hint="eastAsia"/>
          <w:lang w:val="en-GB"/>
        </w:rPr>
        <w:t>1</w:t>
      </w:r>
      <w:r>
        <w:rPr>
          <w:rFonts w:hint="eastAsia"/>
          <w:lang w:val="en-GB"/>
        </w:rPr>
        <w:t>日以来，私营运营商也已经扩大了服务，尽管数量相当少。公法电台和电视公司及全国所有电台私人运营商，也都将根据自己的技术和财政能力，在现有的承诺基础上和超过承诺，越来越多地提供无障碍服务。《州际广播协议》已经对此作出描述。根据关于职责分工的法律，各州负责定期对此进行检查。</w:t>
      </w:r>
    </w:p>
    <w:p w:rsidR="00334AE2" w:rsidRDefault="00334AE2">
      <w:pPr>
        <w:pStyle w:val="H1GC"/>
        <w:rPr>
          <w:lang w:val="en-GB"/>
        </w:rPr>
      </w:pPr>
      <w:r>
        <w:rPr>
          <w:rFonts w:hint="eastAsia"/>
          <w:lang w:val="en-GB"/>
        </w:rPr>
        <w:tab/>
      </w:r>
      <w:r>
        <w:rPr>
          <w:rFonts w:hint="eastAsia"/>
          <w:lang w:val="en-GB"/>
        </w:rPr>
        <w:tab/>
      </w:r>
      <w:r>
        <w:rPr>
          <w:rFonts w:hint="eastAsia"/>
          <w:lang w:val="en-GB"/>
        </w:rPr>
        <w:t>第二十二条</w:t>
      </w:r>
      <w:r>
        <w:rPr>
          <w:rFonts w:hint="eastAsia"/>
          <w:lang w:val="en-GB"/>
        </w:rPr>
        <w:br/>
      </w:r>
      <w:r>
        <w:rPr>
          <w:rFonts w:hint="eastAsia"/>
          <w:lang w:val="en-GB"/>
        </w:rPr>
        <w:t>尊重隐私</w:t>
      </w:r>
    </w:p>
    <w:p w:rsidR="00334AE2" w:rsidRDefault="00334AE2">
      <w:pPr>
        <w:pStyle w:val="SingleTxtGC"/>
        <w:rPr>
          <w:rStyle w:val="FootnoteReference"/>
        </w:rPr>
      </w:pPr>
      <w:r>
        <w:rPr>
          <w:lang w:val="en-GB"/>
        </w:rPr>
        <w:t xml:space="preserve">175.  </w:t>
      </w:r>
      <w:r>
        <w:rPr>
          <w:rFonts w:hint="eastAsia"/>
          <w:lang w:val="en-GB"/>
        </w:rPr>
        <w:t>在《基本法》中和在非宪政层面，规定对隐私进行广泛保护。</w:t>
      </w:r>
      <w:r>
        <w:rPr>
          <w:rStyle w:val="FootnoteReference"/>
        </w:rPr>
        <w:footnoteReference w:id="47"/>
      </w:r>
    </w:p>
    <w:p w:rsidR="00334AE2" w:rsidRDefault="00334AE2">
      <w:pPr>
        <w:pStyle w:val="SingleTxtGC"/>
        <w:rPr>
          <w:lang w:val="en-GB"/>
        </w:rPr>
      </w:pPr>
      <w:r>
        <w:rPr>
          <w:lang w:val="en-GB"/>
        </w:rPr>
        <w:t xml:space="preserve">176.  </w:t>
      </w:r>
      <w:r>
        <w:rPr>
          <w:rFonts w:hint="eastAsia"/>
          <w:lang w:val="en-GB"/>
        </w:rPr>
        <w:t>在德国，在处理个人资料过程中，保护自然人的隐私，受到《欧洲数据保护指令》</w:t>
      </w:r>
      <w:r>
        <w:rPr>
          <w:rStyle w:val="FootnoteReference"/>
        </w:rPr>
        <w:footnoteReference w:id="48"/>
      </w:r>
      <w:r>
        <w:rPr>
          <w:rFonts w:hint="eastAsia"/>
          <w:lang w:val="en-GB"/>
        </w:rPr>
        <w:t>、《欧洲委员会数据保护公约》</w:t>
      </w:r>
      <w:r>
        <w:rPr>
          <w:rStyle w:val="FootnoteReference"/>
        </w:rPr>
        <w:footnoteReference w:id="49"/>
      </w:r>
      <w:r>
        <w:rPr>
          <w:rFonts w:hint="eastAsia"/>
          <w:lang w:val="en-GB"/>
        </w:rPr>
        <w:t>、《联邦数据保护法》、各州数据保护法规及许多部门具体数据保护法规的法律保障。</w:t>
      </w:r>
    </w:p>
    <w:p w:rsidR="00334AE2" w:rsidRDefault="00334AE2">
      <w:pPr>
        <w:pStyle w:val="SingleTxtGC"/>
        <w:rPr>
          <w:lang w:val="en-GB"/>
        </w:rPr>
      </w:pPr>
      <w:r>
        <w:rPr>
          <w:lang w:val="en-GB"/>
        </w:rPr>
        <w:t xml:space="preserve">177.  </w:t>
      </w:r>
      <w:r>
        <w:rPr>
          <w:rFonts w:hint="eastAsia"/>
          <w:lang w:val="en-GB"/>
        </w:rPr>
        <w:t>健康数据受到特别保护</w:t>
      </w:r>
      <w:r>
        <w:rPr>
          <w:rFonts w:hint="eastAsia"/>
          <w:lang w:val="en-GB"/>
        </w:rPr>
        <w:t>(</w:t>
      </w:r>
      <w:r>
        <w:rPr>
          <w:rFonts w:hint="eastAsia"/>
          <w:lang w:val="en-GB"/>
        </w:rPr>
        <w:t>《社会法典》第十部第</w:t>
      </w:r>
      <w:r>
        <w:rPr>
          <w:rFonts w:hint="eastAsia"/>
          <w:lang w:val="en-GB"/>
        </w:rPr>
        <w:t>67</w:t>
      </w:r>
      <w:r>
        <w:rPr>
          <w:rFonts w:hint="eastAsia"/>
          <w:lang w:val="en-GB"/>
        </w:rPr>
        <w:t>条及此后条款和《社会法典》第一部第</w:t>
      </w:r>
      <w:r>
        <w:rPr>
          <w:rFonts w:hint="eastAsia"/>
          <w:lang w:val="en-GB"/>
        </w:rPr>
        <w:t>35</w:t>
      </w:r>
      <w:r>
        <w:rPr>
          <w:rFonts w:hint="eastAsia"/>
          <w:lang w:val="en-GB"/>
        </w:rPr>
        <w:t>条</w:t>
      </w:r>
      <w:r>
        <w:rPr>
          <w:rFonts w:hint="eastAsia"/>
          <w:lang w:val="en-GB"/>
        </w:rPr>
        <w:t>)</w:t>
      </w:r>
      <w:r>
        <w:rPr>
          <w:rFonts w:hint="eastAsia"/>
          <w:lang w:val="en-GB"/>
        </w:rPr>
        <w:t>。有关数据保护的法规，没有为残疾人制订任何具体的规定，但确实涵盖他们，不会直接或间接导致基于残疾特征的歧视。</w:t>
      </w:r>
    </w:p>
    <w:p w:rsidR="00334AE2" w:rsidRDefault="00334AE2">
      <w:pPr>
        <w:pStyle w:val="SingleTxtGC"/>
        <w:rPr>
          <w:lang w:val="en-GB"/>
        </w:rPr>
      </w:pPr>
      <w:r>
        <w:rPr>
          <w:lang w:val="en-GB"/>
        </w:rPr>
        <w:t xml:space="preserve">178.  </w:t>
      </w:r>
      <w:r>
        <w:rPr>
          <w:rFonts w:hint="eastAsia"/>
          <w:lang w:val="en-GB"/>
        </w:rPr>
        <w:t>《</w:t>
      </w:r>
      <w:r>
        <w:rPr>
          <w:lang w:val="en-GB"/>
        </w:rPr>
        <w:t>民法》</w:t>
      </w:r>
      <w:r>
        <w:rPr>
          <w:rFonts w:hint="eastAsia"/>
          <w:lang w:val="en-GB"/>
        </w:rPr>
        <w:t>第</w:t>
      </w:r>
      <w:r>
        <w:rPr>
          <w:lang w:val="en-GB"/>
        </w:rPr>
        <w:t>1896</w:t>
      </w:r>
      <w:r>
        <w:rPr>
          <w:rFonts w:hint="eastAsia"/>
          <w:lang w:val="en-GB"/>
        </w:rPr>
        <w:t>条第</w:t>
      </w:r>
      <w:r>
        <w:rPr>
          <w:rFonts w:hint="eastAsia"/>
          <w:lang w:val="en-GB"/>
        </w:rPr>
        <w:t>4</w:t>
      </w:r>
      <w:r>
        <w:rPr>
          <w:rFonts w:hint="eastAsia"/>
          <w:lang w:val="en-GB"/>
        </w:rPr>
        <w:t>款对保护受监护者的</w:t>
      </w:r>
      <w:r>
        <w:rPr>
          <w:lang w:val="en-GB"/>
        </w:rPr>
        <w:t>邮件</w:t>
      </w:r>
      <w:r>
        <w:rPr>
          <w:rFonts w:hint="eastAsia"/>
          <w:lang w:val="en-GB"/>
        </w:rPr>
        <w:t>和通讯作出了规定。因此，只有在法院已明确表示允许的情况下，监护人才可以接收和打开受监护的人的邮件。这种裁决可能会对受监护的人的重大合法权益带来相当大的风险。</w:t>
      </w:r>
    </w:p>
    <w:p w:rsidR="00334AE2" w:rsidRDefault="00334AE2">
      <w:pPr>
        <w:pStyle w:val="H1GC"/>
        <w:rPr>
          <w:lang w:val="en-GB"/>
        </w:rPr>
      </w:pPr>
      <w:bookmarkStart w:id="26" w:name="_Toc303932235"/>
      <w:r>
        <w:rPr>
          <w:lang w:val="en-GB"/>
        </w:rPr>
        <w:tab/>
      </w:r>
      <w:r>
        <w:rPr>
          <w:lang w:val="en-GB"/>
        </w:rPr>
        <w:tab/>
      </w:r>
      <w:bookmarkEnd w:id="26"/>
      <w:r>
        <w:rPr>
          <w:rFonts w:hint="eastAsia"/>
          <w:lang w:val="en-GB"/>
        </w:rPr>
        <w:t>第二十三条</w:t>
      </w:r>
      <w:r>
        <w:rPr>
          <w:lang w:val="en-GB"/>
        </w:rPr>
        <w:br/>
      </w:r>
      <w:r>
        <w:rPr>
          <w:rFonts w:hint="eastAsia"/>
          <w:lang w:val="en-GB"/>
        </w:rPr>
        <w:t>尊重家居和家庭</w:t>
      </w:r>
    </w:p>
    <w:p w:rsidR="00334AE2" w:rsidRDefault="00334AE2">
      <w:pPr>
        <w:pStyle w:val="SingleTxtGC"/>
        <w:rPr>
          <w:lang w:val="en-GB"/>
        </w:rPr>
      </w:pPr>
      <w:r>
        <w:rPr>
          <w:lang w:val="en-GB"/>
        </w:rPr>
        <w:t xml:space="preserve">179.  </w:t>
      </w:r>
      <w:r>
        <w:rPr>
          <w:rFonts w:hint="eastAsia"/>
          <w:lang w:val="en-GB"/>
        </w:rPr>
        <w:t>婚姻和家庭享受国家的特别保护</w:t>
      </w:r>
      <w:r>
        <w:rPr>
          <w:rFonts w:hint="eastAsia"/>
          <w:lang w:val="en-GB"/>
        </w:rPr>
        <w:t>(</w:t>
      </w:r>
      <w:r>
        <w:rPr>
          <w:rFonts w:hint="eastAsia"/>
          <w:lang w:val="en-GB"/>
        </w:rPr>
        <w:t>《基本法》第</w:t>
      </w:r>
      <w:r>
        <w:rPr>
          <w:rFonts w:hint="eastAsia"/>
          <w:lang w:val="en-GB"/>
        </w:rPr>
        <w:t>6</w:t>
      </w:r>
      <w:r>
        <w:rPr>
          <w:rFonts w:hint="eastAsia"/>
          <w:lang w:val="en-GB"/>
        </w:rPr>
        <w:t>条第</w:t>
      </w:r>
      <w:r>
        <w:rPr>
          <w:rFonts w:hint="eastAsia"/>
          <w:lang w:val="en-GB"/>
        </w:rPr>
        <w:t>1</w:t>
      </w:r>
      <w:r>
        <w:rPr>
          <w:rFonts w:hint="eastAsia"/>
          <w:lang w:val="en-GB"/>
        </w:rPr>
        <w:t>款</w:t>
      </w:r>
      <w:r>
        <w:rPr>
          <w:rFonts w:hint="eastAsia"/>
          <w:lang w:val="en-GB"/>
        </w:rPr>
        <w:t>)</w:t>
      </w:r>
      <w:r>
        <w:rPr>
          <w:rFonts w:hint="eastAsia"/>
          <w:lang w:val="en-GB"/>
        </w:rPr>
        <w:t>。除其他外，基本自由保障结婚的自由。然而，没有法律行为能力的人不能结婚。尽管在其他方面对法律行为能力存有相当大的疑虑，但是在结婚姻上，可能存在部分法律行为能力</w:t>
      </w:r>
      <w:r>
        <w:rPr>
          <w:rStyle w:val="FootnoteReference"/>
        </w:rPr>
        <w:footnoteReference w:id="50"/>
      </w:r>
      <w:r>
        <w:rPr>
          <w:rFonts w:hint="eastAsia"/>
          <w:lang w:val="en-GB"/>
        </w:rPr>
        <w:t>。如果一个人能够理解婚姻的性质，并能够在这方面自由行使他</w:t>
      </w:r>
      <w:r>
        <w:rPr>
          <w:rFonts w:hint="eastAsia"/>
          <w:lang w:val="en-GB"/>
        </w:rPr>
        <w:t>(</w:t>
      </w:r>
      <w:r>
        <w:rPr>
          <w:rFonts w:hint="eastAsia"/>
          <w:lang w:val="en-GB"/>
        </w:rPr>
        <w:t>她</w:t>
      </w:r>
      <w:r>
        <w:rPr>
          <w:rFonts w:hint="eastAsia"/>
          <w:lang w:val="en-GB"/>
        </w:rPr>
        <w:t>)</w:t>
      </w:r>
      <w:r>
        <w:rPr>
          <w:rFonts w:hint="eastAsia"/>
          <w:lang w:val="en-GB"/>
        </w:rPr>
        <w:t>的意志力，就属于这种情况。</w:t>
      </w:r>
    </w:p>
    <w:p w:rsidR="00334AE2" w:rsidRDefault="00334AE2">
      <w:pPr>
        <w:pStyle w:val="SingleTxtGC"/>
        <w:rPr>
          <w:lang w:val="en-GB"/>
        </w:rPr>
      </w:pPr>
      <w:r>
        <w:rPr>
          <w:lang w:val="en-GB"/>
        </w:rPr>
        <w:t xml:space="preserve">180.  </w:t>
      </w:r>
      <w:r>
        <w:rPr>
          <w:rFonts w:hint="eastAsia"/>
          <w:lang w:val="en-GB"/>
        </w:rPr>
        <w:t>为了能够行使缔结婚姻、伙伴关系和性行为的权利，残疾人需要了解关于性行为、生殖及计划生育的无障碍的</w:t>
      </w:r>
      <w:r>
        <w:rPr>
          <w:lang w:val="en-GB"/>
        </w:rPr>
        <w:t>适龄</w:t>
      </w:r>
      <w:r>
        <w:rPr>
          <w:rFonts w:hint="eastAsia"/>
          <w:lang w:val="en-GB"/>
        </w:rPr>
        <w:t>信息。因此，联邦健康教育中心</w:t>
      </w:r>
      <w:r>
        <w:rPr>
          <w:rFonts w:hint="eastAsia"/>
          <w:lang w:val="en-GB"/>
        </w:rPr>
        <w:t>2010</w:t>
      </w:r>
      <w:r>
        <w:rPr>
          <w:rFonts w:hint="eastAsia"/>
          <w:lang w:val="en-GB"/>
        </w:rPr>
        <w:t>年出版了题为《性教育和计划生育》的关于“性行为与残疾”议题的</w:t>
      </w:r>
      <w:r>
        <w:rPr>
          <w:lang w:val="en-GB"/>
        </w:rPr>
        <w:t>FORUM</w:t>
      </w:r>
      <w:r>
        <w:rPr>
          <w:rFonts w:hint="eastAsia"/>
          <w:lang w:val="en-GB"/>
        </w:rPr>
        <w:t>期刊专刊。通过这一专刊，对青少年性行为与残疾问题进行研究。</w:t>
      </w:r>
    </w:p>
    <w:p w:rsidR="00334AE2" w:rsidRDefault="00334AE2">
      <w:pPr>
        <w:pStyle w:val="SingleTxtGC"/>
        <w:rPr>
          <w:lang w:val="en-GB"/>
        </w:rPr>
      </w:pPr>
      <w:r>
        <w:rPr>
          <w:lang w:val="en-GB"/>
        </w:rPr>
        <w:t xml:space="preserve">181.  </w:t>
      </w:r>
      <w:r>
        <w:rPr>
          <w:rFonts w:hint="eastAsia"/>
          <w:lang w:val="en-GB"/>
        </w:rPr>
        <w:t>家庭是家长与其孩子的</w:t>
      </w:r>
      <w:r>
        <w:rPr>
          <w:lang w:val="en-GB"/>
        </w:rPr>
        <w:t>共同体</w:t>
      </w:r>
      <w:r>
        <w:rPr>
          <w:rFonts w:hint="eastAsia"/>
          <w:lang w:val="en-GB"/>
        </w:rPr>
        <w:t>。“家庭”一词实际上意味着，存在未婚夫妇与共同的或非共同的孩子的家庭，也存在父母与孩子的家庭。《基本法》第</w:t>
      </w:r>
      <w:r>
        <w:rPr>
          <w:rFonts w:hint="eastAsia"/>
          <w:lang w:val="en-GB"/>
        </w:rPr>
        <w:t>6</w:t>
      </w:r>
      <w:r>
        <w:rPr>
          <w:rFonts w:hint="eastAsia"/>
          <w:lang w:val="en-GB"/>
        </w:rPr>
        <w:t>条第</w:t>
      </w:r>
      <w:r>
        <w:rPr>
          <w:rFonts w:hint="eastAsia"/>
          <w:lang w:val="en-GB"/>
        </w:rPr>
        <w:t>2</w:t>
      </w:r>
      <w:r>
        <w:rPr>
          <w:rFonts w:hint="eastAsia"/>
          <w:lang w:val="en-GB"/>
        </w:rPr>
        <w:t>款规定，照顾和教养孩子，是父母的自然权利，是由他们主要承担的义不容辞的职责。在非宪法法定层面，《民法》的规定，主要适用于婚姻和家庭的民法问题。根据该法所载规定，在孩子与父母之间的法律关系中，孩子的最佳利益是决定性的。此外，同性别的人必须遵守《民事伴侣关系法》</w:t>
      </w:r>
      <w:r>
        <w:rPr>
          <w:rFonts w:hint="eastAsia"/>
          <w:lang w:val="en-GB"/>
        </w:rPr>
        <w:t>(</w:t>
      </w:r>
      <w:r>
        <w:rPr>
          <w:i/>
          <w:iCs/>
          <w:lang w:val="en-GB"/>
        </w:rPr>
        <w:t>Lebenspartnerschaftsgesetz</w:t>
      </w:r>
      <w:r>
        <w:rPr>
          <w:rFonts w:hint="eastAsia"/>
          <w:lang w:val="en-GB"/>
        </w:rPr>
        <w:t>)</w:t>
      </w:r>
      <w:r>
        <w:rPr>
          <w:rFonts w:hint="eastAsia"/>
          <w:lang w:val="en-GB"/>
        </w:rPr>
        <w:t>。该规定同样涵盖残疾人和非残疾人。</w:t>
      </w:r>
    </w:p>
    <w:p w:rsidR="00334AE2" w:rsidRDefault="00334AE2">
      <w:pPr>
        <w:pStyle w:val="SingleTxtGC"/>
        <w:rPr>
          <w:rFonts w:hint="eastAsia"/>
          <w:lang w:val="en-GB"/>
        </w:rPr>
      </w:pPr>
      <w:r>
        <w:rPr>
          <w:rFonts w:hint="eastAsia"/>
          <w:lang w:val="en-GB"/>
        </w:rPr>
        <w:t xml:space="preserve">182.  </w:t>
      </w:r>
      <w:r>
        <w:rPr>
          <w:rFonts w:hint="eastAsia"/>
          <w:lang w:val="en-GB"/>
        </w:rPr>
        <w:t>《社会法典》第九部在几处明确涵盖残疾儿童的状况</w:t>
      </w:r>
      <w:r>
        <w:rPr>
          <w:rFonts w:hint="eastAsia"/>
          <w:lang w:val="en-GB"/>
        </w:rPr>
        <w:t>(</w:t>
      </w:r>
      <w:r>
        <w:rPr>
          <w:rFonts w:hint="eastAsia"/>
          <w:lang w:val="en-GB"/>
        </w:rPr>
        <w:t>《社会法典》第九部第</w:t>
      </w:r>
      <w:r>
        <w:rPr>
          <w:rFonts w:hint="eastAsia"/>
          <w:lang w:val="en-GB"/>
        </w:rPr>
        <w:t>1</w:t>
      </w:r>
      <w:r>
        <w:rPr>
          <w:rFonts w:hint="eastAsia"/>
          <w:lang w:val="en-GB"/>
        </w:rPr>
        <w:t>条、第</w:t>
      </w:r>
      <w:r>
        <w:rPr>
          <w:rFonts w:hint="eastAsia"/>
          <w:lang w:val="en-GB"/>
        </w:rPr>
        <w:t>4</w:t>
      </w:r>
      <w:r>
        <w:rPr>
          <w:rFonts w:hint="eastAsia"/>
          <w:lang w:val="en-GB"/>
        </w:rPr>
        <w:t>条第</w:t>
      </w:r>
      <w:r>
        <w:rPr>
          <w:rFonts w:hint="eastAsia"/>
          <w:lang w:val="en-GB"/>
        </w:rPr>
        <w:t>3</w:t>
      </w:r>
      <w:r>
        <w:rPr>
          <w:rFonts w:hint="eastAsia"/>
          <w:lang w:val="en-GB"/>
        </w:rPr>
        <w:t>款及第</w:t>
      </w:r>
      <w:r>
        <w:rPr>
          <w:rFonts w:hint="eastAsia"/>
          <w:lang w:val="en-GB"/>
        </w:rPr>
        <w:t>30</w:t>
      </w:r>
      <w:r>
        <w:rPr>
          <w:rFonts w:hint="eastAsia"/>
          <w:lang w:val="en-GB"/>
        </w:rPr>
        <w:t>条</w:t>
      </w:r>
      <w:r>
        <w:rPr>
          <w:rFonts w:hint="eastAsia"/>
          <w:lang w:val="en-GB"/>
        </w:rPr>
        <w:t>)</w:t>
      </w:r>
      <w:r>
        <w:rPr>
          <w:rFonts w:hint="eastAsia"/>
          <w:lang w:val="en-GB"/>
        </w:rPr>
        <w:t>。该法规定，尊重残疾儿童的需求，尽量使他们能够住在家庭环境中。根据他们的年龄和发育水平，儿童应参与关于个体协助的规划和设计。这同样适用于他们的父母。在这方面，应考虑家长和儿童的特别需求。各个《社会法典》，特别是关于儿童和青年支助的《社会法典》第八部，规定了范围广泛的支持有残疾儿童的家庭的各种福利，让孩子继续留在他们的社会环境中。这也适用于残疾儿童，他们的父母无法照顾他们，因此由具有特别技能的特别设施照顾他们。</w:t>
      </w:r>
    </w:p>
    <w:p w:rsidR="00334AE2" w:rsidRDefault="00334AE2">
      <w:pPr>
        <w:pStyle w:val="SingleTxtGC"/>
        <w:rPr>
          <w:lang w:val="en-GB"/>
        </w:rPr>
      </w:pPr>
      <w:r>
        <w:rPr>
          <w:lang w:val="en-GB"/>
        </w:rPr>
        <w:t xml:space="preserve">183.  </w:t>
      </w:r>
      <w:r>
        <w:rPr>
          <w:rFonts w:hint="eastAsia"/>
          <w:lang w:val="en-GB"/>
        </w:rPr>
        <w:t>照顾残疾孩子的职业母亲和父亲，承担着非常沉重的时间负担。联邦政府将审查是否能够进一步发展关于减轻这个群体的人的负担的现有法规，以对他们执行</w:t>
      </w:r>
      <w:r>
        <w:rPr>
          <w:rFonts w:hint="eastAsia"/>
          <w:lang w:val="en-GB"/>
        </w:rPr>
        <w:t>(</w:t>
      </w:r>
      <w:r>
        <w:rPr>
          <w:rFonts w:hint="eastAsia"/>
          <w:lang w:val="en-GB"/>
        </w:rPr>
        <w:t>照顾</w:t>
      </w:r>
      <w:r>
        <w:rPr>
          <w:rFonts w:hint="eastAsia"/>
          <w:lang w:val="en-GB"/>
        </w:rPr>
        <w:t>)</w:t>
      </w:r>
      <w:r>
        <w:rPr>
          <w:rFonts w:hint="eastAsia"/>
          <w:lang w:val="en-GB"/>
        </w:rPr>
        <w:t>任务给予更多支持。</w:t>
      </w:r>
    </w:p>
    <w:p w:rsidR="00334AE2" w:rsidRDefault="00334AE2">
      <w:pPr>
        <w:pStyle w:val="SingleTxtGC"/>
        <w:rPr>
          <w:rStyle w:val="FootnoteReference"/>
        </w:rPr>
      </w:pPr>
      <w:r>
        <w:rPr>
          <w:lang w:val="en-GB"/>
        </w:rPr>
        <w:t xml:space="preserve">184.  </w:t>
      </w:r>
      <w:r>
        <w:rPr>
          <w:rFonts w:hint="eastAsia"/>
          <w:lang w:val="en-GB"/>
        </w:rPr>
        <w:t>此外，应使有残疾的母亲和父亲也能够完全负责任地圆满地履行父母任务。在决定和提供参与补贴时，必须考虑有残疾的母亲和父亲在履行他们的父母任务上的特别需求，以及残疾儿童的特别需求。</w:t>
      </w:r>
      <w:r>
        <w:rPr>
          <w:rStyle w:val="FootnoteReference"/>
        </w:rPr>
        <w:footnoteReference w:id="51"/>
      </w:r>
    </w:p>
    <w:p w:rsidR="00334AE2" w:rsidRDefault="00334AE2">
      <w:pPr>
        <w:pStyle w:val="SingleTxtGC"/>
        <w:rPr>
          <w:lang w:val="en-GB"/>
        </w:rPr>
      </w:pPr>
      <w:r>
        <w:rPr>
          <w:lang w:val="en-GB"/>
        </w:rPr>
        <w:t xml:space="preserve">185.  </w:t>
      </w:r>
      <w:r>
        <w:rPr>
          <w:rFonts w:hint="eastAsia"/>
          <w:lang w:val="en-GB"/>
        </w:rPr>
        <w:t>法律没有明确规定向有残疾的父亲和母亲提供父母支助。这导致在实践中在某些情况上，在给予残疾父母支助上存在困难。目前，劳动和社会事务部长会议的会议间工作小组正在讨论“获得父母援助的合法权利：支持有残疾的父母履行他们的父母任务”的议题。工作小组目前已达成初步结论，法规已经涵盖了父母援助。正在研究是否可以找到一个程序，克服在实践中存在的将所有受益者包括在内的困难。</w:t>
      </w:r>
    </w:p>
    <w:p w:rsidR="00334AE2" w:rsidRDefault="00334AE2">
      <w:pPr>
        <w:pStyle w:val="SingleTxtGC"/>
        <w:rPr>
          <w:lang w:val="en-GB"/>
        </w:rPr>
      </w:pPr>
      <w:r>
        <w:rPr>
          <w:lang w:val="en-GB"/>
        </w:rPr>
        <w:t xml:space="preserve">186.  </w:t>
      </w:r>
      <w:r>
        <w:rPr>
          <w:rFonts w:hint="eastAsia"/>
          <w:lang w:val="en-GB"/>
        </w:rPr>
        <w:t>在德国某些地区，在离人们生活的地方近的地方，已经为有慢性精神疾病的父母，开发了自助的支持形式，譬如指导方案。联邦政府强调关于这种灵活的支持服务的需求。</w:t>
      </w:r>
    </w:p>
    <w:p w:rsidR="00334AE2" w:rsidRDefault="00334AE2">
      <w:pPr>
        <w:pStyle w:val="SingleTxtGC"/>
        <w:rPr>
          <w:lang w:val="en-GB"/>
        </w:rPr>
      </w:pPr>
      <w:r>
        <w:rPr>
          <w:lang w:val="en-GB"/>
        </w:rPr>
        <w:t xml:space="preserve">187.  </w:t>
      </w:r>
      <w:r>
        <w:rPr>
          <w:rFonts w:hint="eastAsia"/>
          <w:lang w:val="en-GB"/>
        </w:rPr>
        <w:t>享有自主生活的权利，也适用于有残疾的老年人。因此，联邦政府支持关于这些人可以留在自己的家中和社会环境中的意见。在这方面，社会住房不仅意味着是无障碍住房，而且意味着邻里和基础设施：一个包容的邻近社会环境。正在扩大提供</w:t>
      </w:r>
      <w:r>
        <w:rPr>
          <w:lang w:val="en-GB"/>
        </w:rPr>
        <w:t>适龄</w:t>
      </w:r>
      <w:r>
        <w:rPr>
          <w:rFonts w:hint="eastAsia"/>
          <w:lang w:val="en-GB"/>
        </w:rPr>
        <w:t>转变咨询服务，正在将这种服务网络化和专业化。正在继续实施现有的方案。网络和服务都能够促进独立性和参与社会生活。</w:t>
      </w:r>
    </w:p>
    <w:p w:rsidR="00334AE2" w:rsidRDefault="00334AE2">
      <w:pPr>
        <w:pStyle w:val="H1GC"/>
        <w:rPr>
          <w:lang w:val="en-GB"/>
        </w:rPr>
      </w:pPr>
      <w:bookmarkStart w:id="27" w:name="_Toc303932236"/>
      <w:r>
        <w:rPr>
          <w:lang w:val="en-GB"/>
        </w:rPr>
        <w:tab/>
      </w:r>
      <w:r>
        <w:rPr>
          <w:lang w:val="en-GB"/>
        </w:rPr>
        <w:tab/>
      </w:r>
      <w:bookmarkEnd w:id="27"/>
      <w:r>
        <w:rPr>
          <w:rFonts w:hint="eastAsia"/>
          <w:lang w:val="en-GB"/>
        </w:rPr>
        <w:t>第二十四条</w:t>
      </w:r>
      <w:r>
        <w:rPr>
          <w:rFonts w:hint="eastAsia"/>
          <w:lang w:val="en-GB"/>
        </w:rPr>
        <w:br/>
      </w:r>
      <w:r>
        <w:rPr>
          <w:rFonts w:hint="eastAsia"/>
          <w:lang w:val="en-GB"/>
        </w:rPr>
        <w:t>教育</w:t>
      </w:r>
    </w:p>
    <w:p w:rsidR="00334AE2" w:rsidRDefault="00334AE2">
      <w:pPr>
        <w:pStyle w:val="SingleTxtGC"/>
        <w:rPr>
          <w:rStyle w:val="FootnoteReference"/>
        </w:rPr>
      </w:pPr>
      <w:r>
        <w:rPr>
          <w:lang w:val="en-GB"/>
        </w:rPr>
        <w:t xml:space="preserve">188.  </w:t>
      </w:r>
      <w:r>
        <w:rPr>
          <w:rFonts w:hint="eastAsia"/>
          <w:lang w:val="en-GB"/>
        </w:rPr>
        <w:t>在德国，所有儿童和青少年都享有接受免费的适当的学校教育、获得促进和支持的权利。在全国实行的上学义务和免费受教育的权利，涵盖有残疾和没有残疾的儿童和青少年。</w:t>
      </w:r>
      <w:r>
        <w:rPr>
          <w:rStyle w:val="FootnoteReference"/>
        </w:rPr>
        <w:footnoteReference w:id="52"/>
      </w:r>
    </w:p>
    <w:p w:rsidR="00334AE2" w:rsidRDefault="00334AE2">
      <w:pPr>
        <w:pStyle w:val="SingleTxtGC"/>
        <w:rPr>
          <w:lang w:val="en-GB"/>
        </w:rPr>
      </w:pPr>
      <w:r>
        <w:rPr>
          <w:lang w:val="en-GB"/>
        </w:rPr>
        <w:t xml:space="preserve">189.  </w:t>
      </w:r>
      <w:r>
        <w:rPr>
          <w:rFonts w:hint="eastAsia"/>
          <w:lang w:val="en-GB"/>
        </w:rPr>
        <w:t>教育是各州负责的事项，各州在促进残疾儿童和青少年教育上，选择各种形式的组织和方法。然而，联邦政府正在努力确保，包容性学习在德国成为</w:t>
      </w:r>
      <w:r>
        <w:rPr>
          <w:lang w:val="en-GB"/>
        </w:rPr>
        <w:t>惯例</w:t>
      </w:r>
      <w:r>
        <w:rPr>
          <w:rFonts w:hint="eastAsia"/>
          <w:lang w:val="en-GB"/>
        </w:rPr>
        <w:t>。幼儿园和托儿所、学校、高等院校及进修培训机构，应从一开始，就接受和促进有特性和个性化需求的所有人。</w:t>
      </w:r>
    </w:p>
    <w:p w:rsidR="00334AE2" w:rsidRDefault="00334AE2">
      <w:pPr>
        <w:pStyle w:val="SingleTxtGC"/>
        <w:rPr>
          <w:lang w:val="en-GB"/>
        </w:rPr>
      </w:pPr>
      <w:r>
        <w:rPr>
          <w:lang w:val="en-GB"/>
        </w:rPr>
        <w:t xml:space="preserve">190.  </w:t>
      </w:r>
      <w:r>
        <w:rPr>
          <w:rFonts w:hint="eastAsia"/>
          <w:lang w:val="en-GB"/>
        </w:rPr>
        <w:t>特别学校在德国学校制度中发挥着特别作用。特别学校集中提供特别教育、建议和支持。它们可以是以不同的教育课程进行教学的地方，也可以是向一般学校提供特别教学服务的卓越中心。</w:t>
      </w:r>
    </w:p>
    <w:p w:rsidR="00334AE2" w:rsidRDefault="00334AE2">
      <w:pPr>
        <w:pStyle w:val="SingleTxtGC"/>
        <w:rPr>
          <w:lang w:val="en-GB"/>
        </w:rPr>
      </w:pPr>
      <w:r>
        <w:rPr>
          <w:lang w:val="en-GB"/>
        </w:rPr>
        <w:t xml:space="preserve">191.  </w:t>
      </w:r>
      <w:r>
        <w:rPr>
          <w:rFonts w:hint="eastAsia"/>
          <w:lang w:val="en-GB"/>
        </w:rPr>
        <w:t>在高等教育机构和在培训</w:t>
      </w:r>
      <w:r>
        <w:rPr>
          <w:lang w:val="en-GB"/>
        </w:rPr>
        <w:t>实践</w:t>
      </w:r>
      <w:r>
        <w:rPr>
          <w:rFonts w:hint="eastAsia"/>
          <w:lang w:val="en-GB"/>
        </w:rPr>
        <w:t>中，通过教师培训，传授特别技能和专业知识。由于有许多任务领域或行动形式，教师与各专业团体一起工作，特别是与社会教育学家、学校心理学家、咨询教师、长期从事护理的人员、其他援助工作者及医疗治疗专家一起工作。</w:t>
      </w:r>
    </w:p>
    <w:p w:rsidR="00334AE2" w:rsidRDefault="00334AE2">
      <w:pPr>
        <w:pStyle w:val="SingleTxtGC"/>
        <w:rPr>
          <w:lang w:val="en-GB"/>
        </w:rPr>
      </w:pPr>
      <w:r>
        <w:rPr>
          <w:lang w:val="en-GB"/>
        </w:rPr>
        <w:t xml:space="preserve">192.  </w:t>
      </w:r>
      <w:r>
        <w:rPr>
          <w:rFonts w:hint="eastAsia"/>
          <w:lang w:val="en-GB"/>
        </w:rPr>
        <w:t>目前正在修订</w:t>
      </w:r>
      <w:r>
        <w:rPr>
          <w:rFonts w:hint="eastAsia"/>
          <w:lang w:val="en-GB"/>
        </w:rPr>
        <w:t>1994</w:t>
      </w:r>
      <w:r>
        <w:rPr>
          <w:rFonts w:hint="eastAsia"/>
          <w:lang w:val="en-GB"/>
        </w:rPr>
        <w:t>年的《文化和教育部长会议关于在德意志联邦共和国学校促进特别教学的建议》</w:t>
      </w:r>
      <w:r>
        <w:rPr>
          <w:rStyle w:val="FootnoteReference"/>
        </w:rPr>
        <w:footnoteReference w:id="53"/>
      </w:r>
      <w:r>
        <w:rPr>
          <w:rFonts w:hint="eastAsia"/>
          <w:lang w:val="en-GB"/>
        </w:rPr>
        <w:t>，该《建议》为在州一级在促进特别教学领域中的发展奠定了基础</w:t>
      </w:r>
      <w:r>
        <w:rPr>
          <w:rStyle w:val="FootnoteReference"/>
        </w:rPr>
        <w:footnoteReference w:id="54"/>
      </w:r>
      <w:r>
        <w:rPr>
          <w:rFonts w:hint="eastAsia"/>
          <w:lang w:val="en-GB"/>
        </w:rPr>
        <w:t>。本条目前关注的中心是，在普通学校的包容教学中的残疾儿童和残疾青少年的融入问题</w:t>
      </w:r>
      <w:r>
        <w:rPr>
          <w:rStyle w:val="FootnoteReference"/>
        </w:rPr>
        <w:footnoteReference w:id="55"/>
      </w:r>
      <w:r>
        <w:rPr>
          <w:rFonts w:hint="eastAsia"/>
          <w:lang w:val="en-GB"/>
        </w:rPr>
        <w:t>。德国残疾人委员会</w:t>
      </w:r>
      <w:r>
        <w:rPr>
          <w:rStyle w:val="FootnoteReference"/>
        </w:rPr>
        <w:footnoteReference w:id="56"/>
      </w:r>
      <w:r>
        <w:rPr>
          <w:rStyle w:val="FootnoteReference"/>
        </w:rPr>
        <w:t xml:space="preserve"> </w:t>
      </w:r>
      <w:r>
        <w:rPr>
          <w:rFonts w:hint="eastAsia"/>
          <w:lang w:val="en-GB"/>
        </w:rPr>
        <w:t>呼吁，为实现更具包容性的教育，及时和全面采取必要的学校和教育政策措施。在这方面，该委员会也打算启动关于良好的融合教育的高质量的辩论。</w:t>
      </w:r>
    </w:p>
    <w:p w:rsidR="00334AE2" w:rsidRDefault="00334AE2">
      <w:pPr>
        <w:pStyle w:val="SingleTxtGC"/>
        <w:rPr>
          <w:lang w:val="en-GB"/>
        </w:rPr>
      </w:pPr>
      <w:r>
        <w:rPr>
          <w:lang w:val="en-GB"/>
        </w:rPr>
        <w:t xml:space="preserve">193.  </w:t>
      </w:r>
      <w:r>
        <w:rPr>
          <w:rFonts w:hint="eastAsia"/>
          <w:lang w:val="en-GB"/>
        </w:rPr>
        <w:t>各州所有的《学校法》都已经规定，有残疾和没有残疾的学生一起学习。例如，在</w:t>
      </w:r>
      <w:r>
        <w:rPr>
          <w:rFonts w:hint="eastAsia"/>
          <w:lang w:val="en-GB"/>
        </w:rPr>
        <w:t>2009/10</w:t>
      </w:r>
      <w:r>
        <w:rPr>
          <w:rFonts w:hint="eastAsia"/>
          <w:lang w:val="en-GB"/>
        </w:rPr>
        <w:t>学年，约有五分之一</w:t>
      </w:r>
      <w:r>
        <w:rPr>
          <w:rFonts w:hint="eastAsia"/>
          <w:lang w:val="en-GB"/>
        </w:rPr>
        <w:t>(20.1%)</w:t>
      </w:r>
      <w:r>
        <w:rPr>
          <w:rFonts w:hint="eastAsia"/>
          <w:lang w:val="en-GB"/>
        </w:rPr>
        <w:t>的有特别教育需求的学生，在普通学校接受教育。目标是进一步扩大这一比例。各州已同意对教育领域进行评估，确定为进一步发展将采取的步骤，采取相应措施，采取任何必要的法律措施，以增加在一般教学</w:t>
      </w:r>
      <w:r>
        <w:rPr>
          <w:rFonts w:hint="eastAsia"/>
          <w:lang w:val="en-GB"/>
        </w:rPr>
        <w:t>(</w:t>
      </w:r>
      <w:r>
        <w:rPr>
          <w:rFonts w:hint="eastAsia"/>
          <w:lang w:val="en-GB"/>
        </w:rPr>
        <w:t>一般和特别学校</w:t>
      </w:r>
      <w:r>
        <w:rPr>
          <w:rFonts w:hint="eastAsia"/>
          <w:lang w:val="en-GB"/>
        </w:rPr>
        <w:t>)</w:t>
      </w:r>
      <w:r>
        <w:rPr>
          <w:rFonts w:hint="eastAsia"/>
          <w:lang w:val="en-GB"/>
        </w:rPr>
        <w:t>和职业学校中的融合教育。</w:t>
      </w:r>
    </w:p>
    <w:p w:rsidR="00334AE2" w:rsidRDefault="00334AE2">
      <w:pPr>
        <w:pStyle w:val="SingleTxtGC"/>
        <w:rPr>
          <w:lang w:val="en-GB"/>
        </w:rPr>
      </w:pPr>
      <w:r>
        <w:rPr>
          <w:lang w:val="en-GB"/>
        </w:rPr>
        <w:t xml:space="preserve">194.  </w:t>
      </w:r>
      <w:r>
        <w:rPr>
          <w:rFonts w:hint="eastAsia"/>
          <w:lang w:val="en-GB"/>
        </w:rPr>
        <w:t>除其他外，各州正在起草整体概念，以确保以某种观念、某种方式设计学校的组织、指导方针、教育和教学计划、教学方法及</w:t>
      </w:r>
      <w:r>
        <w:rPr>
          <w:rFonts w:hint="eastAsia"/>
          <w:lang w:val="en-GB"/>
        </w:rPr>
        <w:t>(</w:t>
      </w:r>
      <w:r>
        <w:rPr>
          <w:rFonts w:hint="eastAsia"/>
          <w:lang w:val="en-GB"/>
        </w:rPr>
        <w:t>并非最不重要</w:t>
      </w:r>
      <w:r>
        <w:rPr>
          <w:rFonts w:hint="eastAsia"/>
          <w:lang w:val="en-GB"/>
        </w:rPr>
        <w:t>)</w:t>
      </w:r>
      <w:r>
        <w:rPr>
          <w:rFonts w:hint="eastAsia"/>
          <w:lang w:val="en-GB"/>
        </w:rPr>
        <w:t>教师培训，以在普通学校创造所有残疾儿童和青少年与非残疾儿童和青少年都能够最佳发展的学习环境。作为一项原则，与民间社会合作实施上述概念。各州《学校法》中规定的示范项目、学校试验、重点学校及相应的改革，都支持这些项目。</w:t>
      </w:r>
      <w:r>
        <w:rPr>
          <w:rFonts w:hint="eastAsia"/>
          <w:lang w:val="en-GB"/>
        </w:rPr>
        <w:t>2010</w:t>
      </w:r>
      <w:r>
        <w:rPr>
          <w:rFonts w:hint="eastAsia"/>
          <w:lang w:val="en-GB"/>
        </w:rPr>
        <w:t>年秋季，联邦政府残疾专员第二次为优秀的最佳实践模式，颁发了“雅各穆斯包容性学校奖”</w:t>
      </w:r>
      <w:r>
        <w:rPr>
          <w:rFonts w:hint="eastAsia"/>
          <w:lang w:val="en-GB"/>
        </w:rPr>
        <w:t>(</w:t>
      </w:r>
      <w:r>
        <w:rPr>
          <w:lang w:val="en-GB"/>
        </w:rPr>
        <w:t>Jakob</w:t>
      </w:r>
      <w:r>
        <w:rPr>
          <w:rFonts w:hint="eastAsia"/>
          <w:lang w:val="en-GB"/>
        </w:rPr>
        <w:t xml:space="preserve"> </w:t>
      </w:r>
      <w:r>
        <w:rPr>
          <w:lang w:val="en-GB"/>
        </w:rPr>
        <w:t>Muth</w:t>
      </w:r>
      <w:r>
        <w:rPr>
          <w:rFonts w:hint="eastAsia"/>
          <w:lang w:val="en-GB"/>
        </w:rPr>
        <w:t xml:space="preserve"> </w:t>
      </w:r>
      <w:r>
        <w:rPr>
          <w:lang w:val="en-GB"/>
        </w:rPr>
        <w:t>Prize</w:t>
      </w:r>
      <w:r>
        <w:rPr>
          <w:rFonts w:hint="eastAsia"/>
          <w:lang w:val="en-GB"/>
        </w:rPr>
        <w:t xml:space="preserve"> </w:t>
      </w:r>
      <w:r>
        <w:rPr>
          <w:lang w:val="en-GB"/>
        </w:rPr>
        <w:t>for</w:t>
      </w:r>
      <w:r>
        <w:rPr>
          <w:rFonts w:hint="eastAsia"/>
          <w:lang w:val="en-GB"/>
        </w:rPr>
        <w:t xml:space="preserve"> </w:t>
      </w:r>
      <w:r>
        <w:rPr>
          <w:lang w:val="en-GB"/>
        </w:rPr>
        <w:t>Inclusive</w:t>
      </w:r>
      <w:r>
        <w:rPr>
          <w:rFonts w:hint="eastAsia"/>
          <w:lang w:val="en-GB"/>
        </w:rPr>
        <w:t xml:space="preserve"> </w:t>
      </w:r>
      <w:r>
        <w:rPr>
          <w:lang w:val="en-GB"/>
        </w:rPr>
        <w:t>Schools</w:t>
      </w:r>
      <w:r>
        <w:rPr>
          <w:rFonts w:hint="eastAsia"/>
          <w:lang w:val="en-GB"/>
        </w:rPr>
        <w:t>)</w:t>
      </w:r>
      <w:r>
        <w:rPr>
          <w:rFonts w:hint="eastAsia"/>
          <w:lang w:val="en-GB"/>
        </w:rPr>
        <w:t>，该奖项是他的前任与贝塔斯曼基金会</w:t>
      </w:r>
      <w:r>
        <w:rPr>
          <w:rFonts w:hint="eastAsia"/>
          <w:lang w:val="en-GB"/>
        </w:rPr>
        <w:t>(</w:t>
      </w:r>
      <w:r>
        <w:rPr>
          <w:lang w:val="en-GB"/>
        </w:rPr>
        <w:t>Bertelsmann</w:t>
      </w:r>
      <w:r>
        <w:rPr>
          <w:rFonts w:hint="eastAsia"/>
          <w:lang w:val="en-GB"/>
        </w:rPr>
        <w:t xml:space="preserve"> </w:t>
      </w:r>
      <w:r>
        <w:rPr>
          <w:lang w:val="en-GB"/>
        </w:rPr>
        <w:t>Foundation</w:t>
      </w:r>
      <w:r>
        <w:rPr>
          <w:rFonts w:hint="eastAsia"/>
          <w:lang w:val="en-GB"/>
        </w:rPr>
        <w:t>)</w:t>
      </w:r>
      <w:r>
        <w:rPr>
          <w:rFonts w:hint="eastAsia"/>
          <w:lang w:val="en-GB"/>
        </w:rPr>
        <w:t>和德国联合国儿童基金会</w:t>
      </w:r>
      <w:r>
        <w:rPr>
          <w:rFonts w:hint="eastAsia"/>
          <w:lang w:val="en-GB"/>
        </w:rPr>
        <w:t>(</w:t>
      </w:r>
      <w:r>
        <w:rPr>
          <w:rFonts w:hint="eastAsia"/>
          <w:lang w:val="en-GB"/>
        </w:rPr>
        <w:t>教科文组织</w:t>
      </w:r>
      <w:r>
        <w:rPr>
          <w:rFonts w:hint="eastAsia"/>
          <w:lang w:val="en-GB"/>
        </w:rPr>
        <w:t>)</w:t>
      </w:r>
      <w:r>
        <w:rPr>
          <w:rFonts w:hint="eastAsia"/>
          <w:lang w:val="en-GB"/>
        </w:rPr>
        <w:t>委员会合作创建的。专员制订的关于包容性教学家长指南，也提供了关于联邦各个州为使有特别教学需求的儿童和青少年在普通学校学习而采取的程序性步骤的信息。</w:t>
      </w:r>
    </w:p>
    <w:p w:rsidR="00334AE2" w:rsidRDefault="00334AE2">
      <w:pPr>
        <w:pStyle w:val="SingleTxtGC"/>
        <w:rPr>
          <w:lang w:val="en-GB"/>
        </w:rPr>
      </w:pPr>
      <w:r>
        <w:rPr>
          <w:lang w:val="en-GB"/>
        </w:rPr>
        <w:t xml:space="preserve">195.  </w:t>
      </w:r>
      <w:r>
        <w:rPr>
          <w:rFonts w:hint="eastAsia"/>
          <w:lang w:val="en-GB"/>
        </w:rPr>
        <w:t>在从学校过渡到工作时，一般教学学校、职业学校及高等教育机构都面临特别挑战。鉴于职业学校与工作世界的直接连接，职业学校尤其是这种情况。通过在中等教育阶段开始的早期职业</w:t>
      </w:r>
      <w:r>
        <w:rPr>
          <w:lang w:val="en-GB"/>
        </w:rPr>
        <w:t>定向课程</w:t>
      </w:r>
      <w:r>
        <w:rPr>
          <w:rFonts w:hint="eastAsia"/>
          <w:lang w:val="en-GB"/>
        </w:rPr>
        <w:t>，通过与职业学校、职业介绍所、专门融入服务机构及其他合作伙伴合作，实施的个人促进和配套方案，为过渡到工作生活，做了大量准备工作。目前正在制订法典，以作为培训下述人员的模式：因为他们的残疾性质和严重程度，在已经得到认可的职业培训中，不可能考虑他们的培训。</w:t>
      </w:r>
    </w:p>
    <w:p w:rsidR="00334AE2" w:rsidRDefault="00334AE2">
      <w:pPr>
        <w:pStyle w:val="SingleTxtGC"/>
        <w:rPr>
          <w:lang w:val="en-GB"/>
        </w:rPr>
      </w:pPr>
      <w:r>
        <w:rPr>
          <w:lang w:val="en-GB"/>
        </w:rPr>
        <w:t xml:space="preserve">196.  </w:t>
      </w:r>
      <w:r>
        <w:rPr>
          <w:rFonts w:hint="eastAsia"/>
          <w:lang w:val="en-GB"/>
        </w:rPr>
        <w:t>今后的另一项任务是确保特别教学的专业性。此外，实现融合教育，将加强一般教学与特别教学之间的合作。例如，一个目标是，帮助教师准备在各类学校的各个培训阶段一起教授所有学生，对教师进行进一步培训，以使他们获得必要的技能来处理各种各样的学习表现和学业条件。在各个州，有大量的相应概念，目前正在试用和扩大。</w:t>
      </w:r>
    </w:p>
    <w:p w:rsidR="00334AE2" w:rsidRDefault="00334AE2">
      <w:pPr>
        <w:pStyle w:val="SingleTxtGC"/>
        <w:rPr>
          <w:lang w:val="en-GB"/>
        </w:rPr>
      </w:pPr>
      <w:r>
        <w:rPr>
          <w:lang w:val="en-GB"/>
        </w:rPr>
        <w:t xml:space="preserve">197.  </w:t>
      </w:r>
      <w:r>
        <w:rPr>
          <w:rFonts w:hint="eastAsia"/>
          <w:lang w:val="en-GB"/>
        </w:rPr>
        <w:t>为了在学校大力促进上述目标，正在完善文化和教育部长会议关于学校促进特别教育的建议。为了加强融合教育，除其他外，特别重视下述方面：</w:t>
      </w:r>
    </w:p>
    <w:p w:rsidR="00334AE2" w:rsidRDefault="00334AE2">
      <w:pPr>
        <w:pStyle w:val="SingleTxtGC"/>
        <w:numPr>
          <w:ilvl w:val="0"/>
          <w:numId w:val="29"/>
        </w:numPr>
        <w:ind w:left="1134"/>
        <w:rPr>
          <w:lang w:val="en-GB"/>
        </w:rPr>
      </w:pPr>
      <w:r>
        <w:rPr>
          <w:rFonts w:hint="eastAsia"/>
          <w:lang w:val="en-GB"/>
        </w:rPr>
        <w:t>为了提高认识，在参与和自主概念指导之下，向公众提供信息</w:t>
      </w:r>
      <w:r>
        <w:rPr>
          <w:rFonts w:hint="eastAsia"/>
          <w:lang w:val="en-GB"/>
        </w:rPr>
        <w:t>(</w:t>
      </w:r>
      <w:r>
        <w:rPr>
          <w:rFonts w:hint="eastAsia"/>
          <w:lang w:val="en-GB"/>
        </w:rPr>
        <w:t>解决方式：譬如，出版物，区域教育会议，以及行动计划</w:t>
      </w:r>
      <w:r>
        <w:rPr>
          <w:rFonts w:hint="eastAsia"/>
          <w:lang w:val="en-GB"/>
        </w:rPr>
        <w:t>)</w:t>
      </w:r>
      <w:r>
        <w:rPr>
          <w:rFonts w:hint="eastAsia"/>
          <w:lang w:val="en-GB"/>
        </w:rPr>
        <w:t>；</w:t>
      </w:r>
    </w:p>
    <w:p w:rsidR="00334AE2" w:rsidRDefault="00334AE2">
      <w:pPr>
        <w:pStyle w:val="SingleTxtGC"/>
        <w:numPr>
          <w:ilvl w:val="0"/>
          <w:numId w:val="29"/>
        </w:numPr>
        <w:ind w:left="1134"/>
        <w:rPr>
          <w:lang w:val="en-GB"/>
        </w:rPr>
      </w:pPr>
      <w:r>
        <w:rPr>
          <w:rFonts w:hint="eastAsia"/>
          <w:lang w:val="en-GB"/>
        </w:rPr>
        <w:t>克服抵制态度和立场</w:t>
      </w:r>
      <w:r>
        <w:rPr>
          <w:rFonts w:hint="eastAsia"/>
          <w:lang w:val="en-GB"/>
        </w:rPr>
        <w:t>(</w:t>
      </w:r>
      <w:r>
        <w:rPr>
          <w:rFonts w:hint="eastAsia"/>
          <w:lang w:val="en-GB"/>
        </w:rPr>
        <w:t>“心理障碍”</w:t>
      </w:r>
      <w:r>
        <w:rPr>
          <w:rFonts w:hint="eastAsia"/>
          <w:lang w:val="en-GB"/>
        </w:rPr>
        <w:t>)(</w:t>
      </w:r>
      <w:r>
        <w:rPr>
          <w:rFonts w:hint="eastAsia"/>
          <w:lang w:val="en-GB"/>
        </w:rPr>
        <w:t>解决方式：譬如：与教师进修培训机构合作，为专家、家长和学生提供信息和进行进一步培训，在部委与民间社会之间进行良好的信息流通和交流</w:t>
      </w:r>
      <w:r>
        <w:rPr>
          <w:rFonts w:hint="eastAsia"/>
          <w:lang w:val="en-GB"/>
        </w:rPr>
        <w:t>)</w:t>
      </w:r>
      <w:r>
        <w:rPr>
          <w:rFonts w:hint="eastAsia"/>
          <w:lang w:val="en-GB"/>
        </w:rPr>
        <w:t>；</w:t>
      </w:r>
    </w:p>
    <w:p w:rsidR="00334AE2" w:rsidRDefault="00334AE2">
      <w:pPr>
        <w:pStyle w:val="SingleTxtGC"/>
        <w:numPr>
          <w:ilvl w:val="0"/>
          <w:numId w:val="29"/>
        </w:numPr>
        <w:ind w:left="1134"/>
        <w:rPr>
          <w:lang w:val="en-GB"/>
        </w:rPr>
      </w:pPr>
      <w:r>
        <w:rPr>
          <w:rFonts w:hint="eastAsia"/>
          <w:lang w:val="en-GB"/>
        </w:rPr>
        <w:t>建立关于学校和非学校成本单位和机构补贴的更大联网，特别是关于青年和社会援助的联网；</w:t>
      </w:r>
    </w:p>
    <w:p w:rsidR="00334AE2" w:rsidRDefault="00334AE2">
      <w:pPr>
        <w:pStyle w:val="SingleTxtGC"/>
        <w:numPr>
          <w:ilvl w:val="0"/>
          <w:numId w:val="29"/>
        </w:numPr>
        <w:ind w:left="1134"/>
        <w:rPr>
          <w:lang w:val="en-GB"/>
        </w:rPr>
      </w:pPr>
      <w:r>
        <w:rPr>
          <w:rFonts w:hint="eastAsia"/>
          <w:lang w:val="en-GB"/>
        </w:rPr>
        <w:t>各种形式的学校的教师以需求为导向的技能建设，特别是在</w:t>
      </w:r>
      <w:r>
        <w:rPr>
          <w:lang w:val="en-GB"/>
        </w:rPr>
        <w:t>异质性</w:t>
      </w:r>
      <w:r>
        <w:rPr>
          <w:rFonts w:hint="eastAsia"/>
          <w:lang w:val="en-GB"/>
        </w:rPr>
        <w:t>会社团之间的合作方面；各种形式的学校的教师通过咨询和支持系统参与；</w:t>
      </w:r>
    </w:p>
    <w:p w:rsidR="00334AE2" w:rsidRDefault="00334AE2">
      <w:pPr>
        <w:pStyle w:val="SingleTxtGC"/>
        <w:numPr>
          <w:ilvl w:val="0"/>
          <w:numId w:val="29"/>
        </w:numPr>
        <w:ind w:left="1134"/>
        <w:rPr>
          <w:lang w:val="en-GB"/>
        </w:rPr>
      </w:pPr>
      <w:r>
        <w:rPr>
          <w:rFonts w:hint="eastAsia"/>
          <w:lang w:val="en-GB"/>
        </w:rPr>
        <w:t>加强与父母的合作</w:t>
      </w:r>
      <w:r>
        <w:rPr>
          <w:rFonts w:hint="eastAsia"/>
          <w:lang w:val="en-GB"/>
        </w:rPr>
        <w:t>(</w:t>
      </w:r>
      <w:r>
        <w:rPr>
          <w:rFonts w:hint="eastAsia"/>
          <w:lang w:val="en-GB"/>
        </w:rPr>
        <w:t>解决方式：例如：与家长讨论，缔结教育合作伙伴关系，建立促进委员会，举行教育部门会议</w:t>
      </w:r>
      <w:r>
        <w:rPr>
          <w:rFonts w:hint="eastAsia"/>
          <w:lang w:val="en-GB"/>
        </w:rPr>
        <w:t>)</w:t>
      </w:r>
      <w:r>
        <w:rPr>
          <w:rFonts w:hint="eastAsia"/>
          <w:lang w:val="en-GB"/>
        </w:rPr>
        <w:t>；</w:t>
      </w:r>
    </w:p>
    <w:p w:rsidR="00334AE2" w:rsidRDefault="00334AE2">
      <w:pPr>
        <w:pStyle w:val="SingleTxtGC"/>
        <w:numPr>
          <w:ilvl w:val="0"/>
          <w:numId w:val="29"/>
        </w:numPr>
        <w:ind w:left="1134"/>
        <w:rPr>
          <w:lang w:val="en-GB"/>
        </w:rPr>
      </w:pPr>
      <w:r>
        <w:rPr>
          <w:rFonts w:hint="eastAsia"/>
          <w:lang w:val="en-GB"/>
        </w:rPr>
        <w:t>在一般和职业学校逐步或逐级扩大推广</w:t>
      </w:r>
      <w:r>
        <w:rPr>
          <w:rFonts w:hint="eastAsia"/>
          <w:lang w:val="en-GB"/>
        </w:rPr>
        <w:t>(</w:t>
      </w:r>
      <w:r>
        <w:rPr>
          <w:rFonts w:hint="eastAsia"/>
          <w:lang w:val="en-GB"/>
        </w:rPr>
        <w:t>解决方式：例如：区域教育全貌，重点学校，开放学校</w:t>
      </w:r>
      <w:r>
        <w:rPr>
          <w:rFonts w:hint="eastAsia"/>
          <w:lang w:val="en-GB"/>
        </w:rPr>
        <w:t>)</w:t>
      </w:r>
      <w:r>
        <w:rPr>
          <w:rFonts w:hint="eastAsia"/>
          <w:lang w:val="en-GB"/>
        </w:rPr>
        <w:t>；</w:t>
      </w:r>
    </w:p>
    <w:p w:rsidR="00334AE2" w:rsidRDefault="00334AE2">
      <w:pPr>
        <w:pStyle w:val="SingleTxtGC"/>
        <w:numPr>
          <w:ilvl w:val="0"/>
          <w:numId w:val="29"/>
        </w:numPr>
        <w:ind w:left="1134"/>
        <w:rPr>
          <w:lang w:val="en-GB"/>
        </w:rPr>
      </w:pPr>
      <w:r>
        <w:rPr>
          <w:rFonts w:hint="eastAsia"/>
          <w:lang w:val="en-GB"/>
        </w:rPr>
        <w:t>高效地利用现有结构，改善残疾学生的学校教育；</w:t>
      </w:r>
    </w:p>
    <w:p w:rsidR="00334AE2" w:rsidRDefault="00334AE2">
      <w:pPr>
        <w:pStyle w:val="SingleTxtGC"/>
        <w:numPr>
          <w:ilvl w:val="0"/>
          <w:numId w:val="29"/>
        </w:numPr>
        <w:ind w:left="1134"/>
        <w:rPr>
          <w:lang w:val="en-GB"/>
        </w:rPr>
      </w:pPr>
      <w:r>
        <w:rPr>
          <w:rFonts w:hint="eastAsia"/>
          <w:lang w:val="en-GB"/>
        </w:rPr>
        <w:t>加强父母的权利。</w:t>
      </w:r>
    </w:p>
    <w:p w:rsidR="00334AE2" w:rsidRDefault="00334AE2">
      <w:pPr>
        <w:pStyle w:val="SingleTxtGC"/>
        <w:rPr>
          <w:lang w:val="en-GB"/>
        </w:rPr>
      </w:pPr>
      <w:r>
        <w:rPr>
          <w:lang w:val="en-GB"/>
        </w:rPr>
        <w:t xml:space="preserve">198.  </w:t>
      </w:r>
      <w:r>
        <w:rPr>
          <w:rFonts w:hint="eastAsia"/>
          <w:lang w:val="en-GB"/>
        </w:rPr>
        <w:t>文化和教育部长会议</w:t>
      </w:r>
      <w:r>
        <w:rPr>
          <w:rFonts w:hint="eastAsia"/>
          <w:lang w:val="en-GB"/>
        </w:rPr>
        <w:t>2010</w:t>
      </w:r>
      <w:r>
        <w:rPr>
          <w:rFonts w:hint="eastAsia"/>
          <w:lang w:val="en-GB"/>
        </w:rPr>
        <w:t>年</w:t>
      </w:r>
      <w:r>
        <w:rPr>
          <w:rFonts w:hint="eastAsia"/>
          <w:lang w:val="en-GB"/>
        </w:rPr>
        <w:t>3</w:t>
      </w:r>
      <w:r>
        <w:rPr>
          <w:rFonts w:hint="eastAsia"/>
          <w:lang w:val="en-GB"/>
        </w:rPr>
        <w:t>月发表了题为《学校促进特别教育</w:t>
      </w:r>
      <w:r>
        <w:rPr>
          <w:rFonts w:hint="eastAsia"/>
          <w:lang w:val="en-GB"/>
        </w:rPr>
        <w:t>(1999</w:t>
      </w:r>
      <w:r>
        <w:rPr>
          <w:rFonts w:hint="eastAsia"/>
          <w:lang w:val="en-GB"/>
        </w:rPr>
        <w:t>至</w:t>
      </w:r>
      <w:r>
        <w:rPr>
          <w:rFonts w:hint="eastAsia"/>
          <w:lang w:val="en-GB"/>
        </w:rPr>
        <w:t>2008</w:t>
      </w:r>
      <w:r>
        <w:rPr>
          <w:rFonts w:hint="eastAsia"/>
          <w:lang w:val="en-GB"/>
        </w:rPr>
        <w:t>年</w:t>
      </w:r>
      <w:r>
        <w:rPr>
          <w:rFonts w:hint="eastAsia"/>
          <w:lang w:val="en-GB"/>
        </w:rPr>
        <w:t>)</w:t>
      </w:r>
      <w:r>
        <w:rPr>
          <w:rFonts w:hint="eastAsia"/>
          <w:lang w:val="en-GB"/>
        </w:rPr>
        <w:t>》的文件，每两年将该文件更新一次</w:t>
      </w:r>
      <w:r>
        <w:rPr>
          <w:rStyle w:val="FootnoteReference"/>
        </w:rPr>
        <w:footnoteReference w:id="57"/>
      </w:r>
      <w:r>
        <w:rPr>
          <w:rFonts w:hint="eastAsia"/>
          <w:lang w:val="en-GB"/>
        </w:rPr>
        <w:t>。国家教育小</w:t>
      </w:r>
      <w:r>
        <w:rPr>
          <w:lang w:val="en-GB"/>
        </w:rPr>
        <w:t>组</w:t>
      </w:r>
      <w:r>
        <w:rPr>
          <w:rStyle w:val="FootnoteReference"/>
        </w:rPr>
        <w:footnoteReference w:id="58"/>
      </w:r>
      <w:r>
        <w:rPr>
          <w:rStyle w:val="FootnoteReference"/>
        </w:rPr>
        <w:t xml:space="preserve"> </w:t>
      </w:r>
      <w:r>
        <w:rPr>
          <w:rFonts w:hint="eastAsia"/>
          <w:lang w:val="en-GB"/>
        </w:rPr>
        <w:t>继续进行关于学生教育需求增加的特别调查。</w:t>
      </w:r>
    </w:p>
    <w:p w:rsidR="00334AE2" w:rsidRDefault="00334AE2">
      <w:pPr>
        <w:pStyle w:val="SingleTxtGC"/>
        <w:rPr>
          <w:lang w:val="en-GB"/>
        </w:rPr>
      </w:pPr>
      <w:r>
        <w:rPr>
          <w:lang w:val="en-GB"/>
        </w:rPr>
        <w:t xml:space="preserve">199.  </w:t>
      </w:r>
      <w:r>
        <w:rPr>
          <w:rFonts w:hint="eastAsia"/>
          <w:lang w:val="en-GB"/>
        </w:rPr>
        <w:t>鉴于对关于融合教育的国际交流的重视，联邦和各州将继续支持欧盟的“欧洲发展特需教育机构”。</w:t>
      </w:r>
    </w:p>
    <w:p w:rsidR="00334AE2" w:rsidRDefault="00334AE2">
      <w:pPr>
        <w:pStyle w:val="SingleTxtGC"/>
        <w:rPr>
          <w:lang w:val="en-GB"/>
        </w:rPr>
      </w:pPr>
      <w:r>
        <w:rPr>
          <w:lang w:val="en-GB"/>
        </w:rPr>
        <w:t xml:space="preserve">200.  </w:t>
      </w:r>
      <w:r>
        <w:rPr>
          <w:rFonts w:hint="eastAsia"/>
          <w:lang w:val="en-GB"/>
        </w:rPr>
        <w:t>近年来，残疾学生的学习条件已大为改善。高等教育机构和学生会已在无障碍结构上投资，发展特别咨询服务，建立了一个弱势补偿系统。根据《高等教育框架法》</w:t>
      </w:r>
      <w:r>
        <w:rPr>
          <w:rFonts w:hint="eastAsia"/>
          <w:lang w:val="en-GB"/>
        </w:rPr>
        <w:t>(</w:t>
      </w:r>
      <w:r>
        <w:rPr>
          <w:i/>
          <w:iCs/>
          <w:lang w:val="en-GB"/>
        </w:rPr>
        <w:t>Hochschulrahmengesetz</w:t>
      </w:r>
      <w:r>
        <w:rPr>
          <w:rFonts w:hint="eastAsia"/>
          <w:lang w:val="en-GB"/>
        </w:rPr>
        <w:t>)</w:t>
      </w:r>
      <w:r>
        <w:rPr>
          <w:rFonts w:hint="eastAsia"/>
          <w:lang w:val="en-GB"/>
        </w:rPr>
        <w:t>中的相应法规，高等教育机构必须确保残疾学生在学习上不会被置于不利处境，使他们尽可能在没有他人协助的情况下，接受高等教育机构提供的课程。在考试规则中，尽可能考虑他们的特殊利益。目前，这些法规大部分在各州法律中得到实施。联邦政府支持各州和高等教育机构通过增加无障碍服务来增加残疾学生数量的努力。</w:t>
      </w:r>
    </w:p>
    <w:p w:rsidR="00334AE2" w:rsidRDefault="00334AE2">
      <w:pPr>
        <w:pStyle w:val="SingleTxtGC"/>
        <w:rPr>
          <w:lang w:val="en-GB"/>
        </w:rPr>
      </w:pPr>
      <w:r>
        <w:rPr>
          <w:lang w:val="en-GB"/>
        </w:rPr>
        <w:t xml:space="preserve">201.  </w:t>
      </w:r>
      <w:r>
        <w:rPr>
          <w:rFonts w:hint="eastAsia"/>
          <w:lang w:val="en-GB"/>
        </w:rPr>
        <w:t>与此同时，由于高等教育机构自主权增加产生的后果，对残疾学生也出现了新障碍，需要加以克服。这尤其涉及学习登记</w:t>
      </w:r>
      <w:r>
        <w:rPr>
          <w:rFonts w:hint="eastAsia"/>
          <w:lang w:val="en-GB"/>
        </w:rPr>
        <w:t>(</w:t>
      </w:r>
      <w:r>
        <w:rPr>
          <w:rFonts w:hint="eastAsia"/>
          <w:lang w:val="en-GB"/>
        </w:rPr>
        <w:t>个体选择条例</w:t>
      </w:r>
      <w:r>
        <w:rPr>
          <w:rFonts w:hint="eastAsia"/>
          <w:lang w:val="en-GB"/>
        </w:rPr>
        <w:t>)</w:t>
      </w:r>
      <w:r>
        <w:rPr>
          <w:rFonts w:hint="eastAsia"/>
          <w:lang w:val="en-GB"/>
        </w:rPr>
        <w:t>和学习设计</w:t>
      </w:r>
      <w:r>
        <w:rPr>
          <w:rFonts w:hint="eastAsia"/>
          <w:lang w:val="en-GB"/>
        </w:rPr>
        <w:t>(</w:t>
      </w:r>
      <w:r>
        <w:rPr>
          <w:rFonts w:hint="eastAsia"/>
          <w:lang w:val="en-GB"/>
        </w:rPr>
        <w:t>例如，关于学习程序的条例、考试规则</w:t>
      </w:r>
      <w:r>
        <w:rPr>
          <w:rFonts w:hint="eastAsia"/>
          <w:lang w:val="en-GB"/>
        </w:rPr>
        <w:t>)</w:t>
      </w:r>
      <w:r>
        <w:rPr>
          <w:rFonts w:hint="eastAsia"/>
          <w:lang w:val="en-GB"/>
        </w:rPr>
        <w:t>。</w:t>
      </w:r>
    </w:p>
    <w:p w:rsidR="00334AE2" w:rsidRDefault="00334AE2">
      <w:pPr>
        <w:pStyle w:val="SingleTxtGC"/>
        <w:rPr>
          <w:lang w:val="en-GB"/>
        </w:rPr>
      </w:pPr>
      <w:r>
        <w:rPr>
          <w:lang w:val="en-GB"/>
        </w:rPr>
        <w:t xml:space="preserve">202.  </w:t>
      </w:r>
      <w:r>
        <w:rPr>
          <w:rFonts w:hint="eastAsia"/>
          <w:lang w:val="en-GB"/>
        </w:rPr>
        <w:t>随着题为《高等教育机构为全民》的建议获得一致通过，高等教育机构</w:t>
      </w:r>
      <w:r>
        <w:rPr>
          <w:rFonts w:hint="eastAsia"/>
          <w:lang w:val="en-GB"/>
        </w:rPr>
        <w:t>2009</w:t>
      </w:r>
      <w:r>
        <w:rPr>
          <w:rFonts w:hint="eastAsia"/>
          <w:lang w:val="en-GB"/>
        </w:rPr>
        <w:t>年</w:t>
      </w:r>
      <w:r>
        <w:rPr>
          <w:rFonts w:hint="eastAsia"/>
          <w:lang w:val="en-GB"/>
        </w:rPr>
        <w:t>4</w:t>
      </w:r>
      <w:r>
        <w:rPr>
          <w:rFonts w:hint="eastAsia"/>
          <w:lang w:val="en-GB"/>
        </w:rPr>
        <w:t>月采取措施，为有残疾或慢性疾病的学生，提供平等机会。</w:t>
      </w:r>
    </w:p>
    <w:p w:rsidR="00334AE2" w:rsidRDefault="00334AE2">
      <w:pPr>
        <w:pStyle w:val="SingleTxtGC"/>
        <w:rPr>
          <w:lang w:val="en-GB"/>
        </w:rPr>
      </w:pPr>
      <w:r>
        <w:rPr>
          <w:lang w:val="en-GB"/>
        </w:rPr>
        <w:t xml:space="preserve">203.  </w:t>
      </w:r>
      <w:r>
        <w:rPr>
          <w:rFonts w:hint="eastAsia"/>
          <w:lang w:val="en-GB"/>
        </w:rPr>
        <w:t>在文化和教育部长会议</w:t>
      </w:r>
      <w:r>
        <w:rPr>
          <w:rFonts w:hint="eastAsia"/>
          <w:lang w:val="en-GB"/>
        </w:rPr>
        <w:t>1982</w:t>
      </w:r>
      <w:r>
        <w:rPr>
          <w:rFonts w:hint="eastAsia"/>
          <w:lang w:val="en-GB"/>
        </w:rPr>
        <w:t>年</w:t>
      </w:r>
      <w:r>
        <w:rPr>
          <w:rFonts w:hint="eastAsia"/>
          <w:lang w:val="en-GB"/>
        </w:rPr>
        <w:t>(1982</w:t>
      </w:r>
      <w:r>
        <w:rPr>
          <w:rFonts w:hint="eastAsia"/>
          <w:lang w:val="en-GB"/>
        </w:rPr>
        <w:t>年</w:t>
      </w:r>
      <w:r>
        <w:rPr>
          <w:rFonts w:hint="eastAsia"/>
          <w:lang w:val="en-GB"/>
        </w:rPr>
        <w:t>6</w:t>
      </w:r>
      <w:r>
        <w:rPr>
          <w:rFonts w:hint="eastAsia"/>
          <w:lang w:val="en-GB"/>
        </w:rPr>
        <w:t>月</w:t>
      </w:r>
      <w:r>
        <w:rPr>
          <w:rFonts w:hint="eastAsia"/>
          <w:lang w:val="en-GB"/>
        </w:rPr>
        <w:t>25</w:t>
      </w:r>
      <w:r>
        <w:rPr>
          <w:rFonts w:hint="eastAsia"/>
          <w:lang w:val="en-GB"/>
        </w:rPr>
        <w:t>日</w:t>
      </w:r>
      <w:r>
        <w:rPr>
          <w:rFonts w:hint="eastAsia"/>
          <w:lang w:val="en-GB"/>
        </w:rPr>
        <w:t>)</w:t>
      </w:r>
      <w:r>
        <w:rPr>
          <w:rFonts w:hint="eastAsia"/>
          <w:lang w:val="en-GB"/>
        </w:rPr>
        <w:t>建议的基础上，联邦政府正在德国全国学生事务协会，推动建立学习和残疾信息和咨询机构，将它作为有残疾和慢性病患学生的卓越中心</w:t>
      </w:r>
      <w:r>
        <w:rPr>
          <w:rFonts w:hint="eastAsia"/>
          <w:lang w:val="en-GB"/>
        </w:rPr>
        <w:t>(</w:t>
      </w:r>
      <w:r>
        <w:rPr>
          <w:rFonts w:hint="eastAsia"/>
          <w:lang w:val="en-GB"/>
        </w:rPr>
        <w:t>每年约有</w:t>
      </w:r>
      <w:r>
        <w:rPr>
          <w:rFonts w:hint="eastAsia"/>
          <w:lang w:val="en-GB"/>
        </w:rPr>
        <w:t>360,000</w:t>
      </w:r>
      <w:r>
        <w:rPr>
          <w:rFonts w:hint="eastAsia"/>
          <w:lang w:val="en-GB"/>
        </w:rPr>
        <w:t>欧元的经费</w:t>
      </w:r>
      <w:r>
        <w:rPr>
          <w:rFonts w:hint="eastAsia"/>
          <w:lang w:val="en-GB"/>
        </w:rPr>
        <w:t>)</w:t>
      </w:r>
      <w:r>
        <w:rPr>
          <w:rFonts w:hint="eastAsia"/>
          <w:lang w:val="en-GB"/>
        </w:rPr>
        <w:t>。</w:t>
      </w:r>
    </w:p>
    <w:p w:rsidR="00334AE2" w:rsidRDefault="00334AE2">
      <w:pPr>
        <w:pStyle w:val="SingleTxtGC"/>
        <w:rPr>
          <w:bCs/>
          <w:lang w:val="en-GB"/>
        </w:rPr>
      </w:pPr>
      <w:r>
        <w:rPr>
          <w:bCs/>
          <w:lang w:val="en-GB"/>
        </w:rPr>
        <w:t xml:space="preserve">204.  </w:t>
      </w:r>
      <w:r>
        <w:rPr>
          <w:rFonts w:hint="eastAsia"/>
          <w:lang w:val="en-GB"/>
        </w:rPr>
        <w:t>此外，联邦政府正在推动题为《无歧视高等教育机构》的研究项目。除其他外，该项研究将揭示导致残障人在高等教育机构处于不利处境的结构和机制。将于</w:t>
      </w:r>
      <w:r>
        <w:rPr>
          <w:rFonts w:hint="eastAsia"/>
          <w:lang w:val="en-GB"/>
        </w:rPr>
        <w:t>2011</w:t>
      </w:r>
      <w:r>
        <w:rPr>
          <w:rFonts w:hint="eastAsia"/>
          <w:lang w:val="en-GB"/>
        </w:rPr>
        <w:t>年以手册形式向高等教育机构公布研究结果。为了完善现有数据，联邦政府在</w:t>
      </w:r>
      <w:r>
        <w:rPr>
          <w:rFonts w:hint="eastAsia"/>
          <w:lang w:val="en-GB"/>
        </w:rPr>
        <w:t>2011/2012</w:t>
      </w:r>
      <w:r>
        <w:rPr>
          <w:rFonts w:hint="eastAsia"/>
          <w:lang w:val="en-GB"/>
        </w:rPr>
        <w:t>年资助德国全国学生事务协会进行一项关于在学士</w:t>
      </w:r>
      <w:r>
        <w:rPr>
          <w:rFonts w:hint="eastAsia"/>
          <w:lang w:val="en-GB"/>
        </w:rPr>
        <w:t>/</w:t>
      </w:r>
      <w:r>
        <w:rPr>
          <w:rFonts w:hint="eastAsia"/>
          <w:lang w:val="en-GB"/>
        </w:rPr>
        <w:t>硕士学习系统中的有残疾或慢性疾病的学生的状况的全面调查。</w:t>
      </w:r>
    </w:p>
    <w:p w:rsidR="00334AE2" w:rsidRDefault="00334AE2">
      <w:pPr>
        <w:pStyle w:val="SingleTxtGC"/>
        <w:rPr>
          <w:lang w:val="en-GB"/>
        </w:rPr>
      </w:pPr>
      <w:r>
        <w:rPr>
          <w:lang w:val="en-GB"/>
        </w:rPr>
        <w:t xml:space="preserve">205.  </w:t>
      </w:r>
      <w:r>
        <w:rPr>
          <w:rFonts w:hint="eastAsia"/>
          <w:lang w:val="en-GB"/>
        </w:rPr>
        <w:t>残疾女学生面临相当大的风险，与性别有关和与残疾有关的不利处境一起出现。</w:t>
      </w:r>
      <w:r>
        <w:rPr>
          <w:lang w:val="en-GB"/>
        </w:rPr>
        <w:t>Hildegardis</w:t>
      </w:r>
      <w:r>
        <w:rPr>
          <w:rFonts w:hint="eastAsia"/>
          <w:lang w:val="en-GB"/>
        </w:rPr>
        <w:t>协会正在开展的残疾女学生辅导项目，在欧洲是独特的</w:t>
      </w:r>
      <w:r>
        <w:rPr>
          <w:rFonts w:hint="eastAsia"/>
          <w:lang w:val="en-GB"/>
        </w:rPr>
        <w:t>(</w:t>
      </w:r>
      <w:r>
        <w:rPr>
          <w:rFonts w:hint="eastAsia"/>
          <w:lang w:val="en-GB"/>
        </w:rPr>
        <w:t>在</w:t>
      </w:r>
      <w:r>
        <w:rPr>
          <w:rFonts w:hint="eastAsia"/>
          <w:lang w:val="en-GB"/>
        </w:rPr>
        <w:t>2011</w:t>
      </w:r>
      <w:r>
        <w:rPr>
          <w:rFonts w:hint="eastAsia"/>
          <w:lang w:val="en-GB"/>
        </w:rPr>
        <w:t>年，将是第三和最后辅导阶段</w:t>
      </w:r>
      <w:r>
        <w:rPr>
          <w:rFonts w:hint="eastAsia"/>
          <w:lang w:val="en-GB"/>
        </w:rPr>
        <w:t>)</w:t>
      </w:r>
      <w:r>
        <w:rPr>
          <w:rFonts w:hint="eastAsia"/>
          <w:lang w:val="en-GB"/>
        </w:rPr>
        <w:t>。该项目是由</w:t>
      </w:r>
      <w:r>
        <w:rPr>
          <w:lang w:val="en-GB"/>
        </w:rPr>
        <w:t>康特甘</w:t>
      </w:r>
      <w:r>
        <w:rPr>
          <w:rFonts w:hint="eastAsia"/>
          <w:lang w:val="en-GB"/>
        </w:rPr>
        <w:t>基金会</w:t>
      </w:r>
      <w:r>
        <w:rPr>
          <w:rFonts w:hint="eastAsia"/>
          <w:lang w:val="en-GB"/>
        </w:rPr>
        <w:t xml:space="preserve">(Contergan </w:t>
      </w:r>
      <w:r>
        <w:rPr>
          <w:lang w:val="en-GB"/>
        </w:rPr>
        <w:t>Foundation</w:t>
      </w:r>
      <w:r>
        <w:rPr>
          <w:rFonts w:hint="eastAsia"/>
          <w:lang w:val="en-GB"/>
        </w:rPr>
        <w:t>)</w:t>
      </w:r>
      <w:r>
        <w:rPr>
          <w:rFonts w:hint="eastAsia"/>
          <w:lang w:val="en-GB"/>
        </w:rPr>
        <w:t>资助的，是由联邦家庭事务、老年公民、妇女和青年事务部通过资助个体模块</w:t>
      </w:r>
      <w:r>
        <w:rPr>
          <w:rFonts w:hint="eastAsia"/>
          <w:lang w:val="en-GB"/>
        </w:rPr>
        <w:t>(</w:t>
      </w:r>
      <w:r>
        <w:rPr>
          <w:rFonts w:hint="eastAsia"/>
          <w:lang w:val="en-GB"/>
        </w:rPr>
        <w:t>如会议</w:t>
      </w:r>
      <w:r>
        <w:rPr>
          <w:rFonts w:hint="eastAsia"/>
          <w:lang w:val="en-GB"/>
        </w:rPr>
        <w:t>)</w:t>
      </w:r>
      <w:r>
        <w:rPr>
          <w:rFonts w:hint="eastAsia"/>
          <w:lang w:val="en-GB"/>
        </w:rPr>
        <w:t>推动的。</w:t>
      </w:r>
    </w:p>
    <w:p w:rsidR="00334AE2" w:rsidRDefault="00334AE2">
      <w:pPr>
        <w:pStyle w:val="H1GC"/>
        <w:rPr>
          <w:lang w:val="en-GB"/>
        </w:rPr>
      </w:pPr>
      <w:bookmarkStart w:id="28" w:name="_Toc303932237"/>
      <w:r>
        <w:rPr>
          <w:lang w:val="en-GB"/>
        </w:rPr>
        <w:tab/>
      </w:r>
      <w:r>
        <w:rPr>
          <w:lang w:val="en-GB"/>
        </w:rPr>
        <w:tab/>
      </w:r>
      <w:bookmarkEnd w:id="28"/>
      <w:r>
        <w:rPr>
          <w:rFonts w:hint="eastAsia"/>
          <w:lang w:val="en-GB"/>
        </w:rPr>
        <w:t>第二十五条</w:t>
      </w:r>
      <w:r>
        <w:rPr>
          <w:rFonts w:hint="eastAsia"/>
          <w:lang w:val="en-GB"/>
        </w:rPr>
        <w:br/>
      </w:r>
      <w:r>
        <w:rPr>
          <w:rFonts w:hint="eastAsia"/>
          <w:lang w:val="en-GB"/>
        </w:rPr>
        <w:t>健康</w:t>
      </w:r>
    </w:p>
    <w:p w:rsidR="00334AE2" w:rsidRDefault="00334AE2">
      <w:pPr>
        <w:pStyle w:val="SingleTxtGC"/>
        <w:rPr>
          <w:lang w:val="en-GB"/>
        </w:rPr>
      </w:pPr>
      <w:r>
        <w:rPr>
          <w:lang w:val="en-GB"/>
        </w:rPr>
        <w:t xml:space="preserve">206.  </w:t>
      </w:r>
      <w:r>
        <w:rPr>
          <w:rFonts w:hint="eastAsia"/>
          <w:lang w:val="en-GB"/>
        </w:rPr>
        <w:t>在德意志联邦共和国，健康支持属于联邦、各州、地方当局及医疗保险机构和长期护理保险机构负责的事项。在主要《社会法典》</w:t>
      </w:r>
      <w:r>
        <w:rPr>
          <w:rFonts w:hint="eastAsia"/>
          <w:lang w:val="en-GB"/>
        </w:rPr>
        <w:t>(</w:t>
      </w:r>
      <w:r>
        <w:rPr>
          <w:rFonts w:hint="eastAsia"/>
          <w:lang w:val="en-GB"/>
        </w:rPr>
        <w:t>《社会法典》第五部</w:t>
      </w:r>
      <w:r>
        <w:rPr>
          <w:rFonts w:hint="eastAsia"/>
          <w:spacing w:val="-60"/>
          <w:lang w:val="en-GB"/>
        </w:rPr>
        <w:t>―</w:t>
      </w:r>
      <w:r>
        <w:rPr>
          <w:rFonts w:hint="eastAsia"/>
          <w:spacing w:val="10"/>
          <w:lang w:val="en-GB"/>
        </w:rPr>
        <w:t>―</w:t>
      </w:r>
      <w:r>
        <w:rPr>
          <w:rFonts w:hint="eastAsia"/>
          <w:lang w:val="en-GB"/>
        </w:rPr>
        <w:t>法定医疗保险，《社会法典》第十一部</w:t>
      </w:r>
      <w:r>
        <w:rPr>
          <w:rFonts w:hint="eastAsia"/>
          <w:spacing w:val="-60"/>
          <w:lang w:val="en-GB"/>
        </w:rPr>
        <w:t>―</w:t>
      </w:r>
      <w:r>
        <w:rPr>
          <w:rFonts w:hint="eastAsia"/>
          <w:spacing w:val="10"/>
          <w:lang w:val="en-GB"/>
        </w:rPr>
        <w:t>―</w:t>
      </w:r>
      <w:r>
        <w:rPr>
          <w:rFonts w:hint="eastAsia"/>
          <w:lang w:val="en-GB"/>
        </w:rPr>
        <w:t>社会长期护理保险</w:t>
      </w:r>
      <w:r>
        <w:rPr>
          <w:rFonts w:hint="eastAsia"/>
          <w:lang w:val="en-GB"/>
        </w:rPr>
        <w:t>)</w:t>
      </w:r>
      <w:r>
        <w:rPr>
          <w:rFonts w:hint="eastAsia"/>
          <w:lang w:val="en-GB"/>
        </w:rPr>
        <w:t>和各州《医疗服务法》中，载有法律依据。</w:t>
      </w:r>
    </w:p>
    <w:p w:rsidR="00334AE2" w:rsidRDefault="00334AE2">
      <w:pPr>
        <w:pStyle w:val="SingleTxtGC"/>
        <w:rPr>
          <w:lang w:val="en-GB"/>
        </w:rPr>
      </w:pPr>
      <w:r>
        <w:rPr>
          <w:lang w:val="en-GB"/>
        </w:rPr>
        <w:t xml:space="preserve">207.  </w:t>
      </w:r>
      <w:r>
        <w:rPr>
          <w:rFonts w:hint="eastAsia"/>
          <w:lang w:val="en-GB"/>
        </w:rPr>
        <w:t>法定医疗保险在健康支持系统中发挥着决定性作用。它为所有投保人的医疗提供实物补贴。补贴与公认的医学知识状况相适应，并考虑医学的进步。这同样适用于残疾人。《社会法典》第五部包含一个单独的专门关注残疾人利益的条款</w:t>
      </w:r>
      <w:r>
        <w:rPr>
          <w:rFonts w:hint="eastAsia"/>
          <w:lang w:val="en-GB"/>
        </w:rPr>
        <w:t>(</w:t>
      </w:r>
      <w:r>
        <w:rPr>
          <w:rFonts w:hint="eastAsia"/>
          <w:lang w:val="en-GB"/>
        </w:rPr>
        <w:t>《社会法典》第五部第</w:t>
      </w:r>
      <w:r>
        <w:rPr>
          <w:lang w:val="en-GB"/>
        </w:rPr>
        <w:t>2a</w:t>
      </w:r>
      <w:r>
        <w:rPr>
          <w:rFonts w:hint="eastAsia"/>
          <w:lang w:val="en-GB"/>
        </w:rPr>
        <w:t>条</w:t>
      </w:r>
      <w:r>
        <w:rPr>
          <w:rFonts w:hint="eastAsia"/>
          <w:lang w:val="en-GB"/>
        </w:rPr>
        <w:t>)</w:t>
      </w:r>
      <w:r>
        <w:rPr>
          <w:rFonts w:hint="eastAsia"/>
          <w:lang w:val="en-GB"/>
        </w:rPr>
        <w:t>。因此，考虑了残疾人的特别利益。</w:t>
      </w:r>
    </w:p>
    <w:p w:rsidR="00334AE2" w:rsidRDefault="00334AE2">
      <w:pPr>
        <w:pStyle w:val="SingleTxtGC"/>
        <w:rPr>
          <w:lang w:val="en-GB"/>
        </w:rPr>
      </w:pPr>
      <w:r>
        <w:rPr>
          <w:lang w:val="en-GB"/>
        </w:rPr>
        <w:t xml:space="preserve">208.  </w:t>
      </w:r>
      <w:r>
        <w:rPr>
          <w:rFonts w:hint="eastAsia"/>
          <w:lang w:val="en-GB"/>
        </w:rPr>
        <w:t>根据《社会法典》第五部，投保人有权获得必</w:t>
      </w:r>
      <w:r>
        <w:rPr>
          <w:rFonts w:cs="SimHei" w:hint="eastAsia"/>
          <w:lang w:val="en-GB"/>
        </w:rPr>
        <w:t>要的补贴，特别是为医疗康复获得补贴，以避免、减轻或补偿残疾或长期护理需求。这些补贴也包括成年人疾病的早识别补贴，以及残疾儿童和处于残疾风险的儿童的早诊断和促进补贴。根据《社会法典》第六部所载法规，法定养老保险也为儿童和青少年的医疗康复提供补贴，以克服他们的健康面临的相当大的风险，或恢复或改善已经受到损害的健康。</w:t>
      </w:r>
    </w:p>
    <w:p w:rsidR="00334AE2" w:rsidRDefault="00334AE2">
      <w:pPr>
        <w:pStyle w:val="SingleTxtGC"/>
        <w:rPr>
          <w:lang w:val="en-GB"/>
        </w:rPr>
      </w:pPr>
      <w:r>
        <w:rPr>
          <w:lang w:val="en-GB"/>
        </w:rPr>
        <w:t xml:space="preserve">209.  </w:t>
      </w:r>
      <w:r>
        <w:rPr>
          <w:rFonts w:hint="eastAsia"/>
          <w:lang w:val="en-GB"/>
        </w:rPr>
        <w:t>联合联邦委员会</w:t>
      </w:r>
      <w:r>
        <w:rPr>
          <w:rStyle w:val="FootnoteReference"/>
        </w:rPr>
        <w:footnoteReference w:id="59"/>
      </w:r>
      <w:r>
        <w:rPr>
          <w:rStyle w:val="FootnoteReference"/>
        </w:rPr>
        <w:t xml:space="preserve"> </w:t>
      </w:r>
      <w:r>
        <w:rPr>
          <w:rFonts w:hint="eastAsia"/>
          <w:lang w:val="en-GB"/>
        </w:rPr>
        <w:t>正在不断完善儿童和青少年的早识别检查。自</w:t>
      </w:r>
      <w:r>
        <w:rPr>
          <w:rFonts w:hint="eastAsia"/>
          <w:lang w:val="en-GB"/>
        </w:rPr>
        <w:t>2005</w:t>
      </w:r>
      <w:r>
        <w:rPr>
          <w:rFonts w:hint="eastAsia"/>
          <w:lang w:val="en-GB"/>
        </w:rPr>
        <w:t>年</w:t>
      </w:r>
      <w:r>
        <w:rPr>
          <w:rFonts w:hint="eastAsia"/>
          <w:lang w:val="en-GB"/>
        </w:rPr>
        <w:t>4</w:t>
      </w:r>
      <w:r>
        <w:rPr>
          <w:rFonts w:hint="eastAsia"/>
          <w:lang w:val="en-GB"/>
        </w:rPr>
        <w:t>月，扩大了新生儿筛查，包括</w:t>
      </w:r>
      <w:r>
        <w:rPr>
          <w:rFonts w:hint="eastAsia"/>
          <w:lang w:val="en-GB"/>
        </w:rPr>
        <w:t>12</w:t>
      </w:r>
      <w:r>
        <w:rPr>
          <w:rFonts w:hint="eastAsia"/>
          <w:lang w:val="en-GB"/>
        </w:rPr>
        <w:t>项目标疾病的检查。自</w:t>
      </w:r>
      <w:r>
        <w:rPr>
          <w:rFonts w:hint="eastAsia"/>
          <w:lang w:val="en-GB"/>
        </w:rPr>
        <w:t>2009</w:t>
      </w:r>
      <w:r>
        <w:rPr>
          <w:rFonts w:hint="eastAsia"/>
          <w:lang w:val="en-GB"/>
        </w:rPr>
        <w:t>年</w:t>
      </w:r>
      <w:r>
        <w:rPr>
          <w:rFonts w:hint="eastAsia"/>
          <w:lang w:val="en-GB"/>
        </w:rPr>
        <w:t>1</w:t>
      </w:r>
      <w:r>
        <w:rPr>
          <w:rFonts w:hint="eastAsia"/>
          <w:lang w:val="en-GB"/>
        </w:rPr>
        <w:t>月，对新生儿进行听力障碍筛查，这是法定医疗保险的一项强制性福利。</w:t>
      </w:r>
      <w:r>
        <w:rPr>
          <w:rFonts w:hint="eastAsia"/>
          <w:lang w:val="en-GB"/>
        </w:rPr>
        <w:t>2008</w:t>
      </w:r>
      <w:r>
        <w:rPr>
          <w:rFonts w:hint="eastAsia"/>
          <w:lang w:val="en-GB"/>
        </w:rPr>
        <w:t>年</w:t>
      </w:r>
      <w:r>
        <w:rPr>
          <w:rFonts w:hint="eastAsia"/>
          <w:lang w:val="en-GB"/>
        </w:rPr>
        <w:t>7</w:t>
      </w:r>
      <w:r>
        <w:rPr>
          <w:rFonts w:hint="eastAsia"/>
          <w:lang w:val="en-GB"/>
        </w:rPr>
        <w:t>月，也开始对</w:t>
      </w:r>
      <w:r>
        <w:rPr>
          <w:rFonts w:hint="eastAsia"/>
          <w:lang w:val="en-GB"/>
        </w:rPr>
        <w:t>3</w:t>
      </w:r>
      <w:r>
        <w:rPr>
          <w:rFonts w:hint="eastAsia"/>
          <w:lang w:val="en-GB"/>
        </w:rPr>
        <w:t>岁儿童进行检查。将有针对性地维持和完善为残疾人提供的高水平的医疗保健福利。这特别涉及提供优质药品和医疗辅助器材。在这方面，联邦政府将研究关于如何改进药品和医疗辅助器材、特别是向残疾人提供助听器的建议。</w:t>
      </w:r>
    </w:p>
    <w:p w:rsidR="00334AE2" w:rsidRDefault="00334AE2">
      <w:pPr>
        <w:pStyle w:val="SingleTxtGC"/>
        <w:rPr>
          <w:lang w:val="en-GB"/>
        </w:rPr>
      </w:pPr>
      <w:r>
        <w:rPr>
          <w:lang w:val="en-GB"/>
        </w:rPr>
        <w:t xml:space="preserve">210.  </w:t>
      </w:r>
      <w:r>
        <w:rPr>
          <w:rFonts w:hint="eastAsia"/>
          <w:lang w:val="en-GB"/>
        </w:rPr>
        <w:t>通过实施关于确保医疗保险主治医生供应的法规，实现在地域上可以获得门诊医疗和牙科护理，包括在农村地区</w:t>
      </w:r>
      <w:r>
        <w:rPr>
          <w:rFonts w:hint="eastAsia"/>
          <w:lang w:val="en-GB"/>
        </w:rPr>
        <w:t>(</w:t>
      </w:r>
      <w:r>
        <w:rPr>
          <w:rFonts w:hint="eastAsia"/>
          <w:lang w:val="en-GB"/>
        </w:rPr>
        <w:t>《社会法典》第五部第</w:t>
      </w:r>
      <w:r>
        <w:rPr>
          <w:rFonts w:hint="eastAsia"/>
          <w:lang w:val="en-GB"/>
        </w:rPr>
        <w:t>99</w:t>
      </w:r>
      <w:r>
        <w:rPr>
          <w:rFonts w:hint="eastAsia"/>
          <w:lang w:val="en-GB"/>
        </w:rPr>
        <w:t>条及此后条款</w:t>
      </w:r>
      <w:r>
        <w:rPr>
          <w:rFonts w:hint="eastAsia"/>
          <w:lang w:val="en-GB"/>
        </w:rPr>
        <w:t>)</w:t>
      </w:r>
      <w:r>
        <w:rPr>
          <w:rFonts w:hint="eastAsia"/>
          <w:lang w:val="en-GB"/>
        </w:rPr>
        <w:t>。在此基础上发布需求规划导则。此外，为了保持和改善农村地区的医疗和牙科护理，已经采取了进一步措施，提供更多医疗保险主治医生</w:t>
      </w:r>
      <w:r>
        <w:rPr>
          <w:rFonts w:hint="eastAsia"/>
          <w:lang w:val="en-GB"/>
        </w:rPr>
        <w:t>(</w:t>
      </w:r>
      <w:r>
        <w:rPr>
          <w:rFonts w:hint="eastAsia"/>
          <w:lang w:val="en-GB"/>
        </w:rPr>
        <w:t>计划制订《供应法》</w:t>
      </w:r>
      <w:r>
        <w:rPr>
          <w:rFonts w:hint="eastAsia"/>
          <w:lang w:val="en-GB"/>
        </w:rPr>
        <w:t>[</w:t>
      </w:r>
      <w:r>
        <w:rPr>
          <w:i/>
          <w:iCs/>
          <w:lang w:val="en-GB"/>
        </w:rPr>
        <w:t>Versorgungsgesetz</w:t>
      </w:r>
      <w:r>
        <w:rPr>
          <w:rFonts w:hint="eastAsia"/>
          <w:lang w:val="en-GB"/>
        </w:rPr>
        <w:t>])</w:t>
      </w:r>
      <w:r>
        <w:rPr>
          <w:rFonts w:hint="eastAsia"/>
          <w:lang w:val="en-GB"/>
        </w:rPr>
        <w:t>。</w:t>
      </w:r>
    </w:p>
    <w:p w:rsidR="00334AE2" w:rsidRDefault="00334AE2">
      <w:pPr>
        <w:pStyle w:val="SingleTxtGC"/>
        <w:rPr>
          <w:lang w:val="en-GB"/>
        </w:rPr>
      </w:pPr>
      <w:r>
        <w:rPr>
          <w:lang w:val="en-GB"/>
        </w:rPr>
        <w:t xml:space="preserve">211.  </w:t>
      </w:r>
      <w:r>
        <w:rPr>
          <w:rFonts w:hint="eastAsia"/>
          <w:lang w:val="en-GB"/>
        </w:rPr>
        <w:t>公共卫生服务机构负责下述领域的主要任务的实施：预防保健，促进健康，保护消费者健康，在联邦法规</w:t>
      </w:r>
      <w:r>
        <w:rPr>
          <w:rFonts w:hint="eastAsia"/>
          <w:lang w:val="en-GB"/>
        </w:rPr>
        <w:t>(</w:t>
      </w:r>
      <w:r>
        <w:rPr>
          <w:rFonts w:hint="eastAsia"/>
          <w:lang w:val="en-GB"/>
        </w:rPr>
        <w:t>如《感染保护法》</w:t>
      </w:r>
      <w:r>
        <w:rPr>
          <w:rFonts w:hint="eastAsia"/>
          <w:lang w:val="en-GB"/>
        </w:rPr>
        <w:t>)</w:t>
      </w:r>
      <w:r>
        <w:rPr>
          <w:rFonts w:hint="eastAsia"/>
          <w:lang w:val="en-GB"/>
        </w:rPr>
        <w:t>及各州法律中的具体法规基础上保护健康。对于</w:t>
      </w:r>
      <w:r>
        <w:rPr>
          <w:lang w:val="en-GB"/>
        </w:rPr>
        <w:t>患长期</w:t>
      </w:r>
      <w:r>
        <w:rPr>
          <w:rFonts w:hint="eastAsia"/>
          <w:lang w:val="en-GB"/>
        </w:rPr>
        <w:t>疾病的儿童或残疾儿童，公共卫生服务机构经常作为中间人发挥重大作用，通过咨询网络和保健设施，发挥寻</w:t>
      </w:r>
      <w:r>
        <w:rPr>
          <w:lang w:val="en-GB"/>
        </w:rPr>
        <w:t>路</w:t>
      </w:r>
      <w:r>
        <w:rPr>
          <w:rFonts w:hint="eastAsia"/>
          <w:lang w:val="en-GB"/>
        </w:rPr>
        <w:t>的作用。它在健康援助范围之内，向需要特别照顾的人提供咨询和支持。此外，卫生办公室在辅助基础上，担负为某些人口群体提供大量医疗保健服务的任务；这也经常涉及残疾人。</w:t>
      </w:r>
    </w:p>
    <w:p w:rsidR="00334AE2" w:rsidRDefault="00334AE2">
      <w:pPr>
        <w:pStyle w:val="SingleTxtGC"/>
        <w:rPr>
          <w:lang w:val="en-GB"/>
        </w:rPr>
      </w:pPr>
      <w:r>
        <w:rPr>
          <w:lang w:val="en-GB"/>
        </w:rPr>
        <w:t xml:space="preserve">212.  </w:t>
      </w:r>
      <w:r>
        <w:rPr>
          <w:rFonts w:hint="eastAsia"/>
          <w:lang w:val="en-GB"/>
        </w:rPr>
        <w:t>残疾人协会批评称，医疗手术和其他医疗设施的无障碍还不够完善</w:t>
      </w:r>
      <w:r>
        <w:rPr>
          <w:rFonts w:hint="eastAsia"/>
          <w:lang w:val="en-GB"/>
        </w:rPr>
        <w:t>(</w:t>
      </w:r>
      <w:r>
        <w:rPr>
          <w:rFonts w:hint="eastAsia"/>
          <w:lang w:val="en-GB"/>
        </w:rPr>
        <w:t>例如，对于轮椅使用者</w:t>
      </w:r>
      <w:r>
        <w:rPr>
          <w:rFonts w:hint="eastAsia"/>
          <w:lang w:val="en-GB"/>
        </w:rPr>
        <w:t>)</w:t>
      </w:r>
      <w:r>
        <w:rPr>
          <w:rStyle w:val="FootnoteReference"/>
        </w:rPr>
        <w:footnoteReference w:id="60"/>
      </w:r>
      <w:r>
        <w:rPr>
          <w:rFonts w:hint="eastAsia"/>
          <w:lang w:val="en-GB"/>
        </w:rPr>
        <w:t>。在勃兰登堡州进行的一项调查显示，可以无障碍地前往接受大约</w:t>
      </w:r>
      <w:r>
        <w:rPr>
          <w:rFonts w:hint="eastAsia"/>
          <w:lang w:val="en-GB"/>
        </w:rPr>
        <w:t>20%</w:t>
      </w:r>
      <w:r>
        <w:rPr>
          <w:rFonts w:hint="eastAsia"/>
          <w:lang w:val="en-GB"/>
        </w:rPr>
        <w:t>的医疗手术。联邦政府的目标是，在可能的地方，使所有残疾人都能够无障碍地使用卫生设施。在这方面，需要解决对残疾妇女和残疾男子的看法和他们的特定需求</w:t>
      </w:r>
      <w:r>
        <w:rPr>
          <w:lang w:val="en-GB"/>
        </w:rPr>
        <w:t>–</w:t>
      </w:r>
      <w:r>
        <w:rPr>
          <w:rFonts w:hint="eastAsia"/>
          <w:lang w:val="en-GB"/>
        </w:rPr>
        <w:t>两者都与疾病有关、与如何看待他们有关、与援助有关及与交流有关。联邦政府将与各州和医学界一起，制订一个关于无障碍医疗手术或诊所的整体概念。目标是，在未来十年里，使足够数量的医疗手术无障碍。为实现此目标，将提供适当的协助，譬如，制订医生和医院指南。</w:t>
      </w:r>
    </w:p>
    <w:p w:rsidR="00334AE2" w:rsidRDefault="00334AE2">
      <w:pPr>
        <w:pStyle w:val="SingleTxtGC"/>
        <w:rPr>
          <w:lang w:val="en-GB"/>
        </w:rPr>
      </w:pPr>
      <w:r>
        <w:rPr>
          <w:lang w:val="en-GB"/>
        </w:rPr>
        <w:t xml:space="preserve">213.  </w:t>
      </w:r>
      <w:r>
        <w:rPr>
          <w:rFonts w:hint="eastAsia"/>
          <w:lang w:val="en-GB"/>
        </w:rPr>
        <w:t>为了使人们可以使用私人医疗保险，《普遍反歧视法》第</w:t>
      </w:r>
      <w:r>
        <w:rPr>
          <w:rFonts w:hint="eastAsia"/>
          <w:lang w:val="en-GB"/>
        </w:rPr>
        <w:t>19</w:t>
      </w:r>
      <w:r>
        <w:rPr>
          <w:rFonts w:hint="eastAsia"/>
          <w:lang w:val="en-GB"/>
        </w:rPr>
        <w:t>条规定，不允许基于《普遍反歧视法》指出的理由，譬如基于残疾，在签署私人保险政策上使人处于不利处境。如果区别对待是基于认可的适当的风险计算原则，特别是精算风险评估，以及咨询统计调查，则允许基于残疾的区别对待。自</w:t>
      </w:r>
      <w:r>
        <w:rPr>
          <w:rFonts w:hint="eastAsia"/>
          <w:lang w:val="en-GB"/>
        </w:rPr>
        <w:t>2009</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日起，将被列入私人保险个人小组的残疾人，有可能根据所谓的基本保险</w:t>
      </w:r>
      <w:r>
        <w:rPr>
          <w:lang w:val="en-GB"/>
        </w:rPr>
        <w:t>率</w:t>
      </w:r>
      <w:r>
        <w:rPr>
          <w:rFonts w:hint="eastAsia"/>
          <w:lang w:val="en-GB"/>
        </w:rPr>
        <w:t>，进行私人医疗保险。在这种保险中，不允许排除保险金或风险补偿。在性质、范围和金额方面，保险金必须与法定医疗保险相称。</w:t>
      </w:r>
    </w:p>
    <w:p w:rsidR="00334AE2" w:rsidRDefault="00334AE2">
      <w:pPr>
        <w:pStyle w:val="SingleTxtGC"/>
        <w:rPr>
          <w:lang w:val="en-GB"/>
        </w:rPr>
      </w:pPr>
      <w:r>
        <w:rPr>
          <w:lang w:val="en-GB"/>
        </w:rPr>
        <w:t xml:space="preserve">214.  </w:t>
      </w:r>
      <w:r>
        <w:rPr>
          <w:rFonts w:hint="eastAsia"/>
          <w:lang w:val="en-GB"/>
        </w:rPr>
        <w:t>需要长期护理的人，包括许多残疾人，有权享有良好的长期护理。《社会法典》第十一部所载长期护理保险导则规定的长期护理，是有尊严的长期护理，目的是促进尽可能独立地生活，因此有助于自主参与社会生活。</w:t>
      </w:r>
    </w:p>
    <w:p w:rsidR="00334AE2" w:rsidRDefault="00334AE2">
      <w:pPr>
        <w:pStyle w:val="SingleTxtGC"/>
        <w:rPr>
          <w:lang w:val="en-GB"/>
        </w:rPr>
      </w:pPr>
      <w:r>
        <w:rPr>
          <w:lang w:val="en-GB"/>
        </w:rPr>
        <w:t xml:space="preserve">215.  </w:t>
      </w:r>
      <w:r>
        <w:rPr>
          <w:rFonts w:hint="eastAsia"/>
          <w:lang w:val="en-GB"/>
        </w:rPr>
        <w:t>在</w:t>
      </w:r>
      <w:r>
        <w:rPr>
          <w:rFonts w:hint="eastAsia"/>
          <w:lang w:val="en-GB"/>
        </w:rPr>
        <w:t>2008</w:t>
      </w:r>
      <w:r>
        <w:rPr>
          <w:rFonts w:hint="eastAsia"/>
          <w:lang w:val="en-GB"/>
        </w:rPr>
        <w:t>年的长期护理改革中，采取了措施，特别是为长期护理的质量和结构性改善采取了措施。在这方面，应当特别强调，根据门诊病人优于住院病人长期护理的原则，以及通过各种结构性调整，对长期护理保险进行了调整，获得的保险金增加，比以往任何时候都更好地满足了有关人的需求。更重要的是，为了提高长期护理质量、减少现有的质量缺陷及增加长期护理的透明度，采取了措施。尤其是，开发和更新的专家标准，作为质量保证的一个主要工具，已经在法律上牢固地纳入长期护理。如果长期护理保险的保险金不够，作为一项原则，有权根据《社会法典》第十二部第</w:t>
      </w:r>
      <w:r>
        <w:rPr>
          <w:rFonts w:hint="eastAsia"/>
          <w:lang w:val="en-GB"/>
        </w:rPr>
        <w:t>61</w:t>
      </w:r>
      <w:r>
        <w:rPr>
          <w:rFonts w:hint="eastAsia"/>
          <w:lang w:val="en-GB"/>
        </w:rPr>
        <w:t>至</w:t>
      </w:r>
      <w:r>
        <w:rPr>
          <w:rFonts w:hint="eastAsia"/>
          <w:lang w:val="en-GB"/>
        </w:rPr>
        <w:t>66</w:t>
      </w:r>
      <w:r>
        <w:rPr>
          <w:rFonts w:hint="eastAsia"/>
          <w:lang w:val="en-GB"/>
        </w:rPr>
        <w:t>条，从社会援助机构获得长期护理帮助。</w:t>
      </w:r>
    </w:p>
    <w:p w:rsidR="00334AE2" w:rsidRDefault="00334AE2">
      <w:pPr>
        <w:pStyle w:val="SingleTxtGC"/>
        <w:rPr>
          <w:lang w:val="en-GB"/>
        </w:rPr>
      </w:pPr>
      <w:r>
        <w:rPr>
          <w:lang w:val="en-GB"/>
        </w:rPr>
        <w:t>216.</w:t>
      </w:r>
      <w:r>
        <w:rPr>
          <w:rFonts w:hint="eastAsia"/>
          <w:lang w:val="en-GB"/>
        </w:rPr>
        <w:t xml:space="preserve">  </w:t>
      </w:r>
      <w:r>
        <w:rPr>
          <w:rFonts w:hint="eastAsia"/>
          <w:lang w:val="en-GB"/>
        </w:rPr>
        <w:t>“需要长期护理”一词，在许多情况下被批评为过于狭窄和与任务相关。联邦政府目前正在对这个词进行审议。目标是提供</w:t>
      </w:r>
      <w:r>
        <w:rPr>
          <w:lang w:val="en-GB"/>
        </w:rPr>
        <w:t>负担得起的</w:t>
      </w:r>
      <w:r>
        <w:rPr>
          <w:rFonts w:hint="eastAsia"/>
          <w:lang w:val="en-GB"/>
        </w:rPr>
        <w:t>、适合的、自主确定的及以结果为导向的长期护理。</w:t>
      </w:r>
    </w:p>
    <w:p w:rsidR="00334AE2" w:rsidRDefault="00334AE2">
      <w:pPr>
        <w:pStyle w:val="SingleTxtGC"/>
        <w:rPr>
          <w:lang w:val="en-GB"/>
        </w:rPr>
      </w:pPr>
      <w:r>
        <w:rPr>
          <w:lang w:val="en-GB"/>
        </w:rPr>
        <w:t xml:space="preserve">217.  </w:t>
      </w:r>
      <w:r>
        <w:rPr>
          <w:rFonts w:hint="eastAsia"/>
          <w:lang w:val="en-GB"/>
        </w:rPr>
        <w:t>联邦政府正在寻求改善兼顾工作与家庭长期护理，以更好的支持进行护理的亲属。因此，联邦内阁</w:t>
      </w:r>
      <w:r>
        <w:rPr>
          <w:rFonts w:hint="eastAsia"/>
          <w:lang w:val="en-GB"/>
        </w:rPr>
        <w:t>2011</w:t>
      </w:r>
      <w:r>
        <w:rPr>
          <w:rFonts w:hint="eastAsia"/>
          <w:lang w:val="en-GB"/>
        </w:rPr>
        <w:t>年</w:t>
      </w:r>
      <w:r>
        <w:rPr>
          <w:rFonts w:hint="eastAsia"/>
          <w:lang w:val="en-GB"/>
        </w:rPr>
        <w:t>3</w:t>
      </w:r>
      <w:r>
        <w:rPr>
          <w:rFonts w:hint="eastAsia"/>
          <w:lang w:val="en-GB"/>
        </w:rPr>
        <w:t>月</w:t>
      </w:r>
      <w:r>
        <w:rPr>
          <w:rFonts w:hint="eastAsia"/>
          <w:lang w:val="en-GB"/>
        </w:rPr>
        <w:t>23</w:t>
      </w:r>
      <w:r>
        <w:rPr>
          <w:rFonts w:hint="eastAsia"/>
          <w:lang w:val="en-GB"/>
        </w:rPr>
        <w:t>日通过了《兼顾长期护理与工作法草案》，其主要元素是《家庭长期护理法》。这个法案改善需要由职业近亲长期护理的人的家庭长期护理框架。用人单位与员工今后可以签署合同，同意员工为了长期护理近亲，可以在长达两年期间，减少工作时数</w:t>
      </w:r>
      <w:r>
        <w:rPr>
          <w:rFonts w:hint="eastAsia"/>
          <w:lang w:val="en-GB"/>
        </w:rPr>
        <w:t>(</w:t>
      </w:r>
      <w:r>
        <w:rPr>
          <w:rFonts w:hint="eastAsia"/>
          <w:lang w:val="en-GB"/>
        </w:rPr>
        <w:t>家庭长期护理假</w:t>
      </w:r>
      <w:r>
        <w:rPr>
          <w:rFonts w:hint="eastAsia"/>
          <w:lang w:val="en-GB"/>
        </w:rPr>
        <w:t>)</w:t>
      </w:r>
      <w:r>
        <w:rPr>
          <w:rFonts w:hint="eastAsia"/>
          <w:lang w:val="en-GB"/>
        </w:rPr>
        <w:t>。在这段时间内，他们领取补足的工作</w:t>
      </w:r>
      <w:r>
        <w:rPr>
          <w:lang w:val="en-GB"/>
        </w:rPr>
        <w:t>报酬</w:t>
      </w:r>
      <w:r>
        <w:rPr>
          <w:rFonts w:hint="eastAsia"/>
          <w:lang w:val="en-GB"/>
        </w:rPr>
        <w:t>，作为</w:t>
      </w:r>
      <w:r>
        <w:rPr>
          <w:lang w:val="en-GB"/>
        </w:rPr>
        <w:t>预先支付</w:t>
      </w:r>
      <w:r>
        <w:rPr>
          <w:rFonts w:hint="eastAsia"/>
          <w:lang w:val="en-GB"/>
        </w:rPr>
        <w:t>。补足的金额，是以前的薪金与由于减少工时产生的较低薪金之差的一半。雇主可以通过从联邦家庭和公民社会责任办公室获得无息贷款，为用于补足的金额提供资金。在家庭长期护理假结束之后，员工重新开始全时工作，但在长达两年之中继续领取减少的薪酬，直到还清在长期护理阶段用人单位预付的工资款。因此，进行长期护理的亲属能够维持生活，并避免工作经历中断。</w:t>
      </w:r>
    </w:p>
    <w:p w:rsidR="00334AE2" w:rsidRDefault="00334AE2">
      <w:pPr>
        <w:pStyle w:val="SingleTxtGC"/>
        <w:rPr>
          <w:lang w:val="en-GB"/>
        </w:rPr>
      </w:pPr>
      <w:r>
        <w:rPr>
          <w:lang w:val="en-GB"/>
        </w:rPr>
        <w:t xml:space="preserve">218.  </w:t>
      </w:r>
      <w:r>
        <w:rPr>
          <w:rFonts w:hint="eastAsia"/>
          <w:lang w:val="en-GB"/>
        </w:rPr>
        <w:t>没有对在医疗保健范围之内的自主权利、获得认真医治的权利、受教育的权利、自由选择医生和医院的权利及</w:t>
      </w:r>
      <w:r>
        <w:rPr>
          <w:rFonts w:hint="eastAsia"/>
          <w:lang w:val="en-GB"/>
        </w:rPr>
        <w:t>(</w:t>
      </w:r>
      <w:r>
        <w:rPr>
          <w:rFonts w:hint="eastAsia"/>
          <w:lang w:val="en-GB"/>
        </w:rPr>
        <w:t>有残疾</w:t>
      </w:r>
      <w:r>
        <w:rPr>
          <w:rFonts w:hint="eastAsia"/>
          <w:lang w:val="en-GB"/>
        </w:rPr>
        <w:t>)</w:t>
      </w:r>
      <w:r>
        <w:rPr>
          <w:rFonts w:hint="eastAsia"/>
          <w:lang w:val="en-GB"/>
        </w:rPr>
        <w:t>患者的其他权利进行具体规定和</w:t>
      </w:r>
      <w:r>
        <w:rPr>
          <w:lang w:val="en-GB"/>
        </w:rPr>
        <w:t>编成法典</w:t>
      </w:r>
      <w:r>
        <w:rPr>
          <w:rFonts w:hint="eastAsia"/>
          <w:lang w:val="en-GB"/>
        </w:rPr>
        <w:t>。除其他外，可以在关于卫生的法律、社会法和民法中，找到法定基础。这常常使患者难以行使权利，这对于有残疾的病人尤其困难，医生和医务人员也需要明确他们有那些法律义务。</w:t>
      </w:r>
      <w:r>
        <w:rPr>
          <w:rFonts w:hint="eastAsia"/>
          <w:lang w:val="en-GB"/>
        </w:rPr>
        <w:t>2011</w:t>
      </w:r>
      <w:r>
        <w:rPr>
          <w:rFonts w:hint="eastAsia"/>
          <w:lang w:val="en-GB"/>
        </w:rPr>
        <w:t>年</w:t>
      </w:r>
      <w:r>
        <w:rPr>
          <w:rFonts w:hint="eastAsia"/>
          <w:lang w:val="en-GB"/>
        </w:rPr>
        <w:t>3</w:t>
      </w:r>
      <w:r>
        <w:rPr>
          <w:rFonts w:hint="eastAsia"/>
          <w:lang w:val="en-GB"/>
        </w:rPr>
        <w:t>月，联邦卫生部和联邦司法部，与联邦政府病人权利专员一起，提交了一份关于德国患者权利的基本文件。为了使关于患者的法律状况更为透明，并改善病人实际行使权利的状况，将在此文件基础上，制订《患者权利法》</w:t>
      </w:r>
      <w:r>
        <w:rPr>
          <w:rFonts w:hint="eastAsia"/>
          <w:lang w:val="en-GB"/>
        </w:rPr>
        <w:t>(</w:t>
      </w:r>
      <w:r>
        <w:rPr>
          <w:i/>
          <w:iCs/>
          <w:lang w:val="en-GB"/>
        </w:rPr>
        <w:t>Patienten</w:t>
      </w:r>
      <w:r>
        <w:rPr>
          <w:i/>
          <w:iCs/>
          <w:lang w:val="en-GB"/>
        </w:rPr>
        <w:softHyphen/>
        <w:t>rechte</w:t>
      </w:r>
      <w:r>
        <w:rPr>
          <w:i/>
          <w:iCs/>
          <w:lang w:val="en-GB"/>
        </w:rPr>
        <w:softHyphen/>
        <w:t>gesetz</w:t>
      </w:r>
      <w:r>
        <w:rPr>
          <w:rFonts w:hint="eastAsia"/>
          <w:lang w:val="en-GB"/>
        </w:rPr>
        <w:t>)</w:t>
      </w:r>
      <w:r>
        <w:rPr>
          <w:rFonts w:hint="eastAsia"/>
          <w:lang w:val="en-GB"/>
        </w:rPr>
        <w:t>。此外，计划制订的法律，将有关于加强患者权利的条款，例如，从住院病人过渡到门诊病人治疗的患者权利，或者在治疗失误方面的患者权利。残疾人也将从这些法规中受益。</w:t>
      </w:r>
    </w:p>
    <w:p w:rsidR="00334AE2" w:rsidRDefault="00334AE2">
      <w:pPr>
        <w:pStyle w:val="H1GC"/>
        <w:rPr>
          <w:lang w:val="en-GB"/>
        </w:rPr>
      </w:pPr>
      <w:bookmarkStart w:id="29" w:name="_Toc303932238"/>
      <w:r>
        <w:rPr>
          <w:lang w:val="en-GB"/>
        </w:rPr>
        <w:tab/>
      </w:r>
      <w:r>
        <w:rPr>
          <w:lang w:val="en-GB"/>
        </w:rPr>
        <w:tab/>
      </w:r>
      <w:bookmarkEnd w:id="29"/>
      <w:r>
        <w:rPr>
          <w:rFonts w:hint="eastAsia"/>
          <w:lang w:val="en-GB"/>
        </w:rPr>
        <w:t>第二十六条</w:t>
      </w:r>
      <w:r>
        <w:rPr>
          <w:rFonts w:hint="eastAsia"/>
          <w:lang w:val="en-GB"/>
        </w:rPr>
        <w:br/>
      </w:r>
      <w:r>
        <w:rPr>
          <w:rFonts w:hint="eastAsia"/>
          <w:lang w:val="en-GB"/>
        </w:rPr>
        <w:t>适应训练和康复</w:t>
      </w:r>
    </w:p>
    <w:p w:rsidR="00334AE2" w:rsidRDefault="00334AE2">
      <w:pPr>
        <w:pStyle w:val="SingleTxtGC"/>
        <w:rPr>
          <w:lang w:val="en-GB"/>
        </w:rPr>
      </w:pPr>
      <w:r>
        <w:rPr>
          <w:lang w:val="en-GB"/>
        </w:rPr>
        <w:t xml:space="preserve">219.  </w:t>
      </w:r>
      <w:r>
        <w:rPr>
          <w:rFonts w:hint="eastAsia"/>
          <w:lang w:val="en-GB"/>
        </w:rPr>
        <w:t>在德国，《社会法典》第九部构成关于康复和参与的法律基础。它的目的是，促进残疾人或者面临残疾风险的人的自主和平等参与社会生活，以及避免他们陷入不利处境。《社会法典》第九部载有基本原则、程序规定、关于医疗康复的补贴的阐述、参与工作生活和参与社区生活、维护安全及其他补充津贴。在德国，康复和参与补贴，是各个社会保障机构和关于社会补偿的法律的任务。制订具体法律规则，属于每个康复机构的职责，这些法规规定补贴的权限和先决条件。《社会法典》第九部的规定直接适用，除非在特别《社会法典》中另有规定。康复机构应在它们的确定的任务和关于补贴的法规范围之内，努力确保避免发生残疾，包括慢性疾病。要克服已经发生的残疾，或者减少它的后果。机构也有义务</w:t>
      </w:r>
      <w:r>
        <w:rPr>
          <w:lang w:val="en-GB"/>
        </w:rPr>
        <w:t>跨机构</w:t>
      </w:r>
      <w:r>
        <w:rPr>
          <w:rFonts w:hint="eastAsia"/>
          <w:lang w:val="en-GB"/>
        </w:rPr>
        <w:t>告知和支持残疾人。有大约</w:t>
      </w:r>
      <w:r>
        <w:rPr>
          <w:rFonts w:hint="eastAsia"/>
          <w:lang w:val="en-GB"/>
        </w:rPr>
        <w:t>500</w:t>
      </w:r>
      <w:r>
        <w:rPr>
          <w:rFonts w:hint="eastAsia"/>
          <w:lang w:val="en-GB"/>
        </w:rPr>
        <w:t>个联合服务机构提供建议。然而，这些机构的使用率是低的，因为许多问题已经在各个机构的一般咨询单位和补贴提供商得到解决，也因为服务机构中的社会保险公司之间的跨机构合作还不能总是</w:t>
      </w:r>
      <w:r>
        <w:rPr>
          <w:lang w:val="en-GB"/>
        </w:rPr>
        <w:t>顺畅地</w:t>
      </w:r>
      <w:r>
        <w:rPr>
          <w:rFonts w:hint="eastAsia"/>
          <w:lang w:val="en-GB"/>
        </w:rPr>
        <w:t>进行。</w:t>
      </w:r>
    </w:p>
    <w:p w:rsidR="00334AE2" w:rsidRDefault="00334AE2">
      <w:pPr>
        <w:pStyle w:val="SingleTxtGC"/>
        <w:rPr>
          <w:lang w:val="en-GB"/>
        </w:rPr>
      </w:pPr>
      <w:r>
        <w:rPr>
          <w:lang w:val="en-GB"/>
        </w:rPr>
        <w:t xml:space="preserve">220.  </w:t>
      </w:r>
      <w:r>
        <w:rPr>
          <w:rFonts w:hint="eastAsia"/>
          <w:lang w:val="en-GB"/>
        </w:rPr>
        <w:t>提供参与补贴，旨在促进个人全面发展，促进或便利更容易地参与社会生活，以及尽</w:t>
      </w:r>
      <w:r>
        <w:rPr>
          <w:rFonts w:cs="SimHei" w:hint="eastAsia"/>
          <w:lang w:val="en-GB"/>
        </w:rPr>
        <w:t>可能独立自主地生活。在决定和提供补贴时，满足合法要求。考虑到受益人的利益和各个</w:t>
      </w:r>
      <w:r>
        <w:rPr>
          <w:lang w:val="en-GB"/>
        </w:rPr>
        <w:t>个案</w:t>
      </w:r>
      <w:r>
        <w:rPr>
          <w:rFonts w:hint="eastAsia"/>
          <w:lang w:val="en-GB"/>
        </w:rPr>
        <w:t>的情况，《社会法典》第九部实行提供门诊补贴优先于提供住院补贴的原则。</w:t>
      </w:r>
    </w:p>
    <w:p w:rsidR="00334AE2" w:rsidRDefault="00334AE2">
      <w:pPr>
        <w:pStyle w:val="SingleTxtGC"/>
        <w:rPr>
          <w:lang w:val="en-GB"/>
        </w:rPr>
      </w:pPr>
      <w:r>
        <w:rPr>
          <w:lang w:val="en-GB"/>
        </w:rPr>
        <w:t xml:space="preserve">221.  </w:t>
      </w:r>
      <w:r>
        <w:rPr>
          <w:rFonts w:hint="eastAsia"/>
          <w:lang w:val="en-GB"/>
        </w:rPr>
        <w:t>联邦政府拟在包容方法方面完善康复权利，并寻找解决实施方面的欠缺的可能方案，特别是在跨机构“个人预算”领域</w:t>
      </w:r>
      <w:r>
        <w:rPr>
          <w:rFonts w:hint="eastAsia"/>
          <w:lang w:val="en-GB"/>
        </w:rPr>
        <w:t>(</w:t>
      </w:r>
      <w:r>
        <w:rPr>
          <w:rFonts w:hint="eastAsia"/>
          <w:lang w:val="en-GB"/>
        </w:rPr>
        <w:t>参见第</w:t>
      </w:r>
      <w:r>
        <w:rPr>
          <w:rFonts w:hint="eastAsia"/>
          <w:lang w:val="en-GB"/>
        </w:rPr>
        <w:t>19</w:t>
      </w:r>
      <w:r>
        <w:rPr>
          <w:rFonts w:hint="eastAsia"/>
          <w:lang w:val="en-GB"/>
        </w:rPr>
        <w:t>条</w:t>
      </w:r>
      <w:r>
        <w:rPr>
          <w:rFonts w:hint="eastAsia"/>
          <w:lang w:val="en-GB"/>
        </w:rPr>
        <w:t>)</w:t>
      </w:r>
      <w:r>
        <w:rPr>
          <w:rFonts w:hint="eastAsia"/>
          <w:lang w:val="en-GB"/>
        </w:rPr>
        <w:t>、跨机构咨询及残疾儿童的早期促进方面</w:t>
      </w:r>
      <w:r>
        <w:rPr>
          <w:rFonts w:hint="eastAsia"/>
          <w:lang w:val="en-GB"/>
        </w:rPr>
        <w:t>(</w:t>
      </w:r>
      <w:r>
        <w:rPr>
          <w:rFonts w:hint="eastAsia"/>
          <w:lang w:val="en-GB"/>
        </w:rPr>
        <w:t>参见第</w:t>
      </w:r>
      <w:r>
        <w:rPr>
          <w:rFonts w:hint="eastAsia"/>
          <w:lang w:val="en-GB"/>
        </w:rPr>
        <w:t>7</w:t>
      </w:r>
      <w:r>
        <w:rPr>
          <w:rFonts w:hint="eastAsia"/>
          <w:lang w:val="en-GB"/>
        </w:rPr>
        <w:t>条</w:t>
      </w:r>
      <w:r>
        <w:rPr>
          <w:rFonts w:hint="eastAsia"/>
          <w:lang w:val="en-GB"/>
        </w:rPr>
        <w:t>)</w:t>
      </w:r>
      <w:r>
        <w:rPr>
          <w:rFonts w:hint="eastAsia"/>
          <w:lang w:val="en-GB"/>
        </w:rPr>
        <w:t>。在这方面，正在讨论一个进行参与规划的统一综合程序。在其中，全面和跨机构地确定各个个案上的个人需要。与此同时，根据循证医学的当前状态，考虑《国际功能、残疾和健康分类》中的生物</w:t>
      </w:r>
      <w:r>
        <w:rPr>
          <w:rFonts w:hint="eastAsia"/>
          <w:spacing w:val="-50"/>
          <w:lang w:val="en-GB"/>
        </w:rPr>
        <w:t>―</w:t>
      </w:r>
      <w:r>
        <w:rPr>
          <w:rFonts w:hint="eastAsia"/>
          <w:lang w:val="en-GB"/>
        </w:rPr>
        <w:t>―心理</w:t>
      </w:r>
      <w:r>
        <w:rPr>
          <w:rFonts w:hint="eastAsia"/>
          <w:spacing w:val="-50"/>
          <w:lang w:val="en-GB"/>
        </w:rPr>
        <w:t>―</w:t>
      </w:r>
      <w:r>
        <w:rPr>
          <w:rFonts w:hint="eastAsia"/>
          <w:lang w:val="en-GB"/>
        </w:rPr>
        <w:t>―社会模式，对关于重度残疾人的法律和社会补偿法的报告进行调整。此外，联邦政府将与联合服务机构一起，通过使用信息和通信技术，努力缓解和解决《社会法典》第九部的</w:t>
      </w:r>
      <w:r>
        <w:rPr>
          <w:lang w:val="en-GB"/>
        </w:rPr>
        <w:t>界面问题</w:t>
      </w:r>
      <w:r>
        <w:rPr>
          <w:rFonts w:hint="eastAsia"/>
          <w:lang w:val="en-GB"/>
        </w:rPr>
        <w:t>，特别是在“个人预算”的补贴形式方面。</w:t>
      </w:r>
    </w:p>
    <w:p w:rsidR="00334AE2" w:rsidRDefault="00334AE2">
      <w:pPr>
        <w:pStyle w:val="SingleTxtGC"/>
        <w:rPr>
          <w:lang w:val="en-GB"/>
        </w:rPr>
      </w:pPr>
      <w:r>
        <w:rPr>
          <w:lang w:val="en-GB"/>
        </w:rPr>
        <w:t xml:space="preserve">222.  </w:t>
      </w:r>
      <w:r>
        <w:rPr>
          <w:rFonts w:hint="eastAsia"/>
          <w:lang w:val="en-GB"/>
        </w:rPr>
        <w:t>联邦政府关注的一个主要问题是，确保所有残疾人可以无障碍地获得各种康复服务。为此，联邦政府将委托进行一项关于实际情况的调查。</w:t>
      </w:r>
    </w:p>
    <w:p w:rsidR="00334AE2" w:rsidRDefault="00334AE2">
      <w:pPr>
        <w:pStyle w:val="SingleTxtGC"/>
        <w:rPr>
          <w:lang w:val="en-GB"/>
        </w:rPr>
      </w:pPr>
      <w:r>
        <w:rPr>
          <w:lang w:val="en-GB"/>
        </w:rPr>
        <w:t xml:space="preserve">223.  </w:t>
      </w:r>
      <w:r>
        <w:rPr>
          <w:rFonts w:hint="eastAsia"/>
          <w:lang w:val="en-GB"/>
        </w:rPr>
        <w:t>联邦政府的进一步核心目标，是残疾人的自主和平等参与，包括参与社区生活领域。在劳动和社会事务部长会议名为“完善残疾人融入社会支助”的联邦</w:t>
      </w:r>
      <w:r>
        <w:rPr>
          <w:rFonts w:hint="eastAsia"/>
          <w:spacing w:val="-50"/>
          <w:lang w:val="en-GB"/>
        </w:rPr>
        <w:t>―</w:t>
      </w:r>
      <w:r>
        <w:rPr>
          <w:rFonts w:hint="eastAsia"/>
          <w:lang w:val="en-GB"/>
        </w:rPr>
        <w:t>―州工作小组范围之内，正在讨论残疾人融入支助的重新定位问题，从主要与机构有关转为以人为中心的参与补贴。</w:t>
      </w:r>
    </w:p>
    <w:p w:rsidR="00334AE2" w:rsidRDefault="00334AE2">
      <w:pPr>
        <w:pStyle w:val="H1GC"/>
        <w:rPr>
          <w:lang w:val="en-GB"/>
        </w:rPr>
      </w:pPr>
      <w:bookmarkStart w:id="30" w:name="_Toc303932239"/>
      <w:r>
        <w:rPr>
          <w:lang w:val="en-GB"/>
        </w:rPr>
        <w:tab/>
      </w:r>
      <w:r>
        <w:rPr>
          <w:lang w:val="en-GB"/>
        </w:rPr>
        <w:tab/>
      </w:r>
      <w:bookmarkEnd w:id="30"/>
      <w:r>
        <w:rPr>
          <w:rFonts w:hint="eastAsia"/>
          <w:lang w:val="en-GB"/>
        </w:rPr>
        <w:t>第二十七条</w:t>
      </w:r>
      <w:r>
        <w:rPr>
          <w:rFonts w:hint="eastAsia"/>
          <w:lang w:val="en-GB"/>
        </w:rPr>
        <w:br/>
      </w:r>
      <w:r>
        <w:rPr>
          <w:rFonts w:hint="eastAsia"/>
          <w:lang w:val="en-GB"/>
        </w:rPr>
        <w:t>工作和就业</w:t>
      </w:r>
    </w:p>
    <w:p w:rsidR="00334AE2" w:rsidRDefault="00334AE2">
      <w:pPr>
        <w:pStyle w:val="SingleTxtGC"/>
        <w:rPr>
          <w:lang w:val="en-GB"/>
        </w:rPr>
      </w:pPr>
      <w:r>
        <w:rPr>
          <w:lang w:val="en-GB"/>
        </w:rPr>
        <w:t xml:space="preserve">224.  </w:t>
      </w:r>
      <w:r>
        <w:rPr>
          <w:rFonts w:hint="eastAsia"/>
          <w:lang w:val="en-GB"/>
        </w:rPr>
        <w:t>参加工作，是德国残疾人政策的核心领域之一。寻求就业和找工作及保持就业，是残疾人成功参与社会生活的主要先决条件。在立法层面和在立法层面之下，都有国家规定来规范这种参与。因此，《工作场所条例》的规定赋予雇主在残疾人就业的地方建立无障碍工作场所的防护性目标。《工作场所规章》赋予这个条例具体形式，该规章规定必须达到最先进水平。《工作场所规章》是由工作场所委员会制订的。预计在</w:t>
      </w:r>
      <w:r>
        <w:rPr>
          <w:rFonts w:hint="eastAsia"/>
          <w:lang w:val="en-GB"/>
        </w:rPr>
        <w:t>2012</w:t>
      </w:r>
      <w:r>
        <w:rPr>
          <w:rFonts w:hint="eastAsia"/>
          <w:lang w:val="en-GB"/>
        </w:rPr>
        <w:t>年春季，可以公布关于工作场所无障碍的工作场所规章。雇主可以从州融合办公室，为工作场所无障碍设计和协助陪同工作申请补贴</w:t>
      </w:r>
      <w:r>
        <w:rPr>
          <w:rFonts w:hint="eastAsia"/>
          <w:lang w:val="en-GB"/>
        </w:rPr>
        <w:t>(</w:t>
      </w:r>
      <w:r>
        <w:rPr>
          <w:rFonts w:hint="eastAsia"/>
          <w:lang w:val="en-GB"/>
        </w:rPr>
        <w:t>《社会法典》第九部第</w:t>
      </w:r>
      <w:r>
        <w:rPr>
          <w:rFonts w:hint="eastAsia"/>
          <w:lang w:val="en-GB"/>
        </w:rPr>
        <w:t>102</w:t>
      </w:r>
      <w:r>
        <w:rPr>
          <w:rFonts w:hint="eastAsia"/>
          <w:lang w:val="en-GB"/>
        </w:rPr>
        <w:t>条</w:t>
      </w:r>
      <w:r>
        <w:rPr>
          <w:rFonts w:hint="eastAsia"/>
          <w:lang w:val="en-GB"/>
        </w:rPr>
        <w:t>)</w:t>
      </w:r>
      <w:r>
        <w:rPr>
          <w:rFonts w:hint="eastAsia"/>
          <w:lang w:val="en-GB"/>
        </w:rPr>
        <w:t>。此外，有对弱势的法定补偿，譬如，融入补贴、就业见习和实习补贴，雇主雇用残疾人可以领取这些补贴</w:t>
      </w:r>
      <w:r>
        <w:rPr>
          <w:rFonts w:hint="eastAsia"/>
          <w:lang w:val="en-GB"/>
        </w:rPr>
        <w:t>(</w:t>
      </w:r>
      <w:r>
        <w:rPr>
          <w:rFonts w:hint="eastAsia"/>
          <w:lang w:val="en-GB"/>
        </w:rPr>
        <w:t>《社会法</w:t>
      </w:r>
      <w:r>
        <w:rPr>
          <w:rFonts w:hint="eastAsia"/>
          <w:spacing w:val="4"/>
          <w:lang w:val="en-GB"/>
        </w:rPr>
        <w:t>典》第九部第</w:t>
      </w:r>
      <w:r>
        <w:rPr>
          <w:rFonts w:hint="eastAsia"/>
          <w:spacing w:val="4"/>
          <w:lang w:val="en-GB"/>
        </w:rPr>
        <w:t>34</w:t>
      </w:r>
      <w:r>
        <w:rPr>
          <w:rFonts w:hint="eastAsia"/>
          <w:spacing w:val="4"/>
          <w:lang w:val="en-GB"/>
        </w:rPr>
        <w:t>条</w:t>
      </w:r>
      <w:r>
        <w:rPr>
          <w:rFonts w:hint="eastAsia"/>
          <w:spacing w:val="4"/>
          <w:lang w:val="en-GB"/>
        </w:rPr>
        <w:t>)</w:t>
      </w:r>
      <w:r>
        <w:rPr>
          <w:rFonts w:hint="eastAsia"/>
          <w:spacing w:val="4"/>
          <w:lang w:val="en-GB"/>
        </w:rPr>
        <w:t>。现在仍在实行的长期存在的雇用义务和代偿性</w:t>
      </w:r>
      <w:r>
        <w:rPr>
          <w:spacing w:val="4"/>
          <w:lang w:val="en-GB"/>
        </w:rPr>
        <w:t>征税</w:t>
      </w:r>
      <w:r>
        <w:rPr>
          <w:rFonts w:hint="eastAsia"/>
          <w:spacing w:val="4"/>
          <w:lang w:val="en-GB"/>
        </w:rPr>
        <w:t>制度</w:t>
      </w:r>
      <w:r>
        <w:rPr>
          <w:rStyle w:val="FootnoteReference"/>
        </w:rPr>
        <w:footnoteReference w:id="61"/>
      </w:r>
      <w:r>
        <w:rPr>
          <w:rFonts w:hint="eastAsia"/>
          <w:lang w:val="en-GB"/>
        </w:rPr>
        <w:t>，也有助于促进残疾人参与劳动力市场。</w:t>
      </w:r>
    </w:p>
    <w:p w:rsidR="00334AE2" w:rsidRDefault="00334AE2">
      <w:pPr>
        <w:pStyle w:val="SingleTxtGC"/>
        <w:rPr>
          <w:lang w:val="en-GB"/>
        </w:rPr>
      </w:pPr>
      <w:r>
        <w:rPr>
          <w:lang w:val="en-GB"/>
        </w:rPr>
        <w:t xml:space="preserve">225.  </w:t>
      </w:r>
      <w:r>
        <w:rPr>
          <w:rFonts w:hint="eastAsia"/>
          <w:lang w:val="en-GB"/>
        </w:rPr>
        <w:t>为了提高</w:t>
      </w:r>
      <w:r>
        <w:rPr>
          <w:rFonts w:cs="SimHei" w:hint="eastAsia"/>
          <w:lang w:val="en-GB"/>
        </w:rPr>
        <w:t>行动能力，一个有重度残疾的工人自己可以在某些先决条件下，为购置机动车而获得补贴；如果</w:t>
      </w:r>
      <w:r>
        <w:rPr>
          <w:lang w:val="en-GB"/>
        </w:rPr>
        <w:t>合伙</w:t>
      </w:r>
      <w:r>
        <w:rPr>
          <w:rFonts w:hint="eastAsia"/>
          <w:lang w:val="en-GB"/>
        </w:rPr>
        <w:t>乘车，可以退还成本；或可以免费搭乘公交车。如果使用小</w:t>
      </w:r>
      <w:r>
        <w:rPr>
          <w:lang w:val="en-GB"/>
        </w:rPr>
        <w:t>轿车</w:t>
      </w:r>
      <w:r>
        <w:rPr>
          <w:rFonts w:hint="eastAsia"/>
          <w:lang w:val="en-GB"/>
        </w:rPr>
        <w:t>，他们可以要求减免税额，减免额度取决于残疾程度。</w:t>
      </w:r>
    </w:p>
    <w:p w:rsidR="00334AE2" w:rsidRDefault="00334AE2">
      <w:pPr>
        <w:pStyle w:val="SingleTxtGC"/>
        <w:rPr>
          <w:lang w:val="en-GB"/>
        </w:rPr>
      </w:pPr>
      <w:r>
        <w:rPr>
          <w:lang w:val="en-GB"/>
        </w:rPr>
        <w:t xml:space="preserve">226.  </w:t>
      </w:r>
      <w:r>
        <w:rPr>
          <w:rFonts w:hint="eastAsia"/>
          <w:lang w:val="en-GB"/>
        </w:rPr>
        <w:t>对于重度残疾人，也有特别解雇保护</w:t>
      </w:r>
      <w:r>
        <w:rPr>
          <w:rFonts w:hint="eastAsia"/>
          <w:lang w:val="en-GB"/>
        </w:rPr>
        <w:t>(</w:t>
      </w:r>
      <w:r>
        <w:rPr>
          <w:rFonts w:hint="eastAsia"/>
          <w:lang w:val="en-GB"/>
        </w:rPr>
        <w:t>《社会法典》第九部第</w:t>
      </w:r>
      <w:r>
        <w:rPr>
          <w:rFonts w:hint="eastAsia"/>
          <w:lang w:val="en-GB"/>
        </w:rPr>
        <w:t>85</w:t>
      </w:r>
      <w:r>
        <w:rPr>
          <w:rFonts w:hint="eastAsia"/>
          <w:lang w:val="en-GB"/>
        </w:rPr>
        <w:t>条及此后条款</w:t>
      </w:r>
      <w:r>
        <w:rPr>
          <w:rFonts w:hint="eastAsia"/>
          <w:lang w:val="en-GB"/>
        </w:rPr>
        <w:t>)</w:t>
      </w:r>
      <w:r>
        <w:rPr>
          <w:rFonts w:hint="eastAsia"/>
          <w:lang w:val="en-GB"/>
        </w:rPr>
        <w:t>。该条规定，在解雇之前，雇主必须征得融合办公室的同意。融合办公室检查可能保证继续就业的各种支助。如果在考虑双方利益之后，认为重度残疾人继续就业是不可能的，或不能接受的，将同意解雇。</w:t>
      </w:r>
    </w:p>
    <w:p w:rsidR="00334AE2" w:rsidRDefault="00334AE2">
      <w:pPr>
        <w:pStyle w:val="SingleTxtGC"/>
        <w:rPr>
          <w:lang w:val="en-GB"/>
        </w:rPr>
      </w:pPr>
      <w:r>
        <w:rPr>
          <w:lang w:val="en-GB"/>
        </w:rPr>
        <w:t xml:space="preserve">227.  </w:t>
      </w:r>
      <w:r>
        <w:rPr>
          <w:rFonts w:hint="eastAsia"/>
          <w:lang w:val="en-GB"/>
        </w:rPr>
        <w:t>残疾员工能够长期工作，是特别重要的。</w:t>
      </w: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日，在《社会法典》第九部中推出了公司包容性管理</w:t>
      </w:r>
      <w:r>
        <w:rPr>
          <w:rStyle w:val="FootnoteReference"/>
        </w:rPr>
        <w:footnoteReference w:id="62"/>
      </w:r>
      <w:r>
        <w:rPr>
          <w:rFonts w:hint="eastAsia"/>
          <w:lang w:val="en-GB"/>
        </w:rPr>
        <w:t>，</w:t>
      </w:r>
      <w:r>
        <w:rPr>
          <w:lang w:val="en-GB"/>
        </w:rPr>
        <w:t>妥善处理</w:t>
      </w:r>
      <w:r>
        <w:rPr>
          <w:rFonts w:hint="eastAsia"/>
          <w:lang w:val="en-GB"/>
        </w:rPr>
        <w:t>了这个必要性。如果员工</w:t>
      </w:r>
      <w:r>
        <w:rPr>
          <w:rFonts w:hint="eastAsia"/>
          <w:lang w:val="en-GB"/>
        </w:rPr>
        <w:t>(</w:t>
      </w:r>
      <w:r>
        <w:rPr>
          <w:rFonts w:hint="eastAsia"/>
          <w:lang w:val="en-GB"/>
        </w:rPr>
        <w:t>无论是否有残疾</w:t>
      </w:r>
      <w:r>
        <w:rPr>
          <w:rFonts w:hint="eastAsia"/>
          <w:lang w:val="en-GB"/>
        </w:rPr>
        <w:t>)</w:t>
      </w:r>
      <w:r>
        <w:rPr>
          <w:rFonts w:hint="eastAsia"/>
          <w:lang w:val="en-GB"/>
        </w:rPr>
        <w:t>在一年之内超过</w:t>
      </w:r>
      <w:r>
        <w:rPr>
          <w:rFonts w:hint="eastAsia"/>
          <w:lang w:val="en-GB"/>
        </w:rPr>
        <w:t>6</w:t>
      </w:r>
      <w:r>
        <w:rPr>
          <w:rFonts w:hint="eastAsia"/>
          <w:lang w:val="en-GB"/>
        </w:rPr>
        <w:t>个月不能工作，雇主必须在征得当事人的同意的情况下，澄清如何可以最好地克服不能工作状况，需要什么补贴和协助。联邦政府通过推广各种示范项目，支持小型和中型企业也实施公司包容性管理。</w:t>
      </w:r>
    </w:p>
    <w:p w:rsidR="00334AE2" w:rsidRDefault="00334AE2">
      <w:pPr>
        <w:pStyle w:val="SingleTxtGC"/>
        <w:rPr>
          <w:lang w:val="en-GB"/>
        </w:rPr>
      </w:pPr>
      <w:r>
        <w:rPr>
          <w:lang w:val="en-GB"/>
        </w:rPr>
        <w:t xml:space="preserve">228.  </w:t>
      </w:r>
      <w:r>
        <w:rPr>
          <w:rFonts w:hint="eastAsia"/>
          <w:lang w:val="en-GB"/>
        </w:rPr>
        <w:t>上述方案产生了积极影响，帮助就业率从</w:t>
      </w:r>
      <w:r>
        <w:rPr>
          <w:rFonts w:hint="eastAsia"/>
          <w:lang w:val="en-GB"/>
        </w:rPr>
        <w:t>4.0%(2003</w:t>
      </w:r>
      <w:r>
        <w:rPr>
          <w:rFonts w:hint="eastAsia"/>
          <w:lang w:val="en-GB"/>
        </w:rPr>
        <w:t>年</w:t>
      </w:r>
      <w:r>
        <w:rPr>
          <w:rFonts w:hint="eastAsia"/>
          <w:lang w:val="en-GB"/>
        </w:rPr>
        <w:t>)</w:t>
      </w:r>
      <w:r>
        <w:rPr>
          <w:rFonts w:hint="eastAsia"/>
          <w:lang w:val="en-GB"/>
        </w:rPr>
        <w:t>升至</w:t>
      </w:r>
      <w:r>
        <w:rPr>
          <w:rFonts w:hint="eastAsia"/>
          <w:lang w:val="en-GB"/>
        </w:rPr>
        <w:t>4.5%(2009</w:t>
      </w:r>
      <w:r>
        <w:rPr>
          <w:rFonts w:hint="eastAsia"/>
          <w:lang w:val="en-GB"/>
        </w:rPr>
        <w:t>年</w:t>
      </w:r>
      <w:r>
        <w:rPr>
          <w:rFonts w:hint="eastAsia"/>
          <w:lang w:val="en-GB"/>
        </w:rPr>
        <w:t>)</w:t>
      </w:r>
      <w:r>
        <w:rPr>
          <w:rFonts w:hint="eastAsia"/>
          <w:lang w:val="en-GB"/>
        </w:rPr>
        <w:t>。公共雇主尤其懂得它们雇用重度残疾人的义务。在公共领域，就业率从</w:t>
      </w:r>
      <w:r>
        <w:rPr>
          <w:rFonts w:hint="eastAsia"/>
          <w:lang w:val="en-GB"/>
        </w:rPr>
        <w:t>5.4%(2003</w:t>
      </w:r>
      <w:r>
        <w:rPr>
          <w:rFonts w:hint="eastAsia"/>
          <w:lang w:val="en-GB"/>
        </w:rPr>
        <w:t>年</w:t>
      </w:r>
      <w:r>
        <w:rPr>
          <w:rFonts w:hint="eastAsia"/>
          <w:lang w:val="en-GB"/>
        </w:rPr>
        <w:t>)</w:t>
      </w:r>
      <w:r>
        <w:rPr>
          <w:rFonts w:hint="eastAsia"/>
          <w:lang w:val="en-GB"/>
        </w:rPr>
        <w:t>升至</w:t>
      </w:r>
      <w:r>
        <w:rPr>
          <w:rFonts w:hint="eastAsia"/>
          <w:lang w:val="en-GB"/>
        </w:rPr>
        <w:t>6.3%(2009</w:t>
      </w:r>
      <w:r>
        <w:rPr>
          <w:rFonts w:hint="eastAsia"/>
          <w:lang w:val="en-GB"/>
        </w:rPr>
        <w:t>年</w:t>
      </w:r>
      <w:r>
        <w:rPr>
          <w:rFonts w:hint="eastAsia"/>
          <w:lang w:val="en-GB"/>
        </w:rPr>
        <w:t>)</w:t>
      </w:r>
      <w:r>
        <w:rPr>
          <w:rFonts w:hint="eastAsia"/>
          <w:lang w:val="en-GB"/>
        </w:rPr>
        <w:t>。</w:t>
      </w:r>
    </w:p>
    <w:p w:rsidR="00334AE2" w:rsidRDefault="00334AE2">
      <w:pPr>
        <w:pStyle w:val="SingleTxtGC"/>
        <w:rPr>
          <w:lang w:val="en-GB"/>
        </w:rPr>
      </w:pPr>
      <w:r>
        <w:rPr>
          <w:lang w:val="en-GB"/>
        </w:rPr>
        <w:t xml:space="preserve">229.  </w:t>
      </w:r>
      <w:r>
        <w:rPr>
          <w:rFonts w:hint="eastAsia"/>
          <w:lang w:val="en-GB"/>
        </w:rPr>
        <w:t>尽管对弱势提供所有补偿，残疾人仍然经常比非残疾人更难找到和保住工作。近几年，重度残疾人失业增加，就显示了这一点。在此期间，劳动力市场的发展，受到金融和经济危机的严重影响。即使看全年平均数字，</w:t>
      </w:r>
      <w:r>
        <w:rPr>
          <w:rFonts w:hint="eastAsia"/>
          <w:lang w:val="en-GB"/>
        </w:rPr>
        <w:t>2009</w:t>
      </w:r>
      <w:r>
        <w:rPr>
          <w:rFonts w:hint="eastAsia"/>
          <w:lang w:val="en-GB"/>
        </w:rPr>
        <w:t>年的重度残疾人失业率，高于总失业率，低于平均水平。在此期间，失业的重度残疾人，在失业总人数中所占比例略有下降。在过去三年里，重度残疾人的失业，没有取得像整个失业人口那样的改善。</w:t>
      </w:r>
    </w:p>
    <w:p w:rsidR="00334AE2" w:rsidRDefault="00334AE2">
      <w:pPr>
        <w:pStyle w:val="SingleTxtGC"/>
        <w:rPr>
          <w:lang w:val="en-GB"/>
        </w:rPr>
      </w:pPr>
      <w:r>
        <w:rPr>
          <w:lang w:val="en-GB"/>
        </w:rPr>
        <w:t xml:space="preserve">230.  </w:t>
      </w:r>
      <w:r>
        <w:rPr>
          <w:rFonts w:hint="eastAsia"/>
          <w:lang w:val="en-GB"/>
        </w:rPr>
        <w:t>因此，为了提高残疾人在劳动力市场上的参与，有必要作进一步努力。残疾人协会也呼吁加大促进残疾人在劳动力市场上的融入。因此，联邦政府在这一领域制订了一些举措和方案，以增加残疾人在培训和工作中的参与：</w:t>
      </w:r>
    </w:p>
    <w:p w:rsidR="00334AE2" w:rsidRDefault="00334AE2">
      <w:pPr>
        <w:pStyle w:val="SingleTxtGC"/>
        <w:numPr>
          <w:ilvl w:val="0"/>
          <w:numId w:val="33"/>
        </w:numPr>
        <w:ind w:left="1134"/>
        <w:rPr>
          <w:rFonts w:hint="eastAsia"/>
          <w:lang w:val="en-GB"/>
        </w:rPr>
      </w:pPr>
      <w:r>
        <w:rPr>
          <w:rFonts w:hint="eastAsia"/>
          <w:lang w:val="en-GB"/>
        </w:rPr>
        <w:t>联邦政府将通过实施“包容举措”，为促进重度残疾人的培训和就业，额外提供</w:t>
      </w:r>
      <w:r>
        <w:rPr>
          <w:rFonts w:hint="eastAsia"/>
          <w:lang w:val="en-GB"/>
        </w:rPr>
        <w:t>1</w:t>
      </w:r>
      <w:r>
        <w:rPr>
          <w:rFonts w:hint="eastAsia"/>
          <w:lang w:val="en-GB"/>
        </w:rPr>
        <w:t>亿欧元。与各州、工业和福利机构合作，</w:t>
      </w:r>
    </w:p>
    <w:p w:rsidR="00334AE2" w:rsidRDefault="00334AE2">
      <w:pPr>
        <w:pStyle w:val="SingleTxtGC"/>
        <w:ind w:left="2427" w:hanging="453"/>
        <w:rPr>
          <w:rFonts w:hint="eastAsia"/>
          <w:lang w:val="en-GB"/>
        </w:rPr>
      </w:pPr>
      <w:r>
        <w:rPr>
          <w:lang w:val="en-GB"/>
        </w:rPr>
        <w:t>(</w:t>
      </w:r>
      <w:r>
        <w:rPr>
          <w:rFonts w:hint="eastAsia"/>
          <w:lang w:val="en-GB"/>
        </w:rPr>
        <w:t>一</w:t>
      </w:r>
      <w:r>
        <w:rPr>
          <w:rFonts w:hint="eastAsia"/>
          <w:lang w:val="en-GB"/>
        </w:rPr>
        <w:t>)</w:t>
      </w:r>
      <w:r>
        <w:rPr>
          <w:rFonts w:hint="eastAsia"/>
          <w:lang w:val="en-GB"/>
        </w:rPr>
        <w:tab/>
      </w:r>
      <w:r>
        <w:rPr>
          <w:rFonts w:hint="eastAsia"/>
          <w:lang w:val="en-GB"/>
        </w:rPr>
        <w:t>在未来</w:t>
      </w:r>
      <w:r>
        <w:rPr>
          <w:rFonts w:hint="eastAsia"/>
          <w:lang w:val="en-GB"/>
        </w:rPr>
        <w:t>4</w:t>
      </w:r>
      <w:r>
        <w:rPr>
          <w:rFonts w:hint="eastAsia"/>
          <w:lang w:val="en-GB"/>
        </w:rPr>
        <w:t>年，为超过</w:t>
      </w:r>
      <w:r>
        <w:rPr>
          <w:rFonts w:hint="eastAsia"/>
          <w:lang w:val="en-GB"/>
        </w:rPr>
        <w:t>50</w:t>
      </w:r>
      <w:r>
        <w:rPr>
          <w:rFonts w:hint="eastAsia"/>
          <w:lang w:val="en-GB"/>
        </w:rPr>
        <w:t>岁的重度残疾人</w:t>
      </w:r>
      <w:r>
        <w:rPr>
          <w:rFonts w:hint="eastAsia"/>
        </w:rPr>
        <w:t>再</w:t>
      </w:r>
      <w:r>
        <w:rPr>
          <w:rFonts w:hint="eastAsia"/>
          <w:lang w:val="en-GB"/>
        </w:rPr>
        <w:t>创造</w:t>
      </w:r>
      <w:r>
        <w:rPr>
          <w:rFonts w:hint="eastAsia"/>
          <w:lang w:val="en-GB"/>
        </w:rPr>
        <w:t>4,000</w:t>
      </w:r>
      <w:r>
        <w:rPr>
          <w:rFonts w:hint="eastAsia"/>
          <w:lang w:val="en-GB"/>
        </w:rPr>
        <w:t>个</w:t>
      </w:r>
      <w:r>
        <w:rPr>
          <w:lang w:val="en-GB"/>
        </w:rPr>
        <w:t>就业</w:t>
      </w:r>
      <w:r>
        <w:rPr>
          <w:rFonts w:hint="eastAsia"/>
          <w:lang w:val="en-GB"/>
        </w:rPr>
        <w:t>岗位</w:t>
      </w:r>
      <w:r>
        <w:rPr>
          <w:rFonts w:hint="eastAsia"/>
          <w:lang w:val="en-GB"/>
        </w:rPr>
        <w:t>(</w:t>
      </w:r>
      <w:r>
        <w:rPr>
          <w:rFonts w:hint="eastAsia"/>
          <w:lang w:val="en-GB"/>
        </w:rPr>
        <w:t>每个</w:t>
      </w:r>
      <w:r>
        <w:rPr>
          <w:lang w:val="en-GB"/>
        </w:rPr>
        <w:t>就业</w:t>
      </w:r>
      <w:r>
        <w:rPr>
          <w:rFonts w:hint="eastAsia"/>
          <w:lang w:val="en-GB"/>
        </w:rPr>
        <w:t>岗位的促进就业资金为：</w:t>
      </w:r>
      <w:r>
        <w:rPr>
          <w:rFonts w:hint="eastAsia"/>
          <w:lang w:val="en-GB"/>
        </w:rPr>
        <w:t>10,000</w:t>
      </w:r>
      <w:r>
        <w:rPr>
          <w:rFonts w:hint="eastAsia"/>
          <w:lang w:val="en-GB"/>
        </w:rPr>
        <w:t>欧元；促进就业资金总额为：</w:t>
      </w:r>
      <w:r>
        <w:rPr>
          <w:rFonts w:hint="eastAsia"/>
          <w:lang w:val="en-GB"/>
        </w:rPr>
        <w:t>4,000</w:t>
      </w:r>
      <w:r>
        <w:rPr>
          <w:rFonts w:hint="eastAsia"/>
          <w:lang w:val="en-GB"/>
        </w:rPr>
        <w:t>万欧元</w:t>
      </w:r>
      <w:r>
        <w:rPr>
          <w:rFonts w:hint="eastAsia"/>
          <w:lang w:val="en-GB"/>
        </w:rPr>
        <w:t>)</w:t>
      </w:r>
      <w:r>
        <w:rPr>
          <w:rFonts w:hint="eastAsia"/>
          <w:lang w:val="en-GB"/>
        </w:rPr>
        <w:t>；</w:t>
      </w:r>
    </w:p>
    <w:p w:rsidR="00334AE2" w:rsidRDefault="00334AE2">
      <w:pPr>
        <w:pStyle w:val="SingleTxtGC"/>
        <w:ind w:left="2416" w:hanging="442"/>
        <w:rPr>
          <w:rFonts w:hint="eastAsia"/>
          <w:lang w:val="en-GB"/>
        </w:rPr>
      </w:pPr>
      <w:r>
        <w:rPr>
          <w:lang w:val="en-GB"/>
        </w:rPr>
        <w:t>(</w:t>
      </w:r>
      <w:r>
        <w:rPr>
          <w:rFonts w:hint="eastAsia"/>
          <w:lang w:val="en-GB"/>
        </w:rPr>
        <w:t>二</w:t>
      </w:r>
      <w:r>
        <w:rPr>
          <w:rFonts w:hint="eastAsia"/>
          <w:lang w:val="en-GB"/>
        </w:rPr>
        <w:t>)</w:t>
      </w:r>
      <w:r>
        <w:rPr>
          <w:rFonts w:hint="eastAsia"/>
          <w:lang w:val="en-GB"/>
        </w:rPr>
        <w:tab/>
      </w:r>
      <w:r>
        <w:rPr>
          <w:rFonts w:hint="eastAsia"/>
          <w:lang w:val="en-GB"/>
        </w:rPr>
        <w:t>在</w:t>
      </w:r>
      <w:r>
        <w:rPr>
          <w:rFonts w:hint="eastAsia"/>
          <w:lang w:val="en-GB"/>
        </w:rPr>
        <w:t>2013</w:t>
      </w:r>
      <w:r>
        <w:rPr>
          <w:rFonts w:hint="eastAsia"/>
          <w:lang w:val="en-GB"/>
        </w:rPr>
        <w:t>年之前，为多达</w:t>
      </w:r>
      <w:r>
        <w:rPr>
          <w:rFonts w:hint="eastAsia"/>
          <w:lang w:val="en-GB"/>
        </w:rPr>
        <w:t>10,000</w:t>
      </w:r>
      <w:r>
        <w:rPr>
          <w:rFonts w:hint="eastAsia"/>
          <w:lang w:val="en-GB"/>
        </w:rPr>
        <w:t>名有特别需求的学生提供促进就业教育，这将使从学校更容易向工作过渡。在这方面，可以考虑的促进就业的例子是</w:t>
      </w:r>
      <w:r>
        <w:rPr>
          <w:rFonts w:hint="eastAsia"/>
          <w:lang w:val="en-GB"/>
        </w:rPr>
        <w:t>(</w:t>
      </w:r>
      <w:r>
        <w:rPr>
          <w:rFonts w:hint="eastAsia"/>
          <w:lang w:val="en-GB"/>
        </w:rPr>
        <w:t>促进资金总额为：</w:t>
      </w:r>
      <w:r>
        <w:rPr>
          <w:rFonts w:hint="eastAsia"/>
          <w:lang w:val="en-GB"/>
        </w:rPr>
        <w:t>4,000</w:t>
      </w:r>
      <w:r>
        <w:rPr>
          <w:rFonts w:hint="eastAsia"/>
          <w:lang w:val="en-GB"/>
        </w:rPr>
        <w:t>万欧元</w:t>
      </w:r>
      <w:r>
        <w:rPr>
          <w:rFonts w:hint="eastAsia"/>
          <w:lang w:val="en-GB"/>
        </w:rPr>
        <w:t>)</w:t>
      </w:r>
      <w:r>
        <w:rPr>
          <w:rFonts w:hint="eastAsia"/>
          <w:lang w:val="en-GB"/>
        </w:rPr>
        <w:t>：招聘会议，实习的实施和评估</w:t>
      </w:r>
      <w:r>
        <w:rPr>
          <w:rFonts w:hint="eastAsia"/>
          <w:lang w:val="en-GB"/>
        </w:rPr>
        <w:t>(</w:t>
      </w:r>
      <w:r>
        <w:rPr>
          <w:rFonts w:hint="eastAsia"/>
          <w:lang w:val="en-GB"/>
        </w:rPr>
        <w:t>主要在一般劳动力市场</w:t>
      </w:r>
      <w:r>
        <w:rPr>
          <w:rFonts w:hint="eastAsia"/>
          <w:lang w:val="en-GB"/>
        </w:rPr>
        <w:t>)</w:t>
      </w:r>
      <w:r>
        <w:rPr>
          <w:rFonts w:hint="eastAsia"/>
          <w:lang w:val="en-GB"/>
        </w:rPr>
        <w:t>，组建网络结构</w:t>
      </w:r>
      <w:r>
        <w:rPr>
          <w:rFonts w:hint="eastAsia"/>
          <w:lang w:val="en-GB"/>
        </w:rPr>
        <w:t>(</w:t>
      </w:r>
      <w:r>
        <w:rPr>
          <w:rFonts w:hint="eastAsia"/>
          <w:lang w:val="en-GB"/>
        </w:rPr>
        <w:t>包括家长、教师、潜在成本包退机构和企业</w:t>
      </w:r>
      <w:r>
        <w:rPr>
          <w:rFonts w:hint="eastAsia"/>
          <w:lang w:val="en-GB"/>
        </w:rPr>
        <w:t>)</w:t>
      </w:r>
      <w:r>
        <w:rPr>
          <w:rFonts w:hint="eastAsia"/>
          <w:lang w:val="en-GB"/>
        </w:rPr>
        <w:t>；</w:t>
      </w:r>
    </w:p>
    <w:p w:rsidR="00334AE2" w:rsidRDefault="00334AE2">
      <w:pPr>
        <w:pStyle w:val="SingleTxtGC"/>
        <w:ind w:left="2416" w:hanging="442"/>
        <w:rPr>
          <w:rFonts w:hint="eastAsia"/>
          <w:lang w:val="en-GB"/>
        </w:rPr>
      </w:pPr>
      <w:r>
        <w:rPr>
          <w:lang w:val="en-GB"/>
        </w:rPr>
        <w:t>(</w:t>
      </w:r>
      <w:r>
        <w:rPr>
          <w:rFonts w:hint="eastAsia"/>
          <w:lang w:val="en-GB"/>
        </w:rPr>
        <w:t>三</w:t>
      </w:r>
      <w:r>
        <w:rPr>
          <w:rFonts w:hint="eastAsia"/>
          <w:lang w:val="en-GB"/>
        </w:rPr>
        <w:t>)</w:t>
      </w:r>
      <w:r>
        <w:rPr>
          <w:rFonts w:hint="eastAsia"/>
          <w:lang w:val="en-GB"/>
        </w:rPr>
        <w:tab/>
      </w:r>
      <w:r>
        <w:rPr>
          <w:rFonts w:hint="eastAsia"/>
          <w:lang w:val="en-GB"/>
        </w:rPr>
        <w:t>在未来</w:t>
      </w:r>
      <w:r>
        <w:rPr>
          <w:rFonts w:hint="eastAsia"/>
          <w:lang w:val="en-GB"/>
        </w:rPr>
        <w:t>5</w:t>
      </w:r>
      <w:r>
        <w:rPr>
          <w:rFonts w:hint="eastAsia"/>
          <w:lang w:val="en-GB"/>
        </w:rPr>
        <w:t>年，将在一般劳动力市场上，为有重度残疾的未成年人，创造</w:t>
      </w:r>
      <w:r>
        <w:rPr>
          <w:rFonts w:hint="eastAsia"/>
          <w:lang w:val="en-GB"/>
        </w:rPr>
        <w:t>1,300</w:t>
      </w:r>
      <w:r>
        <w:rPr>
          <w:rFonts w:hint="eastAsia"/>
          <w:lang w:val="en-GB"/>
        </w:rPr>
        <w:t>个关于确认的培训专业的培训名额。在某些先决条件之下，雇主可以为创建额外培训名额获得</w:t>
      </w:r>
      <w:r>
        <w:rPr>
          <w:rFonts w:hint="eastAsia"/>
          <w:lang w:val="en-GB"/>
        </w:rPr>
        <w:t>10,000</w:t>
      </w:r>
      <w:r>
        <w:rPr>
          <w:rFonts w:hint="eastAsia"/>
          <w:lang w:val="en-GB"/>
        </w:rPr>
        <w:t>欧元</w:t>
      </w:r>
      <w:r>
        <w:rPr>
          <w:rFonts w:hint="eastAsia"/>
          <w:lang w:val="en-GB"/>
        </w:rPr>
        <w:t>(</w:t>
      </w:r>
      <w:r>
        <w:rPr>
          <w:rFonts w:hint="eastAsia"/>
          <w:lang w:val="en-GB"/>
        </w:rPr>
        <w:t>促进培训总金额为：</w:t>
      </w:r>
      <w:r>
        <w:rPr>
          <w:rFonts w:hint="eastAsia"/>
          <w:lang w:val="en-GB"/>
        </w:rPr>
        <w:t>1,500</w:t>
      </w:r>
      <w:r>
        <w:rPr>
          <w:rFonts w:hint="eastAsia"/>
          <w:lang w:val="en-GB"/>
        </w:rPr>
        <w:t>万欧元</w:t>
      </w:r>
      <w:r>
        <w:rPr>
          <w:rFonts w:hint="eastAsia"/>
          <w:lang w:val="en-GB"/>
        </w:rPr>
        <w:t>)</w:t>
      </w:r>
      <w:r>
        <w:rPr>
          <w:rFonts w:hint="eastAsia"/>
          <w:lang w:val="en-GB"/>
        </w:rPr>
        <w:t>；</w:t>
      </w:r>
    </w:p>
    <w:p w:rsidR="00334AE2" w:rsidRDefault="00334AE2">
      <w:pPr>
        <w:pStyle w:val="SingleTxtGC"/>
        <w:ind w:left="2416" w:hanging="442"/>
        <w:rPr>
          <w:lang w:val="en-GB"/>
        </w:rPr>
      </w:pPr>
      <w:r>
        <w:rPr>
          <w:lang w:val="en-GB"/>
        </w:rPr>
        <w:t>(</w:t>
      </w:r>
      <w:r>
        <w:rPr>
          <w:rFonts w:hint="eastAsia"/>
          <w:lang w:val="en-GB"/>
        </w:rPr>
        <w:t>四</w:t>
      </w:r>
      <w:r>
        <w:rPr>
          <w:rFonts w:hint="eastAsia"/>
          <w:lang w:val="en-GB"/>
        </w:rPr>
        <w:t>)</w:t>
      </w:r>
      <w:r>
        <w:rPr>
          <w:rFonts w:hint="eastAsia"/>
          <w:lang w:val="en-GB"/>
        </w:rPr>
        <w:tab/>
      </w:r>
      <w:r>
        <w:rPr>
          <w:rFonts w:hint="eastAsia"/>
          <w:lang w:val="en-GB"/>
        </w:rPr>
        <w:t>商会有了促进费用</w:t>
      </w:r>
      <w:r>
        <w:rPr>
          <w:rFonts w:hint="eastAsia"/>
          <w:lang w:val="en-GB"/>
        </w:rPr>
        <w:t>(</w:t>
      </w:r>
      <w:r>
        <w:rPr>
          <w:rFonts w:hint="eastAsia"/>
          <w:lang w:val="en-GB"/>
        </w:rPr>
        <w:t>每个商会最多可有</w:t>
      </w:r>
      <w:r>
        <w:rPr>
          <w:rFonts w:hint="eastAsia"/>
          <w:lang w:val="en-GB"/>
        </w:rPr>
        <w:t>100,000</w:t>
      </w:r>
      <w:r>
        <w:rPr>
          <w:rFonts w:hint="eastAsia"/>
          <w:lang w:val="en-GB"/>
        </w:rPr>
        <w:t>欧元</w:t>
      </w:r>
      <w:r>
        <w:rPr>
          <w:rFonts w:hint="eastAsia"/>
          <w:lang w:val="en-GB"/>
        </w:rPr>
        <w:t>)</w:t>
      </w:r>
      <w:r>
        <w:rPr>
          <w:rFonts w:hint="eastAsia"/>
          <w:lang w:val="en-GB"/>
        </w:rPr>
        <w:t>，可以通过有针对性的咨询，为重度残疾人创建更多的培训名额和就业机会</w:t>
      </w:r>
      <w:r>
        <w:rPr>
          <w:rFonts w:hint="eastAsia"/>
          <w:lang w:val="en-GB"/>
        </w:rPr>
        <w:t>(</w:t>
      </w:r>
      <w:r>
        <w:rPr>
          <w:rFonts w:hint="eastAsia"/>
          <w:lang w:val="en-GB"/>
        </w:rPr>
        <w:t>促进总金额为：</w:t>
      </w:r>
      <w:r>
        <w:rPr>
          <w:rFonts w:hint="eastAsia"/>
          <w:lang w:val="en-GB"/>
        </w:rPr>
        <w:t>500</w:t>
      </w:r>
      <w:r>
        <w:rPr>
          <w:rFonts w:hint="eastAsia"/>
          <w:lang w:val="en-GB"/>
        </w:rPr>
        <w:t>万欧元</w:t>
      </w:r>
      <w:r>
        <w:rPr>
          <w:rFonts w:hint="eastAsia"/>
          <w:lang w:val="en-GB"/>
        </w:rPr>
        <w:t>)</w:t>
      </w:r>
      <w:r>
        <w:rPr>
          <w:rFonts w:hint="eastAsia"/>
          <w:lang w:val="en-GB"/>
        </w:rPr>
        <w:t>；</w:t>
      </w:r>
    </w:p>
    <w:p w:rsidR="00334AE2" w:rsidRDefault="00334AE2">
      <w:pPr>
        <w:pStyle w:val="SingleTxtGC"/>
        <w:numPr>
          <w:ilvl w:val="0"/>
          <w:numId w:val="33"/>
        </w:numPr>
        <w:ind w:left="1134"/>
        <w:rPr>
          <w:lang w:val="en-GB"/>
        </w:rPr>
      </w:pPr>
      <w:r>
        <w:rPr>
          <w:rFonts w:hint="eastAsia"/>
          <w:lang w:val="en-GB"/>
        </w:rPr>
        <w:t>联邦政府将按照计划，实施和完成旨在增加公司培训可能性的现有举措和方案，譬如，联邦“就业</w:t>
      </w:r>
      <w:r>
        <w:rPr>
          <w:lang w:val="en-GB"/>
        </w:rPr>
        <w:t>4000</w:t>
      </w:r>
      <w:r>
        <w:rPr>
          <w:rFonts w:hint="eastAsia"/>
          <w:lang w:val="en-GB"/>
        </w:rPr>
        <w:t>”劳动力市场方案和“就业</w:t>
      </w:r>
      <w:r>
        <w:rPr>
          <w:lang w:val="en-GB"/>
        </w:rPr>
        <w:t>–</w:t>
      </w:r>
      <w:r>
        <w:rPr>
          <w:rFonts w:hint="eastAsia"/>
          <w:lang w:val="en-GB"/>
        </w:rPr>
        <w:t>无障碍就业”举措。</w:t>
      </w:r>
    </w:p>
    <w:p w:rsidR="00334AE2" w:rsidRDefault="00334AE2">
      <w:pPr>
        <w:pStyle w:val="SingleTxtGC"/>
        <w:rPr>
          <w:lang w:val="en-GB"/>
        </w:rPr>
      </w:pPr>
      <w:r>
        <w:rPr>
          <w:lang w:val="en-GB"/>
        </w:rPr>
        <w:t xml:space="preserve">231.  </w:t>
      </w:r>
      <w:r>
        <w:rPr>
          <w:rFonts w:hint="eastAsia"/>
          <w:lang w:val="en-GB"/>
        </w:rPr>
        <w:t>自</w:t>
      </w:r>
      <w:r>
        <w:rPr>
          <w:rFonts w:hint="eastAsia"/>
          <w:lang w:val="en-GB"/>
        </w:rPr>
        <w:t>2004</w:t>
      </w:r>
      <w:r>
        <w:rPr>
          <w:rFonts w:hint="eastAsia"/>
          <w:lang w:val="en-GB"/>
        </w:rPr>
        <w:t>以来，联邦劳动和社会事务部与雇主、工会、残疾人协会和组织、联邦就业署、融合办公室、康复署、康复服务机构和设施、残疾人参与咨询委员会及其他组织一起，一直在实施“就业</w:t>
      </w:r>
      <w:r>
        <w:rPr>
          <w:lang w:val="en-GB"/>
        </w:rPr>
        <w:t>–</w:t>
      </w:r>
      <w:r>
        <w:rPr>
          <w:rFonts w:hint="eastAsia"/>
          <w:lang w:val="en-GB"/>
        </w:rPr>
        <w:t>无障碍就业”举措。实施该举措的目的是，使残疾人和重度残疾人有更好的参与工作生活的机会，通过实施公司融合管理，确保工人持续就业。该举措将于</w:t>
      </w:r>
      <w:r>
        <w:rPr>
          <w:rFonts w:hint="eastAsia"/>
          <w:lang w:val="en-GB"/>
        </w:rPr>
        <w:t>2011</w:t>
      </w:r>
      <w:r>
        <w:rPr>
          <w:rFonts w:hint="eastAsia"/>
          <w:lang w:val="en-GB"/>
        </w:rPr>
        <w:t>年</w:t>
      </w:r>
      <w:r>
        <w:rPr>
          <w:rFonts w:hint="eastAsia"/>
          <w:lang w:val="en-GB"/>
        </w:rPr>
        <w:t>7</w:t>
      </w:r>
      <w:r>
        <w:rPr>
          <w:rFonts w:hint="eastAsia"/>
          <w:lang w:val="en-GB"/>
        </w:rPr>
        <w:t>月结束。</w:t>
      </w:r>
    </w:p>
    <w:p w:rsidR="00334AE2" w:rsidRDefault="00334AE2">
      <w:pPr>
        <w:pStyle w:val="SingleTxtGC"/>
        <w:rPr>
          <w:lang w:val="en-GB"/>
        </w:rPr>
      </w:pPr>
      <w:r>
        <w:rPr>
          <w:lang w:val="en-GB"/>
        </w:rPr>
        <w:t xml:space="preserve">232.  </w:t>
      </w:r>
      <w:r>
        <w:rPr>
          <w:rFonts w:hint="eastAsia"/>
          <w:lang w:val="en-GB"/>
        </w:rPr>
        <w:t>因为从“就业”举措的项目和活动中取得了经验，开始实施“就业</w:t>
      </w:r>
      <w:r>
        <w:rPr>
          <w:lang w:val="en-GB"/>
        </w:rPr>
        <w:t>4000</w:t>
      </w:r>
      <w:r>
        <w:rPr>
          <w:rFonts w:hint="eastAsia"/>
          <w:lang w:val="en-GB"/>
        </w:rPr>
        <w:t>”方案。在</w:t>
      </w:r>
      <w:r>
        <w:rPr>
          <w:rFonts w:hint="eastAsia"/>
          <w:lang w:val="en-GB"/>
        </w:rPr>
        <w:t>2007</w:t>
      </w:r>
      <w:r>
        <w:rPr>
          <w:rFonts w:hint="eastAsia"/>
          <w:lang w:val="en-GB"/>
        </w:rPr>
        <w:t>年至</w:t>
      </w:r>
      <w:r>
        <w:rPr>
          <w:rFonts w:hint="eastAsia"/>
          <w:lang w:val="en-GB"/>
        </w:rPr>
        <w:t>2013</w:t>
      </w:r>
      <w:r>
        <w:rPr>
          <w:rFonts w:hint="eastAsia"/>
          <w:lang w:val="en-GB"/>
        </w:rPr>
        <w:t>年期间，该方案将为残疾人创造新就业机会和培训名额。</w:t>
      </w:r>
      <w:r>
        <w:rPr>
          <w:rStyle w:val="FootnoteReference"/>
        </w:rPr>
        <w:footnoteReference w:id="63"/>
      </w:r>
      <w:r>
        <w:rPr>
          <w:rStyle w:val="FootnoteReference"/>
        </w:rPr>
        <w:t xml:space="preserve"> </w:t>
      </w:r>
      <w:r>
        <w:rPr>
          <w:rFonts w:hint="eastAsia"/>
          <w:lang w:val="en-GB"/>
        </w:rPr>
        <w:t>联邦各州通过资金参与，也将促进这一劳动力市场方案的实施。</w:t>
      </w:r>
    </w:p>
    <w:p w:rsidR="00334AE2" w:rsidRDefault="00334AE2">
      <w:pPr>
        <w:pStyle w:val="SingleTxtGC"/>
        <w:rPr>
          <w:lang w:val="en-GB"/>
        </w:rPr>
      </w:pPr>
      <w:r>
        <w:rPr>
          <w:lang w:val="en-GB"/>
        </w:rPr>
        <w:t xml:space="preserve">233.  </w:t>
      </w:r>
      <w:r>
        <w:rPr>
          <w:rFonts w:hint="eastAsia"/>
          <w:lang w:val="en-GB"/>
        </w:rPr>
        <w:t>此外，除其他外，联邦政府正在推动一些项目，以改善受到特别影响的人</w:t>
      </w:r>
      <w:r>
        <w:rPr>
          <w:rFonts w:hint="eastAsia"/>
          <w:lang w:val="en-GB"/>
        </w:rPr>
        <w:t>(</w:t>
      </w:r>
      <w:r>
        <w:rPr>
          <w:rFonts w:hint="eastAsia"/>
          <w:lang w:val="en-GB"/>
        </w:rPr>
        <w:t>例如，盲人和视</w:t>
      </w:r>
      <w:r>
        <w:rPr>
          <w:lang w:val="en-GB"/>
        </w:rPr>
        <w:t>障</w:t>
      </w:r>
      <w:r>
        <w:rPr>
          <w:rFonts w:hint="eastAsia"/>
          <w:lang w:val="en-GB"/>
        </w:rPr>
        <w:t>人，以及聋人和</w:t>
      </w:r>
      <w:r>
        <w:rPr>
          <w:lang w:val="en-GB"/>
        </w:rPr>
        <w:t>听障</w:t>
      </w:r>
      <w:r>
        <w:rPr>
          <w:rFonts w:hint="eastAsia"/>
          <w:lang w:val="en-GB"/>
        </w:rPr>
        <w:t>人</w:t>
      </w:r>
      <w:r>
        <w:rPr>
          <w:rFonts w:hint="eastAsia"/>
          <w:lang w:val="en-GB"/>
        </w:rPr>
        <w:t>)</w:t>
      </w:r>
      <w:r>
        <w:rPr>
          <w:rFonts w:hint="eastAsia"/>
          <w:lang w:val="en-GB"/>
        </w:rPr>
        <w:t>参与工作生活。</w:t>
      </w:r>
    </w:p>
    <w:p w:rsidR="00334AE2" w:rsidRDefault="00334AE2">
      <w:pPr>
        <w:pStyle w:val="SingleTxtGC"/>
        <w:numPr>
          <w:ilvl w:val="0"/>
          <w:numId w:val="35"/>
        </w:numPr>
        <w:ind w:left="1134"/>
        <w:rPr>
          <w:lang w:val="en-GB"/>
        </w:rPr>
      </w:pPr>
      <w:r>
        <w:rPr>
          <w:rFonts w:hint="eastAsia"/>
          <w:lang w:val="en-GB"/>
        </w:rPr>
        <w:t>在设在莱比锡的德国中央盲人图书馆为期</w:t>
      </w:r>
      <w:r>
        <w:rPr>
          <w:rFonts w:hint="eastAsia"/>
          <w:lang w:val="en-GB"/>
        </w:rPr>
        <w:t>3</w:t>
      </w:r>
      <w:r>
        <w:rPr>
          <w:rFonts w:hint="eastAsia"/>
          <w:lang w:val="en-GB"/>
        </w:rPr>
        <w:t>年的“莱布尼茨</w:t>
      </w:r>
      <w:r>
        <w:rPr>
          <w:rFonts w:hint="eastAsia"/>
          <w:lang w:val="en-GB"/>
        </w:rPr>
        <w:t>(</w:t>
      </w:r>
      <w:r>
        <w:rPr>
          <w:lang w:val="en-GB"/>
        </w:rPr>
        <w:t>Leibniz</w:t>
      </w:r>
      <w:r>
        <w:rPr>
          <w:rFonts w:hint="eastAsia"/>
          <w:lang w:val="en-GB"/>
        </w:rPr>
        <w:t>)</w:t>
      </w:r>
      <w:r>
        <w:rPr>
          <w:rFonts w:hint="eastAsia"/>
          <w:lang w:val="en-GB"/>
        </w:rPr>
        <w:t>”项目中，正在开发信息技术程序个人转让服务，以在学校、高等教育机构、培训和工作中，大大改善向盲人和视障人提供专业和非虚构图书文学。通过这些途径，不仅在文化领域，而且更重要的是在教育和工作领域，促进盲人和视障人的参与；</w:t>
      </w:r>
    </w:p>
    <w:p w:rsidR="00334AE2" w:rsidRDefault="00334AE2">
      <w:pPr>
        <w:pStyle w:val="SingleTxtGC"/>
        <w:numPr>
          <w:ilvl w:val="0"/>
          <w:numId w:val="35"/>
        </w:numPr>
        <w:ind w:left="1134"/>
        <w:rPr>
          <w:lang w:val="en-GB"/>
        </w:rPr>
      </w:pPr>
      <w:r>
        <w:fldChar w:fldCharType="begin"/>
      </w:r>
      <w:r>
        <w:instrText xml:space="preserve"> HYPERLINK "http://www.google.com.hk/url?sa=t&amp;rct=j&amp;q=DIAS%2BGmbH&amp;source=web&amp;cd=3&amp;ved=0CD4QFjAC&amp;url=%68%74%74%70%3a%2f%2f%77%77%77%2e%64%69%61%73%2d%69%6e%66%72%61%72%65%64%2e%63%6f%6d%2e%63%6e%2f&amp;ei=cRPBUZeuKsKmlQX48oC4Cg&amp;usg=AFQjCNFR2YUoPSF5UIXU5Y0y3ykwnU8xRA&amp;bvm=bv.47883778,d.dGI&amp;cad=rjt" \t "_blank" </w:instrText>
      </w:r>
      <w:r>
        <w:fldChar w:fldCharType="separate"/>
      </w:r>
      <w:r>
        <w:t>帝</w:t>
      </w:r>
      <w:r>
        <w:t>爱</w:t>
      </w:r>
      <w:r>
        <w:t>斯</w:t>
      </w:r>
      <w:r>
        <w:t>红外公司</w:t>
      </w:r>
      <w:r>
        <w:fldChar w:fldCharType="end"/>
      </w:r>
      <w:r>
        <w:rPr>
          <w:rFonts w:hint="eastAsia"/>
        </w:rPr>
        <w:t>(</w:t>
      </w:r>
      <w:r>
        <w:t>DIAS</w:t>
      </w:r>
      <w:r>
        <w:rPr>
          <w:rFonts w:hint="eastAsia"/>
        </w:rPr>
        <w:t xml:space="preserve"> </w:t>
      </w:r>
      <w:r>
        <w:t>GmbH</w:t>
      </w:r>
      <w:r>
        <w:rPr>
          <w:rFonts w:hint="eastAsia"/>
        </w:rPr>
        <w:t>)</w:t>
      </w:r>
      <w:r>
        <w:rPr>
          <w:rFonts w:hint="eastAsia"/>
        </w:rPr>
        <w:t>为期三年的题为“听力障碍和无障碍”项目，旨在提高有听力困难的人的就业机会，保障他们的工作。为了促进有听力残疾的人无障碍地参与工作生活，除其他外，尤其正在开发框架条件和程序，以将负责机</w:t>
      </w:r>
      <w:r>
        <w:rPr>
          <w:rFonts w:hint="eastAsia"/>
          <w:lang w:val="en-GB"/>
        </w:rPr>
        <w:t>构汇集在一起，促进经验和技巧交流。此外，将开发概念和工具，以增加有听力障碍的人无障碍地参与日常工作生活的可能性。</w:t>
      </w:r>
    </w:p>
    <w:p w:rsidR="00334AE2" w:rsidRDefault="00334AE2">
      <w:pPr>
        <w:pStyle w:val="SingleTxtGC"/>
        <w:rPr>
          <w:lang w:val="en-GB"/>
        </w:rPr>
      </w:pPr>
      <w:r>
        <w:rPr>
          <w:lang w:val="en-GB"/>
        </w:rPr>
        <w:t xml:space="preserve">234.  </w:t>
      </w:r>
      <w:r>
        <w:rPr>
          <w:rFonts w:hint="eastAsia"/>
          <w:lang w:val="en-GB"/>
        </w:rPr>
        <w:t>各州也通过实施大量项目和方案，参与促进残疾人融入劳动力市场。</w:t>
      </w:r>
    </w:p>
    <w:p w:rsidR="00334AE2" w:rsidRDefault="00334AE2">
      <w:pPr>
        <w:pStyle w:val="SingleTxtGC"/>
        <w:rPr>
          <w:rFonts w:eastAsia="SimHei"/>
          <w:lang w:val="en-GB"/>
        </w:rPr>
      </w:pPr>
      <w:r>
        <w:rPr>
          <w:rFonts w:hint="eastAsia"/>
          <w:lang w:val="en-GB"/>
        </w:rPr>
        <w:t>表</w:t>
      </w:r>
      <w:r>
        <w:rPr>
          <w:rFonts w:hint="eastAsia"/>
          <w:lang w:val="en-GB"/>
        </w:rPr>
        <w:t>2</w:t>
      </w:r>
      <w:r>
        <w:rPr>
          <w:lang w:val="en-GB"/>
        </w:rPr>
        <w:br/>
      </w:r>
      <w:r>
        <w:rPr>
          <w:rFonts w:eastAsia="SimHei" w:hint="eastAsia"/>
          <w:lang w:val="en-GB"/>
        </w:rPr>
        <w:t>残疾人融入劳动力市场的方案</w:t>
      </w:r>
    </w:p>
    <w:tbl>
      <w:tblPr>
        <w:tblW w:w="7370" w:type="dxa"/>
        <w:tblInd w:w="1134" w:type="dxa"/>
        <w:tblLayout w:type="fixed"/>
        <w:tblCellMar>
          <w:left w:w="0" w:type="dxa"/>
          <w:right w:w="0" w:type="dxa"/>
        </w:tblCellMar>
        <w:tblLook w:val="0000"/>
      </w:tblPr>
      <w:tblGrid>
        <w:gridCol w:w="2376"/>
        <w:gridCol w:w="4994"/>
      </w:tblGrid>
      <w:tr w:rsidR="00334AE2">
        <w:trPr>
          <w:tblHeader/>
        </w:trPr>
        <w:tc>
          <w:tcPr>
            <w:tcW w:w="2376" w:type="dxa"/>
            <w:tcBorders>
              <w:top w:val="single" w:sz="4" w:space="0" w:color="auto"/>
              <w:bottom w:val="single" w:sz="12" w:space="0" w:color="auto"/>
            </w:tcBorders>
            <w:shd w:val="clear" w:color="auto" w:fill="auto"/>
            <w:vAlign w:val="bottom"/>
          </w:tcPr>
          <w:p w:rsidR="00334AE2" w:rsidRDefault="00334AE2">
            <w:pPr>
              <w:pStyle w:val="a2"/>
              <w:rPr>
                <w:lang w:val="en-GB"/>
              </w:rPr>
            </w:pPr>
            <w:r>
              <w:rPr>
                <w:lang w:val="en-GB"/>
              </w:rPr>
              <w:t>州</w:t>
            </w:r>
          </w:p>
        </w:tc>
        <w:tc>
          <w:tcPr>
            <w:tcW w:w="4994" w:type="dxa"/>
            <w:tcBorders>
              <w:top w:val="single" w:sz="4" w:space="0" w:color="auto"/>
              <w:bottom w:val="single" w:sz="12" w:space="0" w:color="auto"/>
            </w:tcBorders>
            <w:shd w:val="clear" w:color="auto" w:fill="auto"/>
            <w:vAlign w:val="bottom"/>
          </w:tcPr>
          <w:p w:rsidR="00334AE2" w:rsidRDefault="00334AE2">
            <w:pPr>
              <w:pStyle w:val="a2"/>
              <w:rPr>
                <w:lang w:val="en-GB"/>
              </w:rPr>
            </w:pPr>
            <w:r>
              <w:rPr>
                <w:rFonts w:hint="eastAsia"/>
                <w:lang w:val="en-GB"/>
              </w:rPr>
              <w:t>方案</w:t>
            </w:r>
          </w:p>
        </w:tc>
      </w:tr>
      <w:tr w:rsidR="00334AE2">
        <w:tc>
          <w:tcPr>
            <w:tcW w:w="2376" w:type="dxa"/>
            <w:shd w:val="clear" w:color="auto" w:fill="auto"/>
          </w:tcPr>
          <w:p w:rsidR="00334AE2" w:rsidRDefault="00334AE2">
            <w:pPr>
              <w:pStyle w:val="a5"/>
              <w:rPr>
                <w:lang w:val="en-GB"/>
              </w:rPr>
            </w:pPr>
            <w:hyperlink r:id="rId24" w:tooltip="巴登－符腾堡" w:history="1">
              <w:r>
                <w:rPr>
                  <w:rStyle w:val="Hyperlink"/>
                  <w:color w:val="auto"/>
                  <w:u w:val="none"/>
                  <w:lang w:val="en-GB"/>
                </w:rPr>
                <w:t>巴登</w:t>
              </w:r>
              <w:r>
                <w:rPr>
                  <w:rStyle w:val="Hyperlink"/>
                  <w:rFonts w:hint="eastAsia"/>
                  <w:color w:val="auto"/>
                  <w:u w:val="none"/>
                  <w:lang w:val="en-GB"/>
                </w:rPr>
                <w:t>﹣</w:t>
              </w:r>
              <w:r>
                <w:rPr>
                  <w:rStyle w:val="Hyperlink"/>
                  <w:color w:val="auto"/>
                  <w:u w:val="none"/>
                  <w:lang w:val="en-GB"/>
                </w:rPr>
                <w:t>符腾堡</w:t>
              </w:r>
            </w:hyperlink>
            <w:r>
              <w:rPr>
                <w:rFonts w:hint="eastAsia"/>
                <w:lang w:val="en-GB"/>
              </w:rPr>
              <w:t>州</w:t>
            </w:r>
          </w:p>
        </w:tc>
        <w:tc>
          <w:tcPr>
            <w:tcW w:w="4994" w:type="dxa"/>
            <w:shd w:val="clear" w:color="auto" w:fill="auto"/>
          </w:tcPr>
          <w:p w:rsidR="00334AE2" w:rsidRDefault="00334AE2">
            <w:pPr>
              <w:pStyle w:val="a5"/>
              <w:rPr>
                <w:rFonts w:hint="eastAsia"/>
                <w:lang w:val="en-GB"/>
              </w:rPr>
            </w:pPr>
            <w:r>
              <w:rPr>
                <w:rFonts w:hint="eastAsia"/>
                <w:lang w:val="en-GB"/>
              </w:rPr>
              <w:t>截止</w:t>
            </w:r>
            <w:r>
              <w:rPr>
                <w:rFonts w:hint="eastAsia"/>
                <w:lang w:val="en-GB"/>
              </w:rPr>
              <w:t>2009</w:t>
            </w:r>
            <w:r>
              <w:rPr>
                <w:rFonts w:hint="eastAsia"/>
                <w:lang w:val="en-GB"/>
              </w:rPr>
              <w:t>年</w:t>
            </w:r>
            <w:r>
              <w:rPr>
                <w:rFonts w:hint="eastAsia"/>
                <w:lang w:val="en-GB"/>
              </w:rPr>
              <w:t>12</w:t>
            </w:r>
            <w:r>
              <w:rPr>
                <w:rFonts w:hint="eastAsia"/>
                <w:lang w:val="en-GB"/>
              </w:rPr>
              <w:t>月</w:t>
            </w:r>
            <w:r>
              <w:rPr>
                <w:rFonts w:hint="eastAsia"/>
                <w:lang w:val="en-GB"/>
              </w:rPr>
              <w:t>31</w:t>
            </w:r>
            <w:r>
              <w:rPr>
                <w:rFonts w:hint="eastAsia"/>
                <w:lang w:val="en-GB"/>
              </w:rPr>
              <w:t>日，通过“行动</w:t>
            </w:r>
            <w:r>
              <w:rPr>
                <w:rFonts w:hint="eastAsia"/>
                <w:lang w:val="en-GB"/>
              </w:rPr>
              <w:t>1000</w:t>
            </w:r>
            <w:r>
              <w:rPr>
                <w:rFonts w:hint="eastAsia"/>
                <w:lang w:val="en-GB"/>
              </w:rPr>
              <w:t>”方案的实施，总共为有精神残疾的未成年人建立</w:t>
            </w:r>
            <w:r>
              <w:rPr>
                <w:rFonts w:hint="eastAsia"/>
                <w:lang w:val="en-GB"/>
              </w:rPr>
              <w:t>1,250</w:t>
            </w:r>
            <w:r>
              <w:rPr>
                <w:rFonts w:hint="eastAsia"/>
                <w:lang w:val="en-GB"/>
              </w:rPr>
              <w:t>个新就业关系，该方案将由“行动</w:t>
            </w:r>
            <w:r>
              <w:rPr>
                <w:rFonts w:hint="eastAsia"/>
                <w:lang w:val="en-GB"/>
              </w:rPr>
              <w:t>1000</w:t>
            </w:r>
            <w:r>
              <w:rPr>
                <w:rFonts w:hint="eastAsia"/>
                <w:lang w:val="en-GB"/>
              </w:rPr>
              <w:t>＋”继续。</w:t>
            </w:r>
          </w:p>
        </w:tc>
      </w:tr>
      <w:tr w:rsidR="00334AE2">
        <w:tc>
          <w:tcPr>
            <w:tcW w:w="2376" w:type="dxa"/>
            <w:shd w:val="clear" w:color="auto" w:fill="auto"/>
          </w:tcPr>
          <w:p w:rsidR="00334AE2" w:rsidRDefault="00334AE2">
            <w:pPr>
              <w:pStyle w:val="a5"/>
              <w:rPr>
                <w:lang w:val="en-GB"/>
              </w:rPr>
            </w:pPr>
            <w:hyperlink r:id="rId25" w:tooltip="巴伐利亚" w:history="1">
              <w:r>
                <w:rPr>
                  <w:rStyle w:val="Hyperlink"/>
                  <w:color w:val="auto"/>
                  <w:u w:val="none"/>
                  <w:lang w:val="en-GB"/>
                </w:rPr>
                <w:t>巴伐利亚</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题为“创造机会”的特别方案，促进融入项目和特别融入服务，以使重度残疾人从事工作。</w:t>
            </w:r>
          </w:p>
        </w:tc>
      </w:tr>
      <w:tr w:rsidR="00334AE2">
        <w:tc>
          <w:tcPr>
            <w:tcW w:w="2376" w:type="dxa"/>
            <w:shd w:val="clear" w:color="auto" w:fill="auto"/>
          </w:tcPr>
          <w:p w:rsidR="00334AE2" w:rsidRDefault="00334AE2">
            <w:pPr>
              <w:pStyle w:val="a5"/>
              <w:rPr>
                <w:rFonts w:hint="eastAsia"/>
                <w:lang w:val="en-GB"/>
              </w:rPr>
            </w:pPr>
            <w:hyperlink r:id="rId26" w:tooltip="柏林" w:history="1">
              <w:r>
                <w:rPr>
                  <w:rStyle w:val="Hyperlink"/>
                  <w:color w:val="auto"/>
                  <w:u w:val="none"/>
                  <w:lang w:val="en-GB"/>
                </w:rPr>
                <w:t>柏林</w:t>
              </w:r>
            </w:hyperlink>
            <w:r>
              <w:rPr>
                <w:rFonts w:hint="eastAsia"/>
                <w:lang w:val="en-GB"/>
              </w:rPr>
              <w:t>市</w:t>
            </w:r>
          </w:p>
        </w:tc>
        <w:tc>
          <w:tcPr>
            <w:tcW w:w="4994" w:type="dxa"/>
            <w:shd w:val="clear" w:color="auto" w:fill="auto"/>
          </w:tcPr>
          <w:p w:rsidR="00334AE2" w:rsidRDefault="00334AE2">
            <w:pPr>
              <w:pStyle w:val="a5"/>
              <w:rPr>
                <w:lang w:val="en-GB"/>
              </w:rPr>
            </w:pPr>
            <w:r>
              <w:rPr>
                <w:rFonts w:hint="eastAsia"/>
                <w:lang w:val="en-GB"/>
              </w:rPr>
              <w:t>题为“重度残疾人</w:t>
            </w:r>
            <w:r>
              <w:rPr>
                <w:lang w:val="en-GB"/>
              </w:rPr>
              <w:t>–</w:t>
            </w:r>
            <w:r>
              <w:rPr>
                <w:rFonts w:hint="eastAsia"/>
                <w:lang w:val="en-GB"/>
              </w:rPr>
              <w:t>柏林</w:t>
            </w:r>
            <w:r>
              <w:rPr>
                <w:rFonts w:hint="eastAsia"/>
                <w:lang w:val="en-GB"/>
              </w:rPr>
              <w:t>2010</w:t>
            </w:r>
            <w:r>
              <w:rPr>
                <w:rFonts w:hint="eastAsia"/>
                <w:lang w:val="en-GB"/>
              </w:rPr>
              <w:t>年就业攻势”的劳动力市场方案，将为创造就业和培训名额提供额外支持，将为残疾人从学校向工作过渡和从工作坊向一般劳动力市场过渡，提供额外支持。</w:t>
            </w:r>
          </w:p>
        </w:tc>
      </w:tr>
      <w:tr w:rsidR="00334AE2">
        <w:tc>
          <w:tcPr>
            <w:tcW w:w="2376" w:type="dxa"/>
            <w:shd w:val="clear" w:color="auto" w:fill="auto"/>
          </w:tcPr>
          <w:p w:rsidR="00334AE2" w:rsidRDefault="00334AE2">
            <w:pPr>
              <w:pStyle w:val="a5"/>
              <w:rPr>
                <w:lang w:val="en-GB"/>
              </w:rPr>
            </w:pPr>
            <w:hyperlink r:id="rId27" w:tooltip="勃兰登堡" w:history="1">
              <w:r>
                <w:rPr>
                  <w:rStyle w:val="Hyperlink"/>
                  <w:color w:val="auto"/>
                  <w:u w:val="none"/>
                  <w:lang w:val="en-GB"/>
                </w:rPr>
                <w:t>勃兰登堡</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从</w:t>
            </w:r>
            <w:r>
              <w:rPr>
                <w:rFonts w:hint="eastAsia"/>
                <w:lang w:val="en-GB"/>
              </w:rPr>
              <w:t>2011/12</w:t>
            </w:r>
            <w:r>
              <w:rPr>
                <w:rFonts w:hint="eastAsia"/>
                <w:lang w:val="en-GB"/>
              </w:rPr>
              <w:t>学年开始，为所有需要特别教育促进的学生</w:t>
            </w:r>
            <w:r>
              <w:rPr>
                <w:rFonts w:hint="eastAsia"/>
                <w:lang w:val="en-GB"/>
              </w:rPr>
              <w:t>(</w:t>
            </w:r>
            <w:r>
              <w:rPr>
                <w:rFonts w:hint="eastAsia"/>
                <w:lang w:val="en-GB"/>
              </w:rPr>
              <w:t>“心理发展”、“</w:t>
            </w:r>
            <w:r>
              <w:rPr>
                <w:lang w:val="en-GB"/>
              </w:rPr>
              <w:t>动作</w:t>
            </w:r>
            <w:r>
              <w:rPr>
                <w:rFonts w:hint="eastAsia"/>
                <w:lang w:val="en-GB"/>
              </w:rPr>
              <w:t>发展”、“听力”和“视力”</w:t>
            </w:r>
            <w:r>
              <w:rPr>
                <w:rFonts w:hint="eastAsia"/>
                <w:lang w:val="en-GB"/>
              </w:rPr>
              <w:t>)</w:t>
            </w:r>
            <w:r>
              <w:rPr>
                <w:rFonts w:hint="eastAsia"/>
                <w:lang w:val="en-GB"/>
              </w:rPr>
              <w:t>，实施“从学校向工作过渡”扩大示范项目。目标是，通过扩大学校</w:t>
            </w:r>
            <w:r>
              <w:rPr>
                <w:rFonts w:hint="eastAsia"/>
                <w:spacing w:val="-50"/>
                <w:lang w:val="en-GB"/>
              </w:rPr>
              <w:t>―</w:t>
            </w:r>
            <w:r>
              <w:rPr>
                <w:rFonts w:hint="eastAsia"/>
                <w:lang w:val="en-GB"/>
              </w:rPr>
              <w:t>―工作过渡管理，在工作坊里为残疾人创造替代就业机会和无陪同培训。</w:t>
            </w:r>
          </w:p>
        </w:tc>
      </w:tr>
      <w:tr w:rsidR="00334AE2">
        <w:tc>
          <w:tcPr>
            <w:tcW w:w="2376" w:type="dxa"/>
            <w:shd w:val="clear" w:color="auto" w:fill="auto"/>
          </w:tcPr>
          <w:p w:rsidR="00334AE2" w:rsidRDefault="00334AE2">
            <w:pPr>
              <w:pStyle w:val="a5"/>
              <w:rPr>
                <w:lang w:val="en-GB"/>
              </w:rPr>
            </w:pPr>
            <w:hyperlink r:id="rId28" w:tooltip="不来梅" w:history="1">
              <w:r>
                <w:rPr>
                  <w:rStyle w:val="Hyperlink"/>
                  <w:color w:val="auto"/>
                  <w:u w:val="none"/>
                  <w:lang w:val="en-GB"/>
                </w:rPr>
                <w:t>不来梅</w:t>
              </w:r>
            </w:hyperlink>
            <w:r>
              <w:rPr>
                <w:rFonts w:hint="eastAsia"/>
                <w:lang w:val="en-GB"/>
              </w:rPr>
              <w:t>市</w:t>
            </w:r>
          </w:p>
        </w:tc>
        <w:tc>
          <w:tcPr>
            <w:tcW w:w="4994" w:type="dxa"/>
            <w:shd w:val="clear" w:color="auto" w:fill="auto"/>
          </w:tcPr>
          <w:p w:rsidR="00334AE2" w:rsidRDefault="00334AE2">
            <w:pPr>
              <w:pStyle w:val="a5"/>
              <w:rPr>
                <w:lang w:val="en-GB"/>
              </w:rPr>
            </w:pPr>
            <w:r>
              <w:rPr>
                <w:rFonts w:hint="eastAsia"/>
                <w:lang w:val="en-GB"/>
              </w:rPr>
              <w:t>“劳动力市场</w:t>
            </w:r>
            <w:r>
              <w:rPr>
                <w:lang w:val="en-GB"/>
              </w:rPr>
              <w:t>扩展</w:t>
            </w:r>
            <w:r>
              <w:rPr>
                <w:rFonts w:hint="eastAsia"/>
                <w:lang w:val="en-GB"/>
              </w:rPr>
              <w:t>方案”促进创建临时雇佣关系的可能性，以此作为进入强制性参加社会保险的就业的开始。</w:t>
            </w:r>
          </w:p>
        </w:tc>
      </w:tr>
      <w:tr w:rsidR="00334AE2">
        <w:tc>
          <w:tcPr>
            <w:tcW w:w="2376" w:type="dxa"/>
            <w:shd w:val="clear" w:color="auto" w:fill="auto"/>
          </w:tcPr>
          <w:p w:rsidR="00334AE2" w:rsidRDefault="00334AE2">
            <w:pPr>
              <w:pStyle w:val="a5"/>
              <w:rPr>
                <w:lang w:val="en-GB"/>
              </w:rPr>
            </w:pPr>
            <w:hyperlink r:id="rId29" w:tooltip="汉堡" w:history="1">
              <w:r>
                <w:rPr>
                  <w:rStyle w:val="Hyperlink"/>
                  <w:color w:val="auto"/>
                  <w:u w:val="none"/>
                  <w:lang w:val="en-GB"/>
                </w:rPr>
                <w:t>汉堡</w:t>
              </w:r>
            </w:hyperlink>
            <w:r>
              <w:rPr>
                <w:rFonts w:hint="eastAsia"/>
                <w:lang w:val="en-GB"/>
              </w:rPr>
              <w:t>市</w:t>
            </w:r>
          </w:p>
        </w:tc>
        <w:tc>
          <w:tcPr>
            <w:tcW w:w="4994" w:type="dxa"/>
            <w:shd w:val="clear" w:color="auto" w:fill="auto"/>
          </w:tcPr>
          <w:p w:rsidR="00334AE2" w:rsidRDefault="00334AE2">
            <w:pPr>
              <w:pStyle w:val="a5"/>
              <w:rPr>
                <w:lang w:val="en-GB"/>
              </w:rPr>
            </w:pPr>
            <w:r>
              <w:rPr>
                <w:rFonts w:hint="eastAsia"/>
                <w:lang w:val="en-GB"/>
              </w:rPr>
              <w:t>题为“精神病患者个别辅导”项目</w:t>
            </w:r>
          </w:p>
        </w:tc>
      </w:tr>
      <w:tr w:rsidR="00334AE2">
        <w:tc>
          <w:tcPr>
            <w:tcW w:w="2376" w:type="dxa"/>
            <w:shd w:val="clear" w:color="auto" w:fill="auto"/>
          </w:tcPr>
          <w:p w:rsidR="00334AE2" w:rsidRDefault="00334AE2">
            <w:pPr>
              <w:pStyle w:val="a5"/>
              <w:rPr>
                <w:lang w:val="en-GB"/>
              </w:rPr>
            </w:pPr>
            <w:hyperlink r:id="rId30" w:tooltip="黑森" w:history="1">
              <w:r>
                <w:rPr>
                  <w:rStyle w:val="Hyperlink"/>
                  <w:color w:val="auto"/>
                  <w:u w:val="none"/>
                  <w:lang w:val="en-GB"/>
                </w:rPr>
                <w:t>黑森</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重度残疾人在一般劳动力市场参与工作生活特别促进方案，该方案到</w:t>
            </w:r>
            <w:r>
              <w:rPr>
                <w:rFonts w:hint="eastAsia"/>
                <w:lang w:val="en-GB"/>
              </w:rPr>
              <w:t>2010</w:t>
            </w:r>
            <w:r>
              <w:rPr>
                <w:rFonts w:hint="eastAsia"/>
                <w:lang w:val="en-GB"/>
              </w:rPr>
              <w:t>年</w:t>
            </w:r>
            <w:r>
              <w:rPr>
                <w:rFonts w:hint="eastAsia"/>
                <w:lang w:val="en-GB"/>
              </w:rPr>
              <w:t>6</w:t>
            </w:r>
            <w:r>
              <w:rPr>
                <w:rFonts w:hint="eastAsia"/>
                <w:lang w:val="en-GB"/>
              </w:rPr>
              <w:t>月期满。由于取得了巨大成功，将方案延长至</w:t>
            </w: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日至</w:t>
            </w:r>
            <w:r>
              <w:rPr>
                <w:rFonts w:hint="eastAsia"/>
                <w:lang w:val="en-GB"/>
              </w:rPr>
              <w:t>2012</w:t>
            </w:r>
            <w:r>
              <w:rPr>
                <w:rFonts w:hint="eastAsia"/>
                <w:lang w:val="en-GB"/>
              </w:rPr>
              <w:t>年</w:t>
            </w:r>
            <w:r>
              <w:rPr>
                <w:rFonts w:hint="eastAsia"/>
                <w:lang w:val="en-GB"/>
              </w:rPr>
              <w:t>12</w:t>
            </w:r>
            <w:r>
              <w:rPr>
                <w:rFonts w:hint="eastAsia"/>
                <w:lang w:val="en-GB"/>
              </w:rPr>
              <w:t>月</w:t>
            </w:r>
            <w:r>
              <w:rPr>
                <w:rFonts w:hint="eastAsia"/>
                <w:lang w:val="en-GB"/>
              </w:rPr>
              <w:t>31</w:t>
            </w:r>
            <w:r>
              <w:rPr>
                <w:rFonts w:hint="eastAsia"/>
                <w:lang w:val="en-GB"/>
              </w:rPr>
              <w:t>日。</w:t>
            </w:r>
          </w:p>
        </w:tc>
      </w:tr>
      <w:tr w:rsidR="00334AE2">
        <w:tc>
          <w:tcPr>
            <w:tcW w:w="2376" w:type="dxa"/>
            <w:shd w:val="clear" w:color="auto" w:fill="auto"/>
          </w:tcPr>
          <w:p w:rsidR="00334AE2" w:rsidRDefault="00334AE2">
            <w:pPr>
              <w:pStyle w:val="a5"/>
              <w:rPr>
                <w:lang w:val="en-GB"/>
              </w:rPr>
            </w:pPr>
            <w:hyperlink r:id="rId31" w:tooltip="梅克伦堡－前波美拉尼亚" w:history="1">
              <w:r>
                <w:rPr>
                  <w:rStyle w:val="Hyperlink"/>
                  <w:color w:val="auto"/>
                  <w:u w:val="none"/>
                  <w:lang w:val="en-GB"/>
                </w:rPr>
                <w:t>梅克伦堡</w:t>
              </w:r>
              <w:r>
                <w:rPr>
                  <w:rStyle w:val="Hyperlink"/>
                  <w:rFonts w:hint="eastAsia"/>
                  <w:color w:val="auto"/>
                  <w:u w:val="none"/>
                  <w:lang w:val="en-GB"/>
                </w:rPr>
                <w:t>﹣</w:t>
              </w:r>
              <w:r>
                <w:rPr>
                  <w:rStyle w:val="Hyperlink"/>
                  <w:color w:val="auto"/>
                  <w:u w:val="none"/>
                  <w:lang w:val="en-GB"/>
                </w:rPr>
                <w:t>前波美拉尼亚</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题为“梅克伦堡</w:t>
            </w:r>
            <w:r>
              <w:rPr>
                <w:rFonts w:hint="eastAsia"/>
                <w:spacing w:val="-50"/>
                <w:lang w:val="en-GB"/>
              </w:rPr>
              <w:t>―</w:t>
            </w:r>
            <w:r>
              <w:rPr>
                <w:rFonts w:hint="eastAsia"/>
                <w:lang w:val="en-GB"/>
              </w:rPr>
              <w:t>―前波美拉尼亚工艺</w:t>
            </w:r>
            <w:r>
              <w:rPr>
                <w:lang w:val="en-GB"/>
              </w:rPr>
              <w:t>工厂</w:t>
            </w:r>
            <w:r>
              <w:rPr>
                <w:rFonts w:hint="eastAsia"/>
                <w:lang w:val="en-GB"/>
              </w:rPr>
              <w:t>促进重度残疾人和处境相同的人融入公司和公司融合管理”的示范项目。</w:t>
            </w:r>
          </w:p>
        </w:tc>
      </w:tr>
      <w:tr w:rsidR="00334AE2">
        <w:tc>
          <w:tcPr>
            <w:tcW w:w="2376" w:type="dxa"/>
            <w:shd w:val="clear" w:color="auto" w:fill="auto"/>
          </w:tcPr>
          <w:p w:rsidR="00334AE2" w:rsidRDefault="00334AE2">
            <w:pPr>
              <w:pStyle w:val="a5"/>
              <w:pageBreakBefore/>
              <w:rPr>
                <w:lang w:val="en-GB"/>
              </w:rPr>
            </w:pPr>
            <w:hyperlink r:id="rId32" w:tooltip="下萨克森" w:history="1">
              <w:r>
                <w:rPr>
                  <w:rStyle w:val="Hyperlink"/>
                  <w:color w:val="auto"/>
                  <w:u w:val="none"/>
                  <w:lang w:val="en-GB"/>
                </w:rPr>
                <w:t>下萨克森</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促进雇主愿意招募重度残疾人参与职业机构、就业中心及</w:t>
            </w:r>
            <w:r>
              <w:rPr>
                <w:lang w:val="en-GB"/>
              </w:rPr>
              <w:t>许可的</w:t>
            </w:r>
            <w:r>
              <w:rPr>
                <w:rFonts w:hint="eastAsia"/>
                <w:lang w:val="en-GB"/>
              </w:rPr>
              <w:t>市政机构的第</w:t>
            </w:r>
            <w:r>
              <w:rPr>
                <w:rFonts w:hint="eastAsia"/>
                <w:lang w:val="en-GB"/>
              </w:rPr>
              <w:t>11</w:t>
            </w:r>
            <w:r>
              <w:rPr>
                <w:rFonts w:hint="eastAsia"/>
                <w:lang w:val="en-GB"/>
              </w:rPr>
              <w:t>个特别方案。</w:t>
            </w:r>
          </w:p>
        </w:tc>
      </w:tr>
      <w:tr w:rsidR="00334AE2">
        <w:tc>
          <w:tcPr>
            <w:tcW w:w="2376" w:type="dxa"/>
            <w:shd w:val="clear" w:color="auto" w:fill="auto"/>
          </w:tcPr>
          <w:p w:rsidR="00334AE2" w:rsidRDefault="00334AE2">
            <w:pPr>
              <w:pStyle w:val="a5"/>
              <w:rPr>
                <w:lang w:val="en-GB"/>
              </w:rPr>
            </w:pPr>
            <w:hyperlink r:id="rId33" w:tooltip="北莱茵－威斯特法伦" w:history="1">
              <w:r>
                <w:rPr>
                  <w:rStyle w:val="Hyperlink"/>
                  <w:color w:val="auto"/>
                  <w:u w:val="none"/>
                  <w:lang w:val="en-GB"/>
                </w:rPr>
                <w:t>北莱茵</w:t>
              </w:r>
              <w:r>
                <w:rPr>
                  <w:rStyle w:val="Hyperlink"/>
                  <w:rFonts w:hint="eastAsia"/>
                  <w:color w:val="auto"/>
                  <w:u w:val="none"/>
                  <w:lang w:val="en-GB"/>
                </w:rPr>
                <w:t>﹣</w:t>
              </w:r>
              <w:r>
                <w:rPr>
                  <w:rStyle w:val="Hyperlink"/>
                  <w:color w:val="auto"/>
                  <w:u w:val="none"/>
                  <w:lang w:val="en-GB"/>
                </w:rPr>
                <w:t>威斯特法伦</w:t>
              </w:r>
            </w:hyperlink>
          </w:p>
        </w:tc>
        <w:tc>
          <w:tcPr>
            <w:tcW w:w="4994" w:type="dxa"/>
            <w:shd w:val="clear" w:color="auto" w:fill="auto"/>
          </w:tcPr>
          <w:p w:rsidR="00334AE2" w:rsidRDefault="00334AE2">
            <w:pPr>
              <w:pStyle w:val="a5"/>
              <w:rPr>
                <w:lang w:val="en-GB"/>
              </w:rPr>
            </w:pPr>
            <w:r>
              <w:rPr>
                <w:rFonts w:hint="eastAsia"/>
                <w:lang w:val="en-GB"/>
              </w:rPr>
              <w:t>在题为“承诺包容！”</w:t>
            </w:r>
            <w:r>
              <w:rPr>
                <w:rFonts w:hint="eastAsia"/>
                <w:lang w:val="en-GB"/>
              </w:rPr>
              <w:t>(2008</w:t>
            </w:r>
            <w:r>
              <w:rPr>
                <w:rFonts w:hint="eastAsia"/>
                <w:lang w:val="en-GB"/>
              </w:rPr>
              <w:t>年至</w:t>
            </w:r>
            <w:r>
              <w:rPr>
                <w:rFonts w:hint="eastAsia"/>
                <w:lang w:val="en-GB"/>
              </w:rPr>
              <w:t>2011</w:t>
            </w:r>
            <w:r>
              <w:rPr>
                <w:rFonts w:hint="eastAsia"/>
                <w:lang w:val="en-GB"/>
              </w:rPr>
              <w:t>年</w:t>
            </w:r>
            <w:r>
              <w:rPr>
                <w:rFonts w:hint="eastAsia"/>
                <w:lang w:val="en-GB"/>
              </w:rPr>
              <w:t>)</w:t>
            </w:r>
            <w:r>
              <w:rPr>
                <w:rFonts w:hint="eastAsia"/>
                <w:lang w:val="en-GB"/>
              </w:rPr>
              <w:t>的州方案范围之内，与农业协会合作，在包容企业中，为残疾人创造了</w:t>
            </w:r>
            <w:r>
              <w:rPr>
                <w:rFonts w:hint="eastAsia"/>
                <w:lang w:val="en-GB"/>
              </w:rPr>
              <w:t>1,183</w:t>
            </w:r>
            <w:r>
              <w:rPr>
                <w:rFonts w:hint="eastAsia"/>
                <w:lang w:val="en-GB"/>
              </w:rPr>
              <w:t>个强制性参加社会保险的工作机会。正在继续实施该方案，目的是每年再创建</w:t>
            </w:r>
            <w:r>
              <w:rPr>
                <w:rFonts w:hint="eastAsia"/>
                <w:lang w:val="en-GB"/>
              </w:rPr>
              <w:t>250</w:t>
            </w:r>
            <w:r>
              <w:rPr>
                <w:rFonts w:hint="eastAsia"/>
                <w:lang w:val="en-GB"/>
              </w:rPr>
              <w:t>个就业岗位。</w:t>
            </w:r>
          </w:p>
        </w:tc>
      </w:tr>
      <w:tr w:rsidR="00334AE2">
        <w:tc>
          <w:tcPr>
            <w:tcW w:w="2376" w:type="dxa"/>
            <w:shd w:val="clear" w:color="auto" w:fill="auto"/>
          </w:tcPr>
          <w:p w:rsidR="00334AE2" w:rsidRDefault="00334AE2">
            <w:pPr>
              <w:pStyle w:val="a5"/>
              <w:rPr>
                <w:lang w:val="en-GB"/>
              </w:rPr>
            </w:pPr>
            <w:hyperlink r:id="rId34" w:tooltip="莱茵兰－普法尔茨" w:history="1">
              <w:r>
                <w:rPr>
                  <w:rStyle w:val="Hyperlink"/>
                  <w:color w:val="auto"/>
                  <w:u w:val="none"/>
                  <w:lang w:val="en-GB"/>
                </w:rPr>
                <w:t>莱茵兰</w:t>
              </w:r>
              <w:r>
                <w:rPr>
                  <w:rStyle w:val="Hyperlink"/>
                  <w:rFonts w:hint="eastAsia"/>
                  <w:color w:val="auto"/>
                  <w:u w:val="none"/>
                  <w:lang w:val="en-GB"/>
                </w:rPr>
                <w:t>﹣</w:t>
              </w:r>
              <w:r>
                <w:rPr>
                  <w:rStyle w:val="Hyperlink"/>
                  <w:color w:val="auto"/>
                  <w:u w:val="none"/>
                  <w:lang w:val="en-GB"/>
                </w:rPr>
                <w:t>普法尔茨</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近年来，在州减少重度残疾人失业特别方案的支持下，超过</w:t>
            </w:r>
            <w:r>
              <w:rPr>
                <w:rFonts w:hint="eastAsia"/>
                <w:lang w:val="en-GB"/>
              </w:rPr>
              <w:t>4,000</w:t>
            </w:r>
            <w:r>
              <w:rPr>
                <w:rFonts w:hint="eastAsia"/>
                <w:lang w:val="en-GB"/>
              </w:rPr>
              <w:t>名重度残疾人在一般劳动力市场上得到了工作。</w:t>
            </w:r>
          </w:p>
        </w:tc>
      </w:tr>
      <w:tr w:rsidR="00334AE2">
        <w:tc>
          <w:tcPr>
            <w:tcW w:w="2376" w:type="dxa"/>
            <w:shd w:val="clear" w:color="auto" w:fill="auto"/>
          </w:tcPr>
          <w:p w:rsidR="00334AE2" w:rsidRDefault="00334AE2">
            <w:pPr>
              <w:pStyle w:val="a5"/>
              <w:rPr>
                <w:lang w:val="en-GB"/>
              </w:rPr>
            </w:pPr>
            <w:hyperlink r:id="rId35" w:tooltip="萨尔" w:history="1">
              <w:r>
                <w:rPr>
                  <w:rStyle w:val="Hyperlink"/>
                  <w:color w:val="auto"/>
                  <w:u w:val="none"/>
                  <w:lang w:val="en-GB"/>
                </w:rPr>
                <w:t>萨尔</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萨尔为受到特别影响的重度残疾人的融入实施的参与方案，他们过去参加过在职业培训领域方案中认可的残疾人工作坊，或者在一般劳动力市场的工作领域被雇用过。</w:t>
            </w:r>
          </w:p>
        </w:tc>
      </w:tr>
      <w:tr w:rsidR="00334AE2">
        <w:tc>
          <w:tcPr>
            <w:tcW w:w="2376" w:type="dxa"/>
            <w:shd w:val="clear" w:color="auto" w:fill="auto"/>
          </w:tcPr>
          <w:p w:rsidR="00334AE2" w:rsidRDefault="00334AE2">
            <w:pPr>
              <w:pStyle w:val="a5"/>
              <w:rPr>
                <w:lang w:val="en-GB"/>
              </w:rPr>
            </w:pPr>
            <w:hyperlink r:id="rId36" w:tooltip="萨克森自由州" w:history="1">
              <w:r>
                <w:rPr>
                  <w:rStyle w:val="Hyperlink"/>
                  <w:color w:val="auto"/>
                  <w:u w:val="none"/>
                  <w:lang w:val="en-GB"/>
                </w:rPr>
                <w:t>萨克森州</w:t>
              </w:r>
            </w:hyperlink>
          </w:p>
        </w:tc>
        <w:tc>
          <w:tcPr>
            <w:tcW w:w="4994" w:type="dxa"/>
            <w:shd w:val="clear" w:color="auto" w:fill="auto"/>
          </w:tcPr>
          <w:p w:rsidR="00334AE2" w:rsidRDefault="00334AE2">
            <w:pPr>
              <w:pStyle w:val="a5"/>
              <w:rPr>
                <w:lang w:val="en-GB"/>
              </w:rPr>
            </w:pPr>
            <w:r>
              <w:rPr>
                <w:rFonts w:hint="eastAsia"/>
                <w:lang w:val="en-GB"/>
              </w:rPr>
              <w:t>工作</w:t>
            </w:r>
            <w:r>
              <w:rPr>
                <w:rFonts w:hint="eastAsia"/>
                <w:lang w:val="en-GB"/>
              </w:rPr>
              <w:t>+</w:t>
            </w:r>
            <w:r>
              <w:rPr>
                <w:rFonts w:hint="eastAsia"/>
                <w:lang w:val="en-GB"/>
              </w:rPr>
              <w:t>残疾人联盟的“支持”示范方案，为残疾人融入小型和中型企业对补贴进行协调，然后在一站式基础上向企业提供。</w:t>
            </w:r>
          </w:p>
        </w:tc>
      </w:tr>
      <w:tr w:rsidR="00334AE2">
        <w:tc>
          <w:tcPr>
            <w:tcW w:w="2376" w:type="dxa"/>
            <w:shd w:val="clear" w:color="auto" w:fill="auto"/>
          </w:tcPr>
          <w:p w:rsidR="00334AE2" w:rsidRDefault="00334AE2">
            <w:pPr>
              <w:pStyle w:val="a5"/>
              <w:rPr>
                <w:lang w:val="en-GB"/>
              </w:rPr>
            </w:pPr>
            <w:hyperlink r:id="rId37" w:tooltip="萨克森－安哈尔特" w:history="1">
              <w:r>
                <w:rPr>
                  <w:rStyle w:val="Hyperlink"/>
                  <w:color w:val="auto"/>
                  <w:u w:val="none"/>
                  <w:lang w:val="en-GB"/>
                </w:rPr>
                <w:t>萨克森</w:t>
              </w:r>
              <w:r>
                <w:rPr>
                  <w:rStyle w:val="Hyperlink"/>
                  <w:rFonts w:hint="eastAsia"/>
                  <w:color w:val="auto"/>
                  <w:u w:val="none"/>
                  <w:lang w:val="en-GB"/>
                </w:rPr>
                <w:t>﹣</w:t>
              </w:r>
              <w:r>
                <w:rPr>
                  <w:rStyle w:val="Hyperlink"/>
                  <w:color w:val="auto"/>
                  <w:u w:val="none"/>
                  <w:lang w:val="en-GB"/>
                </w:rPr>
                <w:t>安哈尔特</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残疾人创业方案，支持重度残疾人从事</w:t>
            </w:r>
            <w:r>
              <w:rPr>
                <w:lang w:val="en-GB"/>
              </w:rPr>
              <w:t>自营职业</w:t>
            </w:r>
            <w:r>
              <w:rPr>
                <w:rFonts w:hint="eastAsia"/>
                <w:lang w:val="en-GB"/>
              </w:rPr>
              <w:t>。</w:t>
            </w:r>
          </w:p>
        </w:tc>
      </w:tr>
      <w:tr w:rsidR="00334AE2">
        <w:tc>
          <w:tcPr>
            <w:tcW w:w="2376" w:type="dxa"/>
            <w:shd w:val="clear" w:color="auto" w:fill="auto"/>
          </w:tcPr>
          <w:p w:rsidR="00334AE2" w:rsidRDefault="00334AE2">
            <w:pPr>
              <w:pStyle w:val="a5"/>
              <w:rPr>
                <w:lang w:val="en-GB"/>
              </w:rPr>
            </w:pPr>
            <w:hyperlink r:id="rId38" w:tooltip="石勒苏益格－荷尔斯泰因" w:history="1">
              <w:r>
                <w:t>石勒苏益格</w:t>
              </w:r>
              <w:r>
                <w:rPr>
                  <w:rFonts w:hint="eastAsia"/>
                </w:rPr>
                <w:t>﹣</w:t>
              </w:r>
              <w:r>
                <w:t>荷</w:t>
              </w:r>
              <w:r>
                <w:t>尔斯泰因</w:t>
              </w:r>
            </w:hyperlink>
            <w:r>
              <w:rPr>
                <w:rFonts w:hint="eastAsia"/>
                <w:lang w:val="en-GB"/>
              </w:rPr>
              <w:t>州</w:t>
            </w:r>
          </w:p>
        </w:tc>
        <w:tc>
          <w:tcPr>
            <w:tcW w:w="4994" w:type="dxa"/>
            <w:shd w:val="clear" w:color="auto" w:fill="auto"/>
          </w:tcPr>
          <w:p w:rsidR="00334AE2" w:rsidRDefault="00334AE2">
            <w:pPr>
              <w:pStyle w:val="a5"/>
              <w:rPr>
                <w:lang w:val="en-GB"/>
              </w:rPr>
            </w:pPr>
            <w:r>
              <w:rPr>
                <w:rFonts w:hint="eastAsia"/>
                <w:lang w:val="en-GB"/>
              </w:rPr>
              <w:t>“从学校向工作过渡”示范项目，促进在促进中心的学生的身心发展，目标是使他们能够根据个人技能成功地开始工作生活。</w:t>
            </w:r>
          </w:p>
        </w:tc>
      </w:tr>
      <w:tr w:rsidR="00334AE2">
        <w:tc>
          <w:tcPr>
            <w:tcW w:w="2376" w:type="dxa"/>
            <w:tcBorders>
              <w:bottom w:val="single" w:sz="12" w:space="0" w:color="auto"/>
            </w:tcBorders>
            <w:shd w:val="clear" w:color="auto" w:fill="auto"/>
          </w:tcPr>
          <w:p w:rsidR="00334AE2" w:rsidRDefault="00334AE2">
            <w:pPr>
              <w:pStyle w:val="a5"/>
              <w:rPr>
                <w:lang w:val="en-GB"/>
              </w:rPr>
            </w:pPr>
            <w:hyperlink r:id="rId39" w:tooltip="图林根" w:history="1">
              <w:r>
                <w:rPr>
                  <w:rStyle w:val="Hyperlink"/>
                  <w:color w:val="auto"/>
                  <w:u w:val="none"/>
                  <w:lang w:val="en-GB"/>
                </w:rPr>
                <w:t>图林根</w:t>
              </w:r>
            </w:hyperlink>
            <w:r>
              <w:rPr>
                <w:rFonts w:hint="eastAsia"/>
                <w:lang w:val="en-GB"/>
              </w:rPr>
              <w:t>州</w:t>
            </w:r>
          </w:p>
        </w:tc>
        <w:tc>
          <w:tcPr>
            <w:tcW w:w="4994" w:type="dxa"/>
            <w:tcBorders>
              <w:bottom w:val="single" w:sz="12" w:space="0" w:color="auto"/>
            </w:tcBorders>
            <w:shd w:val="clear" w:color="auto" w:fill="auto"/>
          </w:tcPr>
          <w:p w:rsidR="00334AE2" w:rsidRDefault="00334AE2">
            <w:pPr>
              <w:pStyle w:val="a5"/>
              <w:rPr>
                <w:lang w:val="en-GB"/>
              </w:rPr>
            </w:pPr>
            <w:r>
              <w:rPr>
                <w:rFonts w:hint="eastAsia"/>
                <w:lang w:val="en-GB"/>
              </w:rPr>
              <w:t>通过实施题为“融合</w:t>
            </w:r>
            <w:r>
              <w:rPr>
                <w:rFonts w:hint="eastAsia"/>
                <w:lang w:val="en-GB"/>
              </w:rPr>
              <w:t>2010</w:t>
            </w:r>
            <w:r>
              <w:rPr>
                <w:rFonts w:hint="eastAsia"/>
                <w:lang w:val="en-GB"/>
              </w:rPr>
              <w:t>年”项目，在与他们的职业有关的培训期间，为首次参加培训的处于不利处境的青少年和有学习障碍的青少年，提供从学校之外毕业的机会。</w:t>
            </w:r>
          </w:p>
        </w:tc>
      </w:tr>
    </w:tbl>
    <w:p w:rsidR="00334AE2" w:rsidRDefault="00334AE2">
      <w:pPr>
        <w:pStyle w:val="SingleTxtGC"/>
        <w:spacing w:after="0" w:line="200" w:lineRule="exact"/>
        <w:rPr>
          <w:rFonts w:hint="eastAsia"/>
          <w:lang w:val="en-GB"/>
        </w:rPr>
      </w:pPr>
    </w:p>
    <w:p w:rsidR="00334AE2" w:rsidRDefault="00334AE2">
      <w:pPr>
        <w:pStyle w:val="SingleTxtGC"/>
        <w:rPr>
          <w:lang w:val="en-GB"/>
        </w:rPr>
      </w:pPr>
      <w:r>
        <w:rPr>
          <w:lang w:val="en-GB"/>
        </w:rPr>
        <w:t>235.</w:t>
      </w:r>
      <w:r>
        <w:rPr>
          <w:rFonts w:hint="eastAsia"/>
          <w:lang w:val="en-GB"/>
        </w:rPr>
        <w:t xml:space="preserve">  </w:t>
      </w:r>
      <w:r>
        <w:rPr>
          <w:rFonts w:hint="eastAsia"/>
          <w:lang w:val="en-GB"/>
        </w:rPr>
        <w:t>为了能够在劳动力市场上站住脚跟，残疾人及所有没有残疾的人接受职业培训，都是不可或缺的。为了改善培训情况，残疾协会呼吁员工自愿参与有利于残疾青年的培训攻势。德国全国工业协会和联邦政府在《全国培训和年轻专业工人契约》</w:t>
      </w:r>
      <w:r>
        <w:rPr>
          <w:rFonts w:hint="eastAsia"/>
          <w:lang w:val="en-GB"/>
        </w:rPr>
        <w:t>(</w:t>
      </w:r>
      <w:r>
        <w:rPr>
          <w:rFonts w:hint="eastAsia"/>
          <w:lang w:val="en-GB"/>
        </w:rPr>
        <w:t>已延至</w:t>
      </w:r>
      <w:r>
        <w:rPr>
          <w:rFonts w:hint="eastAsia"/>
          <w:lang w:val="en-GB"/>
        </w:rPr>
        <w:t>2014</w:t>
      </w:r>
      <w:r>
        <w:rPr>
          <w:rFonts w:hint="eastAsia"/>
          <w:lang w:val="en-GB"/>
        </w:rPr>
        <w:t>年</w:t>
      </w:r>
      <w:r>
        <w:rPr>
          <w:rFonts w:hint="eastAsia"/>
          <w:lang w:val="en-GB"/>
        </w:rPr>
        <w:t>)</w:t>
      </w:r>
      <w:r>
        <w:rPr>
          <w:rFonts w:hint="eastAsia"/>
          <w:lang w:val="en-GB"/>
        </w:rPr>
        <w:t>中同意，利用一切潜力开展培训。在这方面，它们也愿意一起支持和推动</w:t>
      </w:r>
      <w:r>
        <w:rPr>
          <w:rFonts w:hint="eastAsia"/>
          <w:lang w:val="en-GB"/>
        </w:rPr>
        <w:t>(</w:t>
      </w:r>
      <w:r>
        <w:rPr>
          <w:rFonts w:hint="eastAsia"/>
          <w:lang w:val="en-GB"/>
        </w:rPr>
        <w:t>重度</w:t>
      </w:r>
      <w:r>
        <w:rPr>
          <w:rFonts w:hint="eastAsia"/>
          <w:lang w:val="en-GB"/>
        </w:rPr>
        <w:t>)</w:t>
      </w:r>
      <w:r>
        <w:rPr>
          <w:rFonts w:hint="eastAsia"/>
          <w:lang w:val="en-GB"/>
        </w:rPr>
        <w:t>残疾青年人个人。联邦政府与州和行业单位一起，正在努力改善残疾青年人参与</w:t>
      </w:r>
      <w:r>
        <w:rPr>
          <w:lang w:val="en-GB"/>
        </w:rPr>
        <w:t>企业内</w:t>
      </w:r>
      <w:r>
        <w:rPr>
          <w:rFonts w:hint="eastAsia"/>
          <w:lang w:val="en-GB"/>
        </w:rPr>
        <w:t>部培训状况。</w:t>
      </w:r>
    </w:p>
    <w:p w:rsidR="00334AE2" w:rsidRDefault="00334AE2">
      <w:pPr>
        <w:pStyle w:val="SingleTxtGC"/>
        <w:rPr>
          <w:lang w:val="en-GB"/>
        </w:rPr>
      </w:pPr>
      <w:r>
        <w:rPr>
          <w:lang w:val="en-GB"/>
        </w:rPr>
        <w:t xml:space="preserve">236.  </w:t>
      </w:r>
      <w:r>
        <w:rPr>
          <w:rFonts w:hint="eastAsia"/>
          <w:lang w:val="en-GB"/>
        </w:rPr>
        <w:t>首先，在培训形势中，值得欢迎的是，</w:t>
      </w:r>
      <w:r>
        <w:rPr>
          <w:rFonts w:hint="eastAsia"/>
          <w:lang w:val="en-GB"/>
        </w:rPr>
        <w:t>99%</w:t>
      </w:r>
      <w:r>
        <w:rPr>
          <w:rFonts w:hint="eastAsia"/>
          <w:lang w:val="en-GB"/>
        </w:rPr>
        <w:t>在联邦就业署登记申请培训的人，最终参加了培训，并获得了有报酬的就业或替代技术建设</w:t>
      </w:r>
      <w:r>
        <w:rPr>
          <w:rStyle w:val="FootnoteReference"/>
        </w:rPr>
        <w:footnoteReference w:id="64"/>
      </w:r>
      <w:r>
        <w:rPr>
          <w:rFonts w:hint="eastAsia"/>
          <w:lang w:val="en-GB"/>
        </w:rPr>
        <w:t>。在可能的情况下，考虑他们表达愿望和选择的权利，让残疾人融入工作和社会生活，不再在设施受照顾。这尤其适用于残疾年轻人，以从一开始就防止他们在社会上受到孤立。因此，最好所有未成年人都在他们家附近参加企业内部培训。就业署和求职者基本保障福利机构，通过提供适当的补贴，对此加以促进。</w:t>
      </w:r>
    </w:p>
    <w:p w:rsidR="00334AE2" w:rsidRDefault="00334AE2">
      <w:pPr>
        <w:pStyle w:val="SingleTxtGC"/>
        <w:rPr>
          <w:lang w:val="en-GB"/>
        </w:rPr>
      </w:pPr>
      <w:r>
        <w:rPr>
          <w:lang w:val="en-GB"/>
        </w:rPr>
        <w:t xml:space="preserve">237.  </w:t>
      </w:r>
      <w:r>
        <w:rPr>
          <w:rFonts w:hint="eastAsia"/>
          <w:lang w:val="en-GB"/>
        </w:rPr>
        <w:t>尽管利用一切可用的支持弥补他们的弱势，但是一些人仍然不可能参加培训。自</w:t>
      </w:r>
      <w:r>
        <w:rPr>
          <w:rFonts w:hint="eastAsia"/>
          <w:lang w:val="en-GB"/>
        </w:rPr>
        <w:t>2009</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日，联邦政府为这些人开发了一种新的支持形式，即“支持性就业”形式</w:t>
      </w:r>
      <w:r>
        <w:rPr>
          <w:rStyle w:val="FootnoteReference"/>
        </w:rPr>
        <w:footnoteReference w:id="65"/>
      </w:r>
      <w:r>
        <w:rPr>
          <w:rFonts w:hint="eastAsia"/>
          <w:lang w:val="en-GB"/>
        </w:rPr>
        <w:t>。“支持性就业”导致特别需要支持的人，根据他们的能力和倾向，在企业获得新就业机会。根据“先安置、后培训”原则，</w:t>
      </w:r>
      <w:r>
        <w:rPr>
          <w:lang w:val="en-GB"/>
        </w:rPr>
        <w:t>只要是必要</w:t>
      </w:r>
      <w:r>
        <w:rPr>
          <w:rFonts w:hint="eastAsia"/>
          <w:lang w:val="en-GB"/>
        </w:rPr>
        <w:t>，他们就可以接受</w:t>
      </w:r>
      <w:r>
        <w:rPr>
          <w:lang w:val="en-GB"/>
        </w:rPr>
        <w:t>在职</w:t>
      </w:r>
      <w:r>
        <w:rPr>
          <w:rFonts w:hint="eastAsia"/>
          <w:lang w:val="en-GB"/>
        </w:rPr>
        <w:t>培训和支持，直到可以签署就业合同。在必要的情况下，他们随后可以接受包容办公室的进一步</w:t>
      </w:r>
      <w:r>
        <w:rPr>
          <w:lang w:val="en-GB"/>
        </w:rPr>
        <w:t>在职</w:t>
      </w:r>
      <w:r>
        <w:rPr>
          <w:rFonts w:hint="eastAsia"/>
          <w:lang w:val="en-GB"/>
        </w:rPr>
        <w:t>职业陪同。</w:t>
      </w:r>
    </w:p>
    <w:p w:rsidR="00334AE2" w:rsidRDefault="00334AE2">
      <w:pPr>
        <w:pStyle w:val="SingleTxtGC"/>
        <w:rPr>
          <w:lang w:val="en-GB"/>
        </w:rPr>
      </w:pPr>
      <w:r>
        <w:rPr>
          <w:lang w:val="en-GB"/>
        </w:rPr>
        <w:t xml:space="preserve">238.  </w:t>
      </w:r>
      <w:r>
        <w:rPr>
          <w:rFonts w:hint="eastAsia"/>
          <w:lang w:val="en-GB"/>
        </w:rPr>
        <w:t>随着联邦政府</w:t>
      </w:r>
      <w:r>
        <w:rPr>
          <w:rFonts w:hint="eastAsia"/>
          <w:lang w:val="en-GB"/>
        </w:rPr>
        <w:t>2007</w:t>
      </w:r>
      <w:r>
        <w:rPr>
          <w:rFonts w:hint="eastAsia"/>
          <w:lang w:val="en-GB"/>
        </w:rPr>
        <w:t>年实施“</w:t>
      </w:r>
      <w:r>
        <w:rPr>
          <w:lang w:val="en-GB"/>
        </w:rPr>
        <w:t>RehaFutur</w:t>
      </w:r>
      <w:r>
        <w:rPr>
          <w:rFonts w:hint="eastAsia"/>
          <w:lang w:val="en-GB"/>
        </w:rPr>
        <w:t>”举措，职业康复将有一个美好的未来。除了短期方案外</w:t>
      </w:r>
      <w:r>
        <w:rPr>
          <w:rFonts w:hint="eastAsia"/>
          <w:lang w:val="en-GB"/>
        </w:rPr>
        <w:t>(</w:t>
      </w:r>
      <w:r>
        <w:rPr>
          <w:rFonts w:hint="eastAsia"/>
          <w:lang w:val="en-GB"/>
        </w:rPr>
        <w:t>包括直接稳定各个职业促进机构的财务状况</w:t>
      </w:r>
      <w:r>
        <w:rPr>
          <w:rFonts w:hint="eastAsia"/>
          <w:lang w:val="en-GB"/>
        </w:rPr>
        <w:t>)</w:t>
      </w:r>
      <w:r>
        <w:rPr>
          <w:rFonts w:hint="eastAsia"/>
          <w:lang w:val="en-GB"/>
        </w:rPr>
        <w:t>，所有活动都特别是为了保持中期和长期稳定，确保职业康复系统的未来。一个主要目标是，提高所有方案的效率。</w:t>
      </w:r>
    </w:p>
    <w:p w:rsidR="00334AE2" w:rsidRDefault="00334AE2">
      <w:pPr>
        <w:pStyle w:val="SingleTxtGC"/>
        <w:rPr>
          <w:lang w:val="en-GB"/>
        </w:rPr>
      </w:pPr>
      <w:r>
        <w:rPr>
          <w:lang w:val="en-GB"/>
        </w:rPr>
        <w:t xml:space="preserve">239.  </w:t>
      </w:r>
      <w:r>
        <w:rPr>
          <w:rFonts w:hint="eastAsia"/>
          <w:lang w:val="en-GB"/>
        </w:rPr>
        <w:t>目前，在德国，约有</w:t>
      </w:r>
      <w:r>
        <w:rPr>
          <w:rFonts w:hint="eastAsia"/>
          <w:lang w:val="en-GB"/>
        </w:rPr>
        <w:t>700</w:t>
      </w:r>
      <w:r>
        <w:rPr>
          <w:rFonts w:hint="eastAsia"/>
          <w:lang w:val="en-GB"/>
        </w:rPr>
        <w:t>个残疾人工作坊。这些工作坊向由于残疾的性质或严重性，</w:t>
      </w:r>
      <w:r>
        <w:rPr>
          <w:rFonts w:hint="eastAsia"/>
          <w:lang w:val="en-GB"/>
        </w:rPr>
        <w:t>(</w:t>
      </w:r>
      <w:r>
        <w:rPr>
          <w:rFonts w:hint="eastAsia"/>
          <w:lang w:val="en-GB"/>
        </w:rPr>
        <w:t>尚</w:t>
      </w:r>
      <w:r>
        <w:rPr>
          <w:rFonts w:hint="eastAsia"/>
          <w:lang w:val="en-GB"/>
        </w:rPr>
        <w:t>)</w:t>
      </w:r>
      <w:r>
        <w:rPr>
          <w:rFonts w:hint="eastAsia"/>
          <w:lang w:val="en-GB"/>
        </w:rPr>
        <w:t>没有能够在一般劳动力市场上被雇用的人，提供就业机会。约有</w:t>
      </w:r>
      <w:r>
        <w:rPr>
          <w:rFonts w:hint="eastAsia"/>
          <w:lang w:val="en-GB"/>
        </w:rPr>
        <w:t>280,000</w:t>
      </w:r>
      <w:r>
        <w:rPr>
          <w:rFonts w:hint="eastAsia"/>
          <w:lang w:val="en-GB"/>
        </w:rPr>
        <w:t>名残疾人在这些工作坊工作。在授予公共合同时，优先考虑认可的残疾人工作坊</w:t>
      </w:r>
      <w:r>
        <w:rPr>
          <w:rFonts w:hint="eastAsia"/>
          <w:lang w:val="en-GB"/>
        </w:rPr>
        <w:t>(</w:t>
      </w:r>
      <w:r>
        <w:rPr>
          <w:rFonts w:hint="eastAsia"/>
          <w:lang w:val="en-GB"/>
        </w:rPr>
        <w:t>《社会法典》第九部第</w:t>
      </w:r>
      <w:r>
        <w:rPr>
          <w:rFonts w:hint="eastAsia"/>
          <w:lang w:val="en-GB"/>
        </w:rPr>
        <w:t>141</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240.  </w:t>
      </w:r>
      <w:r>
        <w:rPr>
          <w:rFonts w:hint="eastAsia"/>
          <w:lang w:val="en-GB"/>
        </w:rPr>
        <w:t>在劳动和社会事务部长会议联邦</w:t>
      </w:r>
      <w:r>
        <w:rPr>
          <w:rFonts w:hint="eastAsia"/>
          <w:spacing w:val="-50"/>
          <w:lang w:val="en-GB"/>
        </w:rPr>
        <w:t>―</w:t>
      </w:r>
      <w:r>
        <w:rPr>
          <w:rFonts w:hint="eastAsia"/>
          <w:lang w:val="en-GB"/>
        </w:rPr>
        <w:t>―州“完善残疾人融入社会援助”工作小组范围之内，联邦政府正在努力大力加强以人为本的做法。因此，当对关于工作坊法律进行重新定位时，在工作坊，或者与其他具有同样质量的供应商一起，逐个确定和满足残疾人的支持需求。在工作坊的残疾人通过工作坊委员会，参与影响他们的利益的事项。《工作坊参与条例》现在已经存在了十年</w:t>
      </w:r>
      <w:r>
        <w:rPr>
          <w:rFonts w:hint="eastAsia"/>
          <w:lang w:val="en-GB"/>
        </w:rPr>
        <w:t>(</w:t>
      </w:r>
      <w:r>
        <w:rPr>
          <w:rFonts w:hint="eastAsia"/>
          <w:lang w:val="en-GB"/>
        </w:rPr>
        <w:t>参见第六条</w:t>
      </w:r>
      <w:r>
        <w:rPr>
          <w:rFonts w:hint="eastAsia"/>
          <w:lang w:val="en-GB"/>
        </w:rPr>
        <w:t>)</w:t>
      </w:r>
      <w:r>
        <w:rPr>
          <w:rFonts w:hint="eastAsia"/>
          <w:lang w:val="en-GB"/>
        </w:rPr>
        <w:t>。</w:t>
      </w:r>
    </w:p>
    <w:p w:rsidR="00334AE2" w:rsidRDefault="00334AE2">
      <w:pPr>
        <w:pStyle w:val="SingleTxtGC"/>
        <w:rPr>
          <w:lang w:val="en-GB"/>
        </w:rPr>
      </w:pPr>
      <w:r>
        <w:rPr>
          <w:lang w:val="en-GB"/>
        </w:rPr>
        <w:t xml:space="preserve">241.  </w:t>
      </w:r>
      <w:r>
        <w:rPr>
          <w:rFonts w:hint="eastAsia"/>
          <w:lang w:val="en-GB"/>
        </w:rPr>
        <w:t>拒绝和必须打击对残疾人的所有形式和类型的歧视。联邦和各州一致同意这一点。保护残疾人在工作生活中免受基于残疾的歧视</w:t>
      </w:r>
      <w:r>
        <w:rPr>
          <w:rFonts w:hint="eastAsia"/>
          <w:lang w:val="en-GB"/>
        </w:rPr>
        <w:t>(</w:t>
      </w:r>
      <w:r>
        <w:rPr>
          <w:rFonts w:hint="eastAsia"/>
          <w:lang w:val="en-GB"/>
        </w:rPr>
        <w:t>《普遍反歧视法》第</w:t>
      </w:r>
      <w:r>
        <w:rPr>
          <w:rFonts w:hint="eastAsia"/>
          <w:lang w:val="en-GB"/>
        </w:rPr>
        <w:t>7</w:t>
      </w:r>
      <w:r>
        <w:rPr>
          <w:rFonts w:hint="eastAsia"/>
          <w:lang w:val="en-GB"/>
        </w:rPr>
        <w:t>条连同第</w:t>
      </w:r>
      <w:r>
        <w:rPr>
          <w:rFonts w:hint="eastAsia"/>
          <w:lang w:val="en-GB"/>
        </w:rPr>
        <w:t>1</w:t>
      </w:r>
      <w:r>
        <w:rPr>
          <w:rFonts w:hint="eastAsia"/>
          <w:lang w:val="en-GB"/>
        </w:rPr>
        <w:t>条</w:t>
      </w:r>
      <w:r>
        <w:rPr>
          <w:rFonts w:hint="eastAsia"/>
          <w:lang w:val="en-GB"/>
        </w:rPr>
        <w:t>)</w:t>
      </w:r>
      <w:r>
        <w:rPr>
          <w:rFonts w:hint="eastAsia"/>
          <w:lang w:val="en-GB"/>
        </w:rPr>
        <w:t>。这包括直接和间接的损害和骚扰。保护规定已经适用于工作招聘广告和申请人的选择。此外，雇主有义务采取必要措施，保护免受损害。如果有人违反禁止歧视法规，雇主必须对因此造成的损害进行赔偿或提供</w:t>
      </w:r>
      <w:r>
        <w:rPr>
          <w:lang w:val="en-GB"/>
        </w:rPr>
        <w:t>补偿</w:t>
      </w:r>
      <w:r>
        <w:rPr>
          <w:rFonts w:hint="eastAsia"/>
          <w:lang w:val="en-GB"/>
        </w:rPr>
        <w:t>。</w:t>
      </w:r>
      <w:r>
        <w:rPr>
          <w:rFonts w:hint="eastAsia"/>
          <w:lang w:val="en-GB"/>
        </w:rPr>
        <w:t>(</w:t>
      </w:r>
      <w:r>
        <w:rPr>
          <w:rFonts w:hint="eastAsia"/>
          <w:lang w:val="en-GB"/>
        </w:rPr>
        <w:t>《普遍反歧视法》第</w:t>
      </w:r>
      <w:r>
        <w:rPr>
          <w:rFonts w:hint="eastAsia"/>
          <w:lang w:val="en-GB"/>
        </w:rPr>
        <w:t>15</w:t>
      </w:r>
      <w:r>
        <w:rPr>
          <w:rFonts w:hint="eastAsia"/>
          <w:lang w:val="en-GB"/>
        </w:rPr>
        <w:t>条</w:t>
      </w:r>
      <w:r>
        <w:rPr>
          <w:rFonts w:hint="eastAsia"/>
          <w:lang w:val="en-GB"/>
        </w:rPr>
        <w:t>)</w:t>
      </w:r>
      <w:r>
        <w:rPr>
          <w:rFonts w:hint="eastAsia"/>
          <w:lang w:val="en-GB"/>
        </w:rPr>
        <w:t>。</w:t>
      </w:r>
    </w:p>
    <w:p w:rsidR="00334AE2" w:rsidRDefault="00334AE2">
      <w:pPr>
        <w:pStyle w:val="H1GC"/>
        <w:rPr>
          <w:lang w:val="en-GB"/>
        </w:rPr>
      </w:pPr>
      <w:bookmarkStart w:id="31" w:name="_Toc303932240"/>
      <w:r>
        <w:rPr>
          <w:lang w:val="en-GB"/>
        </w:rPr>
        <w:tab/>
      </w:r>
      <w:r>
        <w:rPr>
          <w:lang w:val="en-GB"/>
        </w:rPr>
        <w:tab/>
      </w:r>
      <w:bookmarkEnd w:id="31"/>
      <w:r>
        <w:rPr>
          <w:rFonts w:hint="eastAsia"/>
          <w:lang w:val="en-GB"/>
        </w:rPr>
        <w:t>第二十八条</w:t>
      </w:r>
      <w:r>
        <w:rPr>
          <w:rFonts w:hint="eastAsia"/>
          <w:lang w:val="en-GB"/>
        </w:rPr>
        <w:br/>
      </w:r>
      <w:r>
        <w:rPr>
          <w:rFonts w:hint="eastAsia"/>
          <w:lang w:val="en-GB"/>
        </w:rPr>
        <w:t>适足的生活水平和社会保护</w:t>
      </w:r>
    </w:p>
    <w:p w:rsidR="00334AE2" w:rsidRDefault="00334AE2">
      <w:pPr>
        <w:pStyle w:val="SingleTxtGC"/>
        <w:rPr>
          <w:lang w:val="en-GB"/>
        </w:rPr>
      </w:pPr>
      <w:r>
        <w:rPr>
          <w:lang w:val="en-GB"/>
        </w:rPr>
        <w:t xml:space="preserve">242.  </w:t>
      </w:r>
      <w:r>
        <w:rPr>
          <w:rFonts w:hint="eastAsia"/>
          <w:lang w:val="en-GB"/>
        </w:rPr>
        <w:t>在德国，无法靠自己的实力或初级支助养活自己的所有人，因为需要支助，都有权获得视需要而定、由税收出资的社会福利。</w:t>
      </w:r>
    </w:p>
    <w:p w:rsidR="00334AE2" w:rsidRDefault="00334AE2">
      <w:pPr>
        <w:pStyle w:val="SingleTxtGC"/>
        <w:rPr>
          <w:lang w:val="en-GB"/>
        </w:rPr>
      </w:pPr>
      <w:r>
        <w:rPr>
          <w:lang w:val="en-GB"/>
        </w:rPr>
        <w:t xml:space="preserve">243.  </w:t>
      </w:r>
      <w:r>
        <w:rPr>
          <w:rFonts w:hint="eastAsia"/>
          <w:lang w:val="en-GB"/>
        </w:rPr>
        <w:t>根据《社会法典》第十二部，向不能从事有报酬的就业的需要支助的人，从社会援助中提供补贴，以确保他们有尊严的生存。对生活费用的支助，包括生活费用需求</w:t>
      </w:r>
      <w:r>
        <w:rPr>
          <w:rFonts w:hint="eastAsia"/>
          <w:lang w:val="en-GB"/>
        </w:rPr>
        <w:t>(</w:t>
      </w:r>
      <w:r>
        <w:rPr>
          <w:rFonts w:hint="eastAsia"/>
          <w:lang w:val="en-GB"/>
        </w:rPr>
        <w:t>标准需求</w:t>
      </w:r>
      <w:r>
        <w:rPr>
          <w:rFonts w:hint="eastAsia"/>
          <w:lang w:val="en-GB"/>
        </w:rPr>
        <w:t>)</w:t>
      </w:r>
      <w:r>
        <w:rPr>
          <w:rFonts w:hint="eastAsia"/>
          <w:lang w:val="en-GB"/>
        </w:rPr>
        <w:t>，以及包括取暖费用在内的适当住所费用。此外，对于标准补贴不能涵盖的特别需求，可以为所谓的额外需求支付资金。</w:t>
      </w:r>
    </w:p>
    <w:p w:rsidR="00334AE2" w:rsidRDefault="00334AE2">
      <w:pPr>
        <w:pStyle w:val="SingleTxtGC"/>
        <w:rPr>
          <w:lang w:val="en-GB"/>
        </w:rPr>
      </w:pPr>
      <w:r>
        <w:rPr>
          <w:lang w:val="en-GB"/>
        </w:rPr>
        <w:t xml:space="preserve">244.  </w:t>
      </w:r>
      <w:r>
        <w:rPr>
          <w:rFonts w:hint="eastAsia"/>
          <w:lang w:val="en-GB"/>
        </w:rPr>
        <w:t>根据《社会法典》第十二部，已经满</w:t>
      </w:r>
      <w:r>
        <w:rPr>
          <w:rFonts w:hint="eastAsia"/>
          <w:lang w:val="en-GB"/>
        </w:rPr>
        <w:t>18</w:t>
      </w:r>
      <w:r>
        <w:rPr>
          <w:rFonts w:hint="eastAsia"/>
          <w:lang w:val="en-GB"/>
        </w:rPr>
        <w:t>岁但未到</w:t>
      </w:r>
      <w:r>
        <w:rPr>
          <w:rFonts w:hint="eastAsia"/>
          <w:lang w:val="en-GB"/>
        </w:rPr>
        <w:t>65</w:t>
      </w:r>
      <w:r>
        <w:rPr>
          <w:rFonts w:hint="eastAsia"/>
          <w:lang w:val="en-GB"/>
        </w:rPr>
        <w:t>岁的需要支助的人，完全因为疾病或残疾，全部和永久丧失谋生能力，有权获得老年基本保障补贴；如果丧失谋生能力，有权获得基本保障补贴。补贴的数量和范围，与生活费用支助相应。基本保障补贴的一个核心元素是</w:t>
      </w:r>
      <w:r>
        <w:rPr>
          <w:rFonts w:hint="eastAsia"/>
          <w:lang w:val="en-GB"/>
        </w:rPr>
        <w:t>(</w:t>
      </w:r>
      <w:r>
        <w:rPr>
          <w:rFonts w:hint="eastAsia"/>
          <w:lang w:val="en-GB"/>
        </w:rPr>
        <w:t>不像生活费用支助</w:t>
      </w:r>
      <w:r>
        <w:rPr>
          <w:rFonts w:hint="eastAsia"/>
          <w:lang w:val="en-GB"/>
        </w:rPr>
        <w:t>)</w:t>
      </w:r>
      <w:r>
        <w:rPr>
          <w:rFonts w:hint="eastAsia"/>
          <w:lang w:val="en-GB"/>
        </w:rPr>
        <w:t>，如果申请人的子女或父母的全年总收入不超过</w:t>
      </w:r>
      <w:r>
        <w:rPr>
          <w:rFonts w:hint="eastAsia"/>
          <w:lang w:val="en-GB"/>
        </w:rPr>
        <w:t>10</w:t>
      </w:r>
      <w:r>
        <w:rPr>
          <w:rFonts w:hint="eastAsia"/>
          <w:lang w:val="en-GB"/>
        </w:rPr>
        <w:t>万欧元，就不考虑他们的收入。</w:t>
      </w:r>
    </w:p>
    <w:p w:rsidR="00334AE2" w:rsidRDefault="00334AE2">
      <w:pPr>
        <w:pStyle w:val="SingleTxtGC"/>
        <w:rPr>
          <w:lang w:val="en-GB"/>
        </w:rPr>
      </w:pPr>
      <w:r>
        <w:rPr>
          <w:lang w:val="en-GB"/>
        </w:rPr>
        <w:t xml:space="preserve">245.  </w:t>
      </w:r>
      <w:r>
        <w:rPr>
          <w:rFonts w:hint="eastAsia"/>
          <w:lang w:val="en-GB"/>
        </w:rPr>
        <w:t>根据失业补贴二，从事有报酬的工作的人需要支助，即在劳动力市场的通常条件下每天至少有</w:t>
      </w:r>
      <w:r>
        <w:rPr>
          <w:rFonts w:hint="eastAsia"/>
          <w:lang w:val="en-GB"/>
        </w:rPr>
        <w:t>3</w:t>
      </w:r>
      <w:r>
        <w:rPr>
          <w:rFonts w:hint="eastAsia"/>
          <w:lang w:val="en-GB"/>
        </w:rPr>
        <w:t>个小时从事有报酬的工作的人，可以根据《社会法典》第二部，获得补贴，以确保他们的生活费用。</w:t>
      </w:r>
    </w:p>
    <w:p w:rsidR="00334AE2" w:rsidRDefault="00334AE2">
      <w:pPr>
        <w:pStyle w:val="SingleTxtGC"/>
        <w:rPr>
          <w:lang w:val="en-GB"/>
        </w:rPr>
      </w:pPr>
      <w:r>
        <w:rPr>
          <w:lang w:val="en-GB"/>
        </w:rPr>
        <w:t xml:space="preserve">246.  </w:t>
      </w:r>
      <w:r>
        <w:rPr>
          <w:rFonts w:hint="eastAsia"/>
          <w:lang w:val="en-GB"/>
        </w:rPr>
        <w:t>如果在特定情况下需要支持，例如，由于疾病、残疾或需要长期护理，在一定前提条件下，社会援助也可以作为</w:t>
      </w:r>
      <w:r>
        <w:rPr>
          <w:lang w:val="en-GB"/>
        </w:rPr>
        <w:t>从属</w:t>
      </w:r>
      <w:r>
        <w:rPr>
          <w:rFonts w:hint="eastAsia"/>
          <w:lang w:val="en-GB"/>
        </w:rPr>
        <w:t>制度适用。为此，可以考虑“残疾人融入支助”、“长期护理支助”和“医疗支助”。根据《社会法典》第二部，领取求职者基本保障补贴的人，也可以领取长期护理支助补贴和融合支助。</w:t>
      </w:r>
    </w:p>
    <w:p w:rsidR="00334AE2" w:rsidRDefault="00334AE2">
      <w:pPr>
        <w:pStyle w:val="SingleTxtGC"/>
        <w:rPr>
          <w:lang w:val="en-GB"/>
        </w:rPr>
      </w:pPr>
      <w:r>
        <w:rPr>
          <w:lang w:val="en-GB"/>
        </w:rPr>
        <w:t xml:space="preserve">247.  </w:t>
      </w:r>
      <w:r>
        <w:rPr>
          <w:rFonts w:hint="eastAsia"/>
          <w:lang w:val="en-GB"/>
        </w:rPr>
        <w:t>除此之外，需要支助的人可以根据《战争受害者救济法》，领取社会补偿福利补贴。补贴类型包括个人援助，其中包括特别情况支助、长期护理支助，生活费用补充支助或真正老年人支助。这些补贴取决于收入和资产，除非需求完全是由</w:t>
      </w:r>
      <w:r>
        <w:rPr>
          <w:lang w:val="en-GB"/>
        </w:rPr>
        <w:t>损害</w:t>
      </w:r>
      <w:r>
        <w:rPr>
          <w:rFonts w:hint="eastAsia"/>
          <w:lang w:val="en-GB"/>
        </w:rPr>
        <w:t>造成的。</w:t>
      </w:r>
    </w:p>
    <w:p w:rsidR="00334AE2" w:rsidRDefault="00334AE2">
      <w:pPr>
        <w:pStyle w:val="SingleTxtGC"/>
        <w:rPr>
          <w:lang w:val="en-GB"/>
        </w:rPr>
      </w:pPr>
      <w:r>
        <w:rPr>
          <w:lang w:val="en-GB"/>
        </w:rPr>
        <w:t xml:space="preserve">248.  </w:t>
      </w:r>
      <w:r>
        <w:rPr>
          <w:rFonts w:hint="eastAsia"/>
          <w:lang w:val="en-GB"/>
        </w:rPr>
        <w:t>根据《住房补贴法》</w:t>
      </w:r>
      <w:r>
        <w:rPr>
          <w:rFonts w:hint="eastAsia"/>
          <w:lang w:val="en-GB"/>
        </w:rPr>
        <w:t>(</w:t>
      </w:r>
      <w:r>
        <w:rPr>
          <w:i/>
          <w:iCs/>
          <w:lang w:val="en-GB"/>
        </w:rPr>
        <w:t>Wohngeldgesetz</w:t>
      </w:r>
      <w:r>
        <w:rPr>
          <w:rFonts w:hint="eastAsia"/>
          <w:lang w:val="en-GB"/>
        </w:rPr>
        <w:t>)</w:t>
      </w:r>
      <w:r>
        <w:rPr>
          <w:rFonts w:hint="eastAsia"/>
          <w:lang w:val="en-GB"/>
        </w:rPr>
        <w:t>，可以为资助适合的家庭住房，提供住房补贴，作为租赁或房主自用住房补贴的一种补充。残疾人士也可从</w:t>
      </w:r>
      <w:r>
        <w:rPr>
          <w:lang w:val="en-GB"/>
        </w:rPr>
        <w:t>住房补贴</w:t>
      </w:r>
      <w:r>
        <w:rPr>
          <w:rFonts w:hint="eastAsia"/>
          <w:lang w:val="en-GB"/>
        </w:rPr>
        <w:t>中受益。为了适当处理残疾人住所需求的增加，重度残疾人可以在一定先决条件下，申请补贴，增加住房补贴。</w:t>
      </w:r>
    </w:p>
    <w:p w:rsidR="00334AE2" w:rsidRDefault="00334AE2">
      <w:pPr>
        <w:pStyle w:val="SingleTxtGC"/>
        <w:rPr>
          <w:lang w:val="en-GB"/>
        </w:rPr>
      </w:pPr>
      <w:r>
        <w:rPr>
          <w:lang w:val="en-GB"/>
        </w:rPr>
        <w:t xml:space="preserve">249.  </w:t>
      </w:r>
      <w:r>
        <w:rPr>
          <w:rFonts w:hint="eastAsia"/>
          <w:lang w:val="en-GB"/>
        </w:rPr>
        <w:t>残疾人的就业薪酬减少到与《退休金法》相关的一定程度，可以因为谋生能力减少，从法定退休金保险中领取退休金。如果一个人由于与健康相关的有薪酬的就业能力减少，在一般劳动力市场条件</w:t>
      </w:r>
      <w:r>
        <w:rPr>
          <w:rFonts w:cs="SimHei" w:hint="eastAsia"/>
          <w:lang w:val="en-GB"/>
        </w:rPr>
        <w:t>下，每天不能再从事至少</w:t>
      </w:r>
      <w:r>
        <w:rPr>
          <w:rFonts w:hint="eastAsia"/>
          <w:lang w:val="en-GB"/>
        </w:rPr>
        <w:t>6</w:t>
      </w:r>
      <w:r>
        <w:rPr>
          <w:rFonts w:hint="eastAsia"/>
          <w:lang w:val="en-GB"/>
        </w:rPr>
        <w:t>个小时的有薪酬的工作</w:t>
      </w:r>
      <w:r>
        <w:rPr>
          <w:rFonts w:hint="eastAsia"/>
          <w:lang w:val="en-GB"/>
        </w:rPr>
        <w:t>(</w:t>
      </w:r>
      <w:r>
        <w:rPr>
          <w:rFonts w:hint="eastAsia"/>
          <w:lang w:val="en-GB"/>
        </w:rPr>
        <w:t>因为部分丧失谋生能力的退休金</w:t>
      </w:r>
      <w:r>
        <w:rPr>
          <w:rFonts w:hint="eastAsia"/>
          <w:lang w:val="en-GB"/>
        </w:rPr>
        <w:t>)</w:t>
      </w:r>
      <w:r>
        <w:rPr>
          <w:rFonts w:hint="eastAsia"/>
          <w:lang w:val="en-GB"/>
        </w:rPr>
        <w:t>，或者每天不能再从事</w:t>
      </w:r>
      <w:r>
        <w:rPr>
          <w:rFonts w:hint="eastAsia"/>
          <w:lang w:val="en-GB"/>
        </w:rPr>
        <w:t>3</w:t>
      </w:r>
      <w:r>
        <w:rPr>
          <w:rFonts w:hint="eastAsia"/>
          <w:lang w:val="en-GB"/>
        </w:rPr>
        <w:t>小时的有薪酬的工作</w:t>
      </w:r>
      <w:r>
        <w:rPr>
          <w:rFonts w:hint="eastAsia"/>
          <w:lang w:val="en-GB"/>
        </w:rPr>
        <w:t>(</w:t>
      </w:r>
      <w:r>
        <w:rPr>
          <w:rFonts w:hint="eastAsia"/>
          <w:lang w:val="en-GB"/>
        </w:rPr>
        <w:t>因为完全丧失谋生能力的退休金</w:t>
      </w:r>
      <w:r>
        <w:rPr>
          <w:rFonts w:hint="eastAsia"/>
          <w:lang w:val="en-GB"/>
        </w:rPr>
        <w:t>)</w:t>
      </w:r>
      <w:r>
        <w:rPr>
          <w:rFonts w:hint="eastAsia"/>
          <w:lang w:val="en-GB"/>
        </w:rPr>
        <w:t>，向这种人提供退休金</w:t>
      </w:r>
      <w:r>
        <w:rPr>
          <w:rFonts w:hint="eastAsia"/>
          <w:spacing w:val="-50"/>
          <w:lang w:val="en-GB"/>
        </w:rPr>
        <w:t>―</w:t>
      </w:r>
      <w:r>
        <w:rPr>
          <w:rFonts w:hint="eastAsia"/>
          <w:lang w:val="en-GB"/>
        </w:rPr>
        <w:t>―不论年龄大小。在丧失谋生能力之前，一般</w:t>
      </w:r>
      <w:r>
        <w:rPr>
          <w:rFonts w:hint="eastAsia"/>
          <w:lang w:val="en-GB"/>
        </w:rPr>
        <w:t>5</w:t>
      </w:r>
      <w:r>
        <w:rPr>
          <w:rFonts w:hint="eastAsia"/>
          <w:lang w:val="en-GB"/>
        </w:rPr>
        <w:t>年等候期必须已经到期。此外，在丧失谋生能力之前的</w:t>
      </w:r>
      <w:r>
        <w:rPr>
          <w:rFonts w:hint="eastAsia"/>
          <w:lang w:val="en-GB"/>
        </w:rPr>
        <w:t>5</w:t>
      </w:r>
      <w:r>
        <w:rPr>
          <w:rFonts w:hint="eastAsia"/>
          <w:lang w:val="en-GB"/>
        </w:rPr>
        <w:t>年里，必须已经向退休金保险缴纳了</w:t>
      </w:r>
      <w:r>
        <w:rPr>
          <w:rFonts w:hint="eastAsia"/>
          <w:lang w:val="en-GB"/>
        </w:rPr>
        <w:t>3</w:t>
      </w:r>
      <w:r>
        <w:rPr>
          <w:rFonts w:hint="eastAsia"/>
          <w:lang w:val="en-GB"/>
        </w:rPr>
        <w:t>年的强制性缴款。有可能考虑上述情况的例外情况。</w:t>
      </w:r>
    </w:p>
    <w:p w:rsidR="00334AE2" w:rsidRDefault="00334AE2">
      <w:pPr>
        <w:pStyle w:val="SingleTxtGC"/>
        <w:rPr>
          <w:lang w:val="en-GB"/>
        </w:rPr>
      </w:pPr>
      <w:r>
        <w:rPr>
          <w:lang w:val="en-GB"/>
        </w:rPr>
        <w:t xml:space="preserve">250.  </w:t>
      </w:r>
      <w:r>
        <w:rPr>
          <w:rFonts w:hint="eastAsia"/>
          <w:lang w:val="en-GB"/>
        </w:rPr>
        <w:t>如果根据《退休金法》已经有</w:t>
      </w:r>
      <w:r>
        <w:rPr>
          <w:rFonts w:hint="eastAsia"/>
          <w:lang w:val="en-GB"/>
        </w:rPr>
        <w:t>35</w:t>
      </w:r>
      <w:r>
        <w:rPr>
          <w:rFonts w:hint="eastAsia"/>
          <w:lang w:val="en-GB"/>
        </w:rPr>
        <w:t>年的记录，重度残疾人在老年，从</w:t>
      </w:r>
      <w:r>
        <w:rPr>
          <w:rFonts w:hint="eastAsia"/>
          <w:lang w:val="en-GB"/>
        </w:rPr>
        <w:t>63</w:t>
      </w:r>
      <w:r>
        <w:rPr>
          <w:rFonts w:hint="eastAsia"/>
          <w:lang w:val="en-GB"/>
        </w:rPr>
        <w:t>岁开始提早领取没有扣减的老年退休金的可能性是存在的。从</w:t>
      </w:r>
      <w:r>
        <w:rPr>
          <w:rFonts w:hint="eastAsia"/>
          <w:lang w:val="en-GB"/>
        </w:rPr>
        <w:t>2012</w:t>
      </w:r>
      <w:r>
        <w:rPr>
          <w:rFonts w:hint="eastAsia"/>
          <w:lang w:val="en-GB"/>
        </w:rPr>
        <w:t>年起，重度残疾人领取没有扣减的老年退休金的年龄限制，将逐步从</w:t>
      </w:r>
      <w:r>
        <w:rPr>
          <w:rFonts w:hint="eastAsia"/>
          <w:lang w:val="en-GB"/>
        </w:rPr>
        <w:t>63</w:t>
      </w:r>
      <w:r>
        <w:rPr>
          <w:rFonts w:hint="eastAsia"/>
          <w:lang w:val="en-GB"/>
        </w:rPr>
        <w:t>岁升至</w:t>
      </w:r>
      <w:r>
        <w:rPr>
          <w:rFonts w:hint="eastAsia"/>
          <w:lang w:val="en-GB"/>
        </w:rPr>
        <w:t>65</w:t>
      </w:r>
      <w:r>
        <w:rPr>
          <w:rFonts w:hint="eastAsia"/>
          <w:lang w:val="en-GB"/>
        </w:rPr>
        <w:t>岁。最早提早领取这种扣减的老年退休金的年龄限制，将从</w:t>
      </w:r>
      <w:r>
        <w:rPr>
          <w:rFonts w:hint="eastAsia"/>
          <w:lang w:val="en-GB"/>
        </w:rPr>
        <w:t>60</w:t>
      </w:r>
      <w:r>
        <w:rPr>
          <w:rFonts w:hint="eastAsia"/>
          <w:lang w:val="en-GB"/>
        </w:rPr>
        <w:t>岁升至</w:t>
      </w:r>
      <w:r>
        <w:rPr>
          <w:rFonts w:hint="eastAsia"/>
          <w:lang w:val="en-GB"/>
        </w:rPr>
        <w:t>62</w:t>
      </w:r>
      <w:r>
        <w:rPr>
          <w:rFonts w:hint="eastAsia"/>
          <w:lang w:val="en-GB"/>
        </w:rPr>
        <w:t>岁。然而，今后仍将保留对重度残疾人情况的特别考虑：其他人领取没有扣减的老年退休金的年龄限制将升至</w:t>
      </w:r>
      <w:r>
        <w:rPr>
          <w:rFonts w:hint="eastAsia"/>
          <w:lang w:val="en-GB"/>
        </w:rPr>
        <w:t>67</w:t>
      </w:r>
      <w:r>
        <w:rPr>
          <w:rFonts w:hint="eastAsia"/>
          <w:lang w:val="en-GB"/>
        </w:rPr>
        <w:t>岁，对于重度残疾人领取老年退休金的年龄将升至</w:t>
      </w:r>
      <w:r>
        <w:rPr>
          <w:rFonts w:hint="eastAsia"/>
          <w:lang w:val="en-GB"/>
        </w:rPr>
        <w:t>65</w:t>
      </w:r>
      <w:r>
        <w:rPr>
          <w:rFonts w:hint="eastAsia"/>
          <w:lang w:val="en-GB"/>
        </w:rPr>
        <w:t>岁，保留在标准年龄限制上原来的两年差别。</w:t>
      </w:r>
    </w:p>
    <w:p w:rsidR="00334AE2" w:rsidRDefault="00334AE2">
      <w:pPr>
        <w:pStyle w:val="SingleTxtGC"/>
        <w:rPr>
          <w:lang w:val="en-GB"/>
        </w:rPr>
      </w:pPr>
      <w:r>
        <w:rPr>
          <w:lang w:val="en-GB"/>
        </w:rPr>
        <w:t xml:space="preserve">251.  </w:t>
      </w:r>
      <w:r>
        <w:rPr>
          <w:rFonts w:hint="eastAsia"/>
          <w:lang w:val="en-GB"/>
        </w:rPr>
        <w:t>通过公司和私人老年退休金，对法定退休金保险进行补充，对于确保老年生活标准是必不可少的。因此，自</w:t>
      </w:r>
      <w:r>
        <w:rPr>
          <w:rFonts w:hint="eastAsia"/>
          <w:lang w:val="en-GB"/>
        </w:rPr>
        <w:t>2002</w:t>
      </w:r>
      <w:r>
        <w:rPr>
          <w:rFonts w:hint="eastAsia"/>
          <w:lang w:val="en-GB"/>
        </w:rPr>
        <w:t>年以来，联邦政府一直就在促进这种建设。《公司退休金法》</w:t>
      </w:r>
      <w:r>
        <w:rPr>
          <w:lang w:val="en-GB"/>
        </w:rPr>
        <w:t>(</w:t>
      </w:r>
      <w:r>
        <w:rPr>
          <w:i/>
          <w:iCs/>
          <w:lang w:val="en-GB"/>
        </w:rPr>
        <w:t>Betriebsrentengesetz</w:t>
      </w:r>
      <w:r>
        <w:rPr>
          <w:lang w:val="en-GB"/>
        </w:rPr>
        <w:t>)</w:t>
      </w:r>
      <w:r>
        <w:rPr>
          <w:rFonts w:hint="eastAsia"/>
          <w:lang w:val="en-GB"/>
        </w:rPr>
        <w:t>所载规定，和关于国家推动额外老年退休金的规定，</w:t>
      </w:r>
      <w:r>
        <w:rPr>
          <w:lang w:val="en-GB"/>
        </w:rPr>
        <w:t>相应地</w:t>
      </w:r>
      <w:r>
        <w:rPr>
          <w:rFonts w:hint="eastAsia"/>
          <w:lang w:val="en-GB"/>
        </w:rPr>
        <w:t>适用于在其他方面满足了先决条件的残疾人。在这方面，不存在基于残疾特征的歧视。</w:t>
      </w:r>
    </w:p>
    <w:p w:rsidR="00334AE2" w:rsidRDefault="00334AE2">
      <w:pPr>
        <w:pStyle w:val="H1GC"/>
        <w:rPr>
          <w:lang w:val="en-GB"/>
        </w:rPr>
      </w:pPr>
      <w:bookmarkStart w:id="32" w:name="_Toc303932241"/>
      <w:r>
        <w:rPr>
          <w:lang w:val="en-GB"/>
        </w:rPr>
        <w:tab/>
      </w:r>
      <w:r>
        <w:rPr>
          <w:lang w:val="en-GB"/>
        </w:rPr>
        <w:tab/>
      </w:r>
      <w:bookmarkEnd w:id="32"/>
      <w:r>
        <w:rPr>
          <w:rFonts w:hint="eastAsia"/>
          <w:lang w:val="en-GB"/>
        </w:rPr>
        <w:t>第二十九条</w:t>
      </w:r>
      <w:r>
        <w:rPr>
          <w:rFonts w:hint="eastAsia"/>
          <w:lang w:val="en-GB"/>
        </w:rPr>
        <w:br/>
      </w:r>
      <w:r>
        <w:rPr>
          <w:rFonts w:hint="eastAsia"/>
          <w:lang w:val="en-GB"/>
        </w:rPr>
        <w:t>参与政治和公共生活</w:t>
      </w:r>
    </w:p>
    <w:p w:rsidR="00334AE2" w:rsidRDefault="00334AE2">
      <w:pPr>
        <w:pStyle w:val="SingleTxtGC"/>
        <w:rPr>
          <w:lang w:val="en-GB"/>
        </w:rPr>
      </w:pPr>
      <w:r>
        <w:rPr>
          <w:lang w:val="en-GB"/>
        </w:rPr>
        <w:t xml:space="preserve">252.  </w:t>
      </w:r>
      <w:r>
        <w:rPr>
          <w:rFonts w:hint="eastAsia"/>
          <w:lang w:val="en-GB"/>
        </w:rPr>
        <w:t>根据</w:t>
      </w:r>
      <w:r>
        <w:rPr>
          <w:lang w:val="en-GB"/>
        </w:rPr>
        <w:t>普选</w:t>
      </w:r>
      <w:r>
        <w:rPr>
          <w:rFonts w:hint="eastAsia"/>
          <w:lang w:val="en-GB"/>
        </w:rPr>
        <w:t>宪法原则，残疾人自然也可以在德国联邦议会、州议会和市政选举中投票和竞选</w:t>
      </w:r>
      <w:r>
        <w:rPr>
          <w:rFonts w:hint="eastAsia"/>
          <w:lang w:val="en-GB"/>
        </w:rPr>
        <w:t>(</w:t>
      </w:r>
      <w:r>
        <w:rPr>
          <w:lang w:val="en-GB"/>
        </w:rPr>
        <w:t>《基本法》</w:t>
      </w:r>
      <w:r>
        <w:rPr>
          <w:rFonts w:hint="eastAsia"/>
          <w:lang w:val="en-GB"/>
        </w:rPr>
        <w:t>第</w:t>
      </w:r>
      <w:r>
        <w:rPr>
          <w:rFonts w:hint="eastAsia"/>
          <w:lang w:val="en-GB"/>
        </w:rPr>
        <w:t>38</w:t>
      </w:r>
      <w:r>
        <w:rPr>
          <w:rFonts w:hint="eastAsia"/>
          <w:lang w:val="en-GB"/>
        </w:rPr>
        <w:t>条和第</w:t>
      </w:r>
      <w:r>
        <w:rPr>
          <w:rFonts w:hint="eastAsia"/>
          <w:lang w:val="en-GB"/>
        </w:rPr>
        <w:t>28</w:t>
      </w:r>
      <w:r>
        <w:rPr>
          <w:rFonts w:hint="eastAsia"/>
          <w:lang w:val="en-GB"/>
        </w:rPr>
        <w:t>条</w:t>
      </w:r>
      <w:r>
        <w:rPr>
          <w:rFonts w:hint="eastAsia"/>
          <w:lang w:val="en-GB"/>
        </w:rPr>
        <w:t>)</w:t>
      </w:r>
      <w:r>
        <w:rPr>
          <w:rFonts w:hint="eastAsia"/>
          <w:lang w:val="en-GB"/>
        </w:rPr>
        <w:t>。这一原则延伸至欧洲选举</w:t>
      </w:r>
      <w:r>
        <w:rPr>
          <w:rFonts w:hint="eastAsia"/>
          <w:lang w:val="en-GB"/>
        </w:rPr>
        <w:t>(</w:t>
      </w:r>
      <w:r>
        <w:rPr>
          <w:rFonts w:hint="eastAsia"/>
          <w:lang w:val="en-GB"/>
        </w:rPr>
        <w:t>《欧洲选举法》</w:t>
      </w:r>
      <w:r>
        <w:rPr>
          <w:lang w:val="en-GB"/>
        </w:rPr>
        <w:t>[</w:t>
      </w:r>
      <w:r>
        <w:rPr>
          <w:i/>
          <w:iCs/>
          <w:lang w:val="en-GB"/>
        </w:rPr>
        <w:t>Europawahlgesetz</w:t>
      </w:r>
      <w:r>
        <w:rPr>
          <w:lang w:val="en-GB"/>
        </w:rPr>
        <w:t>]</w:t>
      </w:r>
      <w:r>
        <w:rPr>
          <w:rFonts w:hint="eastAsia"/>
          <w:lang w:val="en-GB"/>
        </w:rPr>
        <w:t>第</w:t>
      </w:r>
      <w:r>
        <w:rPr>
          <w:rFonts w:hint="eastAsia"/>
          <w:lang w:val="en-GB"/>
        </w:rPr>
        <w:t>1</w:t>
      </w:r>
      <w:r>
        <w:rPr>
          <w:rFonts w:hint="eastAsia"/>
          <w:lang w:val="en-GB"/>
        </w:rPr>
        <w:t>条</w:t>
      </w:r>
      <w:r>
        <w:rPr>
          <w:rFonts w:hint="eastAsia"/>
          <w:lang w:val="en-GB"/>
        </w:rPr>
        <w:t>)</w:t>
      </w:r>
      <w:r>
        <w:rPr>
          <w:rFonts w:hint="eastAsia"/>
          <w:lang w:val="en-GB"/>
        </w:rPr>
        <w:t>。然而，下述人的选举权被排除，因此也不能担任公职：已经被指定监护人照顾他们的所有事务的人，不能仅根据临时裁决</w:t>
      </w:r>
      <w:r>
        <w:rPr>
          <w:rFonts w:hint="eastAsia"/>
          <w:lang w:val="en-GB"/>
        </w:rPr>
        <w:t>(</w:t>
      </w:r>
      <w:r>
        <w:rPr>
          <w:rFonts w:hint="eastAsia"/>
          <w:lang w:val="en-GB"/>
        </w:rPr>
        <w:t>参见《监护法》第</w:t>
      </w:r>
      <w:r>
        <w:rPr>
          <w:rFonts w:hint="eastAsia"/>
          <w:lang w:val="en-GB"/>
        </w:rPr>
        <w:t>12</w:t>
      </w:r>
      <w:r>
        <w:rPr>
          <w:rFonts w:hint="eastAsia"/>
          <w:lang w:val="en-GB"/>
        </w:rPr>
        <w:t>条</w:t>
      </w:r>
      <w:r>
        <w:rPr>
          <w:rFonts w:hint="eastAsia"/>
          <w:lang w:val="en-GB"/>
        </w:rPr>
        <w:t>)</w:t>
      </w:r>
      <w:r>
        <w:rPr>
          <w:rFonts w:hint="eastAsia"/>
          <w:lang w:val="en-GB"/>
        </w:rPr>
        <w:t>；或者因为在丧失能力状态下，犯下非法行为</w:t>
      </w:r>
      <w:r>
        <w:rPr>
          <w:rFonts w:hint="eastAsia"/>
          <w:lang w:val="en-GB"/>
        </w:rPr>
        <w:t>(</w:t>
      </w:r>
      <w:r>
        <w:rPr>
          <w:rFonts w:hint="eastAsia"/>
          <w:lang w:val="en-GB"/>
        </w:rPr>
        <w:t>《刑法》第</w:t>
      </w:r>
      <w:r>
        <w:rPr>
          <w:rFonts w:hint="eastAsia"/>
          <w:lang w:val="en-GB"/>
        </w:rPr>
        <w:t>63</w:t>
      </w:r>
      <w:r>
        <w:rPr>
          <w:rFonts w:hint="eastAsia"/>
          <w:lang w:val="en-GB"/>
        </w:rPr>
        <w:t>节</w:t>
      </w:r>
      <w:r>
        <w:rPr>
          <w:rFonts w:hint="eastAsia"/>
          <w:lang w:val="en-GB"/>
        </w:rPr>
        <w:t>)</w:t>
      </w:r>
      <w:r>
        <w:rPr>
          <w:rFonts w:hint="eastAsia"/>
          <w:lang w:val="en-GB"/>
        </w:rPr>
        <w:t>，被判定有罪</w:t>
      </w:r>
      <w:r>
        <w:rPr>
          <w:rFonts w:hint="eastAsia"/>
          <w:lang w:val="en-GB"/>
        </w:rPr>
        <w:t>(</w:t>
      </w:r>
      <w:r>
        <w:rPr>
          <w:rFonts w:hint="eastAsia"/>
          <w:lang w:val="en-GB"/>
        </w:rPr>
        <w:t>《刑法》第</w:t>
      </w:r>
      <w:r>
        <w:rPr>
          <w:rFonts w:hint="eastAsia"/>
          <w:lang w:val="en-GB"/>
        </w:rPr>
        <w:t>20</w:t>
      </w:r>
      <w:r>
        <w:rPr>
          <w:rFonts w:hint="eastAsia"/>
          <w:lang w:val="en-GB"/>
        </w:rPr>
        <w:t>节</w:t>
      </w:r>
      <w:r>
        <w:rPr>
          <w:rFonts w:hint="eastAsia"/>
          <w:lang w:val="en-GB"/>
        </w:rPr>
        <w:t>)(</w:t>
      </w:r>
      <w:r>
        <w:rPr>
          <w:rFonts w:hint="eastAsia"/>
          <w:lang w:val="en-GB"/>
        </w:rPr>
        <w:t>《联邦选举法》第</w:t>
      </w:r>
      <w:r>
        <w:rPr>
          <w:rFonts w:hint="eastAsia"/>
          <w:lang w:val="en-GB"/>
        </w:rPr>
        <w:t>13</w:t>
      </w:r>
      <w:r>
        <w:rPr>
          <w:rFonts w:hint="eastAsia"/>
          <w:lang w:val="en-GB"/>
        </w:rPr>
        <w:t>条</w:t>
      </w:r>
      <w:r>
        <w:rPr>
          <w:rFonts w:hint="eastAsia"/>
          <w:lang w:val="en-GB"/>
        </w:rPr>
        <w:t>)</w:t>
      </w:r>
      <w:r>
        <w:rPr>
          <w:rFonts w:hint="eastAsia"/>
          <w:lang w:val="en-GB"/>
        </w:rPr>
        <w:t>，根据法院裁决，在精神病医院的人。</w:t>
      </w:r>
    </w:p>
    <w:p w:rsidR="00334AE2" w:rsidRDefault="00334AE2">
      <w:pPr>
        <w:pStyle w:val="SingleTxtGC"/>
        <w:rPr>
          <w:lang w:val="en-GB"/>
        </w:rPr>
      </w:pPr>
      <w:r>
        <w:rPr>
          <w:lang w:val="en-GB"/>
        </w:rPr>
        <w:t>253</w:t>
      </w:r>
      <w:r>
        <w:rPr>
          <w:rFonts w:hint="eastAsia"/>
          <w:lang w:val="en-GB"/>
        </w:rPr>
        <w:t>由于《联邦选举法》所载的非常具体的排除定义</w:t>
      </w:r>
      <w:r>
        <w:rPr>
          <w:rFonts w:hint="eastAsia"/>
          <w:lang w:val="en-GB"/>
        </w:rPr>
        <w:t>(</w:t>
      </w:r>
      <w:r>
        <w:rPr>
          <w:rFonts w:hint="eastAsia"/>
          <w:lang w:val="en-GB"/>
        </w:rPr>
        <w:t>只有关于在所有事项上进行监护的司法裁决，才导致排除选举权；部分监护不足以排除选举权</w:t>
      </w:r>
      <w:r>
        <w:rPr>
          <w:rFonts w:hint="eastAsia"/>
          <w:lang w:val="en-GB"/>
        </w:rPr>
        <w:t>)</w:t>
      </w:r>
      <w:r>
        <w:rPr>
          <w:rFonts w:hint="eastAsia"/>
          <w:lang w:val="en-GB"/>
        </w:rPr>
        <w:t>，尽量缩小这一有关人群。这一条款只涵盖下述情况：公民不能在自己负责的情况下，就投谁的票，作出高度个人化的决定。</w:t>
      </w:r>
    </w:p>
    <w:p w:rsidR="00334AE2" w:rsidRDefault="00334AE2">
      <w:pPr>
        <w:pStyle w:val="SingleTxtGC"/>
        <w:rPr>
          <w:lang w:val="en-GB"/>
        </w:rPr>
      </w:pPr>
      <w:r>
        <w:rPr>
          <w:lang w:val="en-GB"/>
        </w:rPr>
        <w:t xml:space="preserve">254.  </w:t>
      </w:r>
      <w:r>
        <w:rPr>
          <w:rFonts w:hint="eastAsia"/>
          <w:lang w:val="en-GB"/>
        </w:rPr>
        <w:t>此外，联邦和各州《选举法》包含一些残疾人参与选举的条款。例如：</w:t>
      </w:r>
    </w:p>
    <w:p w:rsidR="00334AE2" w:rsidRDefault="00334AE2">
      <w:pPr>
        <w:pStyle w:val="SingleTxtGC"/>
        <w:numPr>
          <w:ilvl w:val="0"/>
          <w:numId w:val="37"/>
        </w:numPr>
        <w:ind w:left="1134"/>
        <w:rPr>
          <w:lang w:val="en-GB"/>
        </w:rPr>
      </w:pPr>
      <w:r>
        <w:rPr>
          <w:rFonts w:hint="eastAsia"/>
          <w:lang w:val="en-GB"/>
        </w:rPr>
        <w:t>以某种方式选择和装配投票站，使所有选民、特别是残疾人都能够参加选举；</w:t>
      </w:r>
    </w:p>
    <w:p w:rsidR="00334AE2" w:rsidRDefault="00334AE2">
      <w:pPr>
        <w:pStyle w:val="SingleTxtGC"/>
        <w:numPr>
          <w:ilvl w:val="0"/>
          <w:numId w:val="37"/>
        </w:numPr>
        <w:ind w:left="1134"/>
        <w:rPr>
          <w:lang w:val="en-GB"/>
        </w:rPr>
      </w:pPr>
      <w:r>
        <w:rPr>
          <w:rFonts w:hint="eastAsia"/>
          <w:lang w:val="en-GB"/>
        </w:rPr>
        <w:t>告知选民哪个投票站是无障碍的；</w:t>
      </w:r>
    </w:p>
    <w:p w:rsidR="00334AE2" w:rsidRDefault="00334AE2">
      <w:pPr>
        <w:pStyle w:val="SingleTxtGC"/>
        <w:numPr>
          <w:ilvl w:val="0"/>
          <w:numId w:val="37"/>
        </w:numPr>
        <w:ind w:left="1134"/>
        <w:rPr>
          <w:lang w:val="en-GB"/>
        </w:rPr>
      </w:pPr>
      <w:r>
        <w:rPr>
          <w:rFonts w:hint="eastAsia"/>
          <w:lang w:val="en-GB"/>
        </w:rPr>
        <w:t>不能填写</w:t>
      </w:r>
      <w:r>
        <w:rPr>
          <w:lang w:val="en-GB"/>
        </w:rPr>
        <w:t>选票</w:t>
      </w:r>
      <w:r>
        <w:rPr>
          <w:rFonts w:hint="eastAsia"/>
          <w:lang w:val="en-GB"/>
        </w:rPr>
        <w:t>或将其折叠或投入投票箱的选民，可以由另一个人协助；</w:t>
      </w:r>
    </w:p>
    <w:p w:rsidR="00334AE2" w:rsidRDefault="00334AE2">
      <w:pPr>
        <w:pStyle w:val="SingleTxtGC"/>
        <w:numPr>
          <w:ilvl w:val="0"/>
          <w:numId w:val="37"/>
        </w:numPr>
        <w:ind w:left="1134"/>
        <w:rPr>
          <w:lang w:val="en-GB"/>
        </w:rPr>
      </w:pPr>
      <w:r>
        <w:rPr>
          <w:rFonts w:hint="eastAsia"/>
          <w:lang w:val="en-GB"/>
        </w:rPr>
        <w:t>盲人选民或视障选民可以使用</w:t>
      </w:r>
      <w:r>
        <w:rPr>
          <w:lang w:val="en-GB"/>
        </w:rPr>
        <w:t>选票滑动模板</w:t>
      </w:r>
      <w:r>
        <w:rPr>
          <w:rFonts w:hint="eastAsia"/>
          <w:lang w:val="en-GB"/>
        </w:rPr>
        <w:t>在选票上作标记；</w:t>
      </w:r>
    </w:p>
    <w:p w:rsidR="00334AE2" w:rsidRDefault="00334AE2">
      <w:pPr>
        <w:pStyle w:val="SingleTxtGC"/>
        <w:numPr>
          <w:ilvl w:val="0"/>
          <w:numId w:val="37"/>
        </w:numPr>
        <w:ind w:left="1134"/>
        <w:rPr>
          <w:lang w:val="en-GB"/>
        </w:rPr>
      </w:pPr>
      <w:r>
        <w:rPr>
          <w:rFonts w:hint="eastAsia"/>
          <w:lang w:val="en-GB"/>
        </w:rPr>
        <w:t>为医院、养老院、疗养院及选民人数较多的类似机构，设立特别投票区；</w:t>
      </w:r>
    </w:p>
    <w:p w:rsidR="00334AE2" w:rsidRDefault="00334AE2">
      <w:pPr>
        <w:pStyle w:val="SingleTxtGC"/>
        <w:numPr>
          <w:ilvl w:val="0"/>
          <w:numId w:val="37"/>
        </w:numPr>
        <w:ind w:left="1134"/>
        <w:rPr>
          <w:lang w:val="en-GB"/>
        </w:rPr>
      </w:pPr>
      <w:r>
        <w:rPr>
          <w:rFonts w:hint="eastAsia"/>
          <w:lang w:val="en-GB"/>
        </w:rPr>
        <w:t>选举组织应该在因特网上，以无障碍形式，提供各种信息。</w:t>
      </w:r>
    </w:p>
    <w:p w:rsidR="00334AE2" w:rsidRDefault="00334AE2">
      <w:pPr>
        <w:pStyle w:val="SingleTxtGC"/>
        <w:rPr>
          <w:lang w:val="en-GB"/>
        </w:rPr>
      </w:pPr>
      <w:r>
        <w:rPr>
          <w:lang w:val="en-GB"/>
        </w:rPr>
        <w:t xml:space="preserve">255.  </w:t>
      </w:r>
      <w:r>
        <w:rPr>
          <w:rFonts w:hint="eastAsia"/>
          <w:lang w:val="en-GB"/>
        </w:rPr>
        <w:t>就其本身而言，联邦政府将调查精神和心理残疾人主动和被动参与选举情况，并在此基础上制订关于改进参与的行动建议。</w:t>
      </w:r>
    </w:p>
    <w:p w:rsidR="00334AE2" w:rsidRDefault="00334AE2">
      <w:pPr>
        <w:pStyle w:val="SingleTxtGC"/>
        <w:rPr>
          <w:lang w:val="en-GB"/>
        </w:rPr>
      </w:pPr>
      <w:r>
        <w:rPr>
          <w:lang w:val="en-GB"/>
        </w:rPr>
        <w:t xml:space="preserve">256.  </w:t>
      </w:r>
      <w:r>
        <w:rPr>
          <w:rFonts w:hint="eastAsia"/>
          <w:lang w:val="en-GB"/>
        </w:rPr>
        <w:t>所有德国人都有权建立协会和社团</w:t>
      </w:r>
      <w:r>
        <w:rPr>
          <w:rStyle w:val="FootnoteReference"/>
        </w:rPr>
        <w:footnoteReference w:id="66"/>
      </w:r>
      <w:r>
        <w:rPr>
          <w:rFonts w:hint="eastAsia"/>
          <w:lang w:val="en-GB"/>
        </w:rPr>
        <w:t>。有积极和消极的结社自由。在这方面，一个人是否有残疾不起任何作用。作为残疾人的个人权利，积极的结社自由包括：自由结社和在其中积极活动。消极的结社自由，保障残疾人不结社的权利，远离现有的协会，以及脱离它们。</w:t>
      </w:r>
    </w:p>
    <w:p w:rsidR="00334AE2" w:rsidRDefault="00334AE2">
      <w:pPr>
        <w:pStyle w:val="SingleTxtGC"/>
        <w:rPr>
          <w:lang w:val="en-GB"/>
        </w:rPr>
      </w:pPr>
      <w:r>
        <w:rPr>
          <w:lang w:val="en-GB"/>
        </w:rPr>
        <w:t xml:space="preserve">257.  </w:t>
      </w:r>
      <w:r>
        <w:rPr>
          <w:rFonts w:hint="eastAsia"/>
          <w:lang w:val="en-GB"/>
        </w:rPr>
        <w:t>接受援助和有机会帮助，属于德国公民的权利，不论他们与否有残疾。公民承诺使人们能够体验承认，参与社会生活和政治生活。残疾人对最多种类的举措作出承诺。他们自然与没有残疾的人一样，是联邦政府承诺政策的接受者。残疾人对联邦政府的《</w:t>
      </w:r>
      <w:r>
        <w:rPr>
          <w:rStyle w:val="SingleTxtGCChar"/>
          <w:rFonts w:hint="eastAsia"/>
        </w:rPr>
        <w:t>全国承诺战略》的承诺，值得明确提及和确认。作为一项原</w:t>
      </w:r>
      <w:r>
        <w:rPr>
          <w:rFonts w:hint="eastAsia"/>
          <w:lang w:val="en-GB"/>
        </w:rPr>
        <w:t>则，活动领域包括所有承诺领域。总之，“监护人”方案和辅导模式，提供适合具体需求的个人承诺机会。</w:t>
      </w:r>
    </w:p>
    <w:p w:rsidR="00334AE2" w:rsidRDefault="00334AE2">
      <w:pPr>
        <w:pStyle w:val="H1GC"/>
        <w:rPr>
          <w:lang w:val="en-GB"/>
        </w:rPr>
      </w:pPr>
      <w:bookmarkStart w:id="33" w:name="_Toc303932242"/>
      <w:r>
        <w:rPr>
          <w:lang w:val="en-GB"/>
        </w:rPr>
        <w:tab/>
      </w:r>
      <w:r>
        <w:rPr>
          <w:lang w:val="en-GB"/>
        </w:rPr>
        <w:tab/>
      </w:r>
      <w:bookmarkEnd w:id="33"/>
      <w:r>
        <w:rPr>
          <w:rFonts w:hint="eastAsia"/>
          <w:lang w:val="en-GB"/>
        </w:rPr>
        <w:t>第三十条</w:t>
      </w:r>
      <w:r>
        <w:rPr>
          <w:rFonts w:hint="eastAsia"/>
          <w:lang w:val="en-GB"/>
        </w:rPr>
        <w:br/>
      </w:r>
      <w:r>
        <w:rPr>
          <w:rFonts w:hint="eastAsia"/>
          <w:lang w:val="en-GB"/>
        </w:rPr>
        <w:t>参与文化生活、娱乐、休闲和体育活动</w:t>
      </w:r>
    </w:p>
    <w:p w:rsidR="00334AE2" w:rsidRDefault="00334AE2">
      <w:pPr>
        <w:pStyle w:val="SingleTxtGC"/>
        <w:rPr>
          <w:lang w:val="en-GB"/>
        </w:rPr>
      </w:pPr>
      <w:r>
        <w:rPr>
          <w:lang w:val="en-GB"/>
        </w:rPr>
        <w:t xml:space="preserve">258.  </w:t>
      </w:r>
      <w:r>
        <w:rPr>
          <w:rFonts w:hint="eastAsia"/>
          <w:lang w:val="en-GB"/>
        </w:rPr>
        <w:t>在国际社会上，德国已承诺维护全民参与文化生活的权利。各州负责文化的部长和参议员认为，参与文化对于所有人都是自然感兴趣的事情，这体现在文化和教育部长会议的一些建议中。会议最近在</w:t>
      </w:r>
      <w:r>
        <w:rPr>
          <w:rFonts w:hint="eastAsia"/>
          <w:lang w:val="en-GB"/>
        </w:rPr>
        <w:t>2004</w:t>
      </w:r>
      <w:r>
        <w:rPr>
          <w:rFonts w:hint="eastAsia"/>
          <w:lang w:val="en-GB"/>
        </w:rPr>
        <w:t>年</w:t>
      </w:r>
      <w:r>
        <w:rPr>
          <w:rFonts w:hint="eastAsia"/>
          <w:lang w:val="en-GB"/>
        </w:rPr>
        <w:t>9</w:t>
      </w:r>
      <w:r>
        <w:rPr>
          <w:rFonts w:hint="eastAsia"/>
          <w:lang w:val="en-GB"/>
        </w:rPr>
        <w:t>月呼吁媒体为行动不便的人增加提供移动文化产品。</w:t>
      </w:r>
    </w:p>
    <w:p w:rsidR="00334AE2" w:rsidRDefault="00334AE2">
      <w:pPr>
        <w:pStyle w:val="SingleTxtGC"/>
        <w:rPr>
          <w:lang w:val="en-GB"/>
        </w:rPr>
      </w:pPr>
      <w:r>
        <w:rPr>
          <w:lang w:val="en-GB"/>
        </w:rPr>
        <w:t xml:space="preserve">259.  </w:t>
      </w:r>
      <w:r>
        <w:rPr>
          <w:rFonts w:hint="eastAsia"/>
          <w:lang w:val="en-GB"/>
        </w:rPr>
        <w:t>保障残疾人获得媒体服务的平等机会，是残疾人参与文化生活的基本先决条件之一。因此，对于德国有听力障碍的人，承认德国手语是一种独立语言，是与媒体服务相结合的另一先决条件。关于使有听力残疾的人可以收看电视节目的安排和方案，基本上属于各州负责的事项。近年来，电视公司特别增加了视频文本字幕。相比之下，很少使用手语翻译，但使用的情况仍然越来越多。与此同时，一些新闻广播节目，以及与特定事件</w:t>
      </w:r>
      <w:r>
        <w:rPr>
          <w:rFonts w:hint="eastAsia"/>
          <w:lang w:val="en-GB"/>
        </w:rPr>
        <w:t>(</w:t>
      </w:r>
      <w:r>
        <w:rPr>
          <w:rFonts w:hint="eastAsia"/>
          <w:lang w:val="en-GB"/>
        </w:rPr>
        <w:t>包括庆典、关于联邦议院选举的广播</w:t>
      </w:r>
      <w:r>
        <w:rPr>
          <w:rFonts w:hint="eastAsia"/>
          <w:lang w:val="en-GB"/>
        </w:rPr>
        <w:t>)</w:t>
      </w:r>
      <w:r>
        <w:rPr>
          <w:rFonts w:hint="eastAsia"/>
          <w:lang w:val="en-GB"/>
        </w:rPr>
        <w:t>有关的节目，在播出时，有德国手语翻译。此外，越来越多的服务的视频流有手语翻译可以观看</w:t>
      </w:r>
      <w:r>
        <w:rPr>
          <w:rFonts w:hint="eastAsia"/>
          <w:lang w:val="en-GB"/>
        </w:rPr>
        <w:t>(</w:t>
      </w:r>
      <w:r>
        <w:rPr>
          <w:rFonts w:hint="eastAsia"/>
          <w:lang w:val="en-GB"/>
        </w:rPr>
        <w:t>参见第</w:t>
      </w:r>
      <w:r>
        <w:rPr>
          <w:rFonts w:hint="eastAsia"/>
          <w:lang w:val="en-GB"/>
        </w:rPr>
        <w:t>21</w:t>
      </w:r>
      <w:r>
        <w:rPr>
          <w:rFonts w:hint="eastAsia"/>
          <w:lang w:val="en-GB"/>
        </w:rPr>
        <w:t>条</w:t>
      </w:r>
      <w:r>
        <w:rPr>
          <w:rFonts w:hint="eastAsia"/>
          <w:lang w:val="en-GB"/>
        </w:rPr>
        <w:t>)</w:t>
      </w:r>
      <w:r>
        <w:rPr>
          <w:rFonts w:hint="eastAsia"/>
          <w:lang w:val="en-GB"/>
        </w:rPr>
        <w:t>。</w:t>
      </w:r>
    </w:p>
    <w:p w:rsidR="00334AE2" w:rsidRDefault="00334AE2">
      <w:pPr>
        <w:pStyle w:val="SingleTxtGC"/>
        <w:rPr>
          <w:lang w:val="en-GB"/>
        </w:rPr>
      </w:pPr>
      <w:r>
        <w:rPr>
          <w:lang w:val="en-GB"/>
        </w:rPr>
        <w:t xml:space="preserve">260.  </w:t>
      </w:r>
      <w:r>
        <w:rPr>
          <w:rFonts w:hint="eastAsia"/>
          <w:lang w:val="en-GB"/>
        </w:rPr>
        <w:t>残疾人协会对许多私营广播公司的许多节目还没有字幕感到遗憾。在这方面，私营广播公司和监管机构需要进一步努力提高残疾人收看电视的可能性。第七电视台</w:t>
      </w:r>
      <w:r>
        <w:rPr>
          <w:rFonts w:hint="eastAsia"/>
          <w:lang w:val="en-GB"/>
        </w:rPr>
        <w:t>(</w:t>
      </w:r>
      <w:r>
        <w:rPr>
          <w:lang w:val="en-GB"/>
        </w:rPr>
        <w:t>ProSieben</w:t>
      </w:r>
      <w:r>
        <w:rPr>
          <w:rFonts w:hint="eastAsia"/>
          <w:lang w:val="en-GB"/>
        </w:rPr>
        <w:t>)2000</w:t>
      </w:r>
      <w:r>
        <w:rPr>
          <w:rFonts w:hint="eastAsia"/>
          <w:lang w:val="en-GB"/>
        </w:rPr>
        <w:t>年在私人电视台上为聋人推出了第一个常规字幕服务，第一有线电视台</w:t>
      </w:r>
      <w:r>
        <w:rPr>
          <w:rFonts w:hint="eastAsia"/>
          <w:lang w:val="en-GB"/>
        </w:rPr>
        <w:t>(</w:t>
      </w:r>
      <w:r>
        <w:rPr>
          <w:lang w:val="en-GB"/>
        </w:rPr>
        <w:t>Kabel</w:t>
      </w:r>
      <w:r>
        <w:rPr>
          <w:rFonts w:hint="eastAsia"/>
          <w:lang w:val="en-GB"/>
        </w:rPr>
        <w:t xml:space="preserve"> </w:t>
      </w:r>
      <w:r>
        <w:rPr>
          <w:lang w:val="en-GB"/>
        </w:rPr>
        <w:t>eins</w:t>
      </w:r>
      <w:r>
        <w:rPr>
          <w:rFonts w:hint="eastAsia"/>
          <w:lang w:val="en-GB"/>
        </w:rPr>
        <w:t>)</w:t>
      </w:r>
      <w:r>
        <w:rPr>
          <w:rFonts w:hint="eastAsia"/>
          <w:lang w:val="en-GB"/>
        </w:rPr>
        <w:t>自</w:t>
      </w:r>
      <w:r>
        <w:rPr>
          <w:rFonts w:hint="eastAsia"/>
          <w:lang w:val="en-GB"/>
        </w:rPr>
        <w:t>2002</w:t>
      </w:r>
      <w:r>
        <w:rPr>
          <w:rFonts w:hint="eastAsia"/>
          <w:lang w:val="en-GB"/>
        </w:rPr>
        <w:t>年以来一直提供字幕。在</w:t>
      </w:r>
      <w:r>
        <w:rPr>
          <w:rFonts w:hint="eastAsia"/>
          <w:lang w:val="en-GB"/>
        </w:rPr>
        <w:t>2010</w:t>
      </w:r>
      <w:r>
        <w:rPr>
          <w:rFonts w:hint="eastAsia"/>
          <w:lang w:val="en-GB"/>
        </w:rPr>
        <w:t>年，两个频道、超过</w:t>
      </w:r>
      <w:r>
        <w:rPr>
          <w:rFonts w:hint="eastAsia"/>
          <w:lang w:val="en-GB"/>
        </w:rPr>
        <w:t>220</w:t>
      </w:r>
      <w:r>
        <w:rPr>
          <w:rFonts w:hint="eastAsia"/>
          <w:lang w:val="en-GB"/>
        </w:rPr>
        <w:t>部故事片及两个美国连续剧带字幕播出。</w:t>
      </w:r>
      <w:r>
        <w:rPr>
          <w:lang w:val="en-GB"/>
        </w:rPr>
        <w:t>RTL</w:t>
      </w:r>
      <w:r>
        <w:rPr>
          <w:rFonts w:hint="eastAsia"/>
          <w:lang w:val="en-GB"/>
        </w:rPr>
        <w:t>私营电视台在</w:t>
      </w:r>
      <w:r>
        <w:rPr>
          <w:rFonts w:hint="eastAsia"/>
          <w:lang w:val="en-GB"/>
        </w:rPr>
        <w:t>2010</w:t>
      </w:r>
      <w:r>
        <w:rPr>
          <w:rFonts w:hint="eastAsia"/>
          <w:lang w:val="en-GB"/>
        </w:rPr>
        <w:t>年宣布，将使它的广播服务</w:t>
      </w:r>
      <w:r>
        <w:rPr>
          <w:rFonts w:cs="SimHei" w:hint="eastAsia"/>
          <w:lang w:val="en-GB"/>
        </w:rPr>
        <w:t>让聋人能够收听。自</w:t>
      </w:r>
      <w:r>
        <w:rPr>
          <w:rFonts w:hint="eastAsia"/>
          <w:lang w:val="en-GB"/>
        </w:rPr>
        <w:t>2010</w:t>
      </w:r>
      <w:r>
        <w:rPr>
          <w:rFonts w:hint="eastAsia"/>
          <w:lang w:val="en-GB"/>
        </w:rPr>
        <w:t>年</w:t>
      </w:r>
      <w:r>
        <w:rPr>
          <w:rFonts w:hint="eastAsia"/>
          <w:lang w:val="en-GB"/>
        </w:rPr>
        <w:t>12</w:t>
      </w:r>
      <w:r>
        <w:rPr>
          <w:rFonts w:hint="eastAsia"/>
          <w:lang w:val="en-GB"/>
        </w:rPr>
        <w:t>月以来，特别是在晚上黄金时段播放的故事片有字幕。</w:t>
      </w:r>
      <w:r>
        <w:rPr>
          <w:lang w:val="en-GB"/>
        </w:rPr>
        <w:t>RTL</w:t>
      </w:r>
      <w:r>
        <w:rPr>
          <w:rFonts w:hint="eastAsia"/>
          <w:lang w:val="en-GB"/>
        </w:rPr>
        <w:t>私营电视台将继续扩大这项服务。通过电视获得信息，对所有的人来说都是基本的。</w:t>
      </w:r>
    </w:p>
    <w:p w:rsidR="00334AE2" w:rsidRDefault="00334AE2">
      <w:pPr>
        <w:pStyle w:val="SingleTxtGC"/>
        <w:rPr>
          <w:lang w:val="en-GB"/>
        </w:rPr>
      </w:pPr>
      <w:r>
        <w:rPr>
          <w:lang w:val="en-GB"/>
        </w:rPr>
        <w:t xml:space="preserve">261.  </w:t>
      </w:r>
      <w:r>
        <w:rPr>
          <w:rFonts w:hint="eastAsia"/>
          <w:lang w:val="en-GB"/>
        </w:rPr>
        <w:t>因此，联邦政府将不断推动所有电视台、特别是私营提供商电视台，更加重视无障碍格式。</w:t>
      </w:r>
    </w:p>
    <w:p w:rsidR="00334AE2" w:rsidRDefault="00334AE2">
      <w:pPr>
        <w:pStyle w:val="SingleTxtGC"/>
        <w:rPr>
          <w:lang w:val="en-GB"/>
        </w:rPr>
      </w:pPr>
      <w:r>
        <w:rPr>
          <w:lang w:val="en-GB"/>
        </w:rPr>
        <w:t xml:space="preserve">262.  </w:t>
      </w:r>
      <w:r>
        <w:rPr>
          <w:rFonts w:hint="eastAsia"/>
          <w:lang w:val="en-GB"/>
        </w:rPr>
        <w:t>《电影促进法》</w:t>
      </w:r>
      <w:r>
        <w:rPr>
          <w:lang w:val="en-GB"/>
        </w:rPr>
        <w:t>(</w:t>
      </w:r>
      <w:r>
        <w:rPr>
          <w:i/>
          <w:iCs/>
          <w:lang w:val="en-GB"/>
        </w:rPr>
        <w:t>Filmförderungsgesetz</w:t>
      </w:r>
      <w:r>
        <w:rPr>
          <w:lang w:val="en-GB"/>
        </w:rPr>
        <w:t>)</w:t>
      </w:r>
      <w:r>
        <w:rPr>
          <w:rFonts w:hint="eastAsia"/>
          <w:lang w:val="en-GB"/>
        </w:rPr>
        <w:t>规定，为电影为视障者提供音频描述和为有听力残疾的人提供详细字幕，创造推广条件。将为创造电影的无障碍版本提供奖励。在即将开始的《电影促进法》改革背景下，放宽无障碍电影的推广条件，是否会导致德国有音频描述和大字幕的电影院电影增加，联邦政府对此将特别重视。如果不是这种情况，联邦政府将致力于找到一个更好的安排，以满足有视障或听障的电影观众的需求。在改革过程中，将必须讨论具体设计。</w:t>
      </w:r>
    </w:p>
    <w:p w:rsidR="00334AE2" w:rsidRDefault="00334AE2">
      <w:pPr>
        <w:pStyle w:val="SingleTxtGC"/>
        <w:rPr>
          <w:lang w:val="en-GB"/>
        </w:rPr>
      </w:pPr>
      <w:r>
        <w:rPr>
          <w:lang w:val="en-GB"/>
        </w:rPr>
        <w:t xml:space="preserve">263.  </w:t>
      </w:r>
      <w:r>
        <w:rPr>
          <w:rFonts w:hint="eastAsia"/>
          <w:lang w:val="en-GB"/>
        </w:rPr>
        <w:t>将为残疾人开放艺术和文化。目标是克服残疾人所面临文化和艺术发展限制，因而使他们能够参观文化遗产和享用艺术作品。并非所有提供文化服务的建筑都是无障碍的，因而不是所有的人都可以平等地进出</w:t>
      </w:r>
      <w:r>
        <w:rPr>
          <w:rStyle w:val="FootnoteReference"/>
        </w:rPr>
        <w:footnoteReference w:id="67"/>
      </w:r>
      <w:r>
        <w:rPr>
          <w:rFonts w:hint="eastAsia"/>
          <w:lang w:val="en-GB"/>
        </w:rPr>
        <w:t>。残疾人协会也这样认为。然而，各州注意履行自己的责任，以确保尽可能消除存在的残疾游客进出文化设施、特别是历史性建筑的障碍。</w:t>
      </w:r>
    </w:p>
    <w:p w:rsidR="00334AE2" w:rsidRDefault="00334AE2">
      <w:pPr>
        <w:pStyle w:val="SingleTxtGC"/>
        <w:rPr>
          <w:lang w:val="en-GB"/>
        </w:rPr>
      </w:pPr>
      <w:r>
        <w:rPr>
          <w:lang w:val="en-GB"/>
        </w:rPr>
        <w:t xml:space="preserve">264.  </w:t>
      </w:r>
      <w:r>
        <w:rPr>
          <w:rFonts w:hint="eastAsia"/>
          <w:lang w:val="en-GB"/>
        </w:rPr>
        <w:t>为了确保残疾人可以观看诸如戏剧演出等文化演出或参观博物馆，</w:t>
      </w:r>
      <w:r>
        <w:rPr>
          <w:lang w:val="en-GB"/>
        </w:rPr>
        <w:t>《社会法典》</w:t>
      </w:r>
      <w:r>
        <w:rPr>
          <w:rFonts w:hint="eastAsia"/>
          <w:lang w:val="en-GB"/>
        </w:rPr>
        <w:t>第九部规定，协助残疾人参与社区和文化生活。除其他外，可以协助残疾人参加提供关于</w:t>
      </w:r>
      <w:r>
        <w:rPr>
          <w:lang w:val="en-GB"/>
        </w:rPr>
        <w:t>当前事件</w:t>
      </w:r>
      <w:r>
        <w:rPr>
          <w:rFonts w:hint="eastAsia"/>
          <w:lang w:val="en-GB"/>
        </w:rPr>
        <w:t>或文化事件的信息的活动。</w:t>
      </w:r>
    </w:p>
    <w:p w:rsidR="00334AE2" w:rsidRDefault="00334AE2">
      <w:pPr>
        <w:pStyle w:val="SingleTxtGC"/>
        <w:rPr>
          <w:lang w:val="en-GB"/>
        </w:rPr>
      </w:pPr>
      <w:r>
        <w:rPr>
          <w:lang w:val="en-GB"/>
        </w:rPr>
        <w:t xml:space="preserve">265.  </w:t>
      </w:r>
      <w:r>
        <w:rPr>
          <w:rFonts w:hint="eastAsia"/>
          <w:lang w:val="en-GB"/>
        </w:rPr>
        <w:t>推广体育运动，主要是各州负责的事项。联邦负责代表国家的项目，特别是推广顶级体育运动。自</w:t>
      </w:r>
      <w:r>
        <w:rPr>
          <w:rFonts w:hint="eastAsia"/>
          <w:lang w:val="en-GB"/>
        </w:rPr>
        <w:t>2005</w:t>
      </w:r>
      <w:r>
        <w:rPr>
          <w:rFonts w:hint="eastAsia"/>
          <w:lang w:val="en-GB"/>
        </w:rPr>
        <w:t>年以来，表演体育方案，对有残疾和没有残疾的运动员的顶级体育运动，给予同等对待。联邦和各州为推动残疾人参与广泛的体育服务和活动提供资金。这些尤其包括向德国残疾人体育运动联合会、德国聋人体育运动协会、德国盲人象棋联合会及德国特奥会提供资助，它们组织体育表演、流行体育运动和康复体育运动活动。在</w:t>
      </w:r>
      <w:r>
        <w:rPr>
          <w:rFonts w:hint="eastAsia"/>
          <w:lang w:val="en-GB"/>
        </w:rPr>
        <w:t>2010</w:t>
      </w:r>
      <w:r>
        <w:rPr>
          <w:rFonts w:hint="eastAsia"/>
          <w:lang w:val="en-GB"/>
        </w:rPr>
        <w:t>年至</w:t>
      </w:r>
      <w:r>
        <w:rPr>
          <w:rFonts w:hint="eastAsia"/>
          <w:lang w:val="en-GB"/>
        </w:rPr>
        <w:t>2013</w:t>
      </w:r>
      <w:r>
        <w:rPr>
          <w:rFonts w:hint="eastAsia"/>
          <w:lang w:val="en-GB"/>
        </w:rPr>
        <w:t>年期间，联邦总共为残疾人参加表演、流行和康复体育运动提供了超过</w:t>
      </w:r>
      <w:r>
        <w:rPr>
          <w:rFonts w:hint="eastAsia"/>
          <w:lang w:val="en-GB"/>
        </w:rPr>
        <w:t>2,000</w:t>
      </w:r>
      <w:r>
        <w:rPr>
          <w:rFonts w:hint="eastAsia"/>
          <w:lang w:val="en-GB"/>
        </w:rPr>
        <w:t>万欧元。通过提供具体补贴和通过规定背景的法定条例，保障残疾人使用体育设施和以不同形式参与顶级、流行和康复体育运动。联邦政府因此将继续推动残疾人体育协会为参加在国内举行的主要全国和国际活动而组织表演体育人员、制订年度体育计划和组织费用，同时组织残疾儿童和青少年新比赛。第二个试点活动“残奥会青春列车”将于</w:t>
      </w:r>
      <w:r>
        <w:rPr>
          <w:rFonts w:hint="eastAsia"/>
          <w:lang w:val="en-GB"/>
        </w:rPr>
        <w:t>2011</w:t>
      </w:r>
      <w:r>
        <w:rPr>
          <w:rFonts w:hint="eastAsia"/>
          <w:lang w:val="en-GB"/>
        </w:rPr>
        <w:t>年在柏林举行。</w:t>
      </w:r>
    </w:p>
    <w:p w:rsidR="00334AE2" w:rsidRDefault="00334AE2">
      <w:pPr>
        <w:pStyle w:val="SingleTxtGC"/>
        <w:rPr>
          <w:lang w:val="en-GB"/>
        </w:rPr>
      </w:pPr>
      <w:r>
        <w:rPr>
          <w:lang w:val="en-GB"/>
        </w:rPr>
        <w:t xml:space="preserve">266.  </w:t>
      </w:r>
      <w:r>
        <w:rPr>
          <w:rFonts w:hint="eastAsia"/>
          <w:lang w:val="en-GB"/>
        </w:rPr>
        <w:t>参与旅游业和使用在这一领域提供的服务，是残疾人参与社会的一个主要元素。对于残疾人度假者来说，不仅获取信息、如何去那里和如何寻找住所等问题是重要的，而且能够在度假</w:t>
      </w:r>
      <w:r>
        <w:rPr>
          <w:lang w:val="en-GB"/>
        </w:rPr>
        <w:t>目的地</w:t>
      </w:r>
      <w:r>
        <w:rPr>
          <w:rFonts w:hint="eastAsia"/>
          <w:lang w:val="en-GB"/>
        </w:rPr>
        <w:t>就地参与休闲活动和处理日常生活事务也是重要的。为此，需要旅游业中的所有行为体共同努力，特别是在各州和地区。</w:t>
      </w:r>
    </w:p>
    <w:p w:rsidR="00334AE2" w:rsidRDefault="00334AE2">
      <w:pPr>
        <w:pStyle w:val="SingleTxtGC"/>
        <w:rPr>
          <w:lang w:val="en-GB"/>
        </w:rPr>
      </w:pPr>
      <w:r>
        <w:rPr>
          <w:lang w:val="en-GB"/>
        </w:rPr>
        <w:t xml:space="preserve">267.  </w:t>
      </w:r>
      <w:r>
        <w:rPr>
          <w:rFonts w:hint="eastAsia"/>
          <w:lang w:val="en-GB"/>
        </w:rPr>
        <w:t>全国全民旅游协调署，是无障碍旅游利益的中心接触点。全国全民旅游协调署是在旅游领域的旅游运营商、运输公司、旅游区、酒店经营者和其他服务提供商都可以使用的一个</w:t>
      </w:r>
      <w:r>
        <w:rPr>
          <w:lang w:val="en-GB"/>
        </w:rPr>
        <w:t>接触点</w:t>
      </w:r>
      <w:r>
        <w:rPr>
          <w:rFonts w:hint="eastAsia"/>
          <w:lang w:val="en-GB"/>
        </w:rPr>
        <w:t>，以支持它们设计无障碍服务。联邦政府促进协调署的项目。譬如，在德国酒店业者协会和全国协调署实施的全国培训和技能建设举措中，对酒店业、餐馆和旅游服务供应商进行了关于如何正确接待残疾人和行动不便的人的培训。</w:t>
      </w:r>
    </w:p>
    <w:p w:rsidR="00334AE2" w:rsidRDefault="00334AE2">
      <w:pPr>
        <w:pStyle w:val="SingleTxtGC"/>
        <w:rPr>
          <w:rStyle w:val="FootnoteReference"/>
        </w:rPr>
      </w:pPr>
      <w:r>
        <w:rPr>
          <w:lang w:val="en-GB"/>
        </w:rPr>
        <w:t xml:space="preserve">268.  </w:t>
      </w:r>
      <w:r>
        <w:rPr>
          <w:rFonts w:hint="eastAsia"/>
          <w:lang w:val="en-GB"/>
        </w:rPr>
        <w:t>联邦政府已经通过两次调研</w:t>
      </w:r>
      <w:r>
        <w:rPr>
          <w:rStyle w:val="FootnoteReference"/>
        </w:rPr>
        <w:footnoteReference w:id="68"/>
      </w:r>
      <w:r>
        <w:rPr>
          <w:rFonts w:hint="eastAsia"/>
          <w:lang w:val="en-GB"/>
        </w:rPr>
        <w:t>，调查了德国所有人无障碍旅游的经济意义，已经确定了提高质量的成功因素和方案。在这一背景下，已经组建了一个“德国无障碍旅游目的地”工作小组。这个工作小组致力于在地区为残疾人游客开发旅游项目。</w:t>
      </w:r>
      <w:r>
        <w:rPr>
          <w:rStyle w:val="FootnoteReference"/>
        </w:rPr>
        <w:footnoteReference w:id="69"/>
      </w:r>
    </w:p>
    <w:p w:rsidR="00334AE2" w:rsidRDefault="00334AE2">
      <w:pPr>
        <w:pStyle w:val="H1GC"/>
        <w:rPr>
          <w:lang w:val="en-GB"/>
        </w:rPr>
      </w:pPr>
      <w:bookmarkStart w:id="34" w:name="_Toc303932243"/>
      <w:r>
        <w:rPr>
          <w:lang w:val="en-GB"/>
        </w:rPr>
        <w:tab/>
      </w:r>
      <w:r>
        <w:rPr>
          <w:lang w:val="en-GB"/>
        </w:rPr>
        <w:tab/>
      </w:r>
      <w:bookmarkEnd w:id="34"/>
      <w:r>
        <w:rPr>
          <w:rFonts w:hint="eastAsia"/>
          <w:lang w:val="en-GB"/>
        </w:rPr>
        <w:t>第三十一条</w:t>
      </w:r>
      <w:r>
        <w:rPr>
          <w:rFonts w:hint="eastAsia"/>
          <w:lang w:val="en-GB"/>
        </w:rPr>
        <w:br/>
      </w:r>
      <w:r>
        <w:rPr>
          <w:rFonts w:hint="eastAsia"/>
          <w:lang w:val="en-GB"/>
        </w:rPr>
        <w:t>统计和数据收集</w:t>
      </w:r>
    </w:p>
    <w:p w:rsidR="00334AE2" w:rsidRDefault="00334AE2">
      <w:pPr>
        <w:pStyle w:val="SingleTxtGC"/>
        <w:rPr>
          <w:rStyle w:val="FootnoteReference"/>
        </w:rPr>
      </w:pPr>
      <w:r>
        <w:rPr>
          <w:lang w:val="en-GB"/>
        </w:rPr>
        <w:t xml:space="preserve">269.  </w:t>
      </w:r>
      <w:r>
        <w:rPr>
          <w:rFonts w:hint="eastAsia"/>
          <w:lang w:val="en-GB"/>
        </w:rPr>
        <w:t>联邦统计办公室和各州统计办公室，根据</w:t>
      </w:r>
      <w:r>
        <w:rPr>
          <w:rFonts w:hint="eastAsia"/>
          <w:lang w:val="en-GB"/>
        </w:rPr>
        <w:t>2005</w:t>
      </w:r>
      <w:r>
        <w:rPr>
          <w:rFonts w:hint="eastAsia"/>
          <w:lang w:val="en-GB"/>
        </w:rPr>
        <w:t>年《微型人口调查法》</w:t>
      </w:r>
      <w:r>
        <w:rPr>
          <w:rFonts w:hint="eastAsia"/>
          <w:lang w:val="en-GB"/>
        </w:rPr>
        <w:t>(</w:t>
      </w:r>
      <w:r>
        <w:rPr>
          <w:i/>
          <w:iCs/>
          <w:lang w:val="en-GB"/>
        </w:rPr>
        <w:t>Mikrozensusgesetz</w:t>
      </w:r>
      <w:r>
        <w:rPr>
          <w:rFonts w:hint="eastAsia"/>
          <w:lang w:val="en-GB"/>
        </w:rPr>
        <w:t>)</w:t>
      </w:r>
      <w:r>
        <w:rPr>
          <w:rFonts w:hint="eastAsia"/>
          <w:lang w:val="en-GB"/>
        </w:rPr>
        <w:t>，收集关于德国人口和劳动力市场即家庭住房状况的统计数据。微型人口调查是一个多用途</w:t>
      </w:r>
      <w:r>
        <w:rPr>
          <w:lang w:val="en-GB"/>
        </w:rPr>
        <w:t>抽样</w:t>
      </w:r>
      <w:r>
        <w:rPr>
          <w:rFonts w:hint="eastAsia"/>
          <w:lang w:val="en-GB"/>
        </w:rPr>
        <w:t>调查，它提供关于人口的经济和社会状况的详细信息，提供关于与有报酬的就业、劳动力市场及培训有关的事项的信息。有了这些数据，就有可能判断现有法规和义务的执行情况，找出困难，酌情进行调整。在进行微型人口调查时，经常询问的问题涉及：残疾和健康状况，残疾人参与职业情况，以及残疾人的培训和收入情况。作为一项原则，回答这些问题是自愿的。然而，作为一项规则，收集有关这些议题的足够信息，以能够对这一领域的数据进行评估和其他推断。此外，在</w:t>
      </w:r>
      <w:r>
        <w:rPr>
          <w:rFonts w:hint="eastAsia"/>
          <w:lang w:val="en-GB"/>
        </w:rPr>
        <w:t>2005</w:t>
      </w:r>
      <w:r>
        <w:rPr>
          <w:rFonts w:hint="eastAsia"/>
          <w:lang w:val="en-GB"/>
        </w:rPr>
        <w:t>年微型人口调查收集的数据基础上，对“德国残疾妇女状况”进行了评估，以了解可能存在的不利处境。</w:t>
      </w:r>
      <w:r>
        <w:rPr>
          <w:rStyle w:val="FootnoteReference"/>
        </w:rPr>
        <w:footnoteReference w:id="70"/>
      </w:r>
    </w:p>
    <w:p w:rsidR="00334AE2" w:rsidRDefault="00334AE2">
      <w:pPr>
        <w:pStyle w:val="SingleTxtGC"/>
        <w:rPr>
          <w:lang w:val="en-GB"/>
        </w:rPr>
      </w:pPr>
      <w:r>
        <w:rPr>
          <w:lang w:val="en-GB"/>
        </w:rPr>
        <w:t xml:space="preserve">270.  </w:t>
      </w:r>
      <w:r>
        <w:rPr>
          <w:rFonts w:hint="eastAsia"/>
          <w:lang w:val="en-GB"/>
        </w:rPr>
        <w:t>联邦政府在每个立法期间编写的《残疾人现状报告》，过去常常很少引起公众关注，残疾人协会人批评报告缺乏权威，特别是因为迄今缺乏对残疾人政策的有指数支持的评估。由于受到批评，已经开始对《残疾报告》进行重新设计，使之成为有指数支持的报告。在这方面，与《国家行动计划》的行动领域相连接，是非常重要的。目标是，到</w:t>
      </w:r>
      <w:r>
        <w:rPr>
          <w:rFonts w:hint="eastAsia"/>
          <w:lang w:val="en-GB"/>
        </w:rPr>
        <w:t>2012</w:t>
      </w:r>
      <w:r>
        <w:rPr>
          <w:rFonts w:hint="eastAsia"/>
          <w:lang w:val="en-GB"/>
        </w:rPr>
        <w:t>年年底，完成《残疾报告》的重新设计，在此基础上开始实施，逐步编写一个新的基于指数的残疾报告。重新设计《残疾报告》的详细意图是：</w:t>
      </w:r>
    </w:p>
    <w:p w:rsidR="00334AE2" w:rsidRDefault="00334AE2">
      <w:pPr>
        <w:pStyle w:val="SingleTxtGC"/>
        <w:numPr>
          <w:ilvl w:val="0"/>
          <w:numId w:val="39"/>
        </w:numPr>
        <w:ind w:left="1134"/>
        <w:rPr>
          <w:lang w:val="en-GB"/>
        </w:rPr>
      </w:pPr>
      <w:r>
        <w:rPr>
          <w:rFonts w:hint="eastAsia"/>
          <w:lang w:val="en-GB"/>
        </w:rPr>
        <w:t>大大改进提供的数据；</w:t>
      </w:r>
    </w:p>
    <w:p w:rsidR="00334AE2" w:rsidRDefault="00334AE2">
      <w:pPr>
        <w:pStyle w:val="SingleTxtGC"/>
        <w:numPr>
          <w:ilvl w:val="0"/>
          <w:numId w:val="39"/>
        </w:numPr>
        <w:ind w:left="1134"/>
        <w:rPr>
          <w:lang w:val="en-GB"/>
        </w:rPr>
      </w:pPr>
      <w:r>
        <w:rPr>
          <w:rFonts w:hint="eastAsia"/>
          <w:lang w:val="en-GB"/>
        </w:rPr>
        <w:t>确保指数与固定定义之间的可比性；</w:t>
      </w:r>
    </w:p>
    <w:p w:rsidR="00334AE2" w:rsidRDefault="00334AE2">
      <w:pPr>
        <w:pStyle w:val="SingleTxtGC"/>
        <w:numPr>
          <w:ilvl w:val="0"/>
          <w:numId w:val="39"/>
        </w:numPr>
        <w:ind w:left="1134"/>
        <w:rPr>
          <w:lang w:val="en-GB"/>
        </w:rPr>
      </w:pPr>
      <w:r>
        <w:rPr>
          <w:rFonts w:hint="eastAsia"/>
          <w:lang w:val="en-GB"/>
        </w:rPr>
        <w:t>评估残疾政策方案；以及</w:t>
      </w:r>
    </w:p>
    <w:p w:rsidR="00334AE2" w:rsidRDefault="00334AE2">
      <w:pPr>
        <w:pStyle w:val="SingleTxtGC"/>
        <w:numPr>
          <w:ilvl w:val="0"/>
          <w:numId w:val="39"/>
        </w:numPr>
        <w:ind w:left="1134"/>
        <w:rPr>
          <w:lang w:val="en-GB"/>
        </w:rPr>
      </w:pPr>
      <w:r>
        <w:rPr>
          <w:rFonts w:hint="eastAsia"/>
          <w:lang w:val="en-GB"/>
        </w:rPr>
        <w:t>以更为独立的方式设计报告。</w:t>
      </w:r>
    </w:p>
    <w:p w:rsidR="00334AE2" w:rsidRDefault="00334AE2">
      <w:pPr>
        <w:pStyle w:val="SingleTxtGC"/>
        <w:rPr>
          <w:lang w:val="en-GB"/>
        </w:rPr>
      </w:pPr>
      <w:r>
        <w:rPr>
          <w:lang w:val="en-GB"/>
        </w:rPr>
        <w:t xml:space="preserve">271.  </w:t>
      </w:r>
      <w:r>
        <w:rPr>
          <w:rFonts w:hint="eastAsia"/>
          <w:lang w:val="en-GB"/>
        </w:rPr>
        <w:t>此外，联邦政府在对《社会法典》第三部和第二部进行的</w:t>
      </w:r>
      <w:r>
        <w:rPr>
          <w:lang w:val="en-GB"/>
        </w:rPr>
        <w:t>部级</w:t>
      </w:r>
      <w:r>
        <w:rPr>
          <w:rFonts w:hint="eastAsia"/>
          <w:lang w:val="en-GB"/>
        </w:rPr>
        <w:t>研究中，对残疾人参与工作生活补贴进行了评估。除其他外，目前正在建立必要的数据库，进行描述性分析，审查进行因果分析的可行性。目标是，到</w:t>
      </w:r>
      <w:r>
        <w:rPr>
          <w:rFonts w:hint="eastAsia"/>
          <w:lang w:val="en-GB"/>
        </w:rPr>
        <w:t>2015</w:t>
      </w:r>
      <w:r>
        <w:rPr>
          <w:rFonts w:hint="eastAsia"/>
          <w:lang w:val="en-GB"/>
        </w:rPr>
        <w:t>年，获得关于这些补贴的效力和效率的有代表性的信息。因此，将确定对实际执行和完善法律框架进行任何必要的优化的迹象。</w:t>
      </w:r>
    </w:p>
    <w:p w:rsidR="00334AE2" w:rsidRDefault="00334AE2">
      <w:pPr>
        <w:pStyle w:val="H1GC"/>
        <w:rPr>
          <w:lang w:val="en-GB"/>
        </w:rPr>
      </w:pPr>
      <w:bookmarkStart w:id="35" w:name="_Toc303932244"/>
      <w:r>
        <w:rPr>
          <w:lang w:val="en-GB"/>
        </w:rPr>
        <w:tab/>
      </w:r>
      <w:r>
        <w:rPr>
          <w:lang w:val="en-GB"/>
        </w:rPr>
        <w:tab/>
      </w:r>
      <w:bookmarkEnd w:id="35"/>
      <w:r>
        <w:rPr>
          <w:rFonts w:hint="eastAsia"/>
          <w:lang w:val="en-GB"/>
        </w:rPr>
        <w:t>第三十二条</w:t>
      </w:r>
      <w:r>
        <w:rPr>
          <w:rFonts w:hint="eastAsia"/>
          <w:lang w:val="en-GB"/>
        </w:rPr>
        <w:br/>
      </w:r>
      <w:r>
        <w:rPr>
          <w:rFonts w:hint="eastAsia"/>
          <w:lang w:val="en-GB"/>
        </w:rPr>
        <w:t>国际合作</w:t>
      </w:r>
    </w:p>
    <w:p w:rsidR="00334AE2" w:rsidRDefault="00334AE2">
      <w:pPr>
        <w:pStyle w:val="SingleTxtGC"/>
        <w:rPr>
          <w:lang w:val="en-GB"/>
        </w:rPr>
      </w:pPr>
      <w:r>
        <w:rPr>
          <w:lang w:val="en-GB"/>
        </w:rPr>
        <w:t xml:space="preserve">272.  </w:t>
      </w:r>
      <w:r>
        <w:rPr>
          <w:rFonts w:hint="eastAsia"/>
          <w:lang w:val="en-GB"/>
        </w:rPr>
        <w:t>全球有</w:t>
      </w:r>
      <w:r>
        <w:rPr>
          <w:rFonts w:hint="eastAsia"/>
          <w:lang w:val="en-GB"/>
        </w:rPr>
        <w:t>10</w:t>
      </w:r>
      <w:r>
        <w:rPr>
          <w:rFonts w:hint="eastAsia"/>
          <w:lang w:val="en-GB"/>
        </w:rPr>
        <w:t>亿残疾人，其中多达</w:t>
      </w:r>
      <w:r>
        <w:rPr>
          <w:rFonts w:hint="eastAsia"/>
          <w:lang w:val="en-GB"/>
        </w:rPr>
        <w:t>1.9</w:t>
      </w:r>
      <w:r>
        <w:rPr>
          <w:rFonts w:hint="eastAsia"/>
          <w:lang w:val="en-GB"/>
        </w:rPr>
        <w:t>亿人有重度残疾。在这些人当中，只有约</w:t>
      </w:r>
      <w:r>
        <w:rPr>
          <w:rFonts w:hint="eastAsia"/>
          <w:lang w:val="en-GB"/>
        </w:rPr>
        <w:t>1-2%</w:t>
      </w:r>
      <w:r>
        <w:rPr>
          <w:rFonts w:hint="eastAsia"/>
          <w:lang w:val="en-GB"/>
        </w:rPr>
        <w:t>的人可以得到医疗康复措施或教育。</w:t>
      </w:r>
      <w:r>
        <w:rPr>
          <w:rFonts w:hint="eastAsia"/>
          <w:lang w:val="en-GB"/>
        </w:rPr>
        <w:t>80%</w:t>
      </w:r>
      <w:r>
        <w:rPr>
          <w:rFonts w:hint="eastAsia"/>
          <w:lang w:val="en-GB"/>
        </w:rPr>
        <w:t>的残疾人生活在发展中国家。</w:t>
      </w:r>
      <w:r>
        <w:rPr>
          <w:rFonts w:hint="eastAsia"/>
          <w:spacing w:val="-2"/>
          <w:lang w:val="en-GB"/>
        </w:rPr>
        <w:t>无论是在双边层面上，还是在与国际组织、非政府组织及残疾人组织的合作中</w:t>
      </w:r>
      <w:r>
        <w:rPr>
          <w:rStyle w:val="FootnoteReference"/>
        </w:rPr>
        <w:footnoteReference w:id="71"/>
      </w:r>
      <w:r>
        <w:rPr>
          <w:rFonts w:hint="eastAsia"/>
          <w:lang w:val="en-GB"/>
        </w:rPr>
        <w:t>，德国的发展政策都推动将残疾人权利纳入发展项目。例如，在过去</w:t>
      </w:r>
      <w:r>
        <w:rPr>
          <w:rFonts w:hint="eastAsia"/>
          <w:lang w:val="en-GB"/>
        </w:rPr>
        <w:t>20</w:t>
      </w:r>
      <w:r>
        <w:rPr>
          <w:rFonts w:hint="eastAsia"/>
          <w:lang w:val="en-GB"/>
        </w:rPr>
        <w:t>年里，在</w:t>
      </w:r>
      <w:r>
        <w:rPr>
          <w:rFonts w:hint="eastAsia"/>
          <w:lang w:val="en-GB"/>
        </w:rPr>
        <w:t>40</w:t>
      </w:r>
      <w:r>
        <w:rPr>
          <w:rFonts w:hint="eastAsia"/>
          <w:lang w:val="en-GB"/>
        </w:rPr>
        <w:t>个国家中，以总共</w:t>
      </w:r>
      <w:r>
        <w:rPr>
          <w:rFonts w:hint="eastAsia"/>
          <w:lang w:val="en-GB"/>
        </w:rPr>
        <w:t>7,000</w:t>
      </w:r>
      <w:r>
        <w:rPr>
          <w:rFonts w:hint="eastAsia"/>
          <w:lang w:val="en-GB"/>
        </w:rPr>
        <w:t>万欧元的资金，实施了</w:t>
      </w:r>
      <w:r>
        <w:rPr>
          <w:rFonts w:hint="eastAsia"/>
          <w:lang w:val="en-GB"/>
        </w:rPr>
        <w:t>180</w:t>
      </w:r>
      <w:r>
        <w:rPr>
          <w:rFonts w:hint="eastAsia"/>
          <w:lang w:val="en-GB"/>
        </w:rPr>
        <w:t>多个以残疾人为直接或间接目标群体的项目。</w:t>
      </w:r>
    </w:p>
    <w:p w:rsidR="00334AE2" w:rsidRDefault="00334AE2">
      <w:pPr>
        <w:pStyle w:val="SingleTxtGC"/>
        <w:rPr>
          <w:lang w:val="en-GB"/>
        </w:rPr>
      </w:pPr>
      <w:r>
        <w:rPr>
          <w:lang w:val="en-GB"/>
        </w:rPr>
        <w:t xml:space="preserve">273.  </w:t>
      </w:r>
      <w:r>
        <w:rPr>
          <w:rFonts w:hint="eastAsia"/>
          <w:lang w:val="en-GB"/>
        </w:rPr>
        <w:t>联邦政府通过支持诸如人权委员会和监察员机构等独立的国家和地区人权机构，推动在伙伴国家对本《公约》的执行进行监控，并以建设性的方式表明缔约国未履行《公约》的义务。</w:t>
      </w:r>
    </w:p>
    <w:p w:rsidR="00334AE2" w:rsidRDefault="00334AE2">
      <w:pPr>
        <w:pStyle w:val="SingleTxtGC"/>
        <w:rPr>
          <w:lang w:val="en-GB"/>
        </w:rPr>
      </w:pPr>
      <w:r>
        <w:rPr>
          <w:lang w:val="en-GB"/>
        </w:rPr>
        <w:t xml:space="preserve">274.  </w:t>
      </w:r>
      <w:r>
        <w:rPr>
          <w:rFonts w:hint="eastAsia"/>
          <w:lang w:val="en-GB"/>
        </w:rPr>
        <w:t>为了对本《公约》对德国的发展合作构成的挑战作出适当应对，已经委托对在德国发展合作中实施《公约》进行研究。根据此项研究提出的建议，联邦经济合作与发展部提供了额外财政资源和工作人员，以在未来几年在德国发展合作中改善残疾人的融入情况。目标是，在发展政策概念和战略中，更好地体现残疾人的利益，在伙伴国设计更加</w:t>
      </w:r>
      <w:r>
        <w:rPr>
          <w:lang w:val="en-GB"/>
        </w:rPr>
        <w:t>包容性</w:t>
      </w:r>
      <w:r>
        <w:rPr>
          <w:rFonts w:hint="eastAsia"/>
          <w:lang w:val="en-GB"/>
        </w:rPr>
        <w:t>项目。</w:t>
      </w:r>
    </w:p>
    <w:p w:rsidR="00334AE2" w:rsidRDefault="00334AE2">
      <w:pPr>
        <w:pStyle w:val="SingleTxtGC"/>
        <w:rPr>
          <w:lang w:val="en-GB"/>
        </w:rPr>
      </w:pPr>
      <w:r>
        <w:rPr>
          <w:lang w:val="en-GB"/>
        </w:rPr>
        <w:t xml:space="preserve">275.  </w:t>
      </w:r>
      <w:r>
        <w:rPr>
          <w:rFonts w:hint="eastAsia"/>
          <w:lang w:val="en-GB"/>
        </w:rPr>
        <w:t>在发展合作领域中，特别为残疾人实施的具体方案尤其包括题为“残疾人”的部门项目。该项目是由联邦经济合作与发展部及该部的“残疾人参与发展合作圆桌会议”</w:t>
      </w:r>
      <w:r>
        <w:rPr>
          <w:rFonts w:hint="eastAsia"/>
          <w:lang w:val="en-GB"/>
        </w:rPr>
        <w:t>2009</w:t>
      </w:r>
      <w:r>
        <w:rPr>
          <w:rFonts w:hint="eastAsia"/>
          <w:lang w:val="en-GB"/>
        </w:rPr>
        <w:t>年委托国际合作机构</w:t>
      </w:r>
      <w:r>
        <w:rPr>
          <w:rFonts w:hint="eastAsia"/>
          <w:lang w:val="en-GB"/>
        </w:rPr>
        <w:t>(</w:t>
      </w:r>
      <w:r>
        <w:rPr>
          <w:lang w:val="en-GB"/>
        </w:rPr>
        <w:t>Gesellschaft</w:t>
      </w:r>
      <w:r>
        <w:rPr>
          <w:rFonts w:hint="eastAsia"/>
          <w:lang w:val="en-GB"/>
        </w:rPr>
        <w:t xml:space="preserve"> </w:t>
      </w:r>
      <w:r>
        <w:rPr>
          <w:lang w:val="en-GB"/>
        </w:rPr>
        <w:t>für</w:t>
      </w:r>
      <w:r>
        <w:rPr>
          <w:rFonts w:hint="eastAsia"/>
          <w:lang w:val="en-GB"/>
        </w:rPr>
        <w:t xml:space="preserve"> </w:t>
      </w:r>
      <w:r>
        <w:rPr>
          <w:lang w:val="en-GB"/>
        </w:rPr>
        <w:t>internationale</w:t>
      </w:r>
      <w:r>
        <w:rPr>
          <w:rFonts w:hint="eastAsia"/>
          <w:lang w:val="en-GB"/>
        </w:rPr>
        <w:t xml:space="preserve"> </w:t>
      </w:r>
      <w:r>
        <w:rPr>
          <w:lang w:val="en-GB"/>
        </w:rPr>
        <w:t>Zusammenarbeit</w:t>
      </w:r>
      <w:r>
        <w:rPr>
          <w:rFonts w:hint="eastAsia"/>
          <w:lang w:val="en-GB"/>
        </w:rPr>
        <w:t>)</w:t>
      </w:r>
      <w:r>
        <w:rPr>
          <w:rFonts w:hint="eastAsia"/>
          <w:lang w:val="en-GB"/>
        </w:rPr>
        <w:t>组织的，该项目是在</w:t>
      </w:r>
      <w:r>
        <w:rPr>
          <w:rFonts w:hint="eastAsia"/>
          <w:lang w:val="en-GB"/>
        </w:rPr>
        <w:t>2010</w:t>
      </w:r>
      <w:r>
        <w:rPr>
          <w:rFonts w:hint="eastAsia"/>
          <w:lang w:val="en-GB"/>
        </w:rPr>
        <w:t>年确定的。在</w:t>
      </w:r>
      <w:r>
        <w:rPr>
          <w:rFonts w:hint="eastAsia"/>
          <w:lang w:val="en-GB"/>
        </w:rPr>
        <w:t>2011</w:t>
      </w:r>
      <w:r>
        <w:rPr>
          <w:rFonts w:hint="eastAsia"/>
          <w:lang w:val="en-GB"/>
        </w:rPr>
        <w:t>年和</w:t>
      </w:r>
      <w:r>
        <w:rPr>
          <w:rFonts w:hint="eastAsia"/>
          <w:lang w:val="en-GB"/>
        </w:rPr>
        <w:t>2012</w:t>
      </w:r>
      <w:r>
        <w:rPr>
          <w:rFonts w:hint="eastAsia"/>
          <w:lang w:val="en-GB"/>
        </w:rPr>
        <w:t>年，联邦经济合作与发展部将起草一份关于残疾人融入的战略。该战略将借鉴国际捐助者和联合国组织的经验，旨在促进可持续的方法，寻求应对现在面临的挑战的答案。</w:t>
      </w:r>
    </w:p>
    <w:p w:rsidR="00334AE2" w:rsidRDefault="00334AE2">
      <w:pPr>
        <w:pStyle w:val="SingleTxtGC"/>
        <w:rPr>
          <w:lang w:val="en-GB"/>
        </w:rPr>
      </w:pPr>
      <w:r>
        <w:rPr>
          <w:lang w:val="en-GB"/>
        </w:rPr>
        <w:t xml:space="preserve">276.  </w:t>
      </w:r>
      <w:r>
        <w:rPr>
          <w:rFonts w:hint="eastAsia"/>
          <w:lang w:val="en-GB"/>
        </w:rPr>
        <w:t>在伙伴国家实施融合项目的一个例子是，在柬埔寨、越南和坦桑尼亚联合共和国，支持自我代表组织，支持它们积极参与国家减贫战略的起草活动。这些举措显示，近年来在加强自我代表组织机构方面取得了相当大的成功。伙伴国政府对残疾人有了人权理解。</w:t>
      </w:r>
    </w:p>
    <w:p w:rsidR="00334AE2" w:rsidRDefault="00334AE2">
      <w:pPr>
        <w:pStyle w:val="SingleTxtGC"/>
        <w:rPr>
          <w:lang w:val="en-GB"/>
        </w:rPr>
      </w:pPr>
      <w:r>
        <w:rPr>
          <w:lang w:val="en-GB"/>
        </w:rPr>
        <w:t xml:space="preserve">277.  </w:t>
      </w:r>
      <w:r>
        <w:rPr>
          <w:rFonts w:hint="eastAsia"/>
          <w:lang w:val="en-GB"/>
        </w:rPr>
        <w:t>通过在智利的一个改革基金会，联邦政府推动在社会政策改革过程中，发展和建立了融合学前教育。这使</w:t>
      </w:r>
      <w:r>
        <w:rPr>
          <w:rFonts w:hint="eastAsia"/>
          <w:lang w:val="en-GB"/>
        </w:rPr>
        <w:t>2,200</w:t>
      </w:r>
      <w:r>
        <w:rPr>
          <w:rFonts w:hint="eastAsia"/>
          <w:lang w:val="en-GB"/>
        </w:rPr>
        <w:t>多名来自特别贫困家庭的残疾儿童被标准幼儿园接受。另外的例子是，支持孟加拉国实施本《公约》，以及支持在乌兹别克斯坦为视障人进行培训和职业融入。</w:t>
      </w:r>
    </w:p>
    <w:p w:rsidR="00334AE2" w:rsidRDefault="00334AE2">
      <w:pPr>
        <w:pStyle w:val="SingleTxtGC"/>
        <w:rPr>
          <w:lang w:val="en-GB"/>
        </w:rPr>
      </w:pPr>
      <w:r>
        <w:rPr>
          <w:lang w:val="en-GB"/>
        </w:rPr>
        <w:t xml:space="preserve">278.  </w:t>
      </w:r>
      <w:r>
        <w:rPr>
          <w:rFonts w:hint="eastAsia"/>
          <w:lang w:val="en-GB"/>
        </w:rPr>
        <w:t>联邦政府在海地实施的面向发展的紧急和过渡援助项目中，特别考虑残疾人的利益。在由德国资助的紧急和过渡住房的建造中，建造了适合残疾人使用的住房；在需要的地方，可以建成无障碍的住房。在题为《当地居民民生防灾重建和稳定，特别考虑残疾人》的项目中，除其他外，使用在海地有的民间社会组织的专家专业知识，以确保残疾人参与方案。</w:t>
      </w:r>
    </w:p>
    <w:p w:rsidR="00334AE2" w:rsidRDefault="00334AE2">
      <w:pPr>
        <w:pStyle w:val="SingleTxtGC"/>
        <w:rPr>
          <w:lang w:val="en-GB"/>
        </w:rPr>
      </w:pPr>
      <w:r>
        <w:rPr>
          <w:lang w:val="en-GB"/>
        </w:rPr>
        <w:t xml:space="preserve">279.  </w:t>
      </w:r>
      <w:r>
        <w:rPr>
          <w:rFonts w:hint="eastAsia"/>
          <w:lang w:val="en-GB"/>
        </w:rPr>
        <w:t>联邦劳动和社会事务部寻求在双边关系范围之内，实现《</w:t>
      </w:r>
      <w:r>
        <w:rPr>
          <w:rFonts w:hint="eastAsia"/>
          <w:bCs/>
          <w:lang w:val="en-GB"/>
        </w:rPr>
        <w:t>残疾人权利公约</w:t>
      </w:r>
      <w:r>
        <w:rPr>
          <w:rFonts w:hint="eastAsia"/>
          <w:lang w:val="en-GB"/>
        </w:rPr>
        <w:t>》的实施，促进与其他国家在残疾人政策领域中进行对话。特别是与俄罗斯联邦、中国及越南有关于残疾政策的交流。这不仅包括关于残疾人的状况的讨论，在讨论范围之内，在管理和专家一级，就《公约》的实施交流信息，而且包括实地实施项目</w:t>
      </w:r>
      <w:r>
        <w:rPr>
          <w:rFonts w:hint="eastAsia"/>
          <w:lang w:val="en-GB"/>
        </w:rPr>
        <w:t>(</w:t>
      </w:r>
      <w:r>
        <w:rPr>
          <w:rFonts w:hint="eastAsia"/>
          <w:lang w:val="en-GB"/>
        </w:rPr>
        <w:t>例如在越南</w:t>
      </w:r>
      <w:r>
        <w:rPr>
          <w:rFonts w:hint="eastAsia"/>
          <w:lang w:val="en-GB"/>
        </w:rPr>
        <w:t>)</w:t>
      </w:r>
      <w:r>
        <w:rPr>
          <w:rFonts w:hint="eastAsia"/>
          <w:lang w:val="en-GB"/>
        </w:rPr>
        <w:t>。例如，</w:t>
      </w:r>
      <w:r>
        <w:rPr>
          <w:rFonts w:hint="eastAsia"/>
          <w:lang w:val="en-GB"/>
        </w:rPr>
        <w:t>2010</w:t>
      </w:r>
      <w:r>
        <w:rPr>
          <w:rFonts w:hint="eastAsia"/>
          <w:lang w:val="en-GB"/>
        </w:rPr>
        <w:t>年</w:t>
      </w:r>
      <w:r>
        <w:rPr>
          <w:rFonts w:hint="eastAsia"/>
          <w:lang w:val="en-GB"/>
        </w:rPr>
        <w:t>11</w:t>
      </w:r>
      <w:r>
        <w:rPr>
          <w:rFonts w:hint="eastAsia"/>
          <w:lang w:val="en-GB"/>
        </w:rPr>
        <w:t>月，联邦经济合作与发展部与越南</w:t>
      </w:r>
      <w:r>
        <w:rPr>
          <w:lang w:val="en-GB"/>
        </w:rPr>
        <w:t>劳动荣军与社会部</w:t>
      </w:r>
      <w:r>
        <w:rPr>
          <w:rFonts w:hint="eastAsia"/>
          <w:lang w:val="en-GB"/>
        </w:rPr>
        <w:t>和德国国际合作协会</w:t>
      </w:r>
      <w:r>
        <w:rPr>
          <w:rFonts w:hint="eastAsia"/>
          <w:lang w:val="en-GB"/>
        </w:rPr>
        <w:t>(</w:t>
      </w:r>
      <w:r>
        <w:rPr>
          <w:lang w:val="en-GB"/>
        </w:rPr>
        <w:t>GIZ</w:t>
      </w:r>
      <w:r>
        <w:rPr>
          <w:rFonts w:hint="eastAsia"/>
          <w:lang w:val="en-GB"/>
        </w:rPr>
        <w:t xml:space="preserve">) </w:t>
      </w:r>
      <w:r>
        <w:rPr>
          <w:lang w:val="en-GB"/>
        </w:rPr>
        <w:t>GmbH</w:t>
      </w:r>
      <w:r>
        <w:rPr>
          <w:rFonts w:hint="eastAsia"/>
          <w:lang w:val="en-GB"/>
        </w:rPr>
        <w:t>公司合作，组织了在劳动力市场上残疾青年人融入项目。</w:t>
      </w:r>
    </w:p>
    <w:p w:rsidR="00334AE2" w:rsidRDefault="00334AE2">
      <w:pPr>
        <w:pStyle w:val="SingleTxtGC"/>
        <w:rPr>
          <w:lang w:val="en-GB"/>
        </w:rPr>
      </w:pPr>
      <w:r>
        <w:rPr>
          <w:lang w:val="en-GB"/>
        </w:rPr>
        <w:t xml:space="preserve">280.  </w:t>
      </w:r>
      <w:r>
        <w:rPr>
          <w:rFonts w:hint="eastAsia"/>
          <w:lang w:val="en-GB"/>
        </w:rPr>
        <w:t>此外，多年来，联邦经济合作与发展部通过中央教会机构，促进实施私人机构的具体项目。另外，</w:t>
      </w:r>
      <w:r>
        <w:rPr>
          <w:rFonts w:hint="eastAsia"/>
          <w:lang w:val="en-GB"/>
        </w:rPr>
        <w:t>2010</w:t>
      </w:r>
      <w:r>
        <w:rPr>
          <w:rFonts w:hint="eastAsia"/>
          <w:lang w:val="en-GB"/>
        </w:rPr>
        <w:t>年，成立了一个特别人权机构</w:t>
      </w:r>
      <w:r>
        <w:rPr>
          <w:rFonts w:hint="eastAsia"/>
          <w:lang w:val="en-GB"/>
        </w:rPr>
        <w:t>(</w:t>
      </w:r>
      <w:r>
        <w:rPr>
          <w:rFonts w:hint="eastAsia"/>
          <w:lang w:val="en-GB"/>
        </w:rPr>
        <w:t>每年费用</w:t>
      </w:r>
      <w:r>
        <w:rPr>
          <w:rFonts w:hint="eastAsia"/>
          <w:lang w:val="en-GB"/>
        </w:rPr>
        <w:t>300</w:t>
      </w:r>
      <w:r>
        <w:rPr>
          <w:rFonts w:hint="eastAsia"/>
          <w:lang w:val="en-GB"/>
        </w:rPr>
        <w:t>万欧元</w:t>
      </w:r>
      <w:r>
        <w:rPr>
          <w:rFonts w:hint="eastAsia"/>
          <w:lang w:val="en-GB"/>
        </w:rPr>
        <w:t>)</w:t>
      </w:r>
      <w:r>
        <w:rPr>
          <w:rFonts w:hint="eastAsia"/>
          <w:lang w:val="en-GB"/>
        </w:rPr>
        <w:t>。</w:t>
      </w:r>
      <w:r>
        <w:rPr>
          <w:rFonts w:hint="eastAsia"/>
          <w:lang w:val="en-GB"/>
        </w:rPr>
        <w:t>2011</w:t>
      </w:r>
      <w:r>
        <w:rPr>
          <w:rFonts w:hint="eastAsia"/>
          <w:lang w:val="en-GB"/>
        </w:rPr>
        <w:t>年，该机构特别促进由私人组织提供法律服务，包括</w:t>
      </w:r>
      <w:r>
        <w:rPr>
          <w:lang w:val="en-GB"/>
        </w:rPr>
        <w:t>有益于</w:t>
      </w:r>
      <w:r>
        <w:rPr>
          <w:rFonts w:hint="eastAsia"/>
          <w:lang w:val="en-GB"/>
        </w:rPr>
        <w:t>发展中国家残疾人权利和民间社会组织联网。</w:t>
      </w:r>
    </w:p>
    <w:p w:rsidR="00334AE2" w:rsidRDefault="00334AE2">
      <w:pPr>
        <w:pStyle w:val="SingleTxtGC"/>
        <w:rPr>
          <w:lang w:val="en-GB"/>
        </w:rPr>
      </w:pPr>
      <w:r>
        <w:rPr>
          <w:lang w:val="en-GB"/>
        </w:rPr>
        <w:t xml:space="preserve">281.  </w:t>
      </w:r>
      <w:r>
        <w:rPr>
          <w:rFonts w:hint="eastAsia"/>
          <w:lang w:val="en-GB"/>
        </w:rPr>
        <w:t>在联邦经济合作与发展部和德国国际合作协会</w:t>
      </w:r>
      <w:r>
        <w:rPr>
          <w:rFonts w:hint="eastAsia"/>
          <w:lang w:val="en-GB"/>
        </w:rPr>
        <w:t>(</w:t>
      </w:r>
      <w:r>
        <w:rPr>
          <w:lang w:val="en-GB"/>
        </w:rPr>
        <w:t>GIZ</w:t>
      </w:r>
      <w:r>
        <w:rPr>
          <w:rFonts w:hint="eastAsia"/>
          <w:lang w:val="en-GB"/>
        </w:rPr>
        <w:t>)</w:t>
      </w:r>
      <w:r>
        <w:rPr>
          <w:rFonts w:hint="eastAsia"/>
          <w:lang w:val="en-GB"/>
        </w:rPr>
        <w:t>进行工作人员选择和发展中，给予残疾人更多考虑。“</w:t>
      </w:r>
      <w:r>
        <w:rPr>
          <w:lang w:val="en-GB"/>
        </w:rPr>
        <w:t>面向世界</w:t>
      </w:r>
      <w:r>
        <w:rPr>
          <w:rFonts w:hint="eastAsia"/>
          <w:lang w:val="en-GB"/>
        </w:rPr>
        <w:t>”志愿者方案通过向残疾志愿者提供额外费用，为德国发展合作培养残疾人专家。</w:t>
      </w:r>
    </w:p>
    <w:p w:rsidR="00334AE2" w:rsidRDefault="00334AE2">
      <w:pPr>
        <w:pStyle w:val="SingleTxtGC"/>
        <w:rPr>
          <w:lang w:val="en-GB"/>
        </w:rPr>
      </w:pPr>
      <w:r>
        <w:rPr>
          <w:lang w:val="en-GB"/>
        </w:rPr>
        <w:t xml:space="preserve">282.  </w:t>
      </w:r>
      <w:r>
        <w:rPr>
          <w:rFonts w:hint="eastAsia"/>
          <w:lang w:val="en-GB"/>
        </w:rPr>
        <w:t>联邦经济合作与发展部</w:t>
      </w:r>
      <w:r>
        <w:rPr>
          <w:rFonts w:hint="eastAsia"/>
          <w:lang w:val="en-GB"/>
        </w:rPr>
        <w:t>2011</w:t>
      </w:r>
      <w:r>
        <w:rPr>
          <w:rFonts w:hint="eastAsia"/>
          <w:lang w:val="en-GB"/>
        </w:rPr>
        <w:t>年至</w:t>
      </w:r>
      <w:r>
        <w:rPr>
          <w:rFonts w:hint="eastAsia"/>
          <w:lang w:val="en-GB"/>
        </w:rPr>
        <w:t>2014</w:t>
      </w:r>
      <w:r>
        <w:rPr>
          <w:rFonts w:hint="eastAsia"/>
          <w:lang w:val="en-GB"/>
        </w:rPr>
        <w:t>年实施的关于发展中国家残疾人的研究项目，改善了关于残疾人的数据状况。</w:t>
      </w:r>
    </w:p>
    <w:p w:rsidR="00334AE2" w:rsidRDefault="00334AE2">
      <w:pPr>
        <w:pStyle w:val="SingleTxtGC"/>
        <w:rPr>
          <w:lang w:val="en-GB"/>
        </w:rPr>
      </w:pPr>
      <w:r>
        <w:rPr>
          <w:lang w:val="en-GB"/>
        </w:rPr>
        <w:t xml:space="preserve">283.  </w:t>
      </w:r>
      <w:r>
        <w:rPr>
          <w:rFonts w:hint="eastAsia"/>
          <w:lang w:val="en-GB"/>
        </w:rPr>
        <w:t>德国联邦经济合作与发展部</w:t>
      </w:r>
      <w:r>
        <w:rPr>
          <w:rFonts w:hint="eastAsia"/>
          <w:lang w:val="en-GB"/>
        </w:rPr>
        <w:t>2011</w:t>
      </w:r>
      <w:r>
        <w:rPr>
          <w:rFonts w:hint="eastAsia"/>
          <w:lang w:val="en-GB"/>
        </w:rPr>
        <w:t>年</w:t>
      </w:r>
      <w:r>
        <w:rPr>
          <w:rFonts w:hint="eastAsia"/>
          <w:lang w:val="en-GB"/>
        </w:rPr>
        <w:t>5</w:t>
      </w:r>
      <w:r>
        <w:rPr>
          <w:rFonts w:hint="eastAsia"/>
          <w:lang w:val="en-GB"/>
        </w:rPr>
        <w:t>月通过了题为“发展政策中的</w:t>
      </w:r>
      <w:r>
        <w:rPr>
          <w:lang w:val="en-GB"/>
        </w:rPr>
        <w:t>人权</w:t>
      </w:r>
      <w:r>
        <w:rPr>
          <w:rFonts w:hint="eastAsia"/>
          <w:lang w:val="en-GB"/>
        </w:rPr>
        <w:t>”概念，为实行“</w:t>
      </w:r>
      <w:r>
        <w:rPr>
          <w:lang w:val="en-GB"/>
        </w:rPr>
        <w:t>立足人权</w:t>
      </w:r>
      <w:r>
        <w:rPr>
          <w:rFonts w:hint="eastAsia"/>
          <w:lang w:val="en-GB"/>
        </w:rPr>
        <w:t>的发展政策”规定了具有约束力的具体要求。它有助于德国发展政策系统地面向</w:t>
      </w:r>
      <w:bookmarkStart w:id="36" w:name="OLE_LINK7"/>
      <w:bookmarkStart w:id="37" w:name="OLE_LINK8"/>
      <w:r>
        <w:rPr>
          <w:rFonts w:hint="eastAsia"/>
          <w:lang w:val="en-GB"/>
        </w:rPr>
        <w:t>人权</w:t>
      </w:r>
      <w:bookmarkEnd w:id="36"/>
      <w:bookmarkEnd w:id="37"/>
      <w:r>
        <w:rPr>
          <w:rFonts w:hint="eastAsia"/>
          <w:lang w:val="en-GB"/>
        </w:rPr>
        <w:t>，面向基于包括《残疾人权利公约》在内的国际人权协定的的人权。人权是</w:t>
      </w:r>
      <w:r>
        <w:rPr>
          <w:lang w:val="en-GB"/>
        </w:rPr>
        <w:t>总括</w:t>
      </w:r>
      <w:r>
        <w:rPr>
          <w:rFonts w:hint="eastAsia"/>
          <w:lang w:val="en-GB"/>
        </w:rPr>
        <w:t>权利，在人权伞下，对包括残疾人在内的特别弱势群体，进行战略性促进。</w:t>
      </w:r>
    </w:p>
    <w:p w:rsidR="00334AE2" w:rsidRDefault="00334AE2">
      <w:pPr>
        <w:pStyle w:val="H1GC"/>
        <w:spacing w:before="240"/>
        <w:rPr>
          <w:lang w:val="en-GB"/>
        </w:rPr>
      </w:pPr>
      <w:bookmarkStart w:id="38" w:name="_Toc303932245"/>
      <w:r>
        <w:rPr>
          <w:lang w:val="en-GB"/>
        </w:rPr>
        <w:tab/>
      </w:r>
      <w:r>
        <w:rPr>
          <w:lang w:val="en-GB"/>
        </w:rPr>
        <w:tab/>
      </w:r>
      <w:bookmarkEnd w:id="38"/>
      <w:r>
        <w:rPr>
          <w:rFonts w:hint="eastAsia"/>
          <w:lang w:val="en-GB"/>
        </w:rPr>
        <w:t>第三十三条</w:t>
      </w:r>
      <w:r>
        <w:rPr>
          <w:rFonts w:hint="eastAsia"/>
          <w:lang w:val="en-GB"/>
        </w:rPr>
        <w:br/>
      </w:r>
      <w:r>
        <w:rPr>
          <w:rFonts w:hint="eastAsia"/>
          <w:lang w:val="en-GB"/>
        </w:rPr>
        <w:t>国家实施和监测</w:t>
      </w:r>
    </w:p>
    <w:p w:rsidR="00334AE2" w:rsidRDefault="00334AE2">
      <w:pPr>
        <w:pStyle w:val="SingleTxtGC"/>
        <w:rPr>
          <w:rStyle w:val="FootnoteReference"/>
        </w:rPr>
      </w:pPr>
      <w:r>
        <w:rPr>
          <w:lang w:val="en-GB"/>
        </w:rPr>
        <w:t xml:space="preserve">284.  </w:t>
      </w:r>
      <w:r>
        <w:rPr>
          <w:rFonts w:hint="eastAsia"/>
          <w:lang w:val="en-GB"/>
        </w:rPr>
        <w:t>在德国，联邦劳动和社会事务部承担与</w:t>
      </w:r>
      <w:r>
        <w:rPr>
          <w:lang w:val="en-GB"/>
        </w:rPr>
        <w:t>实施</w:t>
      </w:r>
      <w:r>
        <w:rPr>
          <w:rFonts w:hint="eastAsia"/>
          <w:lang w:val="en-GB"/>
        </w:rPr>
        <w:t>本《公约》</w:t>
      </w:r>
      <w:r>
        <w:rPr>
          <w:lang w:val="en-GB"/>
        </w:rPr>
        <w:t>有关的事项</w:t>
      </w:r>
      <w:r>
        <w:rPr>
          <w:rFonts w:hint="eastAsia"/>
          <w:lang w:val="en-GB"/>
        </w:rPr>
        <w:t>的接触点</w:t>
      </w:r>
      <w:r>
        <w:rPr>
          <w:rFonts w:hint="eastAsia"/>
          <w:lang w:val="en-GB"/>
        </w:rPr>
        <w:t>(</w:t>
      </w:r>
      <w:r>
        <w:rPr>
          <w:lang w:val="en-GB"/>
        </w:rPr>
        <w:t>协调中心</w:t>
      </w:r>
      <w:r>
        <w:rPr>
          <w:rFonts w:hint="eastAsia"/>
          <w:lang w:val="en-GB"/>
        </w:rPr>
        <w:t>)</w:t>
      </w:r>
      <w:r>
        <w:rPr>
          <w:rFonts w:hint="eastAsia"/>
          <w:lang w:val="en-GB"/>
        </w:rPr>
        <w:t>的角色。在州一级也已经设立了接触点。</w:t>
      </w:r>
      <w:r>
        <w:rPr>
          <w:rStyle w:val="FootnoteReference"/>
        </w:rPr>
        <w:footnoteReference w:id="72"/>
      </w:r>
    </w:p>
    <w:p w:rsidR="00334AE2" w:rsidRDefault="00334AE2">
      <w:pPr>
        <w:pStyle w:val="SingleTxtGC"/>
        <w:rPr>
          <w:lang w:val="en-GB"/>
        </w:rPr>
      </w:pPr>
      <w:r>
        <w:rPr>
          <w:lang w:val="en-GB"/>
        </w:rPr>
        <w:t xml:space="preserve">285.  </w:t>
      </w:r>
      <w:r>
        <w:rPr>
          <w:rFonts w:hint="eastAsia"/>
          <w:lang w:val="en-GB"/>
        </w:rPr>
        <w:t>联邦政府残疾人事务专员承担国家协调机制的任务。在德国，协调机制是监控和支持实施本《公约》的最重要的工具之一。其主要任务包括，保障残疾人及其协会和组织及更广泛的民间社会组织参与实施过程。为了配合长期战略性的实施，已经组建了一个包容咨询委员会，它构成协调机构的核心。它由</w:t>
      </w:r>
      <w:r>
        <w:rPr>
          <w:rFonts w:hint="eastAsia"/>
          <w:lang w:val="en-GB"/>
        </w:rPr>
        <w:t>4</w:t>
      </w:r>
      <w:r>
        <w:rPr>
          <w:rFonts w:hint="eastAsia"/>
          <w:lang w:val="en-GB"/>
        </w:rPr>
        <w:t>个专家委员会支持，专家委员会就各专题领域向包容咨询委员会报告。咨询委员会与各专家委员会之间经常交流信息，进行积极合作。咨询委员会负责外部联络，代表协调机制。</w:t>
      </w:r>
    </w:p>
    <w:p w:rsidR="00334AE2" w:rsidRDefault="00334AE2">
      <w:pPr>
        <w:pStyle w:val="SingleTxtGC"/>
        <w:rPr>
          <w:lang w:val="en-GB"/>
        </w:rPr>
      </w:pPr>
      <w:r>
        <w:rPr>
          <w:lang w:val="en-GB"/>
        </w:rPr>
        <w:t xml:space="preserve">286.  </w:t>
      </w:r>
      <w:r>
        <w:rPr>
          <w:rFonts w:hint="eastAsia"/>
          <w:lang w:val="en-GB"/>
        </w:rPr>
        <w:t>包容咨询委员会的大多数成员是残疾人。委员会中也有一个国家接触点代表、一个州残疾人事务专员会议代表及一个</w:t>
      </w:r>
      <w:r>
        <w:rPr>
          <w:lang w:val="en-GB"/>
        </w:rPr>
        <w:t>监测</w:t>
      </w:r>
      <w:r>
        <w:rPr>
          <w:rFonts w:hint="eastAsia"/>
          <w:lang w:val="en-GB"/>
        </w:rPr>
        <w:t>机构代表。根据《公约》第</w:t>
      </w:r>
      <w:r>
        <w:rPr>
          <w:rFonts w:hint="eastAsia"/>
          <w:lang w:val="en-GB"/>
        </w:rPr>
        <w:t>33</w:t>
      </w:r>
      <w:r>
        <w:rPr>
          <w:rFonts w:hint="eastAsia"/>
          <w:lang w:val="en-GB"/>
        </w:rPr>
        <w:t>条第</w:t>
      </w:r>
      <w:r>
        <w:rPr>
          <w:rFonts w:hint="eastAsia"/>
          <w:lang w:val="en-GB"/>
        </w:rPr>
        <w:t>1</w:t>
      </w:r>
      <w:r>
        <w:rPr>
          <w:rFonts w:hint="eastAsia"/>
          <w:lang w:val="en-GB"/>
        </w:rPr>
        <w:t>款确定的咨询委员会的任务是，支持《公约》的实施。为此目的，它保障向在联邦劳动和社会事务部内的国家接触点、民间社会及在可能的情况下向各州，传送信息，积极从事公关工作，以及协调专家委员会的工作。</w:t>
      </w:r>
    </w:p>
    <w:p w:rsidR="00334AE2" w:rsidRDefault="00334AE2">
      <w:pPr>
        <w:pStyle w:val="SingleTxtGC"/>
        <w:rPr>
          <w:lang w:val="en-GB"/>
        </w:rPr>
      </w:pPr>
      <w:r>
        <w:rPr>
          <w:lang w:val="en-GB"/>
        </w:rPr>
        <w:t xml:space="preserve">287.  </w:t>
      </w:r>
      <w:r>
        <w:rPr>
          <w:rFonts w:hint="eastAsia"/>
          <w:lang w:val="en-GB"/>
        </w:rPr>
        <w:t>4</w:t>
      </w:r>
      <w:r>
        <w:rPr>
          <w:rFonts w:hint="eastAsia"/>
          <w:lang w:val="en-GB"/>
        </w:rPr>
        <w:t>个专家委员会</w:t>
      </w:r>
      <w:r>
        <w:rPr>
          <w:rStyle w:val="FootnoteReference"/>
        </w:rPr>
        <w:footnoteReference w:id="73"/>
      </w:r>
      <w:r>
        <w:rPr>
          <w:rStyle w:val="FootnoteReference"/>
        </w:rPr>
        <w:t xml:space="preserve"> </w:t>
      </w:r>
      <w:r>
        <w:rPr>
          <w:rFonts w:hint="eastAsia"/>
          <w:lang w:val="en-GB"/>
        </w:rPr>
        <w:t>主要由行业、工会、教堂、成本单位和机构、慈善机构、研究机构及其他与主题相关的机构和组织的代表组成，从而保证民间社会积极参与《公约》的实施过程。委员会的任务是，在社会各阶层促进和推动实施。各阶层既包括联邦、州及市政府级，也包括民间社会。</w:t>
      </w:r>
    </w:p>
    <w:p w:rsidR="00334AE2" w:rsidRDefault="00334AE2">
      <w:pPr>
        <w:pStyle w:val="SingleTxtGC"/>
        <w:rPr>
          <w:lang w:val="en-GB"/>
        </w:rPr>
      </w:pPr>
      <w:r>
        <w:rPr>
          <w:lang w:val="en-GB"/>
        </w:rPr>
        <w:t xml:space="preserve">288.  </w:t>
      </w:r>
      <w:r>
        <w:rPr>
          <w:rFonts w:hint="eastAsia"/>
          <w:lang w:val="en-GB"/>
        </w:rPr>
        <w:t>协调机制，除了是信息和讨论论坛外，也是民间社会、</w:t>
      </w:r>
      <w:r>
        <w:rPr>
          <w:lang w:val="en-GB"/>
        </w:rPr>
        <w:t>协调中心</w:t>
      </w:r>
      <w:r>
        <w:rPr>
          <w:rFonts w:hint="eastAsia"/>
          <w:lang w:val="en-GB"/>
        </w:rPr>
        <w:t>和监测机构的聚会场所。</w:t>
      </w:r>
    </w:p>
    <w:p w:rsidR="00334AE2" w:rsidRDefault="00334AE2">
      <w:pPr>
        <w:pStyle w:val="SingleTxtGC"/>
        <w:rPr>
          <w:rStyle w:val="FootnoteReference"/>
        </w:rPr>
      </w:pPr>
      <w:r>
        <w:rPr>
          <w:lang w:val="en-GB"/>
        </w:rPr>
        <w:t xml:space="preserve">289.  </w:t>
      </w:r>
      <w:r>
        <w:rPr>
          <w:rFonts w:hint="eastAsia"/>
          <w:lang w:val="en-GB"/>
        </w:rPr>
        <w:t>专员特意赋予咨询委员会和专家委员会的自己定义过程和对任务的精确定义开放式结构。</w:t>
      </w:r>
      <w:r>
        <w:rPr>
          <w:lang w:val="en-GB"/>
        </w:rPr>
        <w:t>尤其是</w:t>
      </w:r>
      <w:r>
        <w:rPr>
          <w:rFonts w:hint="eastAsia"/>
          <w:lang w:val="en-GB"/>
        </w:rPr>
        <w:t>残疾人作为自己领域的专家，将能够贡献他们的期望、愿望和想法，帮助设计协调机制。因此，在履行共同制订固定任务过程之前，不会共同制订协调机制的固定任务清单。</w:t>
      </w:r>
      <w:r>
        <w:rPr>
          <w:rStyle w:val="FootnoteReference"/>
        </w:rPr>
        <w:footnoteReference w:id="74"/>
      </w:r>
    </w:p>
    <w:p w:rsidR="00334AE2" w:rsidRDefault="00334AE2">
      <w:pPr>
        <w:pStyle w:val="SingleTxtGC"/>
        <w:rPr>
          <w:lang w:val="en-GB"/>
        </w:rPr>
      </w:pPr>
      <w:r>
        <w:rPr>
          <w:rFonts w:hint="eastAsia"/>
          <w:lang w:val="en-GB"/>
        </w:rPr>
        <w:t xml:space="preserve">290.  </w:t>
      </w:r>
      <w:r>
        <w:rPr>
          <w:rFonts w:hint="eastAsia"/>
          <w:lang w:val="en-GB"/>
        </w:rPr>
        <w:t>联邦政府已经赋予总部设在柏林的德国人权研究所承担监测和执行角色。德国人权研究所依据《巴黎原则》开展工作。它不接受来自政治领域和民间社会的指示，组成它的成员是多元的，这些都保障了它的必要的独立性。</w:t>
      </w:r>
    </w:p>
    <w:p w:rsidR="00334AE2" w:rsidRDefault="00334AE2">
      <w:pPr>
        <w:pStyle w:val="SingleTxtGC"/>
        <w:rPr>
          <w:rFonts w:hint="eastAsia"/>
          <w:lang w:val="en-GB"/>
        </w:rPr>
      </w:pPr>
    </w:p>
    <w:p w:rsidR="00334AE2" w:rsidRDefault="00334A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34AE2">
      <w:headerReference w:type="even" r:id="rId40"/>
      <w:headerReference w:type="default" r:id="rId41"/>
      <w:footerReference w:type="even" r:id="rId42"/>
      <w:footerReference w:type="default" r:id="rId43"/>
      <w:footerReference w:type="first" r:id="rId4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AE2" w:rsidRDefault="00334AE2">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34AE2" w:rsidRDefault="00334AE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Neue Demos">
    <w:altName w:val="Segoe Print"/>
    <w:charset w:val="00"/>
    <w:family w:val="roman"/>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STKaiti">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193" w:rsidRDefault="00893193">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r>
      <w:rPr>
        <w:rStyle w:val="PageNumber"/>
        <w:rFonts w:hint="eastAsia"/>
        <w:lang w:eastAsia="zh-CN"/>
      </w:rPr>
      <w:tab/>
    </w:r>
    <w:r>
      <w:rPr>
        <w:lang w:eastAsia="zh-CN"/>
      </w:rPr>
      <w:t>GE.13-43340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193" w:rsidRDefault="00893193">
    <w:pPr>
      <w:pStyle w:val="Footer"/>
      <w:tabs>
        <w:tab w:val="right" w:pos="9639"/>
      </w:tabs>
    </w:pPr>
    <w:r>
      <w:rPr>
        <w:lang w:eastAsia="zh-CN"/>
      </w:rPr>
      <w:t>GE.13-43340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193" w:rsidRDefault="00893193">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3-43340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AE2" w:rsidRDefault="00334AE2">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334AE2" w:rsidRDefault="00334AE2">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893193" w:rsidRDefault="00893193">
      <w:pPr>
        <w:pStyle w:val="FootnoteText"/>
        <w:rPr>
          <w:rFonts w:cs="Arial"/>
          <w:color w:val="333333"/>
        </w:rPr>
      </w:pPr>
      <w:r>
        <w:rPr>
          <w:rFonts w:cs="Arial"/>
          <w:color w:val="333333"/>
        </w:rPr>
        <w:tab/>
      </w:r>
      <w:r>
        <w:rPr>
          <w:rFonts w:cs="Arial"/>
          <w:color w:val="0000FF"/>
          <w:sz w:val="21"/>
          <w:szCs w:val="21"/>
        </w:rPr>
        <w:t>*</w:t>
      </w:r>
      <w:r>
        <w:rPr>
          <w:rFonts w:cs="Arial"/>
          <w:color w:val="333333"/>
        </w:rPr>
        <w:tab/>
      </w:r>
      <w:r>
        <w:rPr>
          <w:rFonts w:cs="Arial"/>
          <w:color w:val="333333"/>
        </w:rPr>
        <w:t>按照已通知各缔约国的报告处理方法，本文件未经编辑。</w:t>
      </w:r>
    </w:p>
  </w:footnote>
  <w:footnote w:id="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2006</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13</w:t>
      </w:r>
      <w:r>
        <w:rPr>
          <w:rFonts w:cs="Arial" w:hint="eastAsia"/>
          <w:color w:val="333333"/>
        </w:rPr>
        <w:t>日《关于联合国</w:t>
      </w:r>
      <w:r>
        <w:rPr>
          <w:rFonts w:cs="Arial" w:hint="eastAsia"/>
          <w:color w:val="333333"/>
        </w:rPr>
        <w:t>2006</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13</w:t>
      </w:r>
      <w:r>
        <w:rPr>
          <w:rFonts w:cs="Arial" w:hint="eastAsia"/>
          <w:color w:val="333333"/>
        </w:rPr>
        <w:t>日〈残疾人权利公约〉及其〈</w:t>
      </w:r>
      <w:r>
        <w:rPr>
          <w:rFonts w:hint="eastAsia"/>
        </w:rPr>
        <w:t>任择议定书</w:t>
      </w:r>
      <w:r>
        <w:rPr>
          <w:rFonts w:cs="Arial" w:hint="eastAsia"/>
          <w:color w:val="333333"/>
        </w:rPr>
        <w:t>〉</w:t>
      </w:r>
      <w:r>
        <w:rPr>
          <w:rFonts w:hint="eastAsia"/>
        </w:rPr>
        <w:t>法》</w:t>
      </w:r>
      <w:r>
        <w:rPr>
          <w:rFonts w:hint="eastAsia"/>
        </w:rPr>
        <w:t>(</w:t>
      </w:r>
      <w:r>
        <w:rPr>
          <w:rFonts w:cs="Arial"/>
          <w:i/>
          <w:color w:val="333333"/>
        </w:rPr>
        <w:t>Gesetz zu dem Übereinkommen der Vereinten Nationen vom 13.12.2006 über die Rechte von Menschen mit Behinderungen sowie zu dem Fakultativprotokoll vom 13.12.2006</w:t>
      </w:r>
      <w:r>
        <w:rPr>
          <w:rFonts w:cs="Arial"/>
          <w:color w:val="333333"/>
        </w:rPr>
        <w:t>)(</w:t>
      </w:r>
      <w:r>
        <w:rPr>
          <w:rFonts w:cs="Arial" w:hint="eastAsia"/>
          <w:color w:val="333333"/>
        </w:rPr>
        <w:t>《</w:t>
      </w:r>
      <w:r>
        <w:rPr>
          <w:rFonts w:cs="Arial"/>
          <w:color w:val="333333"/>
        </w:rPr>
        <w:t>联邦法律公报</w:t>
      </w:r>
      <w:r>
        <w:rPr>
          <w:rFonts w:cs="Arial" w:hint="eastAsia"/>
          <w:color w:val="333333"/>
        </w:rPr>
        <w:t>》第二期，第二部分，第</w:t>
      </w:r>
      <w:r>
        <w:rPr>
          <w:rFonts w:cs="Arial"/>
          <w:color w:val="333333"/>
        </w:rPr>
        <w:t>1419</w:t>
      </w:r>
      <w:r>
        <w:rPr>
          <w:rFonts w:cs="Arial" w:hint="eastAsia"/>
          <w:color w:val="333333"/>
        </w:rPr>
        <w:t>页</w:t>
      </w:r>
      <w:r>
        <w:rPr>
          <w:rFonts w:cs="Arial"/>
          <w:color w:val="333333"/>
        </w:rPr>
        <w:t>)</w:t>
      </w:r>
      <w:r>
        <w:rPr>
          <w:rFonts w:cs="Arial"/>
          <w:color w:val="333333"/>
        </w:rPr>
        <w:t>，</w:t>
      </w:r>
      <w:r>
        <w:rPr>
          <w:rFonts w:cs="Arial" w:hint="eastAsia"/>
          <w:color w:val="333333"/>
        </w:rPr>
        <w:t>自</w:t>
      </w:r>
      <w:r>
        <w:rPr>
          <w:rFonts w:cs="Arial" w:hint="eastAsia"/>
          <w:color w:val="333333"/>
        </w:rPr>
        <w:t>2009</w:t>
      </w:r>
      <w:r>
        <w:rPr>
          <w:rFonts w:cs="Arial" w:hint="eastAsia"/>
          <w:color w:val="333333"/>
        </w:rPr>
        <w:t>年</w:t>
      </w:r>
      <w:r>
        <w:rPr>
          <w:rFonts w:cs="Arial" w:hint="eastAsia"/>
          <w:color w:val="333333"/>
        </w:rPr>
        <w:t>1</w:t>
      </w:r>
      <w:r>
        <w:rPr>
          <w:rFonts w:cs="Arial" w:hint="eastAsia"/>
          <w:color w:val="333333"/>
        </w:rPr>
        <w:t>月</w:t>
      </w:r>
      <w:r>
        <w:rPr>
          <w:rFonts w:cs="Arial" w:hint="eastAsia"/>
          <w:color w:val="333333"/>
        </w:rPr>
        <w:t>1</w:t>
      </w:r>
      <w:r>
        <w:rPr>
          <w:rFonts w:cs="Arial" w:hint="eastAsia"/>
          <w:color w:val="333333"/>
        </w:rPr>
        <w:t>日起生效，是德国能够在</w:t>
      </w:r>
      <w:r>
        <w:rPr>
          <w:rFonts w:cs="Arial" w:hint="eastAsia"/>
          <w:color w:val="333333"/>
        </w:rPr>
        <w:t>2009</w:t>
      </w:r>
      <w:r>
        <w:rPr>
          <w:rFonts w:cs="Arial" w:hint="eastAsia"/>
          <w:color w:val="333333"/>
        </w:rPr>
        <w:t>年</w:t>
      </w:r>
      <w:r>
        <w:rPr>
          <w:rFonts w:cs="Arial" w:hint="eastAsia"/>
          <w:color w:val="333333"/>
        </w:rPr>
        <w:t>2</w:t>
      </w:r>
      <w:r>
        <w:rPr>
          <w:rFonts w:cs="Arial" w:hint="eastAsia"/>
          <w:color w:val="333333"/>
        </w:rPr>
        <w:t>月</w:t>
      </w:r>
      <w:r>
        <w:rPr>
          <w:rFonts w:cs="Arial" w:hint="eastAsia"/>
          <w:color w:val="333333"/>
        </w:rPr>
        <w:t>24</w:t>
      </w:r>
      <w:r>
        <w:rPr>
          <w:rFonts w:cs="Arial" w:hint="eastAsia"/>
          <w:color w:val="333333"/>
        </w:rPr>
        <w:t>日批准该《公约》的先决条件。</w:t>
      </w:r>
    </w:p>
  </w:footnote>
  <w:footnote w:id="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随本报告附有</w:t>
      </w:r>
      <w:r>
        <w:rPr>
          <w:rFonts w:hint="eastAsia"/>
        </w:rPr>
        <w:t>题为</w:t>
      </w:r>
      <w:r>
        <w:rPr>
          <w:rFonts w:hint="eastAsia"/>
        </w:rPr>
        <w:t xml:space="preserve"> </w:t>
      </w:r>
      <w:r>
        <w:rPr>
          <w:rFonts w:cs="Arial" w:hint="eastAsia"/>
          <w:color w:val="333333"/>
        </w:rPr>
        <w:t>《只要做</w:t>
      </w:r>
      <w:r>
        <w:rPr>
          <w:rStyle w:val="longtext"/>
          <w:rFonts w:ascii="SimSun" w:hAnsi="SimSun" w:cs="Arial" w:hint="eastAsia"/>
          <w:color w:val="333333"/>
          <w:sz w:val="21"/>
          <w:szCs w:val="21"/>
        </w:rPr>
        <w:t>-</w:t>
      </w:r>
      <w:r>
        <w:rPr>
          <w:rFonts w:cs="Arial" w:hint="eastAsia"/>
          <w:color w:val="333333"/>
        </w:rPr>
        <w:t>让我们一起实施联合国〈残疾人权利</w:t>
      </w:r>
      <w:r>
        <w:rPr>
          <w:rFonts w:hint="eastAsia"/>
        </w:rPr>
        <w:t>公约〉》</w:t>
      </w:r>
      <w:r>
        <w:rPr>
          <w:rFonts w:hint="eastAsia"/>
        </w:rPr>
        <w:t>(</w:t>
      </w:r>
      <w:r>
        <w:rPr>
          <w:rFonts w:cs="Arial"/>
          <w:i/>
          <w:color w:val="333333"/>
        </w:rPr>
        <w:t>einfach machen-Gemeinsam die UN-Behindertenrechtskonvention umsetzen</w:t>
      </w:r>
      <w:r>
        <w:rPr>
          <w:rFonts w:cs="Arial" w:hint="eastAsia"/>
          <w:color w:val="333333"/>
        </w:rPr>
        <w:t>”</w:t>
      </w:r>
      <w:r>
        <w:rPr>
          <w:rFonts w:cs="Arial" w:hint="eastAsia"/>
          <w:color w:val="333333"/>
        </w:rPr>
        <w:t>)</w:t>
      </w:r>
      <w:r>
        <w:rPr>
          <w:rFonts w:cs="Arial" w:hint="eastAsia"/>
          <w:color w:val="333333"/>
        </w:rPr>
        <w:t>的联邦政府《国家行动计划》概要。</w:t>
      </w:r>
    </w:p>
  </w:footnote>
  <w:footnote w:id="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2001</w:t>
      </w:r>
      <w:r>
        <w:rPr>
          <w:rFonts w:cs="Arial" w:hint="eastAsia"/>
          <w:color w:val="333333"/>
        </w:rPr>
        <w:t>年</w:t>
      </w:r>
      <w:r>
        <w:rPr>
          <w:rFonts w:cs="Arial" w:hint="eastAsia"/>
          <w:color w:val="333333"/>
        </w:rPr>
        <w:t>6</w:t>
      </w:r>
      <w:r>
        <w:rPr>
          <w:rFonts w:cs="Arial" w:hint="eastAsia"/>
          <w:color w:val="333333"/>
        </w:rPr>
        <w:t>月</w:t>
      </w:r>
      <w:r>
        <w:rPr>
          <w:rFonts w:cs="Arial" w:hint="eastAsia"/>
          <w:color w:val="333333"/>
        </w:rPr>
        <w:t>19</w:t>
      </w:r>
      <w:r>
        <w:rPr>
          <w:rFonts w:cs="Arial" w:hint="eastAsia"/>
          <w:color w:val="333333"/>
        </w:rPr>
        <w:t>日《社会法典》第九部</w:t>
      </w:r>
      <w:r>
        <w:rPr>
          <w:rFonts w:cs="Arial" w:hint="eastAsia"/>
          <w:color w:val="333333"/>
        </w:rPr>
        <w:t>(</w:t>
      </w:r>
      <w:r>
        <w:rPr>
          <w:rFonts w:cs="Arial" w:hint="eastAsia"/>
          <w:color w:val="333333"/>
        </w:rPr>
        <w:t>残疾人的康复和参与</w:t>
      </w:r>
      <w:r>
        <w:rPr>
          <w:rFonts w:cs="Arial" w:hint="eastAsia"/>
          <w:color w:val="333333"/>
        </w:rPr>
        <w:t>)</w:t>
      </w:r>
      <w:r>
        <w:rPr>
          <w:rFonts w:cs="Arial" w:hint="eastAsia"/>
          <w:color w:val="333333"/>
        </w:rPr>
        <w:t>，</w:t>
      </w:r>
      <w:r>
        <w:rPr>
          <w:rFonts w:cs="Arial" w:hint="eastAsia"/>
          <w:color w:val="333333"/>
        </w:rPr>
        <w:t>(</w:t>
      </w:r>
      <w:r>
        <w:rPr>
          <w:rFonts w:cs="Arial" w:hint="eastAsia"/>
          <w:color w:val="333333"/>
        </w:rPr>
        <w:t>《联邦法律公报》第一部分第</w:t>
      </w:r>
      <w:r>
        <w:rPr>
          <w:rFonts w:cs="Arial" w:hint="eastAsia"/>
          <w:color w:val="333333"/>
        </w:rPr>
        <w:t>1046</w:t>
      </w:r>
      <w:r>
        <w:rPr>
          <w:rFonts w:cs="Arial" w:hint="eastAsia"/>
          <w:color w:val="333333"/>
        </w:rPr>
        <w:t>页</w:t>
      </w:r>
      <w:r>
        <w:rPr>
          <w:rFonts w:cs="Arial" w:hint="eastAsia"/>
          <w:color w:val="333333"/>
        </w:rPr>
        <w:t>)</w:t>
      </w:r>
      <w:r>
        <w:rPr>
          <w:rFonts w:cs="Arial" w:hint="eastAsia"/>
          <w:color w:val="333333"/>
        </w:rPr>
        <w:t>，自</w:t>
      </w:r>
      <w:r>
        <w:rPr>
          <w:rFonts w:cs="Arial" w:hint="eastAsia"/>
          <w:color w:val="333333"/>
        </w:rPr>
        <w:t>2001</w:t>
      </w:r>
      <w:r>
        <w:rPr>
          <w:rFonts w:cs="Arial" w:hint="eastAsia"/>
          <w:color w:val="333333"/>
        </w:rPr>
        <w:t>年</w:t>
      </w:r>
      <w:r>
        <w:rPr>
          <w:rFonts w:cs="Arial" w:hint="eastAsia"/>
          <w:color w:val="333333"/>
        </w:rPr>
        <w:t>7</w:t>
      </w:r>
      <w:r>
        <w:rPr>
          <w:rFonts w:cs="Arial" w:hint="eastAsia"/>
          <w:color w:val="333333"/>
        </w:rPr>
        <w:t>月</w:t>
      </w:r>
      <w:r>
        <w:rPr>
          <w:rFonts w:cs="Arial" w:hint="eastAsia"/>
          <w:color w:val="333333"/>
        </w:rPr>
        <w:t>1</w:t>
      </w:r>
      <w:r>
        <w:rPr>
          <w:rFonts w:cs="Arial" w:hint="eastAsia"/>
          <w:color w:val="333333"/>
        </w:rPr>
        <w:t>日起生效，最近一次由</w:t>
      </w:r>
      <w:r>
        <w:rPr>
          <w:rFonts w:cs="Arial" w:hint="eastAsia"/>
          <w:color w:val="333333"/>
        </w:rPr>
        <w:t>2005</w:t>
      </w:r>
      <w:r>
        <w:rPr>
          <w:rFonts w:cs="Arial" w:hint="eastAsia"/>
          <w:color w:val="333333"/>
        </w:rPr>
        <w:t>年</w:t>
      </w:r>
      <w:r>
        <w:rPr>
          <w:rFonts w:cs="Arial" w:hint="eastAsia"/>
          <w:color w:val="333333"/>
        </w:rPr>
        <w:t>4</w:t>
      </w:r>
      <w:r>
        <w:rPr>
          <w:rFonts w:cs="Arial" w:hint="eastAsia"/>
          <w:color w:val="333333"/>
        </w:rPr>
        <w:t>月</w:t>
      </w:r>
      <w:r>
        <w:rPr>
          <w:rFonts w:cs="Arial" w:hint="eastAsia"/>
          <w:color w:val="333333"/>
        </w:rPr>
        <w:t>22</w:t>
      </w:r>
      <w:r>
        <w:rPr>
          <w:rFonts w:cs="Arial" w:hint="eastAsia"/>
          <w:color w:val="333333"/>
        </w:rPr>
        <w:t>日法案第</w:t>
      </w:r>
      <w:r>
        <w:rPr>
          <w:rFonts w:hint="eastAsia"/>
        </w:rPr>
        <w:t>4</w:t>
      </w:r>
      <w:r>
        <w:rPr>
          <w:rFonts w:hint="eastAsia"/>
        </w:rPr>
        <w:t>条</w:t>
      </w:r>
      <w:r>
        <w:rPr>
          <w:rFonts w:cs="Arial" w:hint="eastAsia"/>
          <w:color w:val="333333"/>
        </w:rPr>
        <w:t>第</w:t>
      </w:r>
      <w:r>
        <w:rPr>
          <w:rFonts w:cs="Arial" w:hint="eastAsia"/>
          <w:color w:val="333333"/>
        </w:rPr>
        <w:t>3</w:t>
      </w:r>
      <w:r>
        <w:rPr>
          <w:rFonts w:cs="Arial" w:hint="eastAsia"/>
          <w:color w:val="333333"/>
        </w:rPr>
        <w:t>款修正。</w:t>
      </w:r>
      <w:r>
        <w:rPr>
          <w:rFonts w:cs="Arial" w:hint="eastAsia"/>
          <w:color w:val="333333"/>
        </w:rPr>
        <w:t>(</w:t>
      </w:r>
      <w:r>
        <w:rPr>
          <w:rFonts w:cs="Arial" w:hint="eastAsia"/>
          <w:color w:val="333333"/>
        </w:rPr>
        <w:t>《联邦法律公报》第一部分第</w:t>
      </w:r>
      <w:r>
        <w:rPr>
          <w:rFonts w:cs="Arial" w:hint="eastAsia"/>
          <w:color w:val="333333"/>
        </w:rPr>
        <w:t>1138</w:t>
      </w:r>
      <w:r>
        <w:rPr>
          <w:rFonts w:cs="Arial" w:hint="eastAsia"/>
          <w:color w:val="333333"/>
        </w:rPr>
        <w:t>页</w:t>
      </w:r>
      <w:r>
        <w:rPr>
          <w:rFonts w:cs="Arial" w:hint="eastAsia"/>
          <w:color w:val="333333"/>
        </w:rPr>
        <w:t>)</w:t>
      </w:r>
      <w:r>
        <w:rPr>
          <w:rFonts w:cs="Arial" w:hint="eastAsia"/>
          <w:color w:val="333333"/>
        </w:rPr>
        <w:t>。</w:t>
      </w:r>
    </w:p>
  </w:footnote>
  <w:footnote w:id="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2002</w:t>
      </w:r>
      <w:r>
        <w:rPr>
          <w:rFonts w:cs="Arial" w:hint="eastAsia"/>
          <w:color w:val="333333"/>
        </w:rPr>
        <w:t>年</w:t>
      </w:r>
      <w:r>
        <w:rPr>
          <w:rFonts w:cs="Arial" w:hint="eastAsia"/>
          <w:color w:val="333333"/>
        </w:rPr>
        <w:t>4</w:t>
      </w:r>
      <w:r>
        <w:rPr>
          <w:rFonts w:cs="Arial" w:hint="eastAsia"/>
          <w:color w:val="333333"/>
        </w:rPr>
        <w:t>月</w:t>
      </w:r>
      <w:r>
        <w:rPr>
          <w:rFonts w:cs="Arial" w:hint="eastAsia"/>
          <w:color w:val="333333"/>
        </w:rPr>
        <w:t>27</w:t>
      </w:r>
      <w:r>
        <w:rPr>
          <w:rFonts w:cs="Arial" w:hint="eastAsia"/>
          <w:color w:val="333333"/>
        </w:rPr>
        <w:t>日《残疾人机会平等法》，自</w:t>
      </w:r>
      <w:r>
        <w:rPr>
          <w:rFonts w:cs="Arial" w:hint="eastAsia"/>
          <w:color w:val="333333"/>
        </w:rPr>
        <w:t>2002</w:t>
      </w:r>
      <w:r>
        <w:rPr>
          <w:rFonts w:cs="Arial" w:hint="eastAsia"/>
          <w:color w:val="333333"/>
        </w:rPr>
        <w:t>年</w:t>
      </w:r>
      <w:r>
        <w:rPr>
          <w:rFonts w:cs="Arial" w:hint="eastAsia"/>
          <w:color w:val="333333"/>
        </w:rPr>
        <w:t>5</w:t>
      </w:r>
      <w:r>
        <w:rPr>
          <w:rFonts w:cs="Arial" w:hint="eastAsia"/>
          <w:color w:val="333333"/>
        </w:rPr>
        <w:t>月</w:t>
      </w:r>
      <w:r>
        <w:rPr>
          <w:rFonts w:cs="Arial" w:hint="eastAsia"/>
          <w:color w:val="333333"/>
        </w:rPr>
        <w:t>1</w:t>
      </w:r>
      <w:r>
        <w:rPr>
          <w:rFonts w:cs="Arial" w:hint="eastAsia"/>
          <w:color w:val="333333"/>
        </w:rPr>
        <w:t>日起生效，</w:t>
      </w:r>
      <w:r>
        <w:rPr>
          <w:rFonts w:cs="Arial" w:hint="eastAsia"/>
          <w:color w:val="333333"/>
        </w:rPr>
        <w:t>(</w:t>
      </w:r>
      <w:r>
        <w:rPr>
          <w:rFonts w:cs="Arial" w:hint="eastAsia"/>
          <w:color w:val="333333"/>
        </w:rPr>
        <w:t>《联邦法律公报》第一部分第</w:t>
      </w:r>
      <w:r>
        <w:rPr>
          <w:rFonts w:cs="Arial" w:hint="eastAsia"/>
          <w:color w:val="333333"/>
        </w:rPr>
        <w:t>1467</w:t>
      </w:r>
      <w:r>
        <w:rPr>
          <w:rFonts w:cs="Arial" w:hint="eastAsia"/>
          <w:color w:val="333333"/>
        </w:rPr>
        <w:t>页</w:t>
      </w:r>
      <w:r>
        <w:rPr>
          <w:rFonts w:cs="Arial" w:hint="eastAsia"/>
          <w:color w:val="333333"/>
        </w:rPr>
        <w:t>)</w:t>
      </w:r>
      <w:r>
        <w:rPr>
          <w:rFonts w:cs="Arial" w:hint="eastAsia"/>
          <w:color w:val="333333"/>
        </w:rPr>
        <w:t>，最近由</w:t>
      </w:r>
      <w:r>
        <w:rPr>
          <w:rFonts w:cs="Arial" w:hint="eastAsia"/>
          <w:color w:val="333333"/>
        </w:rPr>
        <w:t>2002</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19</w:t>
      </w:r>
      <w:r>
        <w:rPr>
          <w:rFonts w:cs="Arial" w:hint="eastAsia"/>
          <w:color w:val="333333"/>
        </w:rPr>
        <w:t>日法案第</w:t>
      </w:r>
      <w:r>
        <w:rPr>
          <w:rFonts w:cs="Arial" w:hint="eastAsia"/>
          <w:color w:val="333333"/>
        </w:rPr>
        <w:t>12</w:t>
      </w:r>
      <w:r>
        <w:rPr>
          <w:rFonts w:cs="Arial" w:hint="eastAsia"/>
          <w:color w:val="333333"/>
        </w:rPr>
        <w:t>条修正，</w:t>
      </w:r>
      <w:r>
        <w:rPr>
          <w:rFonts w:cs="Arial" w:hint="eastAsia"/>
          <w:color w:val="333333"/>
        </w:rPr>
        <w:t>(</w:t>
      </w:r>
      <w:r>
        <w:rPr>
          <w:rFonts w:cs="Arial" w:hint="eastAsia"/>
          <w:color w:val="333333"/>
        </w:rPr>
        <w:t>《联邦法律公报》第一部分第</w:t>
      </w:r>
      <w:r>
        <w:rPr>
          <w:rFonts w:cs="Arial" w:hint="eastAsia"/>
          <w:color w:val="333333"/>
        </w:rPr>
        <w:t>3024</w:t>
      </w:r>
      <w:r>
        <w:rPr>
          <w:rFonts w:cs="Arial" w:hint="eastAsia"/>
          <w:color w:val="333333"/>
        </w:rPr>
        <w:t>页</w:t>
      </w:r>
      <w:r>
        <w:rPr>
          <w:rFonts w:cs="Arial" w:hint="eastAsia"/>
          <w:color w:val="333333"/>
        </w:rPr>
        <w:t>)</w:t>
      </w:r>
    </w:p>
  </w:footnote>
  <w:footnote w:id="6">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除其他外，这些措施包括《客运法》</w:t>
      </w:r>
      <w:r>
        <w:rPr>
          <w:rFonts w:cs="Arial" w:hint="eastAsia"/>
          <w:color w:val="333333"/>
        </w:rPr>
        <w:t>(</w:t>
      </w:r>
      <w:r>
        <w:rPr>
          <w:rFonts w:cs="Arial"/>
          <w:i/>
          <w:color w:val="333333"/>
        </w:rPr>
        <w:t>Personen</w:t>
      </w:r>
      <w:r>
        <w:rPr>
          <w:rFonts w:cs="Arial"/>
          <w:i/>
          <w:color w:val="333333"/>
        </w:rPr>
        <w:softHyphen/>
        <w:t>beförderungs</w:t>
      </w:r>
      <w:r>
        <w:rPr>
          <w:rFonts w:cs="Arial"/>
          <w:i/>
          <w:color w:val="333333"/>
        </w:rPr>
        <w:softHyphen/>
        <w:t>gesetz</w:t>
      </w:r>
      <w:r>
        <w:rPr>
          <w:rFonts w:cs="Arial" w:hint="eastAsia"/>
          <w:color w:val="333333"/>
        </w:rPr>
        <w:t>)</w:t>
      </w:r>
      <w:r>
        <w:rPr>
          <w:rFonts w:cs="Arial" w:hint="eastAsia"/>
          <w:color w:val="333333"/>
        </w:rPr>
        <w:t>和《航空运输法》</w:t>
      </w:r>
      <w:r>
        <w:rPr>
          <w:rFonts w:cs="Arial"/>
          <w:color w:val="333333"/>
        </w:rPr>
        <w:t>(</w:t>
      </w:r>
      <w:r>
        <w:rPr>
          <w:rFonts w:cs="Arial"/>
          <w:i/>
          <w:color w:val="333333"/>
        </w:rPr>
        <w:t>Luftverkehrsgesetz</w:t>
      </w:r>
      <w:r>
        <w:rPr>
          <w:rFonts w:cs="Arial" w:hint="eastAsia"/>
          <w:color w:val="333333"/>
        </w:rPr>
        <w:t>)</w:t>
      </w:r>
      <w:r>
        <w:rPr>
          <w:rFonts w:cs="Arial" w:hint="eastAsia"/>
          <w:color w:val="333333"/>
        </w:rPr>
        <w:t>的修正法案。</w:t>
      </w:r>
    </w:p>
  </w:footnote>
  <w:footnote w:id="7">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2006</w:t>
      </w:r>
      <w:r>
        <w:rPr>
          <w:rFonts w:cs="Arial" w:hint="eastAsia"/>
          <w:color w:val="333333"/>
        </w:rPr>
        <w:t>年</w:t>
      </w:r>
      <w:r>
        <w:rPr>
          <w:rFonts w:cs="Arial" w:hint="eastAsia"/>
          <w:color w:val="333333"/>
        </w:rPr>
        <w:t>8</w:t>
      </w:r>
      <w:r>
        <w:rPr>
          <w:rFonts w:cs="Arial" w:hint="eastAsia"/>
          <w:color w:val="333333"/>
        </w:rPr>
        <w:t>月</w:t>
      </w:r>
      <w:r>
        <w:rPr>
          <w:rFonts w:cs="Arial" w:hint="eastAsia"/>
          <w:color w:val="333333"/>
        </w:rPr>
        <w:t>14</w:t>
      </w:r>
      <w:r>
        <w:rPr>
          <w:rFonts w:cs="Arial" w:hint="eastAsia"/>
          <w:color w:val="333333"/>
        </w:rPr>
        <w:t>日《普遍反歧视法》</w:t>
      </w:r>
      <w:r>
        <w:rPr>
          <w:rFonts w:cs="Arial" w:hint="eastAsia"/>
          <w:color w:val="333333"/>
        </w:rPr>
        <w:t>(</w:t>
      </w:r>
      <w:r>
        <w:rPr>
          <w:rFonts w:cs="Arial" w:hint="eastAsia"/>
          <w:color w:val="333333"/>
        </w:rPr>
        <w:t>《联邦法律公报》第一部分第</w:t>
      </w:r>
      <w:r>
        <w:rPr>
          <w:rFonts w:cs="Arial" w:hint="eastAsia"/>
          <w:color w:val="333333"/>
        </w:rPr>
        <w:t>1897</w:t>
      </w:r>
      <w:r>
        <w:rPr>
          <w:rFonts w:cs="Arial" w:hint="eastAsia"/>
          <w:color w:val="333333"/>
        </w:rPr>
        <w:t>页</w:t>
      </w:r>
      <w:r>
        <w:rPr>
          <w:rFonts w:cs="Arial" w:hint="eastAsia"/>
          <w:color w:val="333333"/>
        </w:rPr>
        <w:t>)</w:t>
      </w:r>
      <w:r>
        <w:rPr>
          <w:rFonts w:cs="Arial" w:hint="eastAsia"/>
          <w:color w:val="333333"/>
        </w:rPr>
        <w:t>，自</w:t>
      </w:r>
      <w:r>
        <w:rPr>
          <w:rFonts w:cs="Arial" w:hint="eastAsia"/>
          <w:color w:val="333333"/>
        </w:rPr>
        <w:t>2006</w:t>
      </w:r>
      <w:r>
        <w:rPr>
          <w:rFonts w:cs="Arial" w:hint="eastAsia"/>
          <w:color w:val="333333"/>
        </w:rPr>
        <w:t>年</w:t>
      </w:r>
      <w:r>
        <w:rPr>
          <w:rFonts w:cs="Arial" w:hint="eastAsia"/>
          <w:color w:val="333333"/>
        </w:rPr>
        <w:t>8</w:t>
      </w:r>
      <w:r>
        <w:rPr>
          <w:rFonts w:cs="Arial" w:hint="eastAsia"/>
          <w:color w:val="333333"/>
        </w:rPr>
        <w:t>月</w:t>
      </w:r>
      <w:r>
        <w:rPr>
          <w:rFonts w:cs="Arial" w:hint="eastAsia"/>
          <w:color w:val="333333"/>
        </w:rPr>
        <w:t>18</w:t>
      </w:r>
      <w:r>
        <w:rPr>
          <w:rFonts w:cs="Arial" w:hint="eastAsia"/>
          <w:color w:val="333333"/>
        </w:rPr>
        <w:t>日起生效，最近由</w:t>
      </w:r>
      <w:r>
        <w:rPr>
          <w:rFonts w:cs="Arial" w:hint="eastAsia"/>
          <w:color w:val="333333"/>
        </w:rPr>
        <w:t>2009</w:t>
      </w:r>
      <w:r>
        <w:rPr>
          <w:rFonts w:cs="Arial" w:hint="eastAsia"/>
          <w:color w:val="333333"/>
        </w:rPr>
        <w:t>年</w:t>
      </w:r>
      <w:r>
        <w:rPr>
          <w:rFonts w:cs="Arial" w:hint="eastAsia"/>
          <w:color w:val="333333"/>
        </w:rPr>
        <w:t>2</w:t>
      </w:r>
      <w:r>
        <w:rPr>
          <w:rFonts w:cs="Arial" w:hint="eastAsia"/>
          <w:color w:val="333333"/>
        </w:rPr>
        <w:t>月</w:t>
      </w:r>
      <w:r>
        <w:rPr>
          <w:rFonts w:cs="Arial" w:hint="eastAsia"/>
          <w:color w:val="333333"/>
        </w:rPr>
        <w:t>5</w:t>
      </w:r>
      <w:r>
        <w:rPr>
          <w:rFonts w:cs="Arial" w:hint="eastAsia"/>
          <w:color w:val="333333"/>
        </w:rPr>
        <w:t>日法案第</w:t>
      </w:r>
      <w:r>
        <w:rPr>
          <w:rFonts w:cs="Arial" w:hint="eastAsia"/>
          <w:color w:val="333333"/>
        </w:rPr>
        <w:t>15</w:t>
      </w:r>
      <w:r>
        <w:rPr>
          <w:rFonts w:cs="Arial" w:hint="eastAsia"/>
          <w:color w:val="333333"/>
        </w:rPr>
        <w:t>条第</w:t>
      </w:r>
      <w:r>
        <w:rPr>
          <w:rFonts w:hint="eastAsia"/>
        </w:rPr>
        <w:t>66</w:t>
      </w:r>
      <w:r>
        <w:rPr>
          <w:rFonts w:hint="eastAsia"/>
        </w:rPr>
        <w:t>款</w:t>
      </w:r>
      <w:r>
        <w:rPr>
          <w:rFonts w:cs="Arial" w:hint="eastAsia"/>
          <w:color w:val="333333"/>
        </w:rPr>
        <w:t>修正，</w:t>
      </w:r>
      <w:r>
        <w:rPr>
          <w:rFonts w:cs="Arial" w:hint="eastAsia"/>
          <w:color w:val="333333"/>
        </w:rPr>
        <w:t>(</w:t>
      </w:r>
      <w:r>
        <w:rPr>
          <w:rFonts w:cs="Arial" w:hint="eastAsia"/>
          <w:color w:val="333333"/>
        </w:rPr>
        <w:t>《联邦法律公报》第一部分第</w:t>
      </w:r>
      <w:r>
        <w:rPr>
          <w:rFonts w:cs="Arial" w:hint="eastAsia"/>
          <w:color w:val="333333"/>
        </w:rPr>
        <w:t>160</w:t>
      </w:r>
      <w:r>
        <w:rPr>
          <w:rFonts w:cs="Arial" w:hint="eastAsia"/>
          <w:color w:val="333333"/>
        </w:rPr>
        <w:t>页</w:t>
      </w:r>
      <w:r>
        <w:rPr>
          <w:rFonts w:cs="Arial" w:hint="eastAsia"/>
          <w:color w:val="333333"/>
        </w:rPr>
        <w:t>)</w:t>
      </w:r>
      <w:r>
        <w:rPr>
          <w:rFonts w:cs="Arial" w:hint="eastAsia"/>
          <w:color w:val="333333"/>
        </w:rPr>
        <w:t>。</w:t>
      </w:r>
    </w:p>
  </w:footnote>
  <w:footnote w:id="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详细信息：</w:t>
      </w:r>
      <w:r>
        <w:rPr>
          <w:rFonts w:cs="Arial" w:hint="eastAsia"/>
          <w:color w:val="333333"/>
        </w:rPr>
        <w:t>190</w:t>
      </w:r>
      <w:r>
        <w:rPr>
          <w:rFonts w:cs="Arial" w:hint="eastAsia"/>
          <w:color w:val="333333"/>
        </w:rPr>
        <w:t>亿欧元：用于长期护理补贴</w:t>
      </w:r>
      <w:r>
        <w:rPr>
          <w:rFonts w:cs="Arial" w:hint="eastAsia"/>
          <w:color w:val="333333"/>
        </w:rPr>
        <w:t>(</w:t>
      </w:r>
      <w:r>
        <w:rPr>
          <w:rFonts w:cs="Arial" w:hint="eastAsia"/>
          <w:color w:val="333333"/>
        </w:rPr>
        <w:t>资料来源：联邦卫生部</w:t>
      </w:r>
      <w:r>
        <w:rPr>
          <w:rFonts w:cs="Arial" w:hint="eastAsia"/>
          <w:color w:val="333333"/>
        </w:rPr>
        <w:t>(2010</w:t>
      </w:r>
      <w:r>
        <w:rPr>
          <w:rFonts w:cs="Arial" w:hint="eastAsia"/>
          <w:color w:val="333333"/>
        </w:rPr>
        <w:t>年</w:t>
      </w:r>
      <w:r>
        <w:rPr>
          <w:rFonts w:cs="Arial" w:hint="eastAsia"/>
          <w:color w:val="333333"/>
        </w:rPr>
        <w:t>)</w:t>
      </w:r>
      <w:r>
        <w:rPr>
          <w:rFonts w:cs="Arial" w:hint="eastAsia"/>
          <w:color w:val="333333"/>
        </w:rPr>
        <w:t>，</w:t>
      </w:r>
      <w:r>
        <w:rPr>
          <w:rFonts w:cs="Arial"/>
          <w:i/>
          <w:color w:val="333333"/>
        </w:rPr>
        <w:t>Statistiken zur Pflegeversicherung</w:t>
      </w:r>
      <w:r>
        <w:rPr>
          <w:rFonts w:cs="Arial"/>
          <w:i/>
          <w:color w:val="333333"/>
        </w:rPr>
        <w:t>，</w:t>
      </w:r>
      <w:r>
        <w:rPr>
          <w:rFonts w:cs="Arial"/>
          <w:i/>
          <w:color w:val="333333"/>
        </w:rPr>
        <w:t>Leistungsausgaben der Sozialen Pflegeversicherung 2009</w:t>
      </w:r>
      <w:r>
        <w:rPr>
          <w:rFonts w:cs="Arial" w:hint="eastAsia"/>
          <w:color w:val="333333"/>
        </w:rPr>
        <w:t>；</w:t>
      </w:r>
      <w:r>
        <w:rPr>
          <w:rFonts w:cs="Arial" w:hint="eastAsia"/>
          <w:color w:val="333333"/>
        </w:rPr>
        <w:t>119</w:t>
      </w:r>
      <w:r>
        <w:rPr>
          <w:rFonts w:cs="Arial" w:hint="eastAsia"/>
          <w:color w:val="333333"/>
        </w:rPr>
        <w:t>亿欧元：用于融合援助的净支出，来自社会援助</w:t>
      </w:r>
      <w:r>
        <w:rPr>
          <w:rFonts w:cs="Arial" w:hint="eastAsia"/>
          <w:color w:val="333333"/>
        </w:rPr>
        <w:t>(</w:t>
      </w:r>
      <w:r>
        <w:rPr>
          <w:rFonts w:cs="Arial" w:hint="eastAsia"/>
          <w:color w:val="333333"/>
        </w:rPr>
        <w:t>资料来源：联邦统计局，</w:t>
      </w:r>
      <w:r>
        <w:rPr>
          <w:rFonts w:cs="Arial"/>
          <w:i/>
          <w:color w:val="333333"/>
        </w:rPr>
        <w:t>Sozialleistungen</w:t>
      </w:r>
      <w:r>
        <w:rPr>
          <w:rFonts w:cs="Arial"/>
          <w:i/>
          <w:color w:val="333333"/>
        </w:rPr>
        <w:t>，</w:t>
      </w:r>
      <w:r>
        <w:rPr>
          <w:rFonts w:cs="Arial"/>
          <w:i/>
          <w:color w:val="333333"/>
        </w:rPr>
        <w:t>Sozialhilfe 2009</w:t>
      </w:r>
      <w:r>
        <w:rPr>
          <w:rFonts w:cs="Arial" w:hint="eastAsia"/>
          <w:color w:val="333333"/>
        </w:rPr>
        <w:t>)</w:t>
      </w:r>
      <w:r>
        <w:rPr>
          <w:rFonts w:cs="Arial" w:hint="eastAsia"/>
          <w:color w:val="333333"/>
        </w:rPr>
        <w:t>；</w:t>
      </w:r>
      <w:r>
        <w:rPr>
          <w:rFonts w:cs="Arial" w:hint="eastAsia"/>
          <w:color w:val="333333"/>
        </w:rPr>
        <w:t>36</w:t>
      </w:r>
      <w:r>
        <w:rPr>
          <w:rFonts w:cs="Arial" w:hint="eastAsia"/>
          <w:color w:val="333333"/>
        </w:rPr>
        <w:t>亿欧元：用于职业康复，来自联邦就业局和德国法定养老保险方案，</w:t>
      </w:r>
      <w:r>
        <w:rPr>
          <w:rFonts w:cs="Arial" w:hint="eastAsia"/>
          <w:color w:val="333333"/>
        </w:rPr>
        <w:t>(</w:t>
      </w:r>
      <w:r>
        <w:rPr>
          <w:rFonts w:cs="Arial" w:hint="eastAsia"/>
          <w:color w:val="333333"/>
        </w:rPr>
        <w:t>资料来源：</w:t>
      </w:r>
      <w:r>
        <w:rPr>
          <w:rFonts w:cs="Arial"/>
          <w:i/>
          <w:color w:val="333333"/>
        </w:rPr>
        <w:t>Ausgaben für Rehabilitation und Teilhabe</w:t>
      </w:r>
      <w:r>
        <w:rPr>
          <w:rFonts w:cs="Arial" w:hint="eastAsia"/>
          <w:color w:val="333333"/>
        </w:rPr>
        <w:t>，</w:t>
      </w:r>
      <w:r>
        <w:rPr>
          <w:rFonts w:cs="Arial" w:hint="eastAsia"/>
          <w:color w:val="333333"/>
        </w:rPr>
        <w:t>2010</w:t>
      </w:r>
      <w:r>
        <w:rPr>
          <w:rFonts w:cs="Arial" w:hint="eastAsia"/>
          <w:color w:val="333333"/>
        </w:rPr>
        <w:t>年版，引自联邦康复委员会《年报》</w:t>
      </w:r>
      <w:r>
        <w:rPr>
          <w:rFonts w:cs="Arial" w:hint="eastAsia"/>
          <w:color w:val="333333"/>
        </w:rPr>
        <w:t>(Geschäftsbericht)</w:t>
      </w:r>
      <w:r>
        <w:rPr>
          <w:rFonts w:cs="Arial" w:hint="eastAsia"/>
          <w:color w:val="333333"/>
        </w:rPr>
        <w:t>，待出版</w:t>
      </w:r>
      <w:r>
        <w:rPr>
          <w:rFonts w:cs="Arial" w:hint="eastAsia"/>
          <w:color w:val="333333"/>
        </w:rPr>
        <w:t>)</w:t>
      </w:r>
      <w:r>
        <w:rPr>
          <w:rFonts w:cs="Arial" w:hint="eastAsia"/>
          <w:color w:val="333333"/>
        </w:rPr>
        <w:t>；</w:t>
      </w:r>
      <w:r>
        <w:rPr>
          <w:rFonts w:cs="Arial" w:hint="eastAsia"/>
          <w:color w:val="333333"/>
        </w:rPr>
        <w:t>34</w:t>
      </w:r>
      <w:r>
        <w:rPr>
          <w:rFonts w:cs="Arial" w:hint="eastAsia"/>
          <w:color w:val="333333"/>
        </w:rPr>
        <w:t>亿欧元：用于医疗康复，来自德国法定养老保险方案</w:t>
      </w:r>
      <w:r>
        <w:rPr>
          <w:rFonts w:cs="Arial" w:hint="eastAsia"/>
          <w:color w:val="333333"/>
        </w:rPr>
        <w:t>(</w:t>
      </w:r>
      <w:r>
        <w:rPr>
          <w:rFonts w:eastAsia="KaiTi_GB2312" w:cs="Arial" w:hint="eastAsia"/>
          <w:color w:val="333333"/>
        </w:rPr>
        <w:t>资料来源</w:t>
      </w:r>
      <w:r>
        <w:rPr>
          <w:rFonts w:cs="Arial" w:hint="eastAsia"/>
          <w:color w:val="333333"/>
        </w:rPr>
        <w:t>：联邦康复委员会《年报》</w:t>
      </w:r>
      <w:r>
        <w:rPr>
          <w:rFonts w:cs="Arial" w:hint="eastAsia"/>
          <w:color w:val="333333"/>
        </w:rPr>
        <w:t>)</w:t>
      </w:r>
      <w:r>
        <w:rPr>
          <w:rFonts w:cs="Arial" w:hint="eastAsia"/>
          <w:color w:val="333333"/>
        </w:rPr>
        <w:t>；</w:t>
      </w:r>
      <w:r>
        <w:rPr>
          <w:rFonts w:cs="Arial" w:hint="eastAsia"/>
          <w:color w:val="333333"/>
        </w:rPr>
        <w:t>35</w:t>
      </w:r>
      <w:r>
        <w:rPr>
          <w:rFonts w:cs="Arial" w:hint="eastAsia"/>
          <w:color w:val="333333"/>
        </w:rPr>
        <w:t>亿欧元：用于医疗及医疗、职业和社会康复，来自法定事故保险</w:t>
      </w:r>
      <w:r>
        <w:rPr>
          <w:rFonts w:cs="Arial" w:hint="eastAsia"/>
          <w:color w:val="333333"/>
        </w:rPr>
        <w:t>(</w:t>
      </w:r>
      <w:r>
        <w:rPr>
          <w:rFonts w:cs="Arial" w:hint="eastAsia"/>
          <w:color w:val="333333"/>
        </w:rPr>
        <w:t>资料来源：联邦康复委员会《年报》</w:t>
      </w:r>
      <w:r>
        <w:rPr>
          <w:rFonts w:cs="Arial" w:hint="eastAsia"/>
          <w:color w:val="333333"/>
        </w:rPr>
        <w:t>)</w:t>
      </w:r>
      <w:r>
        <w:rPr>
          <w:rFonts w:cs="Arial" w:hint="eastAsia"/>
          <w:color w:val="333333"/>
        </w:rPr>
        <w:t>；</w:t>
      </w:r>
      <w:r>
        <w:rPr>
          <w:rFonts w:cs="Arial" w:hint="eastAsia"/>
          <w:color w:val="333333"/>
        </w:rPr>
        <w:t>26</w:t>
      </w:r>
      <w:r>
        <w:rPr>
          <w:rFonts w:cs="Arial" w:hint="eastAsia"/>
          <w:color w:val="333333"/>
        </w:rPr>
        <w:t>亿欧元，用于医疗康复，来自法定医疗保险</w:t>
      </w:r>
      <w:r>
        <w:rPr>
          <w:rFonts w:cs="Arial" w:hint="eastAsia"/>
          <w:color w:val="333333"/>
        </w:rPr>
        <w:t>(</w:t>
      </w:r>
      <w:r>
        <w:rPr>
          <w:rFonts w:cs="Arial" w:hint="eastAsia"/>
          <w:color w:val="333333"/>
        </w:rPr>
        <w:t>来源：联邦康复委员会《年报》</w:t>
      </w:r>
      <w:r>
        <w:rPr>
          <w:rFonts w:cs="Arial" w:hint="eastAsia"/>
          <w:color w:val="333333"/>
        </w:rPr>
        <w:t>)</w:t>
      </w:r>
      <w:r>
        <w:rPr>
          <w:rFonts w:cs="Arial" w:hint="eastAsia"/>
          <w:color w:val="333333"/>
        </w:rPr>
        <w:t>。</w:t>
      </w:r>
    </w:p>
  </w:footnote>
  <w:footnote w:id="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联邦统计办公室，微型人口调查，</w:t>
      </w:r>
      <w:r>
        <w:rPr>
          <w:rFonts w:cs="Arial" w:hint="eastAsia"/>
          <w:color w:val="333333"/>
        </w:rPr>
        <w:t>2009</w:t>
      </w:r>
      <w:r>
        <w:rPr>
          <w:rFonts w:cs="Arial" w:hint="eastAsia"/>
          <w:color w:val="333333"/>
        </w:rPr>
        <w:t>年。</w:t>
      </w:r>
    </w:p>
  </w:footnote>
  <w:footnote w:id="1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2008</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10</w:t>
      </w:r>
      <w:r>
        <w:rPr>
          <w:rFonts w:cs="Arial" w:hint="eastAsia"/>
          <w:color w:val="333333"/>
        </w:rPr>
        <w:t>日</w:t>
      </w:r>
      <w:r>
        <w:rPr>
          <w:rFonts w:cs="Arial"/>
          <w:color w:val="333333"/>
        </w:rPr>
        <w:t>the Versorgungsmedizin-Verordnung</w:t>
      </w:r>
      <w:r>
        <w:rPr>
          <w:rFonts w:cs="Arial" w:hint="eastAsia"/>
          <w:color w:val="333333"/>
        </w:rPr>
        <w:t>附件</w:t>
      </w:r>
      <w:r>
        <w:rPr>
          <w:rFonts w:cs="Arial" w:hint="eastAsia"/>
          <w:color w:val="333333"/>
        </w:rPr>
        <w:t>2(</w:t>
      </w:r>
      <w:r>
        <w:rPr>
          <w:rFonts w:cs="Arial" w:hint="eastAsia"/>
          <w:color w:val="333333"/>
        </w:rPr>
        <w:t>《联邦法律公报》第一部分第</w:t>
      </w:r>
      <w:r>
        <w:rPr>
          <w:rFonts w:cs="Arial" w:hint="eastAsia"/>
          <w:color w:val="333333"/>
        </w:rPr>
        <w:t>57</w:t>
      </w:r>
      <w:r>
        <w:rPr>
          <w:rFonts w:cs="Arial" w:hint="eastAsia"/>
          <w:color w:val="333333"/>
        </w:rPr>
        <w:t>页</w:t>
      </w:r>
      <w:r>
        <w:rPr>
          <w:rFonts w:cs="Arial" w:hint="eastAsia"/>
          <w:color w:val="333333"/>
        </w:rPr>
        <w:t>)</w:t>
      </w:r>
      <w:r>
        <w:rPr>
          <w:rFonts w:cs="Arial" w:hint="eastAsia"/>
          <w:color w:val="333333"/>
        </w:rPr>
        <w:t>。</w:t>
      </w:r>
    </w:p>
  </w:footnote>
  <w:footnote w:id="1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2004</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16</w:t>
      </w:r>
      <w:r>
        <w:rPr>
          <w:rFonts w:cs="Arial" w:hint="eastAsia"/>
          <w:color w:val="333333"/>
        </w:rPr>
        <w:t>日《联邦政府关于残疾人状况和他们参与的发展情况报告》，简称：《残疾报告》</w:t>
      </w:r>
      <w:r>
        <w:rPr>
          <w:rFonts w:cs="Arial" w:hint="eastAsia"/>
          <w:color w:val="333333"/>
        </w:rPr>
        <w:t>2004</w:t>
      </w:r>
      <w:r>
        <w:rPr>
          <w:rFonts w:cs="Arial" w:hint="eastAsia"/>
          <w:color w:val="333333"/>
        </w:rPr>
        <w:t>年</w:t>
      </w:r>
      <w:r>
        <w:rPr>
          <w:rFonts w:cs="Arial" w:hint="eastAsia"/>
          <w:color w:val="333333"/>
        </w:rPr>
        <w:t>(</w:t>
      </w:r>
      <w:r>
        <w:rPr>
          <w:rFonts w:cs="Arial" w:hint="eastAsia"/>
          <w:color w:val="333333"/>
        </w:rPr>
        <w:t>联邦议院出版物，第</w:t>
      </w:r>
      <w:r>
        <w:rPr>
          <w:rFonts w:cs="Arial"/>
          <w:color w:val="333333"/>
        </w:rPr>
        <w:t>15/4575</w:t>
      </w:r>
      <w:r>
        <w:rPr>
          <w:rFonts w:cs="Arial" w:hint="eastAsia"/>
          <w:color w:val="333333"/>
        </w:rPr>
        <w:t>期，第</w:t>
      </w:r>
      <w:r>
        <w:rPr>
          <w:rFonts w:cs="Arial" w:hint="eastAsia"/>
          <w:color w:val="333333"/>
        </w:rPr>
        <w:t>17</w:t>
      </w:r>
      <w:r>
        <w:rPr>
          <w:rFonts w:cs="Arial" w:hint="eastAsia"/>
          <w:color w:val="333333"/>
        </w:rPr>
        <w:t>页，第</w:t>
      </w:r>
      <w:r>
        <w:rPr>
          <w:rFonts w:cs="Arial"/>
          <w:color w:val="333333"/>
        </w:rPr>
        <w:t>1.4</w:t>
      </w:r>
      <w:r>
        <w:rPr>
          <w:rFonts w:cs="Arial" w:hint="eastAsia"/>
          <w:color w:val="333333"/>
        </w:rPr>
        <w:t>项</w:t>
      </w:r>
      <w:r>
        <w:rPr>
          <w:rFonts w:cs="Arial" w:hint="eastAsia"/>
          <w:color w:val="333333"/>
        </w:rPr>
        <w:t>)</w:t>
      </w:r>
      <w:r>
        <w:rPr>
          <w:rFonts w:cs="Arial" w:hint="eastAsia"/>
          <w:color w:val="333333"/>
        </w:rPr>
        <w:t>。</w:t>
      </w:r>
    </w:p>
  </w:footnote>
  <w:footnote w:id="1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德国残疾人委员会，</w:t>
      </w:r>
      <w:r>
        <w:rPr>
          <w:rFonts w:cs="Arial" w:hint="eastAsia"/>
          <w:color w:val="333333"/>
        </w:rPr>
        <w:t>2004</w:t>
      </w:r>
      <w:r>
        <w:rPr>
          <w:rFonts w:cs="Arial" w:hint="eastAsia"/>
          <w:color w:val="333333"/>
        </w:rPr>
        <w:t>年：</w:t>
      </w:r>
      <w:r>
        <w:rPr>
          <w:rFonts w:cs="Arial" w:hint="eastAsia"/>
          <w:color w:val="333333"/>
        </w:rPr>
        <w:t>2004</w:t>
      </w:r>
      <w:r>
        <w:rPr>
          <w:rFonts w:cs="Arial" w:hint="eastAsia"/>
          <w:color w:val="333333"/>
        </w:rPr>
        <w:t>年《残疾报告》</w:t>
      </w:r>
      <w:r>
        <w:rPr>
          <w:rFonts w:cs="Arial" w:hint="eastAsia"/>
          <w:color w:val="333333"/>
        </w:rPr>
        <w:t>(</w:t>
      </w:r>
      <w:r>
        <w:rPr>
          <w:rFonts w:cs="Arial" w:hint="eastAsia"/>
          <w:color w:val="333333"/>
        </w:rPr>
        <w:t>编辑</w:t>
      </w:r>
      <w:r>
        <w:rPr>
          <w:rFonts w:cs="Arial" w:hint="eastAsia"/>
          <w:color w:val="333333"/>
        </w:rPr>
        <w:t>)</w:t>
      </w:r>
      <w:r>
        <w:rPr>
          <w:rFonts w:cs="Arial" w:hint="eastAsia"/>
          <w:color w:val="333333"/>
        </w:rPr>
        <w:t>，第</w:t>
      </w:r>
      <w:r>
        <w:rPr>
          <w:rFonts w:cs="Arial" w:hint="eastAsia"/>
          <w:color w:val="333333"/>
        </w:rPr>
        <w:t>18</w:t>
      </w:r>
      <w:r>
        <w:rPr>
          <w:rFonts w:cs="Arial" w:hint="eastAsia"/>
          <w:color w:val="333333"/>
        </w:rPr>
        <w:t>页，第</w:t>
      </w:r>
      <w:r>
        <w:rPr>
          <w:rFonts w:hint="eastAsia"/>
        </w:rPr>
        <w:t>1.5</w:t>
      </w:r>
      <w:r>
        <w:rPr>
          <w:rFonts w:cs="Arial" w:hint="eastAsia"/>
          <w:color w:val="333333"/>
        </w:rPr>
        <w:t>项。</w:t>
      </w:r>
    </w:p>
  </w:footnote>
  <w:footnote w:id="1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北卡罗莱纳州立大学通用设计中心对定义的翻译。</w:t>
      </w:r>
    </w:p>
  </w:footnote>
  <w:footnote w:id="1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eastAsia="KaiTi_GB2312" w:cs="Arial"/>
          <w:color w:val="333333"/>
        </w:rPr>
        <w:t>资料来源</w:t>
      </w:r>
      <w:r>
        <w:rPr>
          <w:rFonts w:cs="Arial"/>
          <w:color w:val="333333"/>
        </w:rPr>
        <w:t>：</w:t>
      </w:r>
      <w:r>
        <w:rPr>
          <w:rFonts w:hint="eastAsia"/>
        </w:rPr>
        <w:t>《执行联合国〈残疾人公约〉国家行动计划》，更新版</w:t>
      </w:r>
      <w:r>
        <w:rPr>
          <w:rFonts w:hint="eastAsia"/>
        </w:rPr>
        <w:t>(2011</w:t>
      </w:r>
      <w:r>
        <w:rPr>
          <w:rFonts w:hint="eastAsia"/>
        </w:rPr>
        <w:t>年</w:t>
      </w:r>
      <w:r>
        <w:rPr>
          <w:rFonts w:hint="eastAsia"/>
        </w:rPr>
        <w:t>7</w:t>
      </w:r>
      <w:r>
        <w:rPr>
          <w:rFonts w:hint="eastAsia"/>
        </w:rPr>
        <w:t>月</w:t>
      </w:r>
      <w:r>
        <w:rPr>
          <w:rFonts w:hint="eastAsia"/>
        </w:rPr>
        <w:t>15</w:t>
      </w:r>
      <w:r>
        <w:rPr>
          <w:rFonts w:hint="eastAsia"/>
        </w:rPr>
        <w:t>日版</w:t>
      </w:r>
      <w:r>
        <w:rPr>
          <w:rFonts w:hint="eastAsia"/>
        </w:rPr>
        <w:t>)</w:t>
      </w:r>
      <w:r>
        <w:rPr>
          <w:rFonts w:hint="eastAsia"/>
        </w:rPr>
        <w:t>。</w:t>
      </w:r>
    </w:p>
  </w:footnote>
  <w:footnote w:id="1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w:t>
      </w:r>
      <w:r>
        <w:rPr>
          <w:rFonts w:cs="Arial"/>
          <w:color w:val="333333"/>
        </w:rPr>
        <w:t>在法律面前人人平等</w:t>
      </w:r>
      <w:r>
        <w:rPr>
          <w:rFonts w:cs="Arial" w:hint="eastAsia"/>
          <w:color w:val="333333"/>
        </w:rPr>
        <w:t>”。</w:t>
      </w:r>
    </w:p>
  </w:footnote>
  <w:footnote w:id="16">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各州的宪法也包含这类法规。</w:t>
      </w:r>
    </w:p>
  </w:footnote>
  <w:footnote w:id="17">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w:t>
      </w:r>
      <w:r>
        <w:rPr>
          <w:rFonts w:cs="Arial" w:hint="eastAsia"/>
          <w:color w:val="333333"/>
        </w:rPr>
        <w:t>不得基于性别、血统、种族、语言、原籍国和</w:t>
      </w:r>
      <w:r>
        <w:rPr>
          <w:rFonts w:cs="Arial"/>
          <w:color w:val="333333"/>
        </w:rPr>
        <w:t>出身</w:t>
      </w:r>
      <w:r>
        <w:rPr>
          <w:rFonts w:cs="Arial" w:hint="eastAsia"/>
          <w:color w:val="333333"/>
        </w:rPr>
        <w:t>、信仰或宗教或政治观点</w:t>
      </w:r>
      <w:r>
        <w:rPr>
          <w:rFonts w:cs="Arial"/>
          <w:color w:val="333333"/>
        </w:rPr>
        <w:t>偏爱</w:t>
      </w:r>
      <w:r>
        <w:rPr>
          <w:rFonts w:cs="Arial" w:hint="eastAsia"/>
          <w:color w:val="333333"/>
        </w:rPr>
        <w:t>或歧视任何人。”</w:t>
      </w:r>
    </w:p>
  </w:footnote>
  <w:footnote w:id="1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下文所述法规也适用于基于《普遍反歧视法》第</w:t>
      </w:r>
      <w:r>
        <w:rPr>
          <w:rFonts w:cs="Arial" w:hint="eastAsia"/>
          <w:color w:val="333333"/>
        </w:rPr>
        <w:t>1</w:t>
      </w:r>
      <w:r>
        <w:rPr>
          <w:rFonts w:cs="Arial" w:hint="eastAsia"/>
          <w:color w:val="333333"/>
        </w:rPr>
        <w:t>条所列的其他理由的歧视事件。</w:t>
      </w:r>
    </w:p>
  </w:footnote>
  <w:footnote w:id="1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在这方面，《普遍反歧视法》扩大了保护范围。在该法在</w:t>
      </w:r>
      <w:r>
        <w:rPr>
          <w:rFonts w:cs="Arial" w:hint="eastAsia"/>
          <w:color w:val="333333"/>
        </w:rPr>
        <w:t>2006</w:t>
      </w:r>
      <w:r>
        <w:rPr>
          <w:rFonts w:cs="Arial" w:hint="eastAsia"/>
          <w:color w:val="333333"/>
        </w:rPr>
        <w:t>年生效之前，只有重度残疾人才享有受保护的权利，现在包括所有残疾人。</w:t>
      </w:r>
    </w:p>
  </w:footnote>
  <w:footnote w:id="2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总共提供了</w:t>
      </w:r>
      <w:r>
        <w:rPr>
          <w:rFonts w:cs="Arial" w:hint="eastAsia"/>
          <w:color w:val="333333"/>
        </w:rPr>
        <w:t>8</w:t>
      </w:r>
      <w:r>
        <w:rPr>
          <w:rFonts w:cs="Arial"/>
          <w:color w:val="333333"/>
        </w:rPr>
        <w:t>,</w:t>
      </w:r>
      <w:r>
        <w:rPr>
          <w:rFonts w:cs="Arial" w:hint="eastAsia"/>
          <w:color w:val="333333"/>
        </w:rPr>
        <w:t>842</w:t>
      </w:r>
      <w:r>
        <w:rPr>
          <w:rFonts w:cs="Arial" w:hint="eastAsia"/>
          <w:color w:val="333333"/>
        </w:rPr>
        <w:t>次咨询意见。资料来源：联邦反歧视局的调查，</w:t>
      </w:r>
      <w:r>
        <w:rPr>
          <w:rFonts w:cs="Arial" w:hint="eastAsia"/>
          <w:color w:val="333333"/>
        </w:rPr>
        <w:t>2011</w:t>
      </w:r>
      <w:r>
        <w:rPr>
          <w:rFonts w:cs="Arial" w:hint="eastAsia"/>
          <w:color w:val="333333"/>
        </w:rPr>
        <w:t>年</w:t>
      </w:r>
      <w:r>
        <w:rPr>
          <w:rFonts w:cs="Arial" w:hint="eastAsia"/>
          <w:color w:val="333333"/>
        </w:rPr>
        <w:t>4</w:t>
      </w:r>
      <w:r>
        <w:rPr>
          <w:rFonts w:cs="Arial" w:hint="eastAsia"/>
          <w:color w:val="333333"/>
        </w:rPr>
        <w:t>月版。</w:t>
      </w:r>
    </w:p>
  </w:footnote>
  <w:footnote w:id="2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参见《残疾人平等机会法》第</w:t>
      </w:r>
      <w:r>
        <w:rPr>
          <w:rFonts w:cs="Arial" w:hint="eastAsia"/>
          <w:color w:val="333333"/>
        </w:rPr>
        <w:t>15</w:t>
      </w:r>
      <w:r>
        <w:rPr>
          <w:rFonts w:cs="Arial" w:hint="eastAsia"/>
          <w:color w:val="333333"/>
        </w:rPr>
        <w:t>条。</w:t>
      </w:r>
    </w:p>
  </w:footnote>
  <w:footnote w:id="2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摘自：关于联合国《儿童权利公约》执行情况的第</w:t>
      </w:r>
      <w:r>
        <w:rPr>
          <w:rFonts w:cs="Arial" w:hint="eastAsia"/>
          <w:color w:val="333333"/>
        </w:rPr>
        <w:t>3</w:t>
      </w:r>
      <w:r>
        <w:rPr>
          <w:rFonts w:cs="Arial" w:hint="eastAsia"/>
          <w:color w:val="333333"/>
        </w:rPr>
        <w:t>次和第</w:t>
      </w:r>
      <w:r>
        <w:rPr>
          <w:rFonts w:cs="Arial" w:hint="eastAsia"/>
          <w:color w:val="333333"/>
        </w:rPr>
        <w:t>4</w:t>
      </w:r>
      <w:r>
        <w:rPr>
          <w:rFonts w:cs="Arial" w:hint="eastAsia"/>
          <w:color w:val="333333"/>
        </w:rPr>
        <w:t>次定期报告，第</w:t>
      </w:r>
      <w:r>
        <w:rPr>
          <w:rFonts w:cs="Arial" w:hint="eastAsia"/>
          <w:color w:val="333333"/>
        </w:rPr>
        <w:t>181</w:t>
      </w:r>
      <w:r>
        <w:rPr>
          <w:rFonts w:cs="Arial" w:hint="eastAsia"/>
          <w:color w:val="333333"/>
        </w:rPr>
        <w:t>段及此后段落。</w:t>
      </w:r>
    </w:p>
  </w:footnote>
  <w:footnote w:id="2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关于联合国《儿童权利公约》执行情况的第</w:t>
      </w:r>
      <w:r>
        <w:rPr>
          <w:rFonts w:cs="Arial"/>
          <w:color w:val="333333"/>
        </w:rPr>
        <w:t>3</w:t>
      </w:r>
      <w:r>
        <w:rPr>
          <w:rFonts w:cs="Arial" w:hint="eastAsia"/>
          <w:color w:val="333333"/>
        </w:rPr>
        <w:t>次和第</w:t>
      </w:r>
      <w:r>
        <w:rPr>
          <w:rFonts w:cs="Arial"/>
          <w:color w:val="333333"/>
        </w:rPr>
        <w:t>4</w:t>
      </w:r>
      <w:r>
        <w:rPr>
          <w:rFonts w:cs="Arial" w:hint="eastAsia"/>
          <w:color w:val="333333"/>
        </w:rPr>
        <w:t>次定期报告，第</w:t>
      </w:r>
      <w:r>
        <w:rPr>
          <w:rFonts w:cs="Arial"/>
          <w:color w:val="333333"/>
        </w:rPr>
        <w:t>181</w:t>
      </w:r>
      <w:r>
        <w:rPr>
          <w:rFonts w:cs="Arial" w:hint="eastAsia"/>
          <w:color w:val="333333"/>
        </w:rPr>
        <w:t>和</w:t>
      </w:r>
      <w:r>
        <w:rPr>
          <w:rFonts w:cs="Arial" w:hint="eastAsia"/>
          <w:color w:val="333333"/>
        </w:rPr>
        <w:t>182</w:t>
      </w:r>
      <w:r>
        <w:rPr>
          <w:rFonts w:cs="Arial" w:hint="eastAsia"/>
          <w:color w:val="333333"/>
        </w:rPr>
        <w:t>段。</w:t>
      </w:r>
    </w:p>
  </w:footnote>
  <w:footnote w:id="2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譬如，在</w:t>
      </w:r>
      <w:r>
        <w:rPr>
          <w:rFonts w:hint="eastAsia"/>
        </w:rPr>
        <w:t>《</w:t>
      </w:r>
      <w:r>
        <w:rPr>
          <w:rFonts w:cs="Arial"/>
          <w:i/>
          <w:color w:val="333333"/>
        </w:rPr>
        <w:t>Frankfurter Leseeule</w:t>
      </w:r>
      <w:r>
        <w:rPr>
          <w:rFonts w:hint="eastAsia"/>
        </w:rPr>
        <w:t>》</w:t>
      </w:r>
      <w:r>
        <w:rPr>
          <w:rFonts w:cs="Arial" w:hint="eastAsia"/>
          <w:color w:val="333333"/>
        </w:rPr>
        <w:t>儿童和青年书展</w:t>
      </w:r>
      <w:r>
        <w:rPr>
          <w:rFonts w:cs="Arial" w:hint="eastAsia"/>
          <w:color w:val="333333"/>
        </w:rPr>
        <w:t>(2009</w:t>
      </w:r>
      <w:r>
        <w:rPr>
          <w:rFonts w:cs="Arial" w:hint="eastAsia"/>
          <w:color w:val="333333"/>
        </w:rPr>
        <w:t>年</w:t>
      </w:r>
      <w:r>
        <w:rPr>
          <w:rFonts w:cs="Arial" w:hint="eastAsia"/>
          <w:color w:val="333333"/>
        </w:rPr>
        <w:t>11</w:t>
      </w:r>
      <w:r>
        <w:rPr>
          <w:rFonts w:cs="Arial" w:hint="eastAsia"/>
          <w:color w:val="333333"/>
        </w:rPr>
        <w:t>月</w:t>
      </w:r>
      <w:r>
        <w:rPr>
          <w:rFonts w:cs="Arial" w:hint="eastAsia"/>
          <w:color w:val="333333"/>
        </w:rPr>
        <w:t>)</w:t>
      </w:r>
      <w:r>
        <w:rPr>
          <w:rFonts w:cs="Arial" w:hint="eastAsia"/>
          <w:color w:val="333333"/>
        </w:rPr>
        <w:t>范围内的</w:t>
      </w:r>
      <w:r>
        <w:rPr>
          <w:rFonts w:hint="eastAsia"/>
        </w:rPr>
        <w:t>《</w:t>
      </w:r>
      <w:r>
        <w:rPr>
          <w:rFonts w:cs="Arial" w:hint="eastAsia"/>
          <w:color w:val="333333"/>
        </w:rPr>
        <w:t>不要使我</w:t>
      </w:r>
      <w:r>
        <w:rPr>
          <w:rFonts w:cs="Arial"/>
          <w:color w:val="333333"/>
        </w:rPr>
        <w:t>残废</w:t>
      </w:r>
      <w:r>
        <w:rPr>
          <w:rFonts w:cs="Arial" w:hint="eastAsia"/>
          <w:color w:val="333333"/>
        </w:rPr>
        <w:t>或阻碍我》</w:t>
      </w:r>
      <w:r>
        <w:rPr>
          <w:rFonts w:cs="Arial" w:hint="eastAsia"/>
          <w:color w:val="333333"/>
        </w:rPr>
        <w:t>(</w:t>
      </w:r>
      <w:r>
        <w:rPr>
          <w:rFonts w:cs="Arial"/>
          <w:i/>
          <w:color w:val="333333"/>
        </w:rPr>
        <w:t>Behindert mich nicht</w:t>
      </w:r>
      <w:r>
        <w:rPr>
          <w:rFonts w:cs="Arial" w:hint="eastAsia"/>
          <w:color w:val="333333"/>
        </w:rPr>
        <w:t>)</w:t>
      </w:r>
      <w:r>
        <w:rPr>
          <w:rFonts w:cs="Arial" w:hint="eastAsia"/>
          <w:color w:val="333333"/>
        </w:rPr>
        <w:t>，人民、道德和科学研究所</w:t>
      </w:r>
      <w:r>
        <w:rPr>
          <w:rFonts w:cs="Arial" w:hint="eastAsia"/>
          <w:color w:val="333333"/>
        </w:rPr>
        <w:t>(</w:t>
      </w:r>
      <w:r>
        <w:rPr>
          <w:rFonts w:cs="Arial"/>
          <w:i/>
          <w:color w:val="333333"/>
        </w:rPr>
        <w:t>Institut Mensch</w:t>
      </w:r>
      <w:r>
        <w:rPr>
          <w:rFonts w:cs="Arial"/>
          <w:i/>
          <w:color w:val="333333"/>
        </w:rPr>
        <w:t>，</w:t>
      </w:r>
      <w:r>
        <w:rPr>
          <w:rFonts w:cs="Arial"/>
          <w:i/>
          <w:color w:val="333333"/>
        </w:rPr>
        <w:t>Ethik und Wissenschaft</w:t>
      </w:r>
      <w:r>
        <w:rPr>
          <w:rFonts w:cs="Arial" w:hint="eastAsia"/>
          <w:color w:val="333333"/>
        </w:rPr>
        <w:t>)</w:t>
      </w:r>
      <w:r>
        <w:rPr>
          <w:rFonts w:cs="Arial" w:hint="eastAsia"/>
          <w:color w:val="333333"/>
        </w:rPr>
        <w:t>举办的</w:t>
      </w:r>
      <w:r>
        <w:rPr>
          <w:rFonts w:hint="eastAsia"/>
        </w:rPr>
        <w:t>关于</w:t>
      </w:r>
      <w:r>
        <w:rPr>
          <w:rFonts w:cs="Arial" w:hint="eastAsia"/>
          <w:color w:val="333333"/>
        </w:rPr>
        <w:t>《公约</w:t>
      </w:r>
      <w:r>
        <w:rPr>
          <w:rFonts w:hint="eastAsia"/>
        </w:rPr>
        <w:t>》的</w:t>
      </w:r>
      <w:r>
        <w:rPr>
          <w:rFonts w:cs="Arial" w:hint="eastAsia"/>
          <w:color w:val="333333"/>
        </w:rPr>
        <w:t>实用性的题为</w:t>
      </w:r>
      <w:r>
        <w:rPr>
          <w:rFonts w:hint="eastAsia"/>
        </w:rPr>
        <w:t>“</w:t>
      </w:r>
      <w:r>
        <w:rPr>
          <w:rFonts w:cs="Arial" w:hint="eastAsia"/>
          <w:i/>
          <w:color w:val="333333"/>
        </w:rPr>
        <w:t xml:space="preserve">Inklusion </w:t>
      </w:r>
      <w:r>
        <w:rPr>
          <w:rFonts w:hint="eastAsia"/>
          <w:i/>
        </w:rPr>
        <w:t>konkret</w:t>
      </w:r>
      <w:r>
        <w:rPr>
          <w:rFonts w:hint="eastAsia"/>
        </w:rPr>
        <w:t>”的</w:t>
      </w:r>
      <w:r>
        <w:rPr>
          <w:rFonts w:cs="Arial" w:hint="eastAsia"/>
          <w:color w:val="333333"/>
        </w:rPr>
        <w:t>会议</w:t>
      </w:r>
      <w:r>
        <w:rPr>
          <w:rFonts w:cs="Arial" w:hint="eastAsia"/>
          <w:color w:val="333333"/>
        </w:rPr>
        <w:t>(2011</w:t>
      </w:r>
      <w:r>
        <w:rPr>
          <w:rFonts w:cs="Arial" w:hint="eastAsia"/>
          <w:color w:val="333333"/>
        </w:rPr>
        <w:t>年</w:t>
      </w:r>
      <w:r>
        <w:rPr>
          <w:rFonts w:cs="Arial" w:hint="eastAsia"/>
          <w:color w:val="333333"/>
        </w:rPr>
        <w:t>3</w:t>
      </w:r>
      <w:r>
        <w:rPr>
          <w:rFonts w:cs="Arial" w:hint="eastAsia"/>
          <w:color w:val="333333"/>
        </w:rPr>
        <w:t>月</w:t>
      </w:r>
      <w:r>
        <w:rPr>
          <w:rFonts w:cs="Arial" w:hint="eastAsia"/>
          <w:color w:val="333333"/>
        </w:rPr>
        <w:t>21</w:t>
      </w:r>
      <w:r>
        <w:rPr>
          <w:rFonts w:cs="Arial" w:hint="eastAsia"/>
          <w:color w:val="333333"/>
        </w:rPr>
        <w:t>日和</w:t>
      </w:r>
      <w:r>
        <w:rPr>
          <w:rFonts w:cs="Arial" w:hint="eastAsia"/>
          <w:color w:val="333333"/>
        </w:rPr>
        <w:t>22</w:t>
      </w:r>
      <w:r>
        <w:rPr>
          <w:rFonts w:cs="Arial" w:hint="eastAsia"/>
          <w:color w:val="333333"/>
        </w:rPr>
        <w:t>日，柏林</w:t>
      </w:r>
      <w:r>
        <w:rPr>
          <w:rFonts w:cs="Arial" w:hint="eastAsia"/>
          <w:color w:val="333333"/>
        </w:rPr>
        <w:t>)</w:t>
      </w:r>
      <w:r>
        <w:rPr>
          <w:rFonts w:cs="Arial" w:hint="eastAsia"/>
          <w:color w:val="333333"/>
        </w:rPr>
        <w:t>，在北莱茵</w:t>
      </w:r>
      <w:r>
        <w:rPr>
          <w:rStyle w:val="longtext"/>
          <w:rFonts w:ascii="SimSun" w:hAnsi="SimSun" w:cs="Arial" w:hint="eastAsia"/>
          <w:color w:val="333333"/>
          <w:sz w:val="21"/>
          <w:szCs w:val="21"/>
        </w:rPr>
        <w:t>-</w:t>
      </w:r>
      <w:r>
        <w:rPr>
          <w:rFonts w:cs="Arial" w:hint="eastAsia"/>
          <w:color w:val="333333"/>
        </w:rPr>
        <w:t>威斯特法伦州为制定该州《行动计划》而进行的对话活动。</w:t>
      </w:r>
    </w:p>
  </w:footnote>
  <w:footnote w:id="25">
    <w:p w:rsidR="00893193" w:rsidRDefault="00893193">
      <w:pPr>
        <w:pStyle w:val="FootnoteText"/>
        <w:jc w:val="left"/>
        <w:rPr>
          <w:rFonts w:cs="Arial" w:hint="eastAsia"/>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已经以小册子形式公布了会议成果，关于此会议的更多报道，可在下面网站检索</w:t>
      </w:r>
      <w:r>
        <w:rPr>
          <w:rFonts w:cs="Arial"/>
          <w:color w:val="333333"/>
        </w:rPr>
        <w:t>www.</w:t>
      </w:r>
      <w:bookmarkStart w:id="10" w:name="_Hlt275179119"/>
      <w:bookmarkStart w:id="11" w:name="_Hlt275179120"/>
      <w:r>
        <w:rPr>
          <w:rFonts w:cs="Arial"/>
          <w:color w:val="333333"/>
        </w:rPr>
        <w:t>b</w:t>
      </w:r>
      <w:bookmarkEnd w:id="10"/>
      <w:bookmarkEnd w:id="11"/>
      <w:r>
        <w:rPr>
          <w:rFonts w:cs="Arial"/>
          <w:color w:val="333333"/>
        </w:rPr>
        <w:t>ehindertenbeauftragter.de/alle-inklusive Internet portal</w:t>
      </w:r>
      <w:r>
        <w:rPr>
          <w:rFonts w:cs="Arial" w:hint="eastAsia"/>
          <w:color w:val="333333"/>
        </w:rPr>
        <w:t>。</w:t>
      </w:r>
    </w:p>
  </w:footnote>
  <w:footnote w:id="26">
    <w:p w:rsidR="00893193" w:rsidRDefault="00893193">
      <w:pPr>
        <w:pStyle w:val="FootnoteText"/>
        <w:rPr>
          <w:rFonts w:cs="Arial" w:hint="eastAsia"/>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关于包容性范例图和活动的标准、申请表及更多信息，参见：</w:t>
      </w:r>
      <w:r>
        <w:rPr>
          <w:rFonts w:cs="Arial"/>
          <w:color w:val="333333"/>
        </w:rPr>
        <w:t>www.in</w:t>
      </w:r>
      <w:r>
        <w:rPr>
          <w:rFonts w:cs="Arial"/>
          <w:color w:val="333333"/>
        </w:rPr>
        <w:t>k</w:t>
      </w:r>
      <w:r>
        <w:rPr>
          <w:rFonts w:cs="Arial"/>
          <w:color w:val="333333"/>
        </w:rPr>
        <w:t>lusionslandkarte.de.</w:t>
      </w:r>
      <w:r>
        <w:rPr>
          <w:rFonts w:cs="Arial" w:hint="eastAsia"/>
          <w:color w:val="333333"/>
        </w:rPr>
        <w:t>。</w:t>
      </w:r>
    </w:p>
  </w:footnote>
  <w:footnote w:id="27">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参见《残疾人平等机会法》第</w:t>
      </w:r>
      <w:r>
        <w:rPr>
          <w:rFonts w:cs="Arial" w:hint="eastAsia"/>
          <w:color w:val="333333"/>
        </w:rPr>
        <w:t>4</w:t>
      </w:r>
      <w:r>
        <w:rPr>
          <w:rFonts w:cs="Arial" w:hint="eastAsia"/>
          <w:color w:val="333333"/>
        </w:rPr>
        <w:t>条。</w:t>
      </w:r>
    </w:p>
  </w:footnote>
  <w:footnote w:id="2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譬如，联邦劳动和社会事务部</w:t>
      </w:r>
      <w:r>
        <w:rPr>
          <w:rFonts w:cs="Arial" w:hint="eastAsia"/>
          <w:color w:val="333333"/>
        </w:rPr>
        <w:t>(</w:t>
      </w:r>
      <w:r>
        <w:rPr>
          <w:rFonts w:cs="Arial" w:hint="eastAsia"/>
          <w:color w:val="333333"/>
        </w:rPr>
        <w:t>主编</w:t>
      </w:r>
      <w:r>
        <w:rPr>
          <w:rFonts w:cs="Arial" w:hint="eastAsia"/>
          <w:color w:val="333333"/>
        </w:rPr>
        <w:t>)2010</w:t>
      </w:r>
      <w:r>
        <w:rPr>
          <w:rFonts w:cs="Arial" w:hint="eastAsia"/>
          <w:color w:val="333333"/>
        </w:rPr>
        <w:t>年</w:t>
      </w:r>
      <w:r>
        <w:rPr>
          <w:rFonts w:cs="Arial" w:hint="eastAsia"/>
          <w:color w:val="333333"/>
        </w:rPr>
        <w:t>1</w:t>
      </w:r>
      <w:r>
        <w:rPr>
          <w:rFonts w:cs="Arial" w:hint="eastAsia"/>
          <w:color w:val="333333"/>
        </w:rPr>
        <w:t>月的或联邦政府残疾人事务专员</w:t>
      </w:r>
      <w:r>
        <w:rPr>
          <w:rFonts w:cs="Arial" w:hint="eastAsia"/>
          <w:color w:val="333333"/>
        </w:rPr>
        <w:t>2010</w:t>
      </w:r>
      <w:r>
        <w:rPr>
          <w:rFonts w:cs="Arial" w:hint="eastAsia"/>
          <w:color w:val="333333"/>
        </w:rPr>
        <w:t>年年底的关于联合国《残疾人权利公约》的小册子。</w:t>
      </w:r>
    </w:p>
  </w:footnote>
  <w:footnote w:id="2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在联邦劳动和社会事务部因特网网站</w:t>
      </w:r>
      <w:r>
        <w:rPr>
          <w:rFonts w:cs="Arial"/>
          <w:color w:val="333333"/>
        </w:rPr>
        <w:t>www.bmas.de.</w:t>
      </w:r>
      <w:r>
        <w:rPr>
          <w:rFonts w:cs="Arial" w:hint="eastAsia"/>
          <w:color w:val="333333"/>
        </w:rPr>
        <w:t>主页上公布了“商定的目标”</w:t>
      </w:r>
      <w:r>
        <w:rPr>
          <w:color w:val="333333"/>
        </w:rPr>
        <w:t>记录</w:t>
      </w:r>
      <w:r>
        <w:rPr>
          <w:rFonts w:cs="Arial" w:hint="eastAsia"/>
          <w:color w:val="333333"/>
        </w:rPr>
        <w:t>。</w:t>
      </w:r>
    </w:p>
  </w:footnote>
  <w:footnote w:id="3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关于联邦卓越中心的更多详情，参见：</w:t>
      </w:r>
      <w:r>
        <w:rPr>
          <w:rFonts w:cs="Arial"/>
          <w:color w:val="333333"/>
        </w:rPr>
        <w:t>http://www.barrierefreiheit.de/</w:t>
      </w:r>
      <w:r>
        <w:rPr>
          <w:rFonts w:cs="Arial" w:hint="eastAsia"/>
          <w:color w:val="333333"/>
        </w:rPr>
        <w:t>。</w:t>
      </w:r>
    </w:p>
  </w:footnote>
  <w:footnote w:id="3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w:t>
      </w:r>
      <w:r>
        <w:rPr>
          <w:rFonts w:cs="Arial" w:hint="eastAsia"/>
          <w:color w:val="333333"/>
        </w:rPr>
        <w:t>每个人都享有生命权和人身安全权。</w:t>
      </w:r>
      <w:r>
        <w:rPr>
          <w:rFonts w:hint="eastAsia"/>
        </w:rPr>
        <w:t>”</w:t>
      </w:r>
    </w:p>
  </w:footnote>
  <w:footnote w:id="3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关于这个问题的更多信息，参见题为“</w:t>
      </w:r>
      <w:r>
        <w:rPr>
          <w:rFonts w:cs="Arial"/>
          <w:i/>
          <w:color w:val="333333"/>
        </w:rPr>
        <w:t>Schwangerschaftsberatung § 218-Informationen über das Schwangerschaftskonfliktgesetz und gesetzliche Regelungen im Kontext des § 218 Strafgesetzbuch</w:t>
      </w:r>
      <w:r>
        <w:rPr>
          <w:rFonts w:cs="Arial" w:hint="eastAsia"/>
          <w:color w:val="333333"/>
        </w:rPr>
        <w:t>”</w:t>
      </w:r>
      <w:r>
        <w:rPr>
          <w:rFonts w:cs="Arial" w:hint="eastAsia"/>
          <w:color w:val="333333"/>
        </w:rPr>
        <w:t>(</w:t>
      </w:r>
      <w:r>
        <w:rPr>
          <w:rFonts w:cs="Arial" w:hint="eastAsia"/>
          <w:color w:val="333333"/>
        </w:rPr>
        <w:t>联邦家庭事务、老年公民、妇女和青年部主编</w:t>
      </w:r>
      <w:r>
        <w:rPr>
          <w:rFonts w:cs="Arial" w:hint="eastAsia"/>
          <w:color w:val="333333"/>
        </w:rPr>
        <w:t>)</w:t>
      </w:r>
      <w:r>
        <w:rPr>
          <w:rFonts w:cs="Arial" w:hint="eastAsia"/>
          <w:color w:val="333333"/>
        </w:rPr>
        <w:t>，以及题为“</w:t>
      </w:r>
      <w:r>
        <w:rPr>
          <w:rFonts w:cs="Arial"/>
          <w:i/>
          <w:color w:val="333333"/>
        </w:rPr>
        <w:t>Informationsmaterial für Schwan-gere nach einem auffälligen Befund in der Pränataldiagnostik</w:t>
      </w:r>
      <w:r>
        <w:rPr>
          <w:rFonts w:cs="Arial" w:hint="eastAsia"/>
          <w:color w:val="333333"/>
        </w:rPr>
        <w:t>”的小册子，将由联邦健康教育中心提供，由《〈妊娠冲突法〉修正法》</w:t>
      </w:r>
      <w:r>
        <w:rPr>
          <w:rFonts w:cs="Arial" w:hint="eastAsia"/>
          <w:color w:val="333333"/>
        </w:rPr>
        <w:t>(</w:t>
      </w:r>
      <w:r>
        <w:rPr>
          <w:rFonts w:cs="Arial"/>
          <w:i/>
          <w:color w:val="333333"/>
        </w:rPr>
        <w:t>Gesetz zur Änderung des Schwangerschaftskonfliktgesetzes</w:t>
      </w:r>
      <w:r>
        <w:rPr>
          <w:rFonts w:cs="Arial" w:hint="eastAsia"/>
          <w:color w:val="333333"/>
        </w:rPr>
        <w:t>)</w:t>
      </w:r>
      <w:r>
        <w:rPr>
          <w:rFonts w:cs="Arial" w:hint="eastAsia"/>
          <w:color w:val="333333"/>
        </w:rPr>
        <w:t>最新推出，该法自</w:t>
      </w:r>
      <w:r>
        <w:rPr>
          <w:rFonts w:cs="Arial" w:hint="eastAsia"/>
          <w:color w:val="333333"/>
        </w:rPr>
        <w:t>2010</w:t>
      </w:r>
      <w:r>
        <w:rPr>
          <w:rFonts w:cs="Arial" w:hint="eastAsia"/>
          <w:color w:val="333333"/>
        </w:rPr>
        <w:t>年</w:t>
      </w:r>
      <w:r>
        <w:rPr>
          <w:rFonts w:cs="Arial" w:hint="eastAsia"/>
          <w:color w:val="333333"/>
        </w:rPr>
        <w:t>1</w:t>
      </w:r>
      <w:r>
        <w:rPr>
          <w:rFonts w:cs="Arial" w:hint="eastAsia"/>
          <w:color w:val="333333"/>
        </w:rPr>
        <w:t>月</w:t>
      </w:r>
      <w:r>
        <w:rPr>
          <w:rFonts w:cs="Arial" w:hint="eastAsia"/>
          <w:color w:val="333333"/>
        </w:rPr>
        <w:t>1</w:t>
      </w:r>
      <w:r>
        <w:rPr>
          <w:rFonts w:cs="Arial" w:hint="eastAsia"/>
          <w:color w:val="333333"/>
        </w:rPr>
        <w:t>日起生效。</w:t>
      </w:r>
    </w:p>
  </w:footnote>
  <w:footnote w:id="3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法院在指定监护人之前，必须听取当事人本人的意见。鉴于作为规则在当事人的</w:t>
      </w:r>
      <w:r>
        <w:rPr>
          <w:rFonts w:cs="Arial"/>
          <w:color w:val="333333"/>
        </w:rPr>
        <w:t>惯常环境</w:t>
      </w:r>
      <w:r>
        <w:rPr>
          <w:rFonts w:cs="Arial" w:hint="eastAsia"/>
          <w:color w:val="333333"/>
        </w:rPr>
        <w:t>中举行听证会，法院应告知当事人诉讼程序的全面情况，以确保每个有关人适合参加诉讼程序和表达自己的愿望和需求。</w:t>
      </w:r>
    </w:p>
  </w:footnote>
  <w:footnote w:id="3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联邦宪法法院，</w:t>
      </w:r>
      <w:r>
        <w:rPr>
          <w:rFonts w:cs="Arial" w:hint="eastAsia"/>
          <w:color w:val="333333"/>
        </w:rPr>
        <w:t>1998</w:t>
      </w:r>
      <w:r>
        <w:rPr>
          <w:rFonts w:cs="Arial" w:hint="eastAsia"/>
          <w:color w:val="333333"/>
        </w:rPr>
        <w:t>年</w:t>
      </w:r>
      <w:r>
        <w:rPr>
          <w:rFonts w:cs="Arial" w:hint="eastAsia"/>
          <w:color w:val="333333"/>
        </w:rPr>
        <w:t>3</w:t>
      </w:r>
      <w:r>
        <w:rPr>
          <w:rFonts w:cs="Arial" w:hint="eastAsia"/>
          <w:color w:val="333333"/>
        </w:rPr>
        <w:t>月</w:t>
      </w:r>
      <w:r>
        <w:rPr>
          <w:rFonts w:cs="Arial" w:hint="eastAsia"/>
          <w:color w:val="333333"/>
        </w:rPr>
        <w:t>23</w:t>
      </w:r>
      <w:r>
        <w:rPr>
          <w:rFonts w:cs="Arial" w:hint="eastAsia"/>
          <w:color w:val="333333"/>
        </w:rPr>
        <w:t>日第</w:t>
      </w:r>
      <w:r>
        <w:rPr>
          <w:rFonts w:cs="Arial"/>
          <w:color w:val="333333"/>
        </w:rPr>
        <w:t>2 BvR 2270/96–NJW 1998</w:t>
      </w:r>
      <w:r>
        <w:rPr>
          <w:rFonts w:cs="Arial" w:hint="eastAsia"/>
          <w:color w:val="333333"/>
        </w:rPr>
        <w:t>号判决</w:t>
      </w:r>
      <w:r>
        <w:rPr>
          <w:rFonts w:cs="Arial"/>
          <w:color w:val="333333"/>
        </w:rPr>
        <w:t>，</w:t>
      </w:r>
      <w:r>
        <w:rPr>
          <w:rFonts w:cs="Arial"/>
          <w:color w:val="333333"/>
        </w:rPr>
        <w:t>1744</w:t>
      </w:r>
      <w:r>
        <w:rPr>
          <w:rFonts w:cs="Arial" w:hint="eastAsia"/>
          <w:color w:val="333333"/>
        </w:rPr>
        <w:t>；联邦法院，</w:t>
      </w:r>
      <w:r>
        <w:rPr>
          <w:rFonts w:cs="Arial" w:hint="eastAsia"/>
          <w:color w:val="333333"/>
        </w:rPr>
        <w:t>2010</w:t>
      </w:r>
      <w:r>
        <w:rPr>
          <w:rFonts w:cs="Arial" w:hint="eastAsia"/>
          <w:color w:val="333333"/>
        </w:rPr>
        <w:t>年</w:t>
      </w:r>
      <w:r>
        <w:rPr>
          <w:rFonts w:cs="Arial" w:hint="eastAsia"/>
          <w:color w:val="333333"/>
        </w:rPr>
        <w:t>6</w:t>
      </w:r>
      <w:r>
        <w:rPr>
          <w:rFonts w:cs="Arial" w:hint="eastAsia"/>
          <w:color w:val="333333"/>
        </w:rPr>
        <w:t>月</w:t>
      </w:r>
      <w:r>
        <w:rPr>
          <w:rFonts w:cs="Arial" w:hint="eastAsia"/>
          <w:color w:val="333333"/>
        </w:rPr>
        <w:t>23</w:t>
      </w:r>
      <w:r>
        <w:rPr>
          <w:rFonts w:cs="Arial" w:hint="eastAsia"/>
          <w:color w:val="333333"/>
        </w:rPr>
        <w:t>日第</w:t>
      </w:r>
      <w:r>
        <w:rPr>
          <w:rFonts w:cs="Arial"/>
          <w:color w:val="333333"/>
        </w:rPr>
        <w:t>XVII ZB 118/10–FamRZ 2010</w:t>
      </w:r>
      <w:r>
        <w:rPr>
          <w:rFonts w:cs="Arial" w:hint="eastAsia"/>
          <w:color w:val="333333"/>
        </w:rPr>
        <w:t>号判决</w:t>
      </w:r>
      <w:r>
        <w:rPr>
          <w:rFonts w:cs="Arial"/>
          <w:color w:val="333333"/>
        </w:rPr>
        <w:t>，</w:t>
      </w:r>
      <w:r>
        <w:rPr>
          <w:rFonts w:cs="Arial"/>
          <w:color w:val="333333"/>
        </w:rPr>
        <w:t>1432</w:t>
      </w:r>
      <w:r>
        <w:rPr>
          <w:rFonts w:cs="Arial" w:hint="eastAsia"/>
          <w:color w:val="333333"/>
        </w:rPr>
        <w:t>。</w:t>
      </w:r>
    </w:p>
  </w:footnote>
  <w:footnote w:id="3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未经法院批准，只有在延迟会带来风险的情况下，才允许提供便利；必须事后不无故拖延地获得批准</w:t>
      </w:r>
      <w:r>
        <w:rPr>
          <w:rFonts w:cs="Arial" w:hint="eastAsia"/>
          <w:color w:val="333333"/>
        </w:rPr>
        <w:t>(</w:t>
      </w:r>
      <w:r>
        <w:rPr>
          <w:rFonts w:cs="Arial" w:hint="eastAsia"/>
          <w:color w:val="333333"/>
        </w:rPr>
        <w:t>第</w:t>
      </w:r>
      <w:r>
        <w:rPr>
          <w:rFonts w:cs="Arial" w:hint="eastAsia"/>
          <w:color w:val="333333"/>
        </w:rPr>
        <w:t>1906</w:t>
      </w:r>
      <w:r>
        <w:rPr>
          <w:rFonts w:cs="Arial" w:hint="eastAsia"/>
          <w:color w:val="333333"/>
        </w:rPr>
        <w:t>条第</w:t>
      </w:r>
      <w:r>
        <w:rPr>
          <w:rFonts w:cs="Arial" w:hint="eastAsia"/>
          <w:color w:val="333333"/>
        </w:rPr>
        <w:t>2</w:t>
      </w:r>
      <w:r>
        <w:rPr>
          <w:rFonts w:cs="Arial" w:hint="eastAsia"/>
          <w:color w:val="333333"/>
        </w:rPr>
        <w:t>款</w:t>
      </w:r>
      <w:r>
        <w:rPr>
          <w:rFonts w:cs="Arial" w:hint="eastAsia"/>
          <w:color w:val="333333"/>
        </w:rPr>
        <w:t>)</w:t>
      </w:r>
      <w:r>
        <w:rPr>
          <w:rFonts w:cs="Arial" w:hint="eastAsia"/>
          <w:color w:val="333333"/>
        </w:rPr>
        <w:t>。</w:t>
      </w:r>
    </w:p>
  </w:footnote>
  <w:footnote w:id="36">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《基本法》第</w:t>
      </w:r>
      <w:r>
        <w:rPr>
          <w:rFonts w:cs="Arial" w:hint="eastAsia"/>
          <w:color w:val="333333"/>
        </w:rPr>
        <w:t>1</w:t>
      </w:r>
      <w:r>
        <w:rPr>
          <w:rFonts w:cs="Arial" w:hint="eastAsia"/>
          <w:color w:val="333333"/>
        </w:rPr>
        <w:t>条第</w:t>
      </w:r>
      <w:r>
        <w:rPr>
          <w:rFonts w:hint="eastAsia"/>
        </w:rPr>
        <w:t>1</w:t>
      </w:r>
      <w:r>
        <w:rPr>
          <w:rFonts w:cs="Arial" w:hint="eastAsia"/>
          <w:color w:val="333333"/>
        </w:rPr>
        <w:t>款</w:t>
      </w:r>
      <w:r>
        <w:rPr>
          <w:rFonts w:hint="eastAsia"/>
        </w:rPr>
        <w:t>“</w:t>
      </w:r>
      <w:r>
        <w:rPr>
          <w:rFonts w:cs="Arial" w:hint="eastAsia"/>
          <w:color w:val="333333"/>
        </w:rPr>
        <w:t>人的尊严是不可侵犯的”，《基本法》第</w:t>
      </w:r>
      <w:r>
        <w:rPr>
          <w:rFonts w:hint="eastAsia"/>
        </w:rPr>
        <w:t>104</w:t>
      </w:r>
      <w:r>
        <w:rPr>
          <w:rFonts w:cs="Arial" w:hint="eastAsia"/>
          <w:color w:val="333333"/>
        </w:rPr>
        <w:t>条第</w:t>
      </w:r>
      <w:r>
        <w:rPr>
          <w:rFonts w:hint="eastAsia"/>
        </w:rPr>
        <w:t>1</w:t>
      </w:r>
      <w:r>
        <w:rPr>
          <w:rFonts w:hint="eastAsia"/>
        </w:rPr>
        <w:t>款</w:t>
      </w:r>
      <w:r>
        <w:rPr>
          <w:rFonts w:cs="Arial" w:hint="eastAsia"/>
          <w:color w:val="333333"/>
        </w:rPr>
        <w:t>“不得在精神或身体上虐待被监护人。</w:t>
      </w:r>
      <w:r>
        <w:rPr>
          <w:rFonts w:hint="eastAsia"/>
        </w:rPr>
        <w:t>”</w:t>
      </w:r>
    </w:p>
  </w:footnote>
  <w:footnote w:id="37">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color w:val="333333"/>
          <w:spacing w:val="-2"/>
        </w:rPr>
        <w:t>参见德意志联邦共和国</w:t>
      </w:r>
      <w:r>
        <w:rPr>
          <w:rFonts w:cs="Arial" w:hint="eastAsia"/>
          <w:color w:val="333333"/>
          <w:spacing w:val="-2"/>
        </w:rPr>
        <w:t>关于《</w:t>
      </w:r>
      <w:r>
        <w:rPr>
          <w:rFonts w:cs="Arial"/>
          <w:color w:val="333333"/>
          <w:spacing w:val="-2"/>
        </w:rPr>
        <w:t>消除对妇女一切形式歧视公约</w:t>
      </w:r>
      <w:r>
        <w:rPr>
          <w:rFonts w:cs="Arial" w:hint="eastAsia"/>
          <w:color w:val="333333"/>
          <w:spacing w:val="-2"/>
        </w:rPr>
        <w:t>》的</w:t>
      </w:r>
      <w:r>
        <w:rPr>
          <w:rFonts w:cs="Arial"/>
          <w:color w:val="333333"/>
          <w:spacing w:val="-2"/>
        </w:rPr>
        <w:t>第六</w:t>
      </w:r>
      <w:r>
        <w:rPr>
          <w:rFonts w:cs="Arial" w:hint="eastAsia"/>
          <w:color w:val="333333"/>
          <w:spacing w:val="-2"/>
        </w:rPr>
        <w:t>次</w:t>
      </w:r>
      <w:r>
        <w:rPr>
          <w:rFonts w:cs="Arial"/>
          <w:color w:val="333333"/>
          <w:spacing w:val="-2"/>
        </w:rPr>
        <w:t>报告第</w:t>
      </w:r>
      <w:r>
        <w:rPr>
          <w:rFonts w:cs="Arial"/>
          <w:color w:val="333333"/>
          <w:spacing w:val="-2"/>
        </w:rPr>
        <w:t>5</w:t>
      </w:r>
      <w:r>
        <w:rPr>
          <w:rFonts w:cs="Arial" w:hint="eastAsia"/>
          <w:color w:val="333333"/>
          <w:spacing w:val="-2"/>
        </w:rPr>
        <w:t>章和第</w:t>
      </w:r>
      <w:r>
        <w:rPr>
          <w:rFonts w:cs="Arial"/>
          <w:color w:val="333333"/>
          <w:spacing w:val="-2"/>
        </w:rPr>
        <w:t>2</w:t>
      </w:r>
      <w:r>
        <w:rPr>
          <w:rFonts w:cs="Arial" w:hint="eastAsia"/>
          <w:color w:val="333333"/>
          <w:spacing w:val="-2"/>
        </w:rPr>
        <w:t>章。</w:t>
      </w:r>
    </w:p>
  </w:footnote>
  <w:footnote w:id="3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sidRPr="009407AE">
        <w:rPr>
          <w:rFonts w:cs="Arial"/>
          <w:i/>
          <w:iCs/>
          <w:color w:val="333333"/>
        </w:rPr>
        <w:t>A</w:t>
      </w:r>
      <w:r>
        <w:rPr>
          <w:rFonts w:cs="Arial"/>
          <w:i/>
          <w:color w:val="333333"/>
        </w:rPr>
        <w:t>ktionsplan II der Bundesregierung zur Bekämpfung von Gewalt gegen Frauen</w:t>
      </w:r>
      <w:r>
        <w:rPr>
          <w:rFonts w:cs="Arial"/>
          <w:color w:val="333333"/>
        </w:rPr>
        <w:t>，联邦家庭事务</w:t>
      </w:r>
      <w:r>
        <w:rPr>
          <w:rFonts w:cs="Arial" w:hint="eastAsia"/>
          <w:color w:val="333333"/>
        </w:rPr>
        <w:t>、</w:t>
      </w:r>
      <w:r>
        <w:rPr>
          <w:rFonts w:cs="Arial"/>
          <w:color w:val="333333"/>
        </w:rPr>
        <w:t>老年</w:t>
      </w:r>
      <w:r>
        <w:rPr>
          <w:rFonts w:cs="Arial" w:hint="eastAsia"/>
          <w:color w:val="333333"/>
        </w:rPr>
        <w:t>公民、</w:t>
      </w:r>
      <w:r>
        <w:rPr>
          <w:rFonts w:cs="Arial"/>
          <w:color w:val="333333"/>
        </w:rPr>
        <w:t>妇女和青年部，柏林，</w:t>
      </w:r>
      <w:r>
        <w:rPr>
          <w:rFonts w:cs="Arial"/>
          <w:color w:val="333333"/>
        </w:rPr>
        <w:t>2009</w:t>
      </w:r>
      <w:r>
        <w:rPr>
          <w:rFonts w:cs="Arial" w:hint="eastAsia"/>
          <w:color w:val="333333"/>
        </w:rPr>
        <w:t>年</w:t>
      </w:r>
      <w:r>
        <w:rPr>
          <w:rFonts w:cs="Arial" w:hint="eastAsia"/>
          <w:color w:val="333333"/>
        </w:rPr>
        <w:t>5</w:t>
      </w:r>
      <w:r>
        <w:rPr>
          <w:rFonts w:cs="Arial" w:hint="eastAsia"/>
          <w:color w:val="333333"/>
        </w:rPr>
        <w:t>月</w:t>
      </w:r>
      <w:r>
        <w:rPr>
          <w:rFonts w:cs="Arial"/>
          <w:color w:val="333333"/>
        </w:rPr>
        <w:t>，第二版，</w:t>
      </w:r>
      <w:r>
        <w:rPr>
          <w:rFonts w:cs="Arial" w:hint="eastAsia"/>
          <w:color w:val="333333"/>
        </w:rPr>
        <w:t>第</w:t>
      </w:r>
      <w:r>
        <w:rPr>
          <w:rFonts w:cs="Arial"/>
          <w:color w:val="333333"/>
        </w:rPr>
        <w:t>23</w:t>
      </w:r>
      <w:r>
        <w:rPr>
          <w:rFonts w:cs="Arial"/>
          <w:color w:val="333333"/>
        </w:rPr>
        <w:t>页</w:t>
      </w:r>
      <w:r>
        <w:rPr>
          <w:rFonts w:cs="Arial" w:hint="eastAsia"/>
          <w:color w:val="333333"/>
        </w:rPr>
        <w:t>及此后页</w:t>
      </w:r>
      <w:r>
        <w:rPr>
          <w:rFonts w:cs="Arial"/>
          <w:color w:val="333333"/>
        </w:rPr>
        <w:t>。</w:t>
      </w:r>
    </w:p>
  </w:footnote>
  <w:footnote w:id="3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譬如，由</w:t>
      </w:r>
      <w:r>
        <w:rPr>
          <w:rFonts w:cs="Arial" w:hint="eastAsia"/>
          <w:color w:val="333333"/>
        </w:rPr>
        <w:t>2003</w:t>
      </w:r>
      <w:r>
        <w:rPr>
          <w:rFonts w:cs="Arial" w:hint="eastAsia"/>
          <w:color w:val="333333"/>
        </w:rPr>
        <w:t>年</w:t>
      </w:r>
      <w:r>
        <w:rPr>
          <w:rFonts w:cs="Arial" w:hint="eastAsia"/>
          <w:color w:val="333333"/>
        </w:rPr>
        <w:t>12</w:t>
      </w:r>
      <w:r>
        <w:rPr>
          <w:rFonts w:cs="Arial" w:hint="eastAsia"/>
          <w:color w:val="333333"/>
        </w:rPr>
        <w:t>月</w:t>
      </w:r>
      <w:r>
        <w:rPr>
          <w:rFonts w:cs="Arial" w:hint="eastAsia"/>
          <w:color w:val="333333"/>
        </w:rPr>
        <w:t>27</w:t>
      </w:r>
      <w:r>
        <w:rPr>
          <w:rFonts w:cs="Arial" w:hint="eastAsia"/>
          <w:color w:val="333333"/>
        </w:rPr>
        <w:t>日《〈违反性自决刑事罪行条例〉和其他条例修正法》</w:t>
      </w:r>
      <w:r>
        <w:rPr>
          <w:rFonts w:cs="Arial" w:hint="eastAsia"/>
          <w:color w:val="333333"/>
        </w:rPr>
        <w:t>(</w:t>
      </w:r>
      <w:r>
        <w:rPr>
          <w:rFonts w:cs="Arial"/>
          <w:i/>
          <w:color w:val="333333"/>
        </w:rPr>
        <w:t>Gesetz zur Änderung der Vorschriften über die Straftaten gegen die sexuelle Selbstbestimmung und zur Änderung anderer Vorschriften</w:t>
      </w:r>
      <w:r>
        <w:rPr>
          <w:rFonts w:cs="Arial"/>
          <w:color w:val="333333"/>
        </w:rPr>
        <w:t>)</w:t>
      </w:r>
      <w:r>
        <w:rPr>
          <w:rFonts w:cs="Arial"/>
          <w:color w:val="333333"/>
        </w:rPr>
        <w:t>，</w:t>
      </w:r>
      <w:r>
        <w:rPr>
          <w:rFonts w:cs="Arial" w:hint="eastAsia"/>
          <w:color w:val="333333"/>
        </w:rPr>
        <w:t>(</w:t>
      </w:r>
      <w:r>
        <w:rPr>
          <w:rFonts w:cs="Arial" w:hint="eastAsia"/>
          <w:color w:val="333333"/>
        </w:rPr>
        <w:t>《联邦法律公报</w:t>
      </w:r>
      <w:r>
        <w:rPr>
          <w:rFonts w:hint="eastAsia"/>
        </w:rPr>
        <w:t>》，</w:t>
      </w:r>
      <w:r>
        <w:rPr>
          <w:rFonts w:cs="Arial" w:hint="eastAsia"/>
          <w:color w:val="333333"/>
        </w:rPr>
        <w:t>2003</w:t>
      </w:r>
      <w:r>
        <w:rPr>
          <w:rFonts w:cs="Arial" w:hint="eastAsia"/>
          <w:color w:val="333333"/>
        </w:rPr>
        <w:t>年，第一部分，第</w:t>
      </w:r>
      <w:r>
        <w:rPr>
          <w:rFonts w:cs="Arial" w:hint="eastAsia"/>
          <w:color w:val="333333"/>
        </w:rPr>
        <w:t>3007</w:t>
      </w:r>
      <w:r>
        <w:rPr>
          <w:rFonts w:cs="Arial" w:hint="eastAsia"/>
          <w:color w:val="333333"/>
        </w:rPr>
        <w:t>页</w:t>
      </w:r>
      <w:r>
        <w:rPr>
          <w:rFonts w:cs="Arial" w:hint="eastAsia"/>
          <w:color w:val="333333"/>
        </w:rPr>
        <w:t>)</w:t>
      </w:r>
      <w:r>
        <w:rPr>
          <w:rFonts w:cs="Arial" w:hint="eastAsia"/>
          <w:color w:val="333333"/>
        </w:rPr>
        <w:t>。</w:t>
      </w:r>
    </w:p>
  </w:footnote>
  <w:footnote w:id="40">
    <w:p w:rsidR="00893193" w:rsidRDefault="00893193">
      <w:pPr>
        <w:pStyle w:val="FootnoteText"/>
        <w:rPr>
          <w:rFonts w:cs="Arial"/>
          <w:color w:val="333333"/>
        </w:rPr>
      </w:pPr>
      <w:r>
        <w:rPr>
          <w:rFonts w:cs="Arial"/>
          <w:color w:val="333333"/>
        </w:rPr>
        <w:tab/>
      </w:r>
      <w:r>
        <w:rPr>
          <w:rStyle w:val="FootnoteReference"/>
          <w:rFonts w:eastAsia="STKaiti"/>
          <w:snapToGrid/>
          <w:szCs w:val="21"/>
          <w:lang w:eastAsia="en-US"/>
        </w:rPr>
        <w:footnoteRef/>
      </w:r>
      <w:r>
        <w:rPr>
          <w:rFonts w:cs="Arial"/>
          <w:color w:val="333333"/>
        </w:rPr>
        <w:tab/>
      </w:r>
      <w:r>
        <w:rPr>
          <w:rFonts w:cs="Arial" w:hint="eastAsia"/>
          <w:color w:val="333333"/>
        </w:rPr>
        <w:t>圆桌会议</w:t>
      </w:r>
      <w:r>
        <w:rPr>
          <w:rFonts w:ascii="SimSun" w:hAnsi="SimSun" w:cs="Arial" w:hint="eastAsia"/>
          <w:color w:val="333333"/>
          <w:sz w:val="21"/>
          <w:szCs w:val="21"/>
        </w:rPr>
        <w:t>-</w:t>
      </w:r>
      <w:r>
        <w:rPr>
          <w:rFonts w:cs="Arial" w:hint="eastAsia"/>
          <w:color w:val="333333"/>
        </w:rPr>
        <w:t>在私人和公共设施及在家庭依赖关系中和在权力状况下性虐待儿童。</w:t>
      </w:r>
    </w:p>
  </w:footnote>
  <w:footnote w:id="4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一个在德国出生的孩子，父母都是外国人，如果父母中有一人此时已经在德国合法居住了</w:t>
      </w:r>
      <w:r>
        <w:rPr>
          <w:rFonts w:hint="eastAsia"/>
        </w:rPr>
        <w:t>8</w:t>
      </w:r>
      <w:r>
        <w:rPr>
          <w:rFonts w:hint="eastAsia"/>
        </w:rPr>
        <w:t>年，这个孩子是德国人。</w:t>
      </w:r>
    </w:p>
  </w:footnote>
  <w:footnote w:id="4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在没有阶梯的意义上，</w:t>
      </w:r>
      <w:r>
        <w:rPr>
          <w:rFonts w:hint="eastAsia"/>
        </w:rPr>
        <w:t>57%</w:t>
      </w:r>
      <w:r>
        <w:rPr>
          <w:rFonts w:hint="eastAsia"/>
        </w:rPr>
        <w:t>的火车站是无障碍的。更重要的是，光学</w:t>
      </w:r>
      <w:r>
        <w:rPr>
          <w:rStyle w:val="longtext"/>
          <w:rFonts w:ascii="SimSun" w:hAnsi="SimSun" w:cs="Arial" w:hint="eastAsia"/>
          <w:color w:val="333333"/>
          <w:sz w:val="21"/>
          <w:szCs w:val="21"/>
        </w:rPr>
        <w:t>-</w:t>
      </w:r>
      <w:r>
        <w:rPr>
          <w:rFonts w:hint="eastAsia"/>
        </w:rPr>
        <w:t>触觉地板指示器使视障乘客更容易看清。一些火车站的扶手已经有</w:t>
      </w:r>
      <w:r>
        <w:rPr>
          <w:color w:val="333333"/>
        </w:rPr>
        <w:t>棱柱</w:t>
      </w:r>
      <w:r>
        <w:rPr>
          <w:rFonts w:hint="eastAsia"/>
        </w:rPr>
        <w:t>或盲文字母或真触觉地图。此外，在新一代服务点，为有听力障碍的人配备了语音放大</w:t>
      </w:r>
      <w:r>
        <w:rPr>
          <w:color w:val="333333"/>
        </w:rPr>
        <w:t>电磁感应圈</w:t>
      </w:r>
      <w:r>
        <w:rPr>
          <w:rFonts w:hint="eastAsia"/>
        </w:rPr>
        <w:t>。</w:t>
      </w:r>
    </w:p>
  </w:footnote>
  <w:footnote w:id="4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根据《</w:t>
      </w:r>
      <w:r>
        <w:rPr>
          <w:rFonts w:cs="Arial"/>
          <w:color w:val="333333"/>
        </w:rPr>
        <w:t>机动车</w:t>
      </w:r>
      <w:r>
        <w:rPr>
          <w:rFonts w:cs="Arial" w:hint="eastAsia"/>
          <w:color w:val="333333"/>
        </w:rPr>
        <w:t>协助</w:t>
      </w:r>
      <w:r>
        <w:rPr>
          <w:rFonts w:hint="eastAsia"/>
        </w:rPr>
        <w:t>条例》</w:t>
      </w:r>
      <w:r>
        <w:rPr>
          <w:rFonts w:cs="Arial"/>
          <w:color w:val="333333"/>
        </w:rPr>
        <w:t>(</w:t>
      </w:r>
      <w:r>
        <w:rPr>
          <w:rFonts w:cs="Arial"/>
          <w:i/>
          <w:color w:val="333333"/>
        </w:rPr>
        <w:t>Kraftfahrzeughilfe-Verordnung</w:t>
      </w:r>
      <w:r>
        <w:rPr>
          <w:rFonts w:cs="Arial"/>
          <w:color w:val="333333"/>
        </w:rPr>
        <w:t>)</w:t>
      </w:r>
      <w:r>
        <w:rPr>
          <w:rFonts w:hint="eastAsia"/>
        </w:rPr>
        <w:t>，为参见工作提供</w:t>
      </w:r>
      <w:r>
        <w:rPr>
          <w:rFonts w:cs="Arial"/>
          <w:color w:val="333333"/>
        </w:rPr>
        <w:t>机动车</w:t>
      </w:r>
      <w:r>
        <w:rPr>
          <w:rFonts w:cs="Arial" w:hint="eastAsia"/>
          <w:color w:val="333333"/>
        </w:rPr>
        <w:t>协助</w:t>
      </w:r>
      <w:r>
        <w:rPr>
          <w:rFonts w:hint="eastAsia"/>
        </w:rPr>
        <w:t>。</w:t>
      </w:r>
    </w:p>
  </w:footnote>
  <w:footnote w:id="4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欧洲议会和欧盟委员会</w:t>
      </w:r>
      <w:r>
        <w:rPr>
          <w:rFonts w:hint="eastAsia"/>
        </w:rPr>
        <w:t>2006</w:t>
      </w:r>
      <w:r>
        <w:rPr>
          <w:rFonts w:hint="eastAsia"/>
        </w:rPr>
        <w:t>年</w:t>
      </w:r>
      <w:r>
        <w:rPr>
          <w:rFonts w:hint="eastAsia"/>
        </w:rPr>
        <w:t>7</w:t>
      </w:r>
      <w:r>
        <w:rPr>
          <w:rFonts w:hint="eastAsia"/>
        </w:rPr>
        <w:t>月</w:t>
      </w:r>
      <w:r>
        <w:rPr>
          <w:rFonts w:hint="eastAsia"/>
        </w:rPr>
        <w:t>5</w:t>
      </w:r>
      <w:r>
        <w:rPr>
          <w:rFonts w:hint="eastAsia"/>
        </w:rPr>
        <w:t>日关于残疾人和行动能力减少的人乘飞机旅行权利的第</w:t>
      </w:r>
      <w:r>
        <w:rPr>
          <w:rFonts w:hint="eastAsia"/>
        </w:rPr>
        <w:t>(EC)1107/2006</w:t>
      </w:r>
      <w:r>
        <w:rPr>
          <w:rFonts w:hint="eastAsia"/>
        </w:rPr>
        <w:t>号法规</w:t>
      </w:r>
      <w:r>
        <w:rPr>
          <w:rFonts w:hint="eastAsia"/>
        </w:rPr>
        <w:t>(</w:t>
      </w:r>
      <w:r>
        <w:rPr>
          <w:rFonts w:hint="eastAsia"/>
        </w:rPr>
        <w:t>《欧盟官方公报》第</w:t>
      </w:r>
      <w:r>
        <w:rPr>
          <w:rFonts w:cs="Arial"/>
          <w:color w:val="333333"/>
        </w:rPr>
        <w:t>L 204/1</w:t>
      </w:r>
      <w:r>
        <w:rPr>
          <w:rFonts w:cs="Arial" w:hint="eastAsia"/>
          <w:color w:val="333333"/>
        </w:rPr>
        <w:t>期</w:t>
      </w:r>
      <w:r>
        <w:rPr>
          <w:rFonts w:hint="eastAsia"/>
        </w:rPr>
        <w:t>)</w:t>
      </w:r>
      <w:r>
        <w:rPr>
          <w:rFonts w:hint="eastAsia"/>
        </w:rPr>
        <w:t>。</w:t>
      </w:r>
    </w:p>
  </w:footnote>
  <w:footnote w:id="4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2002</w:t>
      </w:r>
      <w:r>
        <w:rPr>
          <w:rFonts w:hint="eastAsia"/>
        </w:rPr>
        <w:t>年</w:t>
      </w:r>
      <w:r>
        <w:rPr>
          <w:rFonts w:hint="eastAsia"/>
        </w:rPr>
        <w:t>7</w:t>
      </w:r>
      <w:r>
        <w:rPr>
          <w:rFonts w:hint="eastAsia"/>
        </w:rPr>
        <w:t>月</w:t>
      </w:r>
      <w:r>
        <w:rPr>
          <w:rFonts w:hint="eastAsia"/>
        </w:rPr>
        <w:t>17</w:t>
      </w:r>
      <w:r>
        <w:rPr>
          <w:rFonts w:hint="eastAsia"/>
        </w:rPr>
        <w:t>日</w:t>
      </w:r>
      <w:r>
        <w:rPr>
          <w:rFonts w:hint="eastAsia"/>
        </w:rPr>
        <w:t xml:space="preserve"> </w:t>
      </w:r>
      <w:r>
        <w:rPr>
          <w:rFonts w:hint="eastAsia"/>
        </w:rPr>
        <w:t>《交流协助条例》</w:t>
      </w:r>
      <w:r>
        <w:rPr>
          <w:rFonts w:hint="eastAsia"/>
        </w:rPr>
        <w:t>(</w:t>
      </w:r>
      <w:r>
        <w:rPr>
          <w:rFonts w:hint="eastAsia"/>
        </w:rPr>
        <w:t>《联邦法律公报》第一部分第</w:t>
      </w:r>
      <w:r>
        <w:rPr>
          <w:rFonts w:hint="eastAsia"/>
        </w:rPr>
        <w:t>2650</w:t>
      </w:r>
      <w:r>
        <w:rPr>
          <w:rFonts w:hint="eastAsia"/>
        </w:rPr>
        <w:t>页</w:t>
      </w:r>
      <w:r>
        <w:rPr>
          <w:rFonts w:hint="eastAsia"/>
        </w:rPr>
        <w:t>)</w:t>
      </w:r>
      <w:r>
        <w:rPr>
          <w:rFonts w:hint="eastAsia"/>
        </w:rPr>
        <w:t>，该法由</w:t>
      </w:r>
      <w:r>
        <w:rPr>
          <w:rFonts w:hint="eastAsia"/>
        </w:rPr>
        <w:t>2007</w:t>
      </w:r>
      <w:r>
        <w:rPr>
          <w:rFonts w:hint="eastAsia"/>
        </w:rPr>
        <w:t>年</w:t>
      </w:r>
      <w:r>
        <w:rPr>
          <w:rFonts w:hint="eastAsia"/>
        </w:rPr>
        <w:t>12</w:t>
      </w:r>
      <w:r>
        <w:rPr>
          <w:rFonts w:hint="eastAsia"/>
        </w:rPr>
        <w:t>月</w:t>
      </w:r>
      <w:r>
        <w:rPr>
          <w:rFonts w:hint="eastAsia"/>
        </w:rPr>
        <w:t>19</w:t>
      </w:r>
      <w:r>
        <w:rPr>
          <w:rFonts w:hint="eastAsia"/>
        </w:rPr>
        <w:t>日法案第</w:t>
      </w:r>
      <w:r>
        <w:rPr>
          <w:rFonts w:hint="eastAsia"/>
        </w:rPr>
        <w:t>15</w:t>
      </w:r>
      <w:r>
        <w:rPr>
          <w:rFonts w:hint="eastAsia"/>
        </w:rPr>
        <w:t>条修正</w:t>
      </w:r>
      <w:r>
        <w:rPr>
          <w:rFonts w:hint="eastAsia"/>
        </w:rPr>
        <w:t>(</w:t>
      </w:r>
      <w:r>
        <w:rPr>
          <w:rFonts w:hint="eastAsia"/>
        </w:rPr>
        <w:t>《联邦法律公报》第一部分第</w:t>
      </w:r>
      <w:r>
        <w:rPr>
          <w:rFonts w:hint="eastAsia"/>
        </w:rPr>
        <w:t>3024</w:t>
      </w:r>
      <w:r>
        <w:rPr>
          <w:rFonts w:hint="eastAsia"/>
        </w:rPr>
        <w:t>页</w:t>
      </w:r>
      <w:r>
        <w:rPr>
          <w:rFonts w:hint="eastAsia"/>
        </w:rPr>
        <w:t>)</w:t>
      </w:r>
      <w:r>
        <w:rPr>
          <w:rFonts w:hint="eastAsia"/>
        </w:rPr>
        <w:t>；</w:t>
      </w:r>
      <w:r>
        <w:rPr>
          <w:rFonts w:hint="eastAsia"/>
        </w:rPr>
        <w:t>2002</w:t>
      </w:r>
      <w:r>
        <w:rPr>
          <w:rFonts w:hint="eastAsia"/>
        </w:rPr>
        <w:t>年</w:t>
      </w:r>
      <w:r>
        <w:rPr>
          <w:rFonts w:hint="eastAsia"/>
        </w:rPr>
        <w:t>7</w:t>
      </w:r>
      <w:r>
        <w:rPr>
          <w:rFonts w:hint="eastAsia"/>
        </w:rPr>
        <w:t>月</w:t>
      </w:r>
      <w:r>
        <w:rPr>
          <w:rFonts w:hint="eastAsia"/>
        </w:rPr>
        <w:t>17</w:t>
      </w:r>
      <w:r>
        <w:rPr>
          <w:rFonts w:hint="eastAsia"/>
        </w:rPr>
        <w:t>日《</w:t>
      </w:r>
      <w:r>
        <w:rPr>
          <w:rFonts w:cs="Arial"/>
        </w:rPr>
        <w:t>联邦政府无障碍</w:t>
      </w:r>
      <w:r>
        <w:rPr>
          <w:rFonts w:cs="Arial" w:hint="eastAsia"/>
        </w:rPr>
        <w:t>文件</w:t>
      </w:r>
      <w:r>
        <w:rPr>
          <w:rFonts w:cs="Arial"/>
        </w:rPr>
        <w:t>条例</w:t>
      </w:r>
      <w:r>
        <w:rPr>
          <w:rFonts w:hint="eastAsia"/>
        </w:rPr>
        <w:t>》</w:t>
      </w:r>
      <w:r>
        <w:rPr>
          <w:rFonts w:hint="eastAsia"/>
        </w:rPr>
        <w:t>(</w:t>
      </w:r>
      <w:r>
        <w:rPr>
          <w:rFonts w:hint="eastAsia"/>
        </w:rPr>
        <w:t>《联邦法律公报》第一部分第</w:t>
      </w:r>
      <w:r>
        <w:rPr>
          <w:rFonts w:hint="eastAsia"/>
        </w:rPr>
        <w:t>2652</w:t>
      </w:r>
      <w:r>
        <w:rPr>
          <w:rFonts w:hint="eastAsia"/>
        </w:rPr>
        <w:t>页</w:t>
      </w:r>
      <w:r>
        <w:rPr>
          <w:rFonts w:hint="eastAsia"/>
        </w:rPr>
        <w:t>)</w:t>
      </w:r>
      <w:r>
        <w:rPr>
          <w:rFonts w:hint="eastAsia"/>
        </w:rPr>
        <w:t>；</w:t>
      </w:r>
      <w:r>
        <w:rPr>
          <w:rFonts w:hint="eastAsia"/>
        </w:rPr>
        <w:t>2002</w:t>
      </w:r>
      <w:r>
        <w:rPr>
          <w:rFonts w:hint="eastAsia"/>
        </w:rPr>
        <w:t>年</w:t>
      </w:r>
      <w:r>
        <w:rPr>
          <w:rFonts w:hint="eastAsia"/>
        </w:rPr>
        <w:t>7</w:t>
      </w:r>
      <w:r>
        <w:rPr>
          <w:rFonts w:hint="eastAsia"/>
        </w:rPr>
        <w:t>月</w:t>
      </w:r>
      <w:r>
        <w:rPr>
          <w:rFonts w:hint="eastAsia"/>
        </w:rPr>
        <w:t>17</w:t>
      </w:r>
      <w:r>
        <w:rPr>
          <w:rFonts w:hint="eastAsia"/>
        </w:rPr>
        <w:t>日《无障碍信息技术条例》</w:t>
      </w:r>
      <w:r>
        <w:rPr>
          <w:rFonts w:hint="eastAsia"/>
        </w:rPr>
        <w:t>(</w:t>
      </w:r>
      <w:r>
        <w:rPr>
          <w:rFonts w:hint="eastAsia"/>
        </w:rPr>
        <w:t>《联邦法律公报》第一部分第</w:t>
      </w:r>
      <w:r>
        <w:rPr>
          <w:rFonts w:hint="eastAsia"/>
        </w:rPr>
        <w:t>2654</w:t>
      </w:r>
      <w:r>
        <w:rPr>
          <w:rFonts w:hint="eastAsia"/>
        </w:rPr>
        <w:t>页</w:t>
      </w:r>
      <w:r>
        <w:rPr>
          <w:rFonts w:hint="eastAsia"/>
        </w:rPr>
        <w:t>)</w:t>
      </w:r>
      <w:r>
        <w:rPr>
          <w:rFonts w:hint="eastAsia"/>
        </w:rPr>
        <w:t>。</w:t>
      </w:r>
    </w:p>
  </w:footnote>
  <w:footnote w:id="46">
    <w:p w:rsidR="00893193" w:rsidRDefault="00893193">
      <w:pPr>
        <w:pStyle w:val="FootnoteText"/>
        <w:rPr>
          <w:rFonts w:cs="Arial" w:hint="eastAsia"/>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譬如：</w:t>
      </w:r>
      <w:r>
        <w:rPr>
          <w:rFonts w:cs="Arial"/>
          <w:color w:val="333333"/>
        </w:rPr>
        <w:t>www.service-bw.de from Baden-Württemberg.</w:t>
      </w:r>
      <w:r>
        <w:rPr>
          <w:rFonts w:cs="Arial" w:hint="eastAsia"/>
          <w:color w:val="333333"/>
        </w:rPr>
        <w:t>。</w:t>
      </w:r>
    </w:p>
  </w:footnote>
  <w:footnote w:id="47">
    <w:p w:rsidR="00893193" w:rsidRDefault="00893193">
      <w:pPr>
        <w:pStyle w:val="FootnoteText"/>
      </w:pPr>
      <w:r>
        <w:rPr>
          <w:rFonts w:cs="Arial"/>
          <w:color w:val="333333"/>
        </w:rPr>
        <w:tab/>
      </w:r>
      <w:r>
        <w:rPr>
          <w:rStyle w:val="FootnoteReference"/>
          <w:snapToGrid/>
          <w:szCs w:val="21"/>
          <w:lang w:eastAsia="en-US"/>
        </w:rPr>
        <w:footnoteRef/>
      </w:r>
      <w:r>
        <w:rPr>
          <w:rFonts w:cs="Arial"/>
          <w:color w:val="333333"/>
        </w:rPr>
        <w:tab/>
      </w:r>
      <w:r>
        <w:rPr>
          <w:rFonts w:cs="Arial"/>
          <w:color w:val="333333"/>
        </w:rPr>
        <w:t>保护</w:t>
      </w:r>
      <w:r>
        <w:rPr>
          <w:rFonts w:cs="Arial" w:hint="eastAsia"/>
          <w:color w:val="333333"/>
        </w:rPr>
        <w:t>公众</w:t>
      </w:r>
      <w:r>
        <w:rPr>
          <w:rFonts w:cs="Arial"/>
          <w:color w:val="333333"/>
        </w:rPr>
        <w:t>隐私，包括信息自决权，</w:t>
      </w:r>
      <w:r>
        <w:rPr>
          <w:rFonts w:cs="Arial"/>
        </w:rPr>
        <w:t>作为一</w:t>
      </w:r>
      <w:r>
        <w:rPr>
          <w:rFonts w:cs="Arial" w:hint="eastAsia"/>
        </w:rPr>
        <w:t>项</w:t>
      </w:r>
      <w:r>
        <w:rPr>
          <w:rFonts w:cs="Arial"/>
        </w:rPr>
        <w:t>原则，</w:t>
      </w:r>
      <w:r>
        <w:rPr>
          <w:rFonts w:cs="Arial" w:hint="eastAsia"/>
          <w:color w:val="333333"/>
        </w:rPr>
        <w:t>该权利赋予</w:t>
      </w:r>
      <w:r>
        <w:rPr>
          <w:rFonts w:cs="Arial"/>
        </w:rPr>
        <w:t>个人自己决定何时和在什么</w:t>
      </w:r>
      <w:r>
        <w:rPr>
          <w:rFonts w:cs="Arial" w:hint="eastAsia"/>
        </w:rPr>
        <w:t>范围之内</w:t>
      </w:r>
      <w:r>
        <w:rPr>
          <w:rFonts w:cs="Arial"/>
        </w:rPr>
        <w:t>公开他们的个人生活</w:t>
      </w:r>
      <w:r>
        <w:rPr>
          <w:rFonts w:cs="Arial" w:hint="eastAsia"/>
        </w:rPr>
        <w:t>情况的权利</w:t>
      </w:r>
      <w:r>
        <w:rPr>
          <w:rFonts w:cs="Arial"/>
        </w:rPr>
        <w:t>(</w:t>
      </w:r>
      <w:r>
        <w:rPr>
          <w:rFonts w:cs="Arial" w:hint="eastAsia"/>
        </w:rPr>
        <w:t>《</w:t>
      </w:r>
      <w:r>
        <w:rPr>
          <w:rFonts w:cs="Arial"/>
        </w:rPr>
        <w:t>基本法</w:t>
      </w:r>
      <w:r>
        <w:rPr>
          <w:rFonts w:cs="Arial" w:hint="eastAsia"/>
        </w:rPr>
        <w:t>)</w:t>
      </w:r>
      <w:r>
        <w:rPr>
          <w:rFonts w:cs="Arial" w:hint="eastAsia"/>
        </w:rPr>
        <w:t>》第</w:t>
      </w:r>
      <w:r>
        <w:rPr>
          <w:rFonts w:cs="Arial"/>
        </w:rPr>
        <w:t>2</w:t>
      </w:r>
      <w:r>
        <w:rPr>
          <w:rFonts w:cs="Arial" w:hint="eastAsia"/>
        </w:rPr>
        <w:t>条第</w:t>
      </w:r>
      <w:r>
        <w:rPr>
          <w:rFonts w:cs="Arial"/>
        </w:rPr>
        <w:t>1</w:t>
      </w:r>
      <w:r>
        <w:rPr>
          <w:rFonts w:cs="Arial" w:hint="eastAsia"/>
        </w:rPr>
        <w:t>款连同第</w:t>
      </w:r>
      <w:r>
        <w:rPr>
          <w:rFonts w:cs="Arial"/>
        </w:rPr>
        <w:t>1</w:t>
      </w:r>
      <w:r>
        <w:rPr>
          <w:rFonts w:cs="Arial" w:hint="eastAsia"/>
        </w:rPr>
        <w:t>条第</w:t>
      </w:r>
      <w:r>
        <w:rPr>
          <w:rFonts w:cs="Arial"/>
        </w:rPr>
        <w:t>1</w:t>
      </w:r>
      <w:r>
        <w:rPr>
          <w:rFonts w:cs="Arial" w:hint="eastAsia"/>
        </w:rPr>
        <w:t>款</w:t>
      </w:r>
      <w:r>
        <w:rPr>
          <w:rFonts w:cs="Arial"/>
        </w:rPr>
        <w:t>)</w:t>
      </w:r>
      <w:r>
        <w:rPr>
          <w:rFonts w:cs="Arial"/>
        </w:rPr>
        <w:t>；通信</w:t>
      </w:r>
      <w:r>
        <w:rPr>
          <w:rFonts w:cs="Arial" w:hint="eastAsia"/>
        </w:rPr>
        <w:t>、</w:t>
      </w:r>
      <w:r>
        <w:rPr>
          <w:rFonts w:cs="Arial"/>
        </w:rPr>
        <w:t>邮件</w:t>
      </w:r>
      <w:r>
        <w:rPr>
          <w:rFonts w:cs="Arial" w:hint="eastAsia"/>
        </w:rPr>
        <w:t>及电讯隐私</w:t>
      </w:r>
      <w:r>
        <w:rPr>
          <w:rFonts w:cs="Arial"/>
        </w:rPr>
        <w:t>(</w:t>
      </w:r>
      <w:r>
        <w:rPr>
          <w:rFonts w:cs="Arial" w:hint="eastAsia"/>
        </w:rPr>
        <w:t>《</w:t>
      </w:r>
      <w:r>
        <w:rPr>
          <w:rFonts w:cs="Arial"/>
        </w:rPr>
        <w:t>基本法</w:t>
      </w:r>
      <w:r>
        <w:rPr>
          <w:rFonts w:cs="Arial" w:hint="eastAsia"/>
        </w:rPr>
        <w:t>)</w:t>
      </w:r>
      <w:r>
        <w:rPr>
          <w:rFonts w:cs="Arial" w:hint="eastAsia"/>
        </w:rPr>
        <w:t>》第</w:t>
      </w:r>
      <w:r>
        <w:rPr>
          <w:rFonts w:cs="Arial"/>
        </w:rPr>
        <w:t>10</w:t>
      </w:r>
      <w:r>
        <w:rPr>
          <w:rFonts w:cs="Arial" w:hint="eastAsia"/>
        </w:rPr>
        <w:t>条</w:t>
      </w:r>
      <w:r>
        <w:rPr>
          <w:rFonts w:cs="Arial"/>
        </w:rPr>
        <w:t>)</w:t>
      </w:r>
      <w:r>
        <w:rPr>
          <w:rFonts w:cs="Arial" w:hint="eastAsia"/>
        </w:rPr>
        <w:t>；</w:t>
      </w:r>
      <w:r>
        <w:rPr>
          <w:rFonts w:cs="Arial"/>
        </w:rPr>
        <w:t>住宅不受侵犯</w:t>
      </w:r>
      <w:r>
        <w:rPr>
          <w:rFonts w:cs="Arial"/>
        </w:rPr>
        <w:t>(</w:t>
      </w:r>
      <w:r>
        <w:rPr>
          <w:rFonts w:cs="Arial" w:hint="eastAsia"/>
        </w:rPr>
        <w:t>《基本法</w:t>
      </w:r>
      <w:r>
        <w:rPr>
          <w:rFonts w:cs="Arial" w:hint="eastAsia"/>
        </w:rPr>
        <w:t>)</w:t>
      </w:r>
      <w:r>
        <w:rPr>
          <w:rFonts w:cs="Arial" w:hint="eastAsia"/>
        </w:rPr>
        <w:t>》第</w:t>
      </w:r>
      <w:r>
        <w:rPr>
          <w:rFonts w:cs="Arial"/>
        </w:rPr>
        <w:t>13</w:t>
      </w:r>
      <w:r>
        <w:rPr>
          <w:rFonts w:cs="Arial" w:hint="eastAsia"/>
        </w:rPr>
        <w:t>条</w:t>
      </w:r>
      <w:r>
        <w:rPr>
          <w:rFonts w:cs="Arial"/>
        </w:rPr>
        <w:t>)</w:t>
      </w:r>
      <w:r>
        <w:rPr>
          <w:rFonts w:cs="Arial"/>
        </w:rPr>
        <w:t>。</w:t>
      </w:r>
    </w:p>
    <w:p w:rsidR="00893193" w:rsidRDefault="00893193">
      <w:pPr>
        <w:pStyle w:val="FootnoteText"/>
      </w:pPr>
      <w:r>
        <w:tab/>
      </w:r>
      <w:r>
        <w:tab/>
      </w:r>
      <w:r>
        <w:rPr>
          <w:rFonts w:cs="Arial" w:hint="eastAsia"/>
          <w:color w:val="333333"/>
        </w:rPr>
        <w:t>在非宪法层面：保护荣誉</w:t>
      </w:r>
      <w:r>
        <w:rPr>
          <w:rFonts w:cs="Arial" w:hint="eastAsia"/>
          <w:color w:val="333333"/>
        </w:rPr>
        <w:t>(</w:t>
      </w:r>
      <w:r>
        <w:rPr>
          <w:rFonts w:cs="Arial" w:hint="eastAsia"/>
          <w:color w:val="333333"/>
        </w:rPr>
        <w:t>《刑法》第</w:t>
      </w:r>
      <w:r>
        <w:rPr>
          <w:rFonts w:cs="Arial" w:hint="eastAsia"/>
          <w:color w:val="333333"/>
        </w:rPr>
        <w:t>185</w:t>
      </w:r>
      <w:r>
        <w:rPr>
          <w:rFonts w:cs="Arial" w:hint="eastAsia"/>
        </w:rPr>
        <w:t>条及此后条款</w:t>
      </w:r>
      <w:r>
        <w:rPr>
          <w:rFonts w:cs="Arial" w:hint="eastAsia"/>
          <w:color w:val="333333"/>
        </w:rPr>
        <w:t>)</w:t>
      </w:r>
      <w:r>
        <w:rPr>
          <w:rFonts w:cs="Arial" w:hint="eastAsia"/>
          <w:color w:val="333333"/>
        </w:rPr>
        <w:t>和个人生活和保密</w:t>
      </w:r>
      <w:r>
        <w:rPr>
          <w:rFonts w:cs="Arial" w:hint="eastAsia"/>
          <w:color w:val="333333"/>
        </w:rPr>
        <w:t>(</w:t>
      </w:r>
      <w:r>
        <w:rPr>
          <w:rFonts w:cs="Arial" w:hint="eastAsia"/>
          <w:color w:val="333333"/>
        </w:rPr>
        <w:t>《刑法》第</w:t>
      </w:r>
      <w:r>
        <w:rPr>
          <w:rFonts w:cs="Arial" w:hint="eastAsia"/>
          <w:color w:val="333333"/>
        </w:rPr>
        <w:t>201</w:t>
      </w:r>
      <w:r>
        <w:rPr>
          <w:rFonts w:cs="Arial" w:hint="eastAsia"/>
        </w:rPr>
        <w:t>条及此后条款</w:t>
      </w:r>
      <w:r>
        <w:rPr>
          <w:rFonts w:cs="Arial" w:hint="eastAsia"/>
          <w:color w:val="333333"/>
        </w:rPr>
        <w:t>)</w:t>
      </w:r>
      <w:r>
        <w:rPr>
          <w:rFonts w:cs="Arial" w:hint="eastAsia"/>
          <w:color w:val="333333"/>
        </w:rPr>
        <w:t>。</w:t>
      </w:r>
    </w:p>
  </w:footnote>
  <w:footnote w:id="48">
    <w:p w:rsidR="00893193" w:rsidRDefault="00893193">
      <w:pPr>
        <w:pStyle w:val="FootnoteText"/>
      </w:pPr>
      <w:r>
        <w:tab/>
      </w:r>
      <w:r>
        <w:rPr>
          <w:rStyle w:val="FootnoteReference"/>
          <w:snapToGrid/>
          <w:szCs w:val="21"/>
          <w:lang w:eastAsia="en-US"/>
        </w:rPr>
        <w:footnoteRef/>
      </w:r>
      <w:r>
        <w:rPr>
          <w:rFonts w:cs="Arial"/>
          <w:color w:val="333333"/>
        </w:rPr>
        <w:tab/>
      </w:r>
      <w:r>
        <w:rPr>
          <w:rFonts w:cs="Arial" w:hint="eastAsia"/>
          <w:color w:val="333333"/>
        </w:rPr>
        <w:t>欧洲议会和欧盟委员会</w:t>
      </w:r>
      <w:r>
        <w:rPr>
          <w:rFonts w:cs="Arial" w:hint="eastAsia"/>
          <w:color w:val="333333"/>
        </w:rPr>
        <w:t>1995</w:t>
      </w:r>
      <w:r>
        <w:rPr>
          <w:rFonts w:cs="Arial" w:hint="eastAsia"/>
          <w:color w:val="333333"/>
        </w:rPr>
        <w:t>年</w:t>
      </w:r>
      <w:r>
        <w:rPr>
          <w:rFonts w:cs="Arial" w:hint="eastAsia"/>
          <w:color w:val="333333"/>
        </w:rPr>
        <w:t>10</w:t>
      </w:r>
      <w:r>
        <w:rPr>
          <w:rFonts w:cs="Arial" w:hint="eastAsia"/>
          <w:color w:val="333333"/>
        </w:rPr>
        <w:t>月</w:t>
      </w:r>
      <w:r>
        <w:rPr>
          <w:rFonts w:cs="Arial" w:hint="eastAsia"/>
          <w:color w:val="333333"/>
        </w:rPr>
        <w:t>24</w:t>
      </w:r>
      <w:r>
        <w:rPr>
          <w:rFonts w:cs="Arial" w:hint="eastAsia"/>
          <w:color w:val="333333"/>
        </w:rPr>
        <w:t>日关于在处理个人资料和此类数据自由流通中保护个人的第</w:t>
      </w:r>
      <w:r>
        <w:t>95/46/EC</w:t>
      </w:r>
      <w:r>
        <w:rPr>
          <w:rFonts w:hint="eastAsia"/>
        </w:rPr>
        <w:t>号</w:t>
      </w:r>
      <w:r>
        <w:rPr>
          <w:rFonts w:cs="Arial" w:hint="eastAsia"/>
          <w:color w:val="333333"/>
        </w:rPr>
        <w:t>指令。</w:t>
      </w:r>
    </w:p>
  </w:footnote>
  <w:footnote w:id="49">
    <w:p w:rsidR="00893193" w:rsidRDefault="00893193">
      <w:pPr>
        <w:pStyle w:val="FootnoteText"/>
        <w:rPr>
          <w:rFonts w:cs="Arial"/>
          <w:color w:val="333333"/>
        </w:rPr>
      </w:pPr>
      <w:r>
        <w:tab/>
      </w:r>
      <w:r>
        <w:rPr>
          <w:rStyle w:val="FootnoteReference"/>
          <w:snapToGrid/>
          <w:szCs w:val="21"/>
          <w:lang w:eastAsia="en-US"/>
        </w:rPr>
        <w:footnoteRef/>
      </w:r>
      <w:r>
        <w:rPr>
          <w:rFonts w:cs="Arial"/>
          <w:color w:val="333333"/>
        </w:rPr>
        <w:tab/>
      </w:r>
      <w:r>
        <w:rPr>
          <w:rFonts w:hint="eastAsia"/>
        </w:rPr>
        <w:t>欧洲委员会</w:t>
      </w:r>
      <w:r>
        <w:rPr>
          <w:rFonts w:hint="eastAsia"/>
        </w:rPr>
        <w:t>1981</w:t>
      </w:r>
      <w:r>
        <w:rPr>
          <w:rFonts w:hint="eastAsia"/>
        </w:rPr>
        <w:t>年</w:t>
      </w:r>
      <w:r>
        <w:rPr>
          <w:rFonts w:hint="eastAsia"/>
        </w:rPr>
        <w:t>1</w:t>
      </w:r>
      <w:r>
        <w:rPr>
          <w:rFonts w:hint="eastAsia"/>
        </w:rPr>
        <w:t>月</w:t>
      </w:r>
      <w:r>
        <w:rPr>
          <w:rFonts w:hint="eastAsia"/>
        </w:rPr>
        <w:t>28</w:t>
      </w:r>
      <w:r>
        <w:rPr>
          <w:rFonts w:hint="eastAsia"/>
        </w:rPr>
        <w:t>日关于在个人资料自动处理中保护个人的第</w:t>
      </w:r>
      <w:r>
        <w:rPr>
          <w:rFonts w:hint="eastAsia"/>
        </w:rPr>
        <w:t>108</w:t>
      </w:r>
      <w:r>
        <w:rPr>
          <w:rFonts w:hint="eastAsia"/>
        </w:rPr>
        <w:t>号公约，保障德国在处理个人数据中保护自然实体的隐私。</w:t>
      </w:r>
    </w:p>
  </w:footnote>
  <w:footnote w:id="5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它与已建立的判例法</w:t>
      </w:r>
      <w:r>
        <w:rPr>
          <w:rFonts w:hint="eastAsia"/>
        </w:rPr>
        <w:t>(</w:t>
      </w:r>
      <w:r>
        <w:rPr>
          <w:rFonts w:hint="eastAsia"/>
        </w:rPr>
        <w:t>包括巴伐利亚最高地区法院</w:t>
      </w:r>
      <w:r>
        <w:rPr>
          <w:rFonts w:hint="eastAsia"/>
        </w:rPr>
        <w:t>1996</w:t>
      </w:r>
      <w:r>
        <w:rPr>
          <w:rFonts w:hint="eastAsia"/>
        </w:rPr>
        <w:t>年的一项判决</w:t>
      </w:r>
      <w:r>
        <w:rPr>
          <w:rFonts w:hint="eastAsia"/>
        </w:rPr>
        <w:t>)</w:t>
      </w:r>
      <w:r>
        <w:rPr>
          <w:rFonts w:hint="eastAsia"/>
        </w:rPr>
        <w:t>相对应。法律行为能力只限于特别具体限制的事项</w:t>
      </w:r>
      <w:r>
        <w:rPr>
          <w:rFonts w:cs="Arial" w:hint="eastAsia"/>
        </w:rPr>
        <w:t>范围</w:t>
      </w:r>
      <w:r>
        <w:rPr>
          <w:rFonts w:hint="eastAsia"/>
        </w:rPr>
        <w:t>(</w:t>
      </w:r>
      <w:r>
        <w:rPr>
          <w:rFonts w:hint="eastAsia"/>
        </w:rPr>
        <w:t>所谓的部分法律行为能力</w:t>
      </w:r>
      <w:r>
        <w:rPr>
          <w:rFonts w:hint="eastAsia"/>
        </w:rPr>
        <w:t>)</w:t>
      </w:r>
      <w:r>
        <w:rPr>
          <w:rFonts w:hint="eastAsia"/>
        </w:rPr>
        <w:t>。</w:t>
      </w:r>
    </w:p>
  </w:footnote>
  <w:footnote w:id="5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参见：《社会法典》第九部第</w:t>
      </w:r>
      <w:r>
        <w:rPr>
          <w:rFonts w:hint="eastAsia"/>
        </w:rPr>
        <w:t>9</w:t>
      </w:r>
      <w:r>
        <w:rPr>
          <w:rFonts w:hint="eastAsia"/>
        </w:rPr>
        <w:t>条第</w:t>
      </w:r>
      <w:r>
        <w:rPr>
          <w:rFonts w:hint="eastAsia"/>
        </w:rPr>
        <w:t>1</w:t>
      </w:r>
      <w:r>
        <w:rPr>
          <w:rFonts w:hint="eastAsia"/>
        </w:rPr>
        <w:t>款。</w:t>
      </w:r>
    </w:p>
  </w:footnote>
  <w:footnote w:id="5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关于在幼儿园早期学习的描绘，提及关于第七条的信息。</w:t>
      </w:r>
    </w:p>
  </w:footnote>
  <w:footnote w:id="5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1994</w:t>
      </w:r>
      <w:r>
        <w:rPr>
          <w:rFonts w:cs="Arial" w:hint="eastAsia"/>
          <w:color w:val="333333"/>
        </w:rPr>
        <w:t>年</w:t>
      </w:r>
      <w:r>
        <w:rPr>
          <w:rFonts w:cs="Arial" w:hint="eastAsia"/>
          <w:color w:val="333333"/>
        </w:rPr>
        <w:t>5</w:t>
      </w:r>
      <w:r>
        <w:rPr>
          <w:rFonts w:cs="Arial" w:hint="eastAsia"/>
          <w:color w:val="333333"/>
        </w:rPr>
        <w:t>月</w:t>
      </w:r>
      <w:r>
        <w:rPr>
          <w:rFonts w:cs="Arial" w:hint="eastAsia"/>
          <w:color w:val="333333"/>
        </w:rPr>
        <w:t>6</w:t>
      </w:r>
      <w:r>
        <w:rPr>
          <w:rFonts w:cs="Arial" w:hint="eastAsia"/>
          <w:color w:val="333333"/>
        </w:rPr>
        <w:t>日教育和文化部部长会议决议案。</w:t>
      </w:r>
    </w:p>
  </w:footnote>
  <w:footnote w:id="5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关于学习、言语、智力发育、视觉、听觉、肢体和行动能力发展、情感和社会发展及有儿童自闭症行为的儿童的教育、患病儿童的教育等促进重点的建议，这些也是特需教育的根本。</w:t>
      </w:r>
    </w:p>
  </w:footnote>
  <w:footnote w:id="5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一般学校是一般教学学校和职业学校，不包括促进学校和促进中心。</w:t>
      </w:r>
    </w:p>
  </w:footnote>
  <w:footnote w:id="56">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所有残疾人和患长期病的人的主要组织，已经在德国残疾人理事会之中汇集在一起，形成了一个行动联盟。</w:t>
      </w:r>
    </w:p>
  </w:footnote>
  <w:footnote w:id="57">
    <w:p w:rsidR="00893193" w:rsidRDefault="00893193">
      <w:pPr>
        <w:pStyle w:val="FootnoteText"/>
        <w:rPr>
          <w:rFonts w:cs="Arial" w:hint="eastAsia"/>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spacing w:val="-4"/>
        </w:rPr>
        <w:t>参见：</w:t>
      </w:r>
      <w:r>
        <w:rPr>
          <w:rFonts w:cs="Arial"/>
          <w:color w:val="333333"/>
          <w:spacing w:val="-4"/>
        </w:rPr>
        <w:t>http://www.kmk.org/statistik/schule/statistiken/sonderpaedagogische-foerderung-in-schulen.html</w:t>
      </w:r>
      <w:r>
        <w:rPr>
          <w:rFonts w:cs="Arial" w:hint="eastAsia"/>
          <w:color w:val="333333"/>
          <w:spacing w:val="-4"/>
        </w:rPr>
        <w:t>。</w:t>
      </w:r>
    </w:p>
  </w:footnote>
  <w:footnote w:id="5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国家教育小</w:t>
      </w:r>
      <w:r>
        <w:rPr>
          <w:rFonts w:cs="Arial"/>
          <w:color w:val="333333"/>
        </w:rPr>
        <w:t>组</w:t>
      </w:r>
      <w:r>
        <w:rPr>
          <w:rFonts w:cs="Arial" w:hint="eastAsia"/>
          <w:color w:val="333333"/>
        </w:rPr>
        <w:t>收集的关于整个生命周期的在正式、非正式和非正规领域的技能发展、教育过程、教育决定和教育益处的长期分段数据。</w:t>
      </w:r>
    </w:p>
  </w:footnote>
  <w:footnote w:id="5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联合联邦委员会是德国医生、牙医、心理咨询师、医院和医疗保险基金会实行联合自治的最高决策机构。它以指南形式为</w:t>
      </w:r>
      <w:r>
        <w:rPr>
          <w:rFonts w:cs="Arial" w:hint="eastAsia"/>
          <w:color w:val="333333"/>
        </w:rPr>
        <w:t>7,000</w:t>
      </w:r>
      <w:r>
        <w:rPr>
          <w:rFonts w:cs="Arial" w:hint="eastAsia"/>
          <w:color w:val="333333"/>
        </w:rPr>
        <w:t>多万投保人确定法定医疗保险补贴清单，从而确定哪些医疗补贴退款。</w:t>
      </w:r>
    </w:p>
  </w:footnote>
  <w:footnote w:id="6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关于医疗手术和其他医疗保健设施无障碍情况的信息，可以通过下列网站检索：</w:t>
      </w:r>
      <w:r>
        <w:rPr>
          <w:rFonts w:cs="Arial"/>
          <w:color w:val="333333"/>
        </w:rPr>
        <w:t>www.einfach-teilhaben.de Internet portal</w:t>
      </w:r>
      <w:r>
        <w:rPr>
          <w:rFonts w:cs="Arial" w:hint="eastAsia"/>
          <w:color w:val="333333"/>
        </w:rPr>
        <w:t>。</w:t>
      </w:r>
    </w:p>
  </w:footnote>
  <w:footnote w:id="6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有</w:t>
      </w:r>
      <w:r>
        <w:rPr>
          <w:rFonts w:hint="eastAsia"/>
        </w:rPr>
        <w:t>20</w:t>
      </w:r>
      <w:r>
        <w:rPr>
          <w:rFonts w:hint="eastAsia"/>
        </w:rPr>
        <w:t>名或以上工人的雇主，必须以</w:t>
      </w:r>
      <w:r>
        <w:rPr>
          <w:rFonts w:hint="eastAsia"/>
        </w:rPr>
        <w:t>5%</w:t>
      </w:r>
      <w:r>
        <w:rPr>
          <w:rFonts w:hint="eastAsia"/>
        </w:rPr>
        <w:t>的工作职位，雇用重度残疾人或与之相当的残疾人</w:t>
      </w:r>
      <w:r>
        <w:rPr>
          <w:rFonts w:hint="eastAsia"/>
        </w:rPr>
        <w:t>(</w:t>
      </w:r>
      <w:r>
        <w:rPr>
          <w:rFonts w:hint="eastAsia"/>
        </w:rPr>
        <w:t>就业配额</w:t>
      </w:r>
      <w:r>
        <w:rPr>
          <w:rFonts w:hint="eastAsia"/>
        </w:rPr>
        <w:t>)</w:t>
      </w:r>
      <w:r>
        <w:rPr>
          <w:rFonts w:hint="eastAsia"/>
        </w:rPr>
        <w:t>。如果他们不履行这项义务，必须交付</w:t>
      </w:r>
      <w:r>
        <w:rPr>
          <w:rFonts w:hint="eastAsia"/>
        </w:rPr>
        <w:t>(</w:t>
      </w:r>
      <w:r>
        <w:rPr>
          <w:rFonts w:cs="Arial" w:hint="eastAsia"/>
        </w:rPr>
        <w:t>相应</w:t>
      </w:r>
      <w:r>
        <w:rPr>
          <w:rFonts w:hint="eastAsia"/>
        </w:rPr>
        <w:t>)</w:t>
      </w:r>
      <w:r>
        <w:rPr>
          <w:rFonts w:hint="eastAsia"/>
        </w:rPr>
        <w:t>补偿金。</w:t>
      </w:r>
    </w:p>
  </w:footnote>
  <w:footnote w:id="6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《社会法典》第九部第</w:t>
      </w:r>
      <w:r>
        <w:rPr>
          <w:rFonts w:hint="eastAsia"/>
        </w:rPr>
        <w:t>84</w:t>
      </w:r>
      <w:r>
        <w:rPr>
          <w:rFonts w:hint="eastAsia"/>
        </w:rPr>
        <w:t>条第</w:t>
      </w:r>
      <w:r>
        <w:rPr>
          <w:rFonts w:hint="eastAsia"/>
        </w:rPr>
        <w:t>2</w:t>
      </w:r>
      <w:r>
        <w:rPr>
          <w:rFonts w:hint="eastAsia"/>
        </w:rPr>
        <w:t>款。</w:t>
      </w:r>
    </w:p>
  </w:footnote>
  <w:footnote w:id="63">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在</w:t>
      </w:r>
      <w:r>
        <w:rPr>
          <w:rFonts w:hint="eastAsia"/>
        </w:rPr>
        <w:t>2010</w:t>
      </w:r>
      <w:r>
        <w:rPr>
          <w:rFonts w:hint="eastAsia"/>
        </w:rPr>
        <w:t>年，除其他外</w:t>
      </w:r>
      <w:r>
        <w:rPr>
          <w:rFonts w:hint="eastAsia"/>
          <w:b/>
        </w:rPr>
        <w:t>，</w:t>
      </w:r>
      <w:r>
        <w:rPr>
          <w:rFonts w:hint="eastAsia"/>
        </w:rPr>
        <w:t>可能创造</w:t>
      </w:r>
      <w:r>
        <w:rPr>
          <w:rFonts w:hint="eastAsia"/>
        </w:rPr>
        <w:t>2,055</w:t>
      </w:r>
      <w:r>
        <w:rPr>
          <w:rFonts w:hint="eastAsia"/>
        </w:rPr>
        <w:t>个新就业机会和</w:t>
      </w:r>
      <w:r>
        <w:rPr>
          <w:rFonts w:hint="eastAsia"/>
        </w:rPr>
        <w:t>552</w:t>
      </w:r>
      <w:r>
        <w:rPr>
          <w:rFonts w:hint="eastAsia"/>
        </w:rPr>
        <w:t>个新培训名额。</w:t>
      </w:r>
    </w:p>
  </w:footnote>
  <w:footnote w:id="6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来自联邦就业局的关于</w:t>
      </w:r>
      <w:r>
        <w:rPr>
          <w:rFonts w:hint="eastAsia"/>
        </w:rPr>
        <w:t>2008/2009</w:t>
      </w:r>
      <w:r>
        <w:rPr>
          <w:rFonts w:hint="eastAsia"/>
        </w:rPr>
        <w:t>培训年度的信息。</w:t>
      </w:r>
    </w:p>
  </w:footnote>
  <w:footnote w:id="65">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2008</w:t>
      </w:r>
      <w:r>
        <w:rPr>
          <w:rFonts w:hint="eastAsia"/>
        </w:rPr>
        <w:t>年</w:t>
      </w:r>
      <w:r>
        <w:rPr>
          <w:rFonts w:hint="eastAsia"/>
        </w:rPr>
        <w:t>12</w:t>
      </w:r>
      <w:r>
        <w:rPr>
          <w:rFonts w:hint="eastAsia"/>
        </w:rPr>
        <w:t>月</w:t>
      </w:r>
      <w:r>
        <w:rPr>
          <w:rFonts w:hint="eastAsia"/>
        </w:rPr>
        <w:t>22</w:t>
      </w:r>
      <w:r>
        <w:rPr>
          <w:rFonts w:hint="eastAsia"/>
        </w:rPr>
        <w:t>日《引进支持就业法》</w:t>
      </w:r>
      <w:r>
        <w:rPr>
          <w:rFonts w:hint="eastAsia"/>
        </w:rPr>
        <w:t>(</w:t>
      </w:r>
      <w:r>
        <w:rPr>
          <w:rFonts w:cs="Arial"/>
          <w:i/>
          <w:color w:val="333333"/>
        </w:rPr>
        <w:t>Gesetz zur Einführung Unterstützter Beschäftigung</w:t>
      </w:r>
      <w:r>
        <w:rPr>
          <w:rFonts w:hint="eastAsia"/>
        </w:rPr>
        <w:t>)</w:t>
      </w:r>
      <w:r>
        <w:rPr>
          <w:rFonts w:hint="eastAsia"/>
        </w:rPr>
        <w:t>，自</w:t>
      </w:r>
      <w:r>
        <w:rPr>
          <w:rFonts w:cs="Arial"/>
          <w:color w:val="333333"/>
        </w:rPr>
        <w:t>2009</w:t>
      </w:r>
      <w:r>
        <w:rPr>
          <w:rFonts w:cs="Arial" w:hint="eastAsia"/>
          <w:color w:val="333333"/>
        </w:rPr>
        <w:t>年</w:t>
      </w:r>
      <w:r>
        <w:rPr>
          <w:rFonts w:hint="eastAsia"/>
        </w:rPr>
        <w:t>1</w:t>
      </w:r>
      <w:r>
        <w:rPr>
          <w:rFonts w:hint="eastAsia"/>
        </w:rPr>
        <w:t>月</w:t>
      </w:r>
      <w:r>
        <w:rPr>
          <w:rFonts w:hint="eastAsia"/>
        </w:rPr>
        <w:t>1</w:t>
      </w:r>
      <w:r>
        <w:rPr>
          <w:rFonts w:hint="eastAsia"/>
        </w:rPr>
        <w:t>日起生效</w:t>
      </w:r>
      <w:r>
        <w:rPr>
          <w:rFonts w:hint="eastAsia"/>
        </w:rPr>
        <w:t>(</w:t>
      </w:r>
      <w:r>
        <w:rPr>
          <w:rFonts w:hint="eastAsia"/>
        </w:rPr>
        <w:t>《联邦法律公报》第一部分，第</w:t>
      </w:r>
      <w:r>
        <w:rPr>
          <w:rFonts w:hint="eastAsia"/>
        </w:rPr>
        <w:t>2959</w:t>
      </w:r>
      <w:r>
        <w:rPr>
          <w:rFonts w:hint="eastAsia"/>
        </w:rPr>
        <w:t>页</w:t>
      </w:r>
      <w:r>
        <w:rPr>
          <w:rFonts w:hint="eastAsia"/>
        </w:rPr>
        <w:t>)</w:t>
      </w:r>
      <w:r>
        <w:rPr>
          <w:rFonts w:hint="eastAsia"/>
        </w:rPr>
        <w:t>。</w:t>
      </w:r>
    </w:p>
  </w:footnote>
  <w:footnote w:id="66">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《基本法》第</w:t>
      </w:r>
      <w:r>
        <w:rPr>
          <w:rFonts w:hint="eastAsia"/>
        </w:rPr>
        <w:t>9</w:t>
      </w:r>
      <w:r>
        <w:rPr>
          <w:rFonts w:hint="eastAsia"/>
        </w:rPr>
        <w:t>条第</w:t>
      </w:r>
      <w:r>
        <w:rPr>
          <w:rFonts w:hint="eastAsia"/>
        </w:rPr>
        <w:t>1</w:t>
      </w:r>
      <w:r>
        <w:rPr>
          <w:rFonts w:hint="eastAsia"/>
        </w:rPr>
        <w:t>款规定德国人结社自由，《结社法》</w:t>
      </w:r>
      <w:r>
        <w:rPr>
          <w:rFonts w:hint="eastAsia"/>
        </w:rPr>
        <w:t>(</w:t>
      </w:r>
      <w:r>
        <w:rPr>
          <w:rFonts w:cs="Arial"/>
          <w:i/>
          <w:color w:val="333333"/>
        </w:rPr>
        <w:t>Vereinsgesetz</w:t>
      </w:r>
      <w:r>
        <w:rPr>
          <w:rFonts w:hint="eastAsia"/>
        </w:rPr>
        <w:t>)</w:t>
      </w:r>
      <w:r>
        <w:rPr>
          <w:rFonts w:hint="eastAsia"/>
        </w:rPr>
        <w:t>第</w:t>
      </w:r>
      <w:r>
        <w:rPr>
          <w:rFonts w:hint="eastAsia"/>
        </w:rPr>
        <w:t>1</w:t>
      </w:r>
      <w:r>
        <w:rPr>
          <w:rFonts w:hint="eastAsia"/>
        </w:rPr>
        <w:t>条保障外国人结社自由。</w:t>
      </w:r>
    </w:p>
  </w:footnote>
  <w:footnote w:id="67">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譬如，电影促进</w:t>
      </w:r>
      <w:r>
        <w:rPr>
          <w:rFonts w:cs="Arial"/>
          <w:color w:val="333333"/>
        </w:rPr>
        <w:t>研究所</w:t>
      </w:r>
      <w:r>
        <w:rPr>
          <w:rFonts w:cs="Arial" w:hint="eastAsia"/>
          <w:color w:val="333333"/>
        </w:rPr>
        <w:t>2009</w:t>
      </w:r>
      <w:r>
        <w:rPr>
          <w:rFonts w:cs="Arial" w:hint="eastAsia"/>
          <w:color w:val="333333"/>
        </w:rPr>
        <w:t>年发表了一项关于德国电影院剧院结构的调研报告。在参与这项调研的电影院剧院中，</w:t>
      </w:r>
      <w:r>
        <w:rPr>
          <w:rFonts w:cs="Arial" w:hint="eastAsia"/>
          <w:color w:val="333333"/>
        </w:rPr>
        <w:t>84%</w:t>
      </w:r>
      <w:r>
        <w:rPr>
          <w:rFonts w:cs="Arial" w:hint="eastAsia"/>
          <w:color w:val="333333"/>
        </w:rPr>
        <w:t>是无障碍的。此外，所有电影院剧院的</w:t>
      </w:r>
      <w:r>
        <w:rPr>
          <w:rFonts w:cs="Arial" w:hint="eastAsia"/>
          <w:color w:val="333333"/>
        </w:rPr>
        <w:t>6%</w:t>
      </w:r>
      <w:r>
        <w:rPr>
          <w:rFonts w:cs="Arial" w:hint="eastAsia"/>
          <w:color w:val="333333"/>
        </w:rPr>
        <w:t>能够为</w:t>
      </w:r>
      <w:r>
        <w:rPr>
          <w:rFonts w:cs="Arial"/>
          <w:color w:val="333333"/>
        </w:rPr>
        <w:t>有听力障碍的</w:t>
      </w:r>
      <w:r>
        <w:rPr>
          <w:rFonts w:cs="Arial" w:hint="eastAsia"/>
          <w:color w:val="333333"/>
        </w:rPr>
        <w:t>人提供助听器。</w:t>
      </w:r>
    </w:p>
  </w:footnote>
  <w:footnote w:id="68">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w:t>
      </w:r>
      <w:r>
        <w:rPr>
          <w:rFonts w:cs="Arial"/>
          <w:i/>
          <w:color w:val="333333"/>
        </w:rPr>
        <w:t>Ökonomische Impulse eines barrierefreien Tourismus für alle</w:t>
      </w:r>
      <w:r>
        <w:rPr>
          <w:rFonts w:cs="Arial" w:hint="eastAsia"/>
          <w:color w:val="333333"/>
        </w:rPr>
        <w:t>”</w:t>
      </w:r>
      <w:r>
        <w:rPr>
          <w:rFonts w:hint="eastAsia"/>
        </w:rPr>
        <w:t>，联邦经济和技术部，</w:t>
      </w:r>
      <w:r>
        <w:rPr>
          <w:rFonts w:hint="eastAsia"/>
        </w:rPr>
        <w:t>2003</w:t>
      </w:r>
      <w:r>
        <w:rPr>
          <w:rFonts w:hint="eastAsia"/>
        </w:rPr>
        <w:t>年</w:t>
      </w:r>
      <w:r>
        <w:rPr>
          <w:rFonts w:hint="eastAsia"/>
        </w:rPr>
        <w:t>12</w:t>
      </w:r>
      <w:r>
        <w:rPr>
          <w:rFonts w:hint="eastAsia"/>
        </w:rPr>
        <w:t>月；“</w:t>
      </w:r>
      <w:r>
        <w:rPr>
          <w:rFonts w:cs="Arial"/>
          <w:i/>
          <w:color w:val="333333"/>
        </w:rPr>
        <w:t>Barrierefreier Tourismus für Alle in Deutschland – Erfolgsfaktoren und Maßnahmen zur Qualitätssteigerung</w:t>
      </w:r>
      <w:r>
        <w:rPr>
          <w:rFonts w:cs="Arial" w:hint="eastAsia"/>
          <w:color w:val="333333"/>
        </w:rPr>
        <w:t>”</w:t>
      </w:r>
      <w:r>
        <w:rPr>
          <w:rFonts w:hint="eastAsia"/>
        </w:rPr>
        <w:t>，联邦经济和技术部，</w:t>
      </w:r>
      <w:r>
        <w:rPr>
          <w:rFonts w:hint="eastAsia"/>
        </w:rPr>
        <w:t>2008</w:t>
      </w:r>
      <w:r>
        <w:rPr>
          <w:rFonts w:hint="eastAsia"/>
        </w:rPr>
        <w:t>年</w:t>
      </w:r>
      <w:r>
        <w:rPr>
          <w:rFonts w:hint="eastAsia"/>
        </w:rPr>
        <w:t>8</w:t>
      </w:r>
      <w:r>
        <w:rPr>
          <w:rFonts w:hint="eastAsia"/>
        </w:rPr>
        <w:t>月。</w:t>
      </w:r>
    </w:p>
  </w:footnote>
  <w:footnote w:id="69">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参见：</w:t>
      </w:r>
      <w:r>
        <w:rPr>
          <w:rFonts w:cs="Arial"/>
          <w:color w:val="333333"/>
        </w:rPr>
        <w:t>www.barrierefreie-reiseziele.de.</w:t>
      </w:r>
      <w:r>
        <w:rPr>
          <w:rFonts w:hint="eastAsia"/>
        </w:rPr>
        <w:t>。</w:t>
      </w:r>
    </w:p>
  </w:footnote>
  <w:footnote w:id="70">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此外，现有的统计数字包括重度残疾人数据、失业数据及联邦就业署关于残疾人就业情况和战争受害者福利的数据。此外，社会经济小组根据残疾人关于收入、主观幸福感和社会参与的陈述获得的数据，也可以作为主要数据来源。</w:t>
      </w:r>
    </w:p>
  </w:footnote>
  <w:footnote w:id="71">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关于这方面的情况，</w:t>
      </w:r>
      <w:r>
        <w:rPr>
          <w:rFonts w:hint="eastAsia"/>
        </w:rPr>
        <w:t>参见：</w:t>
      </w:r>
      <w:r>
        <w:rPr>
          <w:rFonts w:cs="Arial"/>
          <w:i/>
          <w:color w:val="333333"/>
        </w:rPr>
        <w:t>Behinderung und Entwicklung</w:t>
      </w:r>
      <w:r>
        <w:rPr>
          <w:rFonts w:cs="Arial"/>
          <w:i/>
          <w:color w:val="333333"/>
        </w:rPr>
        <w:t>，</w:t>
      </w:r>
      <w:r>
        <w:rPr>
          <w:rFonts w:cs="Arial"/>
          <w:i/>
          <w:color w:val="333333"/>
        </w:rPr>
        <w:t>Beitrag zur Stärkung der Belange von Menschen mit Behinderungen in der deutschen Entwicklungszusammenarbeit</w:t>
      </w:r>
      <w:r>
        <w:rPr>
          <w:rFonts w:hint="eastAsia"/>
        </w:rPr>
        <w:t>，德国技术合作公司</w:t>
      </w:r>
      <w:r>
        <w:rPr>
          <w:rFonts w:hint="eastAsia"/>
        </w:rPr>
        <w:t>(</w:t>
      </w:r>
      <w:r>
        <w:rPr>
          <w:rFonts w:hint="eastAsia"/>
        </w:rPr>
        <w:t>主编</w:t>
      </w:r>
      <w:r>
        <w:rPr>
          <w:rFonts w:hint="eastAsia"/>
        </w:rPr>
        <w:t>)</w:t>
      </w:r>
      <w:r>
        <w:rPr>
          <w:rFonts w:hint="eastAsia"/>
        </w:rPr>
        <w:t>，埃施伯恩</w:t>
      </w:r>
      <w:r>
        <w:rPr>
          <w:rFonts w:hint="eastAsia"/>
        </w:rPr>
        <w:t>(</w:t>
      </w:r>
      <w:r>
        <w:rPr>
          <w:rFonts w:cs="Arial"/>
          <w:color w:val="333333"/>
        </w:rPr>
        <w:t>Eschborn</w:t>
      </w:r>
      <w:r>
        <w:rPr>
          <w:rFonts w:hint="eastAsia"/>
        </w:rPr>
        <w:t>)</w:t>
      </w:r>
      <w:r>
        <w:rPr>
          <w:rFonts w:hint="eastAsia"/>
        </w:rPr>
        <w:t>，</w:t>
      </w:r>
      <w:r>
        <w:rPr>
          <w:rFonts w:hint="eastAsia"/>
        </w:rPr>
        <w:t>2006</w:t>
      </w:r>
      <w:r>
        <w:rPr>
          <w:rFonts w:hint="eastAsia"/>
        </w:rPr>
        <w:t>年</w:t>
      </w:r>
      <w:r>
        <w:rPr>
          <w:rFonts w:hint="eastAsia"/>
        </w:rPr>
        <w:t>11</w:t>
      </w:r>
      <w:r>
        <w:rPr>
          <w:rFonts w:hint="eastAsia"/>
        </w:rPr>
        <w:t>月，以及</w:t>
      </w:r>
      <w:r>
        <w:rPr>
          <w:rFonts w:cs="Arial"/>
          <w:i/>
          <w:color w:val="333333"/>
        </w:rPr>
        <w:t>Entwicklungspolitischer Aktionsplan für Menschenrechte 2008 bis 2010</w:t>
      </w:r>
      <w:r>
        <w:rPr>
          <w:rFonts w:hint="eastAsia"/>
        </w:rPr>
        <w:t>，联邦经济合作与发展部，柏林，</w:t>
      </w:r>
      <w:r>
        <w:rPr>
          <w:rFonts w:hint="eastAsia"/>
        </w:rPr>
        <w:t>2008</w:t>
      </w:r>
      <w:r>
        <w:rPr>
          <w:rFonts w:hint="eastAsia"/>
        </w:rPr>
        <w:t>年</w:t>
      </w:r>
      <w:r>
        <w:rPr>
          <w:rFonts w:hint="eastAsia"/>
        </w:rPr>
        <w:t>3</w:t>
      </w:r>
      <w:r>
        <w:rPr>
          <w:rFonts w:hint="eastAsia"/>
        </w:rPr>
        <w:t>月。</w:t>
      </w:r>
    </w:p>
  </w:footnote>
  <w:footnote w:id="72">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《国家行动计划》所载清单。</w:t>
      </w:r>
    </w:p>
  </w:footnote>
  <w:footnote w:id="73">
    <w:p w:rsidR="00893193" w:rsidRDefault="00893193" w:rsidP="00A85A6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hint="eastAsia"/>
        </w:rPr>
        <w:t>专家委员会负责处理下述问题：</w:t>
      </w:r>
      <w:r>
        <w:rPr>
          <w:rFonts w:cs="Arial"/>
          <w:color w:val="333333"/>
        </w:rPr>
        <w:br/>
        <w:t xml:space="preserve">1.  </w:t>
      </w:r>
      <w:r>
        <w:rPr>
          <w:rFonts w:hint="eastAsia"/>
        </w:rPr>
        <w:t>健康、长期护理、预防、康复</w:t>
      </w:r>
      <w:r>
        <w:rPr>
          <w:rFonts w:cs="Arial"/>
          <w:color w:val="333333"/>
        </w:rPr>
        <w:br/>
        <w:t xml:space="preserve">2.  </w:t>
      </w:r>
      <w:r>
        <w:rPr>
          <w:rFonts w:hint="eastAsia"/>
        </w:rPr>
        <w:t>自由和保护权利、妇女、伙伴、家庭和</w:t>
      </w:r>
      <w:r>
        <w:rPr>
          <w:rFonts w:cs="Arial"/>
        </w:rPr>
        <w:t>生物伦理学</w:t>
      </w:r>
      <w:r>
        <w:rPr>
          <w:rFonts w:cs="Arial"/>
          <w:color w:val="333333"/>
        </w:rPr>
        <w:br/>
        <w:t xml:space="preserve">3.  </w:t>
      </w:r>
      <w:r>
        <w:rPr>
          <w:rFonts w:hint="eastAsia"/>
        </w:rPr>
        <w:t>工作和教育</w:t>
      </w:r>
      <w:r>
        <w:br/>
      </w:r>
      <w:r>
        <w:rPr>
          <w:rFonts w:cs="Arial"/>
          <w:color w:val="333333"/>
        </w:rPr>
        <w:t xml:space="preserve">4.  </w:t>
      </w:r>
      <w:r>
        <w:rPr>
          <w:rFonts w:cs="Arial"/>
        </w:rPr>
        <w:t>迁移</w:t>
      </w:r>
      <w:r>
        <w:rPr>
          <w:rFonts w:hint="eastAsia"/>
        </w:rPr>
        <w:t>、建筑、住房、休闲、社会参与、信息和交流。</w:t>
      </w:r>
    </w:p>
  </w:footnote>
  <w:footnote w:id="74">
    <w:p w:rsidR="00893193" w:rsidRDefault="00893193">
      <w:pPr>
        <w:pStyle w:val="FootnoteText"/>
        <w:rPr>
          <w:rFonts w:cs="Arial"/>
          <w:color w:val="333333"/>
        </w:rPr>
      </w:pPr>
      <w:r>
        <w:rPr>
          <w:rFonts w:cs="Arial"/>
          <w:color w:val="333333"/>
        </w:rPr>
        <w:tab/>
      </w:r>
      <w:r>
        <w:rPr>
          <w:rStyle w:val="FootnoteReference"/>
          <w:snapToGrid/>
          <w:szCs w:val="21"/>
          <w:lang w:eastAsia="en-US"/>
        </w:rPr>
        <w:footnoteRef/>
      </w:r>
      <w:r>
        <w:rPr>
          <w:rFonts w:cs="Arial"/>
          <w:color w:val="333333"/>
        </w:rPr>
        <w:tab/>
      </w:r>
      <w:r>
        <w:rPr>
          <w:rFonts w:cs="Arial" w:hint="eastAsia"/>
          <w:color w:val="333333"/>
        </w:rPr>
        <w:t>希了解更多信息，参见：</w:t>
      </w:r>
      <w:r>
        <w:rPr>
          <w:rFonts w:cs="Arial"/>
          <w:color w:val="333333"/>
        </w:rPr>
        <w:t>www.behindertenbeauftragter.de.</w:t>
      </w:r>
      <w:r>
        <w:rPr>
          <w:rFonts w:cs="Arial" w:hint="eastAsia"/>
          <w:color w:val="333333"/>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193" w:rsidRDefault="00893193">
    <w:pPr>
      <w:pStyle w:val="Header"/>
    </w:pPr>
    <w:r>
      <w:t>CRPD/C/DEU/1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193" w:rsidRDefault="00893193">
    <w:pPr>
      <w:pStyle w:val="Header"/>
      <w:jc w:val="right"/>
      <w:rPr>
        <w:rFonts w:hint="eastAsia"/>
        <w:lang w:eastAsia="zh-CN"/>
      </w:rPr>
    </w:pPr>
    <w:r>
      <w:rPr>
        <w:lang w:eastAsia="zh-CN"/>
      </w:rPr>
      <w:t>CRPD/C/DEU/1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7051"/>
    <w:multiLevelType w:val="hybridMultilevel"/>
    <w:tmpl w:val="5A584D78"/>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
    <w:nsid w:val="074F094C"/>
    <w:multiLevelType w:val="hybridMultilevel"/>
    <w:tmpl w:val="C05C1A42"/>
    <w:lvl w:ilvl="0" w:tplc="0B368EC6">
      <w:start w:val="1"/>
      <w:numFmt w:val="chineseCountingThousand"/>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
    <w:nsid w:val="0C24604E"/>
    <w:multiLevelType w:val="hybridMultilevel"/>
    <w:tmpl w:val="D5AA7DBE"/>
    <w:lvl w:ilvl="0" w:tplc="AF60A858">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3">
    <w:nsid w:val="115D62A5"/>
    <w:multiLevelType w:val="hybridMultilevel"/>
    <w:tmpl w:val="519EA344"/>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4">
    <w:nsid w:val="13D86AAA"/>
    <w:multiLevelType w:val="hybridMultilevel"/>
    <w:tmpl w:val="065C6134"/>
    <w:lvl w:ilvl="0" w:tplc="D9B0BDC6">
      <w:start w:val="1"/>
      <w:numFmt w:val="bullet"/>
      <w:pStyle w:val="a"/>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022DB2"/>
    <w:multiLevelType w:val="hybridMultilevel"/>
    <w:tmpl w:val="1090D4EC"/>
    <w:lvl w:ilvl="0" w:tplc="AF60A858">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21EE266A">
      <w:start w:val="1"/>
      <w:numFmt w:val="chineseCountingThousand"/>
      <w:lvlRestart w:val="0"/>
      <w:lvlText w:val="(%2)"/>
      <w:lvlJc w:val="left"/>
      <w:pPr>
        <w:tabs>
          <w:tab w:val="num" w:pos="1332"/>
        </w:tabs>
        <w:ind w:left="40" w:firstLine="431"/>
      </w:pPr>
      <w:rPr>
        <w:rFonts w:ascii="Times New Roman" w:hAnsi="Times New Roman" w:cs="Times New Roman" w:hint="default"/>
        <w:b w:val="0"/>
        <w:i w:val="0"/>
        <w:color w:val="auto"/>
        <w:sz w:val="21"/>
        <w:u w:val="none"/>
      </w:r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6">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B37E72"/>
    <w:multiLevelType w:val="hybridMultilevel"/>
    <w:tmpl w:val="495CC1CC"/>
    <w:lvl w:ilvl="0" w:tplc="AF60A858">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8">
    <w:nsid w:val="26BA66CA"/>
    <w:multiLevelType w:val="hybridMultilevel"/>
    <w:tmpl w:val="4A30731A"/>
    <w:lvl w:ilvl="0" w:tplc="AF60A858">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9">
    <w:nsid w:val="37F15EE2"/>
    <w:multiLevelType w:val="hybridMultilevel"/>
    <w:tmpl w:val="94B08B40"/>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0">
    <w:nsid w:val="415758D2"/>
    <w:multiLevelType w:val="hybridMultilevel"/>
    <w:tmpl w:val="574C6532"/>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1">
    <w:nsid w:val="44E25115"/>
    <w:multiLevelType w:val="hybridMultilevel"/>
    <w:tmpl w:val="C0C8452A"/>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2">
    <w:nsid w:val="456E4FB8"/>
    <w:multiLevelType w:val="hybridMultilevel"/>
    <w:tmpl w:val="21F2C074"/>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3">
    <w:nsid w:val="484C5FAA"/>
    <w:multiLevelType w:val="hybridMultilevel"/>
    <w:tmpl w:val="89FE6BA8"/>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5">
    <w:nsid w:val="53B45F98"/>
    <w:multiLevelType w:val="hybridMultilevel"/>
    <w:tmpl w:val="1068DB82"/>
    <w:lvl w:ilvl="0" w:tplc="AF60A858">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6">
    <w:nsid w:val="5412743C"/>
    <w:multiLevelType w:val="hybridMultilevel"/>
    <w:tmpl w:val="C8169356"/>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7">
    <w:nsid w:val="561E7BCD"/>
    <w:multiLevelType w:val="hybridMultilevel"/>
    <w:tmpl w:val="6582A60E"/>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8">
    <w:nsid w:val="583E7FAE"/>
    <w:multiLevelType w:val="hybridMultilevel"/>
    <w:tmpl w:val="1D1C3964"/>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9">
    <w:nsid w:val="592651C6"/>
    <w:multiLevelType w:val="hybridMultilevel"/>
    <w:tmpl w:val="9B0CA252"/>
    <w:lvl w:ilvl="0" w:tplc="2B6079B6">
      <w:start w:val="1"/>
      <w:numFmt w:val="chineseCountingThousand"/>
      <w:lvlRestart w:val="0"/>
      <w:lvlText w:val="(%1)"/>
      <w:lvlJc w:val="left"/>
      <w:pPr>
        <w:tabs>
          <w:tab w:val="num" w:pos="2693"/>
        </w:tabs>
        <w:ind w:left="2693" w:hanging="646"/>
      </w:pPr>
      <w:rPr>
        <w:rFonts w:ascii="Times New Roman" w:hAnsi="Times New Roman" w:cs="Times New Roman"/>
        <w:color w:val="auto"/>
        <w:sz w:val="21"/>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0">
    <w:nsid w:val="5D6D617C"/>
    <w:multiLevelType w:val="hybridMultilevel"/>
    <w:tmpl w:val="21BEFCE8"/>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1">
    <w:nsid w:val="5D803D25"/>
    <w:multiLevelType w:val="hybridMultilevel"/>
    <w:tmpl w:val="FCBEA4AA"/>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2">
    <w:nsid w:val="5DBE01F5"/>
    <w:multiLevelType w:val="hybridMultilevel"/>
    <w:tmpl w:val="66D2FB38"/>
    <w:lvl w:ilvl="0" w:tplc="AF60A858">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3">
    <w:nsid w:val="635A4409"/>
    <w:multiLevelType w:val="hybridMultilevel"/>
    <w:tmpl w:val="BB7ABE76"/>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AB1690A"/>
    <w:multiLevelType w:val="hybridMultilevel"/>
    <w:tmpl w:val="FD706F9A"/>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6">
    <w:nsid w:val="6C93220B"/>
    <w:multiLevelType w:val="hybridMultilevel"/>
    <w:tmpl w:val="926806F2"/>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7">
    <w:nsid w:val="6CE14345"/>
    <w:multiLevelType w:val="hybridMultilevel"/>
    <w:tmpl w:val="E5CED4AE"/>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8">
    <w:nsid w:val="6DE775D5"/>
    <w:multiLevelType w:val="hybridMultilevel"/>
    <w:tmpl w:val="0DDAC736"/>
    <w:lvl w:ilvl="0" w:tplc="B0BC9D4C">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1E40E81"/>
    <w:multiLevelType w:val="hybridMultilevel"/>
    <w:tmpl w:val="59A8FCCC"/>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30">
    <w:nsid w:val="74011FF5"/>
    <w:multiLevelType w:val="hybridMultilevel"/>
    <w:tmpl w:val="769260A4"/>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1">
    <w:nsid w:val="778E5575"/>
    <w:multiLevelType w:val="hybridMultilevel"/>
    <w:tmpl w:val="7E807742"/>
    <w:lvl w:ilvl="0" w:tplc="B0BC9D4C">
      <w:start w:val="1"/>
      <w:numFmt w:val="lowerLetter"/>
      <w:lvlRestart w:val="0"/>
      <w:lvlText w:val="(%1)"/>
      <w:lvlJc w:val="left"/>
      <w:pPr>
        <w:tabs>
          <w:tab w:val="num" w:pos="2477"/>
        </w:tabs>
        <w:ind w:left="1185"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32">
    <w:nsid w:val="7BC04587"/>
    <w:multiLevelType w:val="hybridMultilevel"/>
    <w:tmpl w:val="017684B8"/>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3">
    <w:nsid w:val="7CEF39FA"/>
    <w:multiLevelType w:val="hybridMultilevel"/>
    <w:tmpl w:val="E240543C"/>
    <w:lvl w:ilvl="0" w:tplc="B0BC9D4C">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num w:numId="1">
    <w:abstractNumId w:val="4"/>
  </w:num>
  <w:num w:numId="2">
    <w:abstractNumId w:val="24"/>
  </w:num>
  <w:num w:numId="3">
    <w:abstractNumId w:val="6"/>
  </w:num>
  <w:num w:numId="4">
    <w:abstractNumId w:val="14"/>
  </w:num>
  <w:num w:numId="5">
    <w:abstractNumId w:val="5"/>
  </w:num>
  <w:num w:numId="6">
    <w:abstractNumId w:val="1"/>
  </w:num>
  <w:num w:numId="7">
    <w:abstractNumId w:val="19"/>
  </w:num>
  <w:num w:numId="8">
    <w:abstractNumId w:val="24"/>
  </w:num>
  <w:num w:numId="9">
    <w:abstractNumId w:val="24"/>
  </w:num>
  <w:num w:numId="10">
    <w:abstractNumId w:val="24"/>
  </w:num>
  <w:num w:numId="11">
    <w:abstractNumId w:val="24"/>
  </w:num>
  <w:num w:numId="12">
    <w:abstractNumId w:val="24"/>
  </w:num>
  <w:num w:numId="13">
    <w:abstractNumId w:val="15"/>
  </w:num>
  <w:num w:numId="14">
    <w:abstractNumId w:val="22"/>
  </w:num>
  <w:num w:numId="15">
    <w:abstractNumId w:val="7"/>
  </w:num>
  <w:num w:numId="16">
    <w:abstractNumId w:val="8"/>
  </w:num>
  <w:num w:numId="17">
    <w:abstractNumId w:val="2"/>
  </w:num>
  <w:num w:numId="18">
    <w:abstractNumId w:val="28"/>
  </w:num>
  <w:num w:numId="19">
    <w:abstractNumId w:val="0"/>
  </w:num>
  <w:num w:numId="20">
    <w:abstractNumId w:val="9"/>
  </w:num>
  <w:num w:numId="21">
    <w:abstractNumId w:val="11"/>
  </w:num>
  <w:num w:numId="22">
    <w:abstractNumId w:val="26"/>
  </w:num>
  <w:num w:numId="23">
    <w:abstractNumId w:val="27"/>
  </w:num>
  <w:num w:numId="24">
    <w:abstractNumId w:val="21"/>
  </w:num>
  <w:num w:numId="25">
    <w:abstractNumId w:val="10"/>
  </w:num>
  <w:num w:numId="26">
    <w:abstractNumId w:val="13"/>
  </w:num>
  <w:num w:numId="27">
    <w:abstractNumId w:val="17"/>
  </w:num>
  <w:num w:numId="28">
    <w:abstractNumId w:val="30"/>
  </w:num>
  <w:num w:numId="29">
    <w:abstractNumId w:val="23"/>
  </w:num>
  <w:num w:numId="30">
    <w:abstractNumId w:val="12"/>
  </w:num>
  <w:num w:numId="31">
    <w:abstractNumId w:val="20"/>
  </w:num>
  <w:num w:numId="32">
    <w:abstractNumId w:val="33"/>
  </w:num>
  <w:num w:numId="33">
    <w:abstractNumId w:val="29"/>
  </w:num>
  <w:num w:numId="34">
    <w:abstractNumId w:val="18"/>
  </w:num>
  <w:num w:numId="35">
    <w:abstractNumId w:val="3"/>
  </w:num>
  <w:num w:numId="36">
    <w:abstractNumId w:val="32"/>
  </w:num>
  <w:num w:numId="37">
    <w:abstractNumId w:val="31"/>
  </w:num>
  <w:num w:numId="38">
    <w:abstractNumId w:val="16"/>
  </w:num>
  <w:num w:numId="39">
    <w:abstractNumId w:val="2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07AE"/>
    <w:rsid w:val="00334AE2"/>
    <w:rsid w:val="00893193"/>
    <w:rsid w:val="009407AE"/>
    <w:rsid w:val="00A85A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Pr>
      <w:rFonts w:eastAsia="SimSun"/>
      <w:b/>
      <w:kern w:val="32"/>
      <w:sz w:val="30"/>
      <w:lang w:val="en-US" w:eastAsia="zh-CN" w:bidi="ar-SA"/>
    </w:rPr>
  </w:style>
  <w:style w:type="character" w:customStyle="1" w:styleId="Heading2Char">
    <w:name w:val="Heading 2 Char"/>
    <w:link w:val="Heading2"/>
    <w:rPr>
      <w:rFonts w:eastAsia="SimSun"/>
      <w:snapToGrid w:val="0"/>
      <w:kern w:val="28"/>
      <w:sz w:val="28"/>
      <w:lang w:val="en-US" w:eastAsia="zh-CN" w:bidi="ar-SA"/>
    </w:rPr>
  </w:style>
  <w:style w:type="character" w:customStyle="1" w:styleId="Heading3Char">
    <w:name w:val="Heading 3 Char"/>
    <w:link w:val="Heading3"/>
    <w:rPr>
      <w:rFonts w:eastAsia="SimSun"/>
      <w:snapToGrid w:val="0"/>
      <w:kern w:val="28"/>
      <w:sz w:val="21"/>
      <w:u w:val="single"/>
      <w:lang w:val="en-US" w:eastAsia="zh-CN" w:bidi="ar-SA"/>
    </w:rPr>
  </w:style>
  <w:style w:type="character" w:customStyle="1" w:styleId="Heading4Char">
    <w:name w:val="Heading 4 Char"/>
    <w:link w:val="Heading4"/>
    <w:rPr>
      <w:rFonts w:eastAsia="SimSun"/>
      <w:snapToGrid w:val="0"/>
      <w:sz w:val="21"/>
      <w:u w:val="single"/>
      <w:lang w:val="en-US" w:eastAsia="zh-CN" w:bidi="ar-SA"/>
    </w:rPr>
  </w:style>
  <w:style w:type="paragraph" w:customStyle="1" w:styleId="DashGC">
    <w:name w:val="_Dash_GC"/>
    <w:basedOn w:val="Normal"/>
    <w:pPr>
      <w:numPr>
        <w:numId w:val="3"/>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link w:val="FootnoteText"/>
    <w:rPr>
      <w:rFonts w:eastAsia="SimSun"/>
      <w:snapToGrid w:val="0"/>
      <w:sz w:val="18"/>
      <w:lang w:val="en-US" w:eastAsia="zh-CN" w:bidi="ar-SA"/>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1">
    <w:name w:val="缩进正文"/>
    <w:basedOn w:val="SingleTxtGC"/>
    <w:pPr>
      <w:ind w:left="156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styleId="EndnoteText">
    <w:name w:val="endnote text"/>
    <w:basedOn w:val="FootnoteText"/>
    <w:pPr>
      <w:keepLines w:val="0"/>
      <w:tabs>
        <w:tab w:val="right" w:pos="1021"/>
      </w:tabs>
    </w:pPr>
  </w:style>
  <w:style w:type="character" w:styleId="EndnoteReference">
    <w:name w:val="endnote reference"/>
    <w:basedOn w:val="FootnoteReference"/>
  </w:style>
  <w:style w:type="paragraph" w:customStyle="1" w:styleId="a2">
    <w:name w:val="表中标题"/>
    <w:basedOn w:val="SingleTxtGC"/>
    <w:pPr>
      <w:spacing w:before="80" w:after="80" w:line="200" w:lineRule="exact"/>
      <w:ind w:left="0" w:right="113"/>
    </w:pPr>
    <w:rPr>
      <w:rFonts w:eastAsia="KaiTi_GB2312"/>
      <w:sz w:val="18"/>
    </w:rPr>
  </w:style>
  <w:style w:type="paragraph" w:customStyle="1" w:styleId="a3">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customStyle="1" w:styleId="FooterChar">
    <w:name w:val="Footer Char"/>
    <w:link w:val="Footer"/>
    <w:rPr>
      <w:snapToGrid w:val="0"/>
      <w:sz w:val="16"/>
      <w:lang w:val="en-GB" w:eastAsia="en-US" w:bidi="ar-SA"/>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link w:val="Header"/>
    <w:rPr>
      <w:rFonts w:eastAsia="SimSun"/>
      <w:b/>
      <w:snapToGrid w:val="0"/>
      <w:sz w:val="18"/>
      <w:lang w:val="en-GB" w:eastAsia="en-US" w:bidi="ar-SA"/>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4">
    <w:name w:val="悬挂"/>
    <w:basedOn w:val="SingleTxtGC"/>
    <w:pPr>
      <w:ind w:left="1565" w:hanging="431"/>
    </w:pPr>
  </w:style>
  <w:style w:type="paragraph" w:customStyle="1" w:styleId="a5">
    <w:name w:val="表中文字"/>
    <w:basedOn w:val="SingleTxtGC"/>
    <w:pPr>
      <w:spacing w:before="40" w:line="240" w:lineRule="atLeast"/>
      <w:ind w:left="0" w:right="113"/>
    </w:pPr>
    <w:rPr>
      <w:sz w:val="18"/>
    </w:rPr>
  </w:style>
  <w:style w:type="paragraph" w:customStyle="1" w:styleId="a6">
    <w:name w:val="表数文字"/>
    <w:basedOn w:val="SingleTxtGC"/>
    <w:pPr>
      <w:spacing w:before="40" w:after="40" w:line="240" w:lineRule="atLeast"/>
      <w:ind w:left="0" w:right="113"/>
    </w:pPr>
    <w:rPr>
      <w:sz w:val="18"/>
    </w:rPr>
  </w:style>
  <w:style w:type="character" w:customStyle="1" w:styleId="CommentTextChar">
    <w:name w:val="Comment Text Char"/>
    <w:link w:val="CommentText"/>
    <w:rPr>
      <w:rFonts w:eastAsia="SimSun"/>
      <w:snapToGrid w:val="0"/>
      <w:sz w:val="21"/>
      <w:lang w:val="en-US" w:eastAsia="zh-CN" w:bidi="ar-SA"/>
    </w:rPr>
  </w:style>
  <w:style w:type="paragraph" w:styleId="CommentText">
    <w:name w:val="annotation text"/>
    <w:basedOn w:val="Normal"/>
    <w:link w:val="CommentTextChar"/>
    <w:semiHidden/>
    <w:pPr>
      <w:jc w:val="left"/>
    </w:pPr>
  </w:style>
  <w:style w:type="character" w:customStyle="1" w:styleId="BalloonTextChar">
    <w:name w:val="Balloon Text Char"/>
    <w:link w:val="BalloonText"/>
    <w:rPr>
      <w:rFonts w:ascii="Tahoma" w:hAnsi="Tahoma"/>
      <w:sz w:val="16"/>
      <w:szCs w:val="16"/>
      <w:lang w:val="de-DE" w:eastAsia="de-DE" w:bidi="ar-SA"/>
    </w:rPr>
  </w:style>
  <w:style w:type="paragraph" w:styleId="BalloonText">
    <w:name w:val="Balloon Text"/>
    <w:basedOn w:val="Normal"/>
    <w:link w:val="BalloonTextChar"/>
    <w:pPr>
      <w:tabs>
        <w:tab w:val="clear" w:pos="431"/>
      </w:tabs>
      <w:overflowPunct/>
      <w:adjustRightInd/>
      <w:snapToGrid/>
      <w:spacing w:line="360" w:lineRule="atLeast"/>
    </w:pPr>
    <w:rPr>
      <w:rFonts w:ascii="Tahoma" w:hAnsi="Tahoma"/>
      <w:snapToGrid/>
      <w:sz w:val="16"/>
      <w:szCs w:val="16"/>
      <w:lang w:val="de-DE" w:eastAsia="de-DE"/>
    </w:rPr>
  </w:style>
  <w:style w:type="character" w:customStyle="1" w:styleId="BodyTextChar">
    <w:name w:val="Body Text Char"/>
    <w:link w:val="BodyText"/>
    <w:rPr>
      <w:lang w:val="de-DE" w:eastAsia="de-DE" w:bidi="ar-SA"/>
    </w:rPr>
  </w:style>
  <w:style w:type="paragraph" w:styleId="BodyText">
    <w:name w:val="Body Text"/>
    <w:basedOn w:val="Normal"/>
    <w:link w:val="BodyTextChar"/>
    <w:pPr>
      <w:tabs>
        <w:tab w:val="clear" w:pos="431"/>
      </w:tabs>
      <w:overflowPunct/>
      <w:adjustRightInd/>
      <w:snapToGrid/>
      <w:spacing w:after="120" w:line="240" w:lineRule="auto"/>
      <w:jc w:val="left"/>
    </w:pPr>
    <w:rPr>
      <w:snapToGrid/>
      <w:sz w:val="20"/>
      <w:lang w:val="de-DE" w:eastAsia="de-DE"/>
    </w:rPr>
  </w:style>
  <w:style w:type="character" w:customStyle="1" w:styleId="NoteHeadingChar">
    <w:name w:val="Note Heading Char"/>
    <w:link w:val="NoteHeading"/>
    <w:rPr>
      <w:rFonts w:ascii="Arial" w:hAnsi="Arial"/>
      <w:sz w:val="22"/>
      <w:szCs w:val="24"/>
      <w:lang w:val="de-DE" w:eastAsia="de-DE" w:bidi="ar-SA"/>
    </w:rPr>
  </w:style>
  <w:style w:type="paragraph" w:styleId="NoteHeading">
    <w:name w:val="Note Heading"/>
    <w:basedOn w:val="Normal"/>
    <w:next w:val="Normal"/>
    <w:link w:val="NoteHeadingChar"/>
    <w:pPr>
      <w:tabs>
        <w:tab w:val="clear" w:pos="431"/>
      </w:tabs>
      <w:overflowPunct/>
      <w:adjustRightInd/>
      <w:snapToGrid/>
      <w:spacing w:line="360" w:lineRule="atLeast"/>
    </w:pPr>
    <w:rPr>
      <w:rFonts w:ascii="Arial" w:hAnsi="Arial"/>
      <w:snapToGrid/>
      <w:sz w:val="22"/>
      <w:szCs w:val="24"/>
      <w:lang w:val="de-DE" w:eastAsia="de-DE"/>
    </w:rPr>
  </w:style>
  <w:style w:type="character" w:customStyle="1" w:styleId="CommentSubjectChar">
    <w:name w:val="Comment Subject Char"/>
    <w:link w:val="CommentSubject"/>
    <w:rPr>
      <w:rFonts w:ascii="Arial" w:hAnsi="Arial"/>
      <w:b/>
      <w:bCs/>
      <w:lang w:val="de-DE" w:eastAsia="de-DE" w:bidi="ar-SA"/>
    </w:rPr>
  </w:style>
  <w:style w:type="paragraph" w:styleId="CommentSubject">
    <w:name w:val="annotation subject"/>
    <w:basedOn w:val="CommentText"/>
    <w:next w:val="CommentText"/>
    <w:link w:val="CommentSubjectChar"/>
    <w:pPr>
      <w:tabs>
        <w:tab w:val="clear" w:pos="431"/>
      </w:tabs>
      <w:overflowPunct/>
      <w:adjustRightInd/>
      <w:snapToGrid/>
      <w:spacing w:line="360" w:lineRule="atLeast"/>
      <w:jc w:val="both"/>
    </w:pPr>
    <w:rPr>
      <w:rFonts w:ascii="Arial" w:hAnsi="Arial"/>
      <w:b/>
      <w:bCs/>
      <w:snapToGrid/>
      <w:sz w:val="20"/>
      <w:lang w:val="de-DE" w:eastAsia="de-DE"/>
    </w:rPr>
  </w:style>
  <w:style w:type="character" w:customStyle="1" w:styleId="content1">
    <w:name w:val="content1"/>
    <w:rPr>
      <w:rFonts w:ascii="Arial" w:hAnsi="Arial" w:cs="Arial" w:hint="default"/>
      <w:color w:val="000000"/>
      <w:sz w:val="24"/>
      <w:szCs w:val="24"/>
      <w:shd w:val="clear" w:color="auto" w:fill="auto"/>
    </w:rPr>
  </w:style>
  <w:style w:type="character" w:customStyle="1" w:styleId="CharChar1">
    <w:name w:val=" Char Char1"/>
    <w:rPr>
      <w:rFonts w:ascii="Arial" w:hAnsi="Arial"/>
      <w:sz w:val="18"/>
      <w:lang w:val="de-DE" w:eastAsia="de-DE" w:bidi="ar-SA"/>
    </w:rPr>
  </w:style>
  <w:style w:type="character" w:customStyle="1" w:styleId="BodyText2Char">
    <w:name w:val="Body Text 2 Char"/>
    <w:link w:val="BodyText2"/>
    <w:rPr>
      <w:rFonts w:ascii="Arial" w:hAnsi="Arial"/>
      <w:sz w:val="22"/>
      <w:szCs w:val="22"/>
      <w:lang w:eastAsia="de-DE" w:bidi="ar-SA"/>
    </w:rPr>
  </w:style>
  <w:style w:type="paragraph" w:styleId="BodyText2">
    <w:name w:val="Body Text 2"/>
    <w:basedOn w:val="Normal"/>
    <w:link w:val="BodyText2Char"/>
    <w:pPr>
      <w:tabs>
        <w:tab w:val="clear" w:pos="431"/>
      </w:tabs>
      <w:overflowPunct/>
      <w:adjustRightInd/>
      <w:snapToGrid/>
      <w:spacing w:line="360" w:lineRule="auto"/>
      <w:ind w:right="-2"/>
      <w:jc w:val="left"/>
    </w:pPr>
    <w:rPr>
      <w:rFonts w:ascii="Arial" w:hAnsi="Arial"/>
      <w:snapToGrid/>
      <w:sz w:val="22"/>
      <w:szCs w:val="22"/>
      <w:lang w:eastAsia="de-DE"/>
    </w:rPr>
  </w:style>
  <w:style w:type="character" w:customStyle="1" w:styleId="BodyText3Char">
    <w:name w:val="Body Text 3 Char"/>
    <w:link w:val="BodyText3"/>
    <w:rPr>
      <w:sz w:val="24"/>
      <w:lang w:val="de-DE" w:eastAsia="de-DE" w:bidi="ar-SA"/>
    </w:rPr>
  </w:style>
  <w:style w:type="paragraph" w:styleId="BodyText3">
    <w:name w:val="Body Text 3"/>
    <w:basedOn w:val="Normal"/>
    <w:link w:val="BodyText3Char"/>
    <w:pPr>
      <w:tabs>
        <w:tab w:val="clear" w:pos="431"/>
        <w:tab w:val="left" w:pos="0"/>
        <w:tab w:val="left" w:pos="355"/>
        <w:tab w:val="left" w:pos="639"/>
        <w:tab w:val="left" w:pos="1429"/>
        <w:tab w:val="left" w:pos="1680"/>
        <w:tab w:val="left" w:pos="1928"/>
        <w:tab w:val="left" w:pos="2304"/>
        <w:tab w:val="left" w:pos="2928"/>
        <w:tab w:val="left" w:pos="3552"/>
        <w:tab w:val="left" w:pos="4176"/>
        <w:tab w:val="left" w:pos="4800"/>
        <w:tab w:val="left" w:pos="5424"/>
        <w:tab w:val="left" w:pos="6048"/>
        <w:tab w:val="left" w:pos="6672"/>
        <w:tab w:val="left" w:pos="7296"/>
        <w:tab w:val="left" w:pos="7920"/>
        <w:tab w:val="left" w:pos="8544"/>
        <w:tab w:val="left" w:pos="9168"/>
        <w:tab w:val="left" w:pos="9313"/>
      </w:tabs>
      <w:overflowPunct/>
      <w:adjustRightInd/>
      <w:snapToGrid/>
      <w:spacing w:line="240" w:lineRule="auto"/>
    </w:pPr>
    <w:rPr>
      <w:snapToGrid/>
      <w:sz w:val="24"/>
      <w:lang w:val="de-DE" w:eastAsia="de-DE"/>
    </w:rPr>
  </w:style>
  <w:style w:type="character" w:customStyle="1" w:styleId="ZchnZchn">
    <w:name w:val=" Zchn Zchn"/>
    <w:rPr>
      <w:rFonts w:ascii="Arial" w:hAnsi="Arial"/>
      <w:sz w:val="18"/>
      <w:szCs w:val="24"/>
      <w:lang w:val="de-DE" w:eastAsia="de-DE" w:bidi="ar-SA"/>
    </w:rPr>
  </w:style>
  <w:style w:type="paragraph" w:styleId="NormalWeb">
    <w:name w:val="Normal (Web)"/>
    <w:basedOn w:val="Normal"/>
    <w:pPr>
      <w:tabs>
        <w:tab w:val="clear" w:pos="431"/>
      </w:tabs>
      <w:overflowPunct/>
      <w:adjustRightInd/>
      <w:snapToGrid/>
      <w:spacing w:before="100" w:beforeAutospacing="1" w:after="100" w:afterAutospacing="1" w:line="240" w:lineRule="auto"/>
      <w:jc w:val="left"/>
    </w:pPr>
    <w:rPr>
      <w:snapToGrid/>
      <w:sz w:val="24"/>
      <w:szCs w:val="24"/>
      <w:lang w:val="de-DE" w:eastAsia="de-DE"/>
    </w:rPr>
  </w:style>
  <w:style w:type="paragraph" w:styleId="TOC1">
    <w:name w:val="toc 1"/>
    <w:basedOn w:val="Normal"/>
    <w:next w:val="Normal"/>
    <w:pPr>
      <w:tabs>
        <w:tab w:val="clear" w:pos="431"/>
        <w:tab w:val="right" w:leader="dot" w:pos="9344"/>
      </w:tabs>
      <w:overflowPunct/>
      <w:adjustRightInd/>
      <w:snapToGrid/>
      <w:spacing w:line="360" w:lineRule="atLeast"/>
      <w:jc w:val="left"/>
    </w:pPr>
    <w:rPr>
      <w:rFonts w:ascii="Arial" w:hAnsi="Arial"/>
      <w:snapToGrid/>
      <w:sz w:val="22"/>
      <w:szCs w:val="24"/>
      <w:lang w:val="de-DE" w:eastAsia="de-DE"/>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basedOn w:val="DefaultParagraphFont"/>
    <w:link w:val="SingleTxtG"/>
    <w:rPr>
      <w:rFonts w:eastAsia="SimSun"/>
      <w:lang w:val="en-GB" w:eastAsia="en-US" w:bidi="ar-SA"/>
    </w:rPr>
  </w:style>
  <w:style w:type="paragraph" w:customStyle="1" w:styleId="Haus-Spezifisch">
    <w:name w:val="Haus-Spezifisch"/>
    <w:basedOn w:val="Normal"/>
    <w:next w:val="Normal"/>
    <w:pPr>
      <w:tabs>
        <w:tab w:val="clear" w:pos="431"/>
      </w:tabs>
      <w:overflowPunct/>
      <w:adjustRightInd/>
      <w:snapToGrid/>
      <w:spacing w:line="360" w:lineRule="atLeast"/>
    </w:pPr>
    <w:rPr>
      <w:rFonts w:ascii="Arial" w:hAnsi="Arial"/>
      <w:snapToGrid/>
      <w:sz w:val="22"/>
      <w:szCs w:val="24"/>
      <w:lang w:val="de-DE" w:eastAsia="de-DE"/>
    </w:rPr>
  </w:style>
  <w:style w:type="paragraph" w:customStyle="1" w:styleId="bodytext20">
    <w:name w:val="bodytext2"/>
    <w:basedOn w:val="Normal"/>
    <w:pPr>
      <w:tabs>
        <w:tab w:val="clear" w:pos="431"/>
      </w:tabs>
      <w:overflowPunct/>
      <w:adjustRightInd/>
      <w:snapToGrid/>
      <w:spacing w:line="240" w:lineRule="auto"/>
      <w:jc w:val="left"/>
    </w:pPr>
    <w:rPr>
      <w:rFonts w:ascii="Arial" w:hAnsi="Arial" w:cs="Arial"/>
      <w:snapToGrid/>
      <w:color w:val="000000"/>
      <w:sz w:val="18"/>
      <w:szCs w:val="18"/>
      <w:lang w:val="de-DE" w:eastAsia="de-DE"/>
    </w:rPr>
  </w:style>
  <w:style w:type="paragraph" w:customStyle="1" w:styleId="FormatvorlageAusrckenZeilenabstandeinfach">
    <w:name w:val="Formatvorlage Ausrücken + Zeilenabstand:  einfach"/>
    <w:basedOn w:val="Ausrcken"/>
    <w:next w:val="Einzeilig"/>
    <w:pPr>
      <w:spacing w:line="240" w:lineRule="auto"/>
      <w:jc w:val="left"/>
    </w:pPr>
    <w:rPr>
      <w:szCs w:val="20"/>
    </w:rPr>
  </w:style>
  <w:style w:type="paragraph" w:customStyle="1" w:styleId="Ausrcken">
    <w:name w:val="Ausrücken"/>
    <w:basedOn w:val="Normal"/>
    <w:next w:val="Normal"/>
    <w:pPr>
      <w:tabs>
        <w:tab w:val="clear" w:pos="431"/>
      </w:tabs>
      <w:overflowPunct/>
      <w:adjustRightInd/>
      <w:snapToGrid/>
      <w:spacing w:line="360" w:lineRule="atLeast"/>
      <w:ind w:hanging="284"/>
    </w:pPr>
    <w:rPr>
      <w:rFonts w:ascii="Arial" w:hAnsi="Arial"/>
      <w:snapToGrid/>
      <w:sz w:val="22"/>
      <w:szCs w:val="24"/>
      <w:lang w:val="de-DE" w:eastAsia="de-DE"/>
    </w:rPr>
  </w:style>
  <w:style w:type="paragraph" w:customStyle="1" w:styleId="Einzeilig">
    <w:name w:val="Einzeilig"/>
    <w:basedOn w:val="Normal"/>
    <w:pPr>
      <w:tabs>
        <w:tab w:val="clear" w:pos="431"/>
      </w:tabs>
      <w:overflowPunct/>
      <w:adjustRightInd/>
      <w:snapToGrid/>
      <w:spacing w:line="240" w:lineRule="atLeast"/>
      <w:jc w:val="left"/>
    </w:pPr>
    <w:rPr>
      <w:rFonts w:ascii="Arial" w:hAnsi="Arial"/>
      <w:snapToGrid/>
      <w:sz w:val="22"/>
      <w:lang w:val="de-DE" w:eastAsia="de-DE"/>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1Einrckung2stellig">
    <w:name w:val="1. Einrückung 2stellig"/>
    <w:basedOn w:val="1Einrckung"/>
    <w:pPr>
      <w:ind w:hanging="426"/>
    </w:pPr>
  </w:style>
  <w:style w:type="paragraph" w:customStyle="1" w:styleId="1Einrckung">
    <w:name w:val="1. Einrückung"/>
    <w:basedOn w:val="Normal"/>
    <w:pPr>
      <w:tabs>
        <w:tab w:val="clear" w:pos="431"/>
      </w:tabs>
      <w:overflowPunct/>
      <w:adjustRightInd/>
      <w:snapToGrid/>
      <w:spacing w:line="360" w:lineRule="atLeast"/>
      <w:ind w:left="284" w:hanging="284"/>
    </w:pPr>
    <w:rPr>
      <w:rFonts w:ascii="Arial" w:hAnsi="Arial"/>
      <w:snapToGrid/>
      <w:sz w:val="22"/>
      <w:szCs w:val="24"/>
      <w:lang w:val="de-DE" w:eastAsia="de-DE"/>
    </w:rPr>
  </w:style>
  <w:style w:type="paragraph" w:customStyle="1" w:styleId="3Einrckung">
    <w:name w:val="3. Einrückung"/>
    <w:basedOn w:val="2Einrckung"/>
    <w:pPr>
      <w:ind w:left="993" w:hanging="426"/>
    </w:pPr>
  </w:style>
  <w:style w:type="paragraph" w:customStyle="1" w:styleId="2Einrckung">
    <w:name w:val="2. Einrückung"/>
    <w:basedOn w:val="Normal"/>
    <w:pPr>
      <w:tabs>
        <w:tab w:val="clear" w:pos="431"/>
      </w:tabs>
      <w:overflowPunct/>
      <w:adjustRightInd/>
      <w:snapToGrid/>
      <w:spacing w:line="360" w:lineRule="atLeast"/>
      <w:ind w:left="568" w:hanging="284"/>
    </w:pPr>
    <w:rPr>
      <w:rFonts w:ascii="Arial" w:hAnsi="Arial"/>
      <w:snapToGrid/>
      <w:sz w:val="22"/>
      <w:szCs w:val="24"/>
      <w:lang w:val="de-DE" w:eastAsia="de-DE"/>
    </w:rPr>
  </w:style>
  <w:style w:type="paragraph" w:customStyle="1" w:styleId="BMJStandard15Zeilen">
    <w:name w:val="BMJStandard1.5Zeilen"/>
    <w:basedOn w:val="Normal"/>
    <w:pPr>
      <w:tabs>
        <w:tab w:val="clear" w:pos="431"/>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overflowPunct/>
      <w:adjustRightInd/>
      <w:snapToGrid/>
      <w:spacing w:line="360" w:lineRule="auto"/>
      <w:jc w:val="left"/>
    </w:pPr>
    <w:rPr>
      <w:rFonts w:ascii="Arial" w:hAnsi="Arial"/>
      <w:snapToGrid/>
      <w:sz w:val="22"/>
      <w:szCs w:val="24"/>
      <w:lang w:val="de-DE" w:eastAsia="de-DE"/>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tabs>
        <w:tab w:val="clear" w:pos="431"/>
        <w:tab w:val="left" w:pos="1701"/>
      </w:tabs>
      <w:suppressAutoHyphens/>
      <w:overflowPunct/>
      <w:adjustRightInd/>
      <w:snapToGrid/>
      <w:spacing w:after="120" w:line="240" w:lineRule="atLeast"/>
      <w:ind w:left="1701" w:right="1134" w:hanging="170"/>
    </w:pPr>
    <w:rPr>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1Spiegel">
    <w:name w:val="1. Spiegel"/>
    <w:basedOn w:val="Normal"/>
    <w:pPr>
      <w:tabs>
        <w:tab w:val="clear" w:pos="431"/>
      </w:tabs>
      <w:overflowPunct/>
      <w:adjustRightInd/>
      <w:snapToGrid/>
      <w:spacing w:line="360" w:lineRule="atLeast"/>
      <w:ind w:left="426" w:hanging="142"/>
    </w:pPr>
    <w:rPr>
      <w:rFonts w:ascii="Arial" w:hAnsi="Arial"/>
      <w:snapToGrid/>
      <w:sz w:val="22"/>
      <w:szCs w:val="24"/>
      <w:lang w:val="de-DE" w:eastAsia="de-DE"/>
    </w:rPr>
  </w:style>
  <w:style w:type="paragraph" w:customStyle="1" w:styleId="Pa2">
    <w:name w:val="Pa2"/>
    <w:basedOn w:val="Normal"/>
    <w:next w:val="Normal"/>
    <w:pPr>
      <w:tabs>
        <w:tab w:val="clear" w:pos="431"/>
      </w:tabs>
      <w:overflowPunct/>
      <w:autoSpaceDE w:val="0"/>
      <w:autoSpaceDN w:val="0"/>
      <w:snapToGrid/>
      <w:spacing w:line="201" w:lineRule="atLeast"/>
      <w:jc w:val="left"/>
    </w:pPr>
    <w:rPr>
      <w:rFonts w:ascii="Neue Demos" w:hAnsi="Neue Demos"/>
      <w:snapToGrid/>
      <w:sz w:val="24"/>
      <w:szCs w:val="24"/>
      <w:lang w:val="de-DE" w:eastAsia="de-DE"/>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Bullet2G">
    <w:name w:val="_Bullet 2_G"/>
    <w:basedOn w:val="Normal"/>
    <w:pPr>
      <w:tabs>
        <w:tab w:val="clear" w:pos="431"/>
        <w:tab w:val="left" w:pos="2268"/>
      </w:tabs>
      <w:suppressAutoHyphens/>
      <w:overflowPunct/>
      <w:adjustRightInd/>
      <w:snapToGrid/>
      <w:spacing w:after="120" w:line="240" w:lineRule="atLeast"/>
      <w:ind w:left="2268" w:right="1134" w:hanging="170"/>
    </w:pPr>
    <w:rPr>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Spiegel">
    <w:name w:val="Spiegel"/>
    <w:basedOn w:val="Normal"/>
    <w:pPr>
      <w:tabs>
        <w:tab w:val="clear" w:pos="431"/>
      </w:tabs>
      <w:overflowPunct/>
      <w:adjustRightInd/>
      <w:snapToGrid/>
      <w:spacing w:line="360" w:lineRule="atLeast"/>
      <w:ind w:left="142" w:hanging="142"/>
    </w:pPr>
    <w:rPr>
      <w:rFonts w:ascii="Arial" w:hAnsi="Arial"/>
      <w:snapToGrid/>
      <w:sz w:val="22"/>
      <w:szCs w:val="24"/>
      <w:lang w:val="de-DE" w:eastAsia="de-DE"/>
    </w:rPr>
  </w:style>
  <w:style w:type="paragraph" w:customStyle="1" w:styleId="Brieftext">
    <w:name w:val="Brieftext"/>
    <w:pPr>
      <w:spacing w:line="320" w:lineRule="exact"/>
    </w:pPr>
    <w:rPr>
      <w:sz w:val="24"/>
      <w:szCs w:val="24"/>
      <w:lang w:val="de-DE" w:eastAsia="de-DE"/>
    </w:rPr>
  </w:style>
  <w:style w:type="paragraph" w:customStyle="1" w:styleId="Default">
    <w:name w:val="Default"/>
    <w:pPr>
      <w:widowControl w:val="0"/>
      <w:autoSpaceDE w:val="0"/>
      <w:autoSpaceDN w:val="0"/>
      <w:adjustRightInd w:val="0"/>
    </w:pPr>
    <w:rPr>
      <w:rFonts w:ascii="Arial" w:hAnsi="Arial" w:cs="Arial"/>
      <w:color w:val="000000"/>
      <w:sz w:val="24"/>
      <w:szCs w:val="24"/>
      <w:lang w:val="de-DE" w:eastAsia="de-DE"/>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paragraph" w:customStyle="1" w:styleId="2Spiegel">
    <w:name w:val="2. Spiegel"/>
    <w:basedOn w:val="Normal"/>
    <w:pPr>
      <w:tabs>
        <w:tab w:val="clear" w:pos="431"/>
      </w:tabs>
      <w:overflowPunct/>
      <w:adjustRightInd/>
      <w:snapToGrid/>
      <w:spacing w:line="360" w:lineRule="atLeast"/>
      <w:ind w:left="709" w:hanging="142"/>
    </w:pPr>
    <w:rPr>
      <w:rFonts w:ascii="Arial" w:hAnsi="Arial"/>
      <w:snapToGrid/>
      <w:sz w:val="22"/>
      <w:szCs w:val="24"/>
      <w:lang w:val="de-DE" w:eastAsia="de-DE"/>
    </w:rPr>
  </w:style>
  <w:style w:type="paragraph" w:customStyle="1" w:styleId="Punktation-Gliederung1">
    <w:name w:val="Punktation-Gliederung1"/>
    <w:basedOn w:val="Normal"/>
    <w:pPr>
      <w:tabs>
        <w:tab w:val="clear" w:pos="431"/>
        <w:tab w:val="left" w:pos="1492"/>
      </w:tabs>
      <w:overflowPunct/>
      <w:adjustRightInd/>
      <w:snapToGrid/>
      <w:spacing w:before="240" w:line="240" w:lineRule="auto"/>
      <w:ind w:left="1492" w:hanging="360"/>
      <w:jc w:val="left"/>
    </w:pPr>
    <w:rPr>
      <w:rFonts w:ascii="Arial" w:hAnsi="Arial" w:cs="Arial"/>
      <w:b/>
      <w:snapToGrid/>
      <w:sz w:val="32"/>
      <w:lang w:val="de-DE" w:eastAsia="de-DE"/>
    </w:rPr>
  </w:style>
  <w:style w:type="paragraph" w:styleId="ListParagraph">
    <w:name w:val="List Paragraph"/>
    <w:basedOn w:val="Normal"/>
    <w:qFormat/>
    <w:pPr>
      <w:tabs>
        <w:tab w:val="clear" w:pos="431"/>
      </w:tabs>
      <w:overflowPunct/>
      <w:adjustRightInd/>
      <w:snapToGrid/>
      <w:spacing w:line="360" w:lineRule="atLeast"/>
      <w:ind w:left="720"/>
      <w:contextualSpacing/>
      <w:jc w:val="left"/>
    </w:pPr>
    <w:rPr>
      <w:rFonts w:ascii="Arial" w:eastAsia="Calibri" w:hAnsi="Arial"/>
      <w:snapToGrid/>
      <w:sz w:val="22"/>
      <w:lang w:val="de-DE" w:eastAsia="de-DE"/>
    </w:rPr>
  </w:style>
  <w:style w:type="paragraph" w:customStyle="1" w:styleId="Listenabsatz">
    <w:name w:val="Listenabsatz"/>
    <w:basedOn w:val="Normal"/>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de-DE" w:eastAsia="en-US"/>
    </w:rPr>
  </w:style>
  <w:style w:type="paragraph" w:customStyle="1" w:styleId="Bezug">
    <w:name w:val="Bezug"/>
    <w:basedOn w:val="Normal"/>
    <w:pPr>
      <w:tabs>
        <w:tab w:val="clear" w:pos="431"/>
      </w:tabs>
      <w:overflowPunct/>
      <w:adjustRightInd/>
      <w:snapToGrid/>
      <w:spacing w:before="240" w:line="240" w:lineRule="auto"/>
      <w:jc w:val="left"/>
    </w:pPr>
    <w:rPr>
      <w:snapToGrid/>
      <w:sz w:val="24"/>
      <w:szCs w:val="24"/>
      <w:lang w:val="de-DE" w:eastAsia="de-DE"/>
    </w:rPr>
  </w:style>
  <w:style w:type="character" w:customStyle="1" w:styleId="longtext">
    <w:name w:val="long_text"/>
    <w:basedOn w:val="DefaultParagraphFont"/>
  </w:style>
  <w:style w:type="character" w:customStyle="1" w:styleId="atn">
    <w:name w:val="atn"/>
    <w:basedOn w:val="DefaultParagraphFont"/>
  </w:style>
  <w:style w:type="character" w:customStyle="1" w:styleId="hps">
    <w:name w:val="hps"/>
    <w:basedOn w:val="DefaultParagraphFont"/>
  </w:style>
  <w:style w:type="character" w:customStyle="1" w:styleId="shorttext">
    <w:name w:val="short_text"/>
    <w:basedOn w:val="DefaultParagraphFont"/>
  </w:style>
  <w:style w:type="character" w:customStyle="1" w:styleId="def">
    <w:name w:val="def"/>
    <w:basedOn w:val="DefaultParagraphFont"/>
  </w:style>
  <w:style w:type="paragraph" w:customStyle="1" w:styleId="a0">
    <w:name w:val="悬挂符号－"/>
    <w:basedOn w:val="a4"/>
    <w:pPr>
      <w:numPr>
        <w:numId w:val="4"/>
      </w:numPr>
      <w:tabs>
        <w:tab w:val="clear" w:pos="431"/>
        <w:tab w:val="clear" w:pos="1134"/>
        <w:tab w:val="clear" w:pos="1565"/>
        <w:tab w:val="clear" w:pos="1996"/>
        <w:tab w:val="clear" w:pos="2427"/>
      </w:tabs>
      <w:spacing w:after="0" w:line="336" w:lineRule="auto"/>
      <w:ind w:right="0"/>
    </w:pPr>
    <w:rPr>
      <w:spacing w:val="10"/>
      <w:sz w:val="24"/>
    </w:rPr>
  </w:style>
  <w:style w:type="character" w:customStyle="1" w:styleId="SingleTxtGCChar">
    <w:name w:val="_ Single Txt_GC Char"/>
    <w:basedOn w:val="DefaultParagraphFont"/>
    <w:link w:val="SingleTxtGC"/>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h.wikipedia.org/wiki/%E5%B7%B4%E7%99%BB%EF%BC%8D%E7%AC%A6%E8%85%BE%E5%A0%A1" TargetMode="External"/><Relationship Id="rId13" Type="http://schemas.openxmlformats.org/officeDocument/2006/relationships/hyperlink" Target="http://zh.wikipedia.org/wiki/%E6%B1%89%E5%A0%A1" TargetMode="External"/><Relationship Id="rId18" Type="http://schemas.openxmlformats.org/officeDocument/2006/relationships/hyperlink" Target="http://zh.wikipedia.org/wiki/%E8%8E%B1%E8%8C%B5%E5%85%B0%EF%BC%8D%E6%99%AE%E6%B3%95%E5%B0%94%E8%8C%A8" TargetMode="External"/><Relationship Id="rId26" Type="http://schemas.openxmlformats.org/officeDocument/2006/relationships/hyperlink" Target="http://zh.wikipedia.org/wiki/%E6%9F%8F%E6%9E%97" TargetMode="External"/><Relationship Id="rId39" Type="http://schemas.openxmlformats.org/officeDocument/2006/relationships/hyperlink" Target="http://zh.wikipedia.org/wiki/%E5%9B%BE%E6%9E%97%E6%A0%B9" TargetMode="External"/><Relationship Id="rId3" Type="http://schemas.openxmlformats.org/officeDocument/2006/relationships/settings" Target="settings.xml"/><Relationship Id="rId21" Type="http://schemas.openxmlformats.org/officeDocument/2006/relationships/hyperlink" Target="http://zh.wikipedia.org/wiki/%E8%90%A8%E5%85%8B%E6%A3%AE%EF%BC%8D%E5%AE%89%E5%93%88%E5%B0%94%E7%89%B9" TargetMode="External"/><Relationship Id="rId34" Type="http://schemas.openxmlformats.org/officeDocument/2006/relationships/hyperlink" Target="http://zh.wikipedia.org/wiki/%E8%8E%B1%E8%8C%B5%E5%85%B0%EF%BC%8D%E6%99%AE%E6%B3%95%E5%B0%94%E8%8C%A8" TargetMode="External"/><Relationship Id="rId42"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zh.wikipedia.org/wiki/%E4%B8%8D%E6%9D%A5%E6%A2%85" TargetMode="External"/><Relationship Id="rId17" Type="http://schemas.openxmlformats.org/officeDocument/2006/relationships/hyperlink" Target="http://zh.wikipedia.org/wiki/%E5%8C%97%E8%8E%B1%E8%8C%B5%EF%BC%8D%E5%A8%81%E6%96%AF%E7%89%B9%E6%B3%95%E4%BC%A6" TargetMode="External"/><Relationship Id="rId25" Type="http://schemas.openxmlformats.org/officeDocument/2006/relationships/hyperlink" Target="http://zh.wikipedia.org/wiki/%E5%B7%B4%E4%BC%90%E5%88%A9%E4%BA%9A" TargetMode="External"/><Relationship Id="rId33" Type="http://schemas.openxmlformats.org/officeDocument/2006/relationships/hyperlink" Target="http://zh.wikipedia.org/wiki/%E5%8C%97%E8%8E%B1%E8%8C%B5%EF%BC%8D%E5%A8%81%E6%96%AF%E7%89%B9%E6%B3%95%E4%BC%A6" TargetMode="External"/><Relationship Id="rId38" Type="http://schemas.openxmlformats.org/officeDocument/2006/relationships/hyperlink" Target="http://zh.wikipedia.org/wiki/%E7%9F%B3%E5%8B%92%E8%8B%8F%E7%9B%8A%E6%A0%BC%EF%BC%8D%E8%8D%B7%E5%B0%94%E6%96%AF%E6%B3%B0%E5%9B%A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h.wikipedia.org/wiki/%E4%B8%8B%E8%90%A8%E5%85%8B%E6%A3%AE" TargetMode="External"/><Relationship Id="rId20" Type="http://schemas.openxmlformats.org/officeDocument/2006/relationships/hyperlink" Target="http://zh.wikipedia.org/wiki/%E8%90%A8%E5%85%8B%E6%A3%AE%E8%87%AA%E7%94%B1%E5%B7%9E" TargetMode="External"/><Relationship Id="rId29" Type="http://schemas.openxmlformats.org/officeDocument/2006/relationships/hyperlink" Target="http://zh.wikipedia.org/wiki/%E6%B1%89%E5%A0%A1"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h.wikipedia.org/wiki/%E5%8B%83%E5%85%B0%E7%99%BB%E5%A0%A1" TargetMode="External"/><Relationship Id="rId24" Type="http://schemas.openxmlformats.org/officeDocument/2006/relationships/hyperlink" Target="http://zh.wikipedia.org/wiki/%E5%B7%B4%E7%99%BB%EF%BC%8D%E7%AC%A6%E8%85%BE%E5%A0%A1" TargetMode="External"/><Relationship Id="rId32" Type="http://schemas.openxmlformats.org/officeDocument/2006/relationships/hyperlink" Target="http://zh.wikipedia.org/wiki/%E4%B8%8B%E8%90%A8%E5%85%8B%E6%A3%AE" TargetMode="External"/><Relationship Id="rId37" Type="http://schemas.openxmlformats.org/officeDocument/2006/relationships/hyperlink" Target="http://zh.wikipedia.org/wiki/%E8%90%A8%E5%85%8B%E6%A3%AE%EF%BC%8D%E5%AE%89%E5%93%88%E5%B0%94%E7%89%B9"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h.wikipedia.org/wiki/%E6%A2%85%E5%85%8B%E4%BC%A6%E5%A0%A1%EF%BC%8D%E5%89%8D%E6%B3%A2%E7%BE%8E%E6%8B%89%E5%B0%BC%E4%BA%9A" TargetMode="External"/><Relationship Id="rId23" Type="http://schemas.openxmlformats.org/officeDocument/2006/relationships/hyperlink" Target="http://zh.wikipedia.org/wiki/%E5%9B%BE%E6%9E%97%E6%A0%B9" TargetMode="External"/><Relationship Id="rId28" Type="http://schemas.openxmlformats.org/officeDocument/2006/relationships/hyperlink" Target="http://zh.wikipedia.org/wiki/%E4%B8%8D%E6%9D%A5%E6%A2%85" TargetMode="External"/><Relationship Id="rId36" Type="http://schemas.openxmlformats.org/officeDocument/2006/relationships/hyperlink" Target="http://zh.wikipedia.org/wiki/%E8%90%A8%E5%85%8B%E6%A3%AE%E8%87%AA%E7%94%B1%E5%B7%9E" TargetMode="External"/><Relationship Id="rId10" Type="http://schemas.openxmlformats.org/officeDocument/2006/relationships/hyperlink" Target="http://zh.wikipedia.org/wiki/%E6%9F%8F%E6%9E%97" TargetMode="External"/><Relationship Id="rId19" Type="http://schemas.openxmlformats.org/officeDocument/2006/relationships/hyperlink" Target="http://zh.wikipedia.org/wiki/%E8%90%A8%E5%B0%94" TargetMode="External"/><Relationship Id="rId31" Type="http://schemas.openxmlformats.org/officeDocument/2006/relationships/hyperlink" Target="http://zh.wikipedia.org/wiki/%E6%A2%85%E5%85%8B%E4%BC%A6%E5%A0%A1%EF%BC%8D%E5%89%8D%E6%B3%A2%E7%BE%8E%E6%8B%89%E5%B0%BC%E4%BA%9A"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zh.wikipedia.org/wiki/%E5%B7%B4%E4%BC%90%E5%88%A9%E4%BA%9A" TargetMode="External"/><Relationship Id="rId14" Type="http://schemas.openxmlformats.org/officeDocument/2006/relationships/hyperlink" Target="http://zh.wikipedia.org/wiki/%E9%BB%91%E6%A3%AE" TargetMode="External"/><Relationship Id="rId22" Type="http://schemas.openxmlformats.org/officeDocument/2006/relationships/hyperlink" Target="http://zh.wikipedia.org/wiki/%E7%9F%B3%E5%8B%92%E8%8B%8F%E7%9B%8A%E6%A0%BC%EF%BC%8D%E8%8D%B7%E5%B0%94%E6%96%AF%E6%B3%B0%E5%9B%A0" TargetMode="External"/><Relationship Id="rId27" Type="http://schemas.openxmlformats.org/officeDocument/2006/relationships/hyperlink" Target="http://zh.wikipedia.org/wiki/%E5%8B%83%E5%85%B0%E7%99%BB%E5%A0%A1" TargetMode="External"/><Relationship Id="rId30" Type="http://schemas.openxmlformats.org/officeDocument/2006/relationships/hyperlink" Target="http://zh.wikipedia.org/wiki/%E9%BB%91%E6%A3%AE" TargetMode="External"/><Relationship Id="rId35" Type="http://schemas.openxmlformats.org/officeDocument/2006/relationships/hyperlink" Target="http://zh.wikipedia.org/wiki/%E8%90%A8%E5%B0%94"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5</TotalTime>
  <Pages>1</Pages>
  <Words>8921</Words>
  <Characters>50855</Characters>
  <Application>Microsoft Office Outlook</Application>
  <DocSecurity>4</DocSecurity>
  <Lines>423</Lines>
  <Paragraphs>119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59657</CharactersWithSpaces>
  <SharedDoc>false</SharedDoc>
  <HLinks>
    <vt:vector size="198" baseType="variant">
      <vt:variant>
        <vt:i4>1769561</vt:i4>
      </vt:variant>
      <vt:variant>
        <vt:i4>96</vt:i4>
      </vt:variant>
      <vt:variant>
        <vt:i4>0</vt:i4>
      </vt:variant>
      <vt:variant>
        <vt:i4>5</vt:i4>
      </vt:variant>
      <vt:variant>
        <vt:lpwstr>http://zh.wikipedia.org/wiki/%E5%9B%BE%E6%9E%97%E6%A0%B9</vt:lpwstr>
      </vt:variant>
      <vt:variant>
        <vt:lpwstr/>
      </vt:variant>
      <vt:variant>
        <vt:i4>5177434</vt:i4>
      </vt:variant>
      <vt:variant>
        <vt:i4>93</vt:i4>
      </vt:variant>
      <vt:variant>
        <vt:i4>0</vt:i4>
      </vt:variant>
      <vt:variant>
        <vt:i4>5</vt:i4>
      </vt:variant>
      <vt:variant>
        <vt:lpwstr>http://zh.wikipedia.org/wiki/%E7%9F%B3%E5%8B%92%E8%8B%8F%E7%9B%8A%E6%A0%BC%EF%BC%8D%E8%8D%B7%E5%B0%94%E6%96%AF%E6%B3%B0%E5%9B%A0</vt:lpwstr>
      </vt:variant>
      <vt:variant>
        <vt:lpwstr/>
      </vt:variant>
      <vt:variant>
        <vt:i4>196688</vt:i4>
      </vt:variant>
      <vt:variant>
        <vt:i4>90</vt:i4>
      </vt:variant>
      <vt:variant>
        <vt:i4>0</vt:i4>
      </vt:variant>
      <vt:variant>
        <vt:i4>5</vt:i4>
      </vt:variant>
      <vt:variant>
        <vt:lpwstr>http://zh.wikipedia.org/wiki/%E8%90%A8%E5%85%8B%E6%A3%AE%EF%BC%8D%E5%AE%89%E5%93%88%E5%B0%94%E7%89%B9</vt:lpwstr>
      </vt:variant>
      <vt:variant>
        <vt:lpwstr/>
      </vt:variant>
      <vt:variant>
        <vt:i4>2162815</vt:i4>
      </vt:variant>
      <vt:variant>
        <vt:i4>87</vt:i4>
      </vt:variant>
      <vt:variant>
        <vt:i4>0</vt:i4>
      </vt:variant>
      <vt:variant>
        <vt:i4>5</vt:i4>
      </vt:variant>
      <vt:variant>
        <vt:lpwstr>http://zh.wikipedia.org/wiki/%E8%90%A8%E5%85%8B%E6%A3%AE%E8%87%AA%E7%94%B1%E5%B7%9E</vt:lpwstr>
      </vt:variant>
      <vt:variant>
        <vt:lpwstr/>
      </vt:variant>
      <vt:variant>
        <vt:i4>7340149</vt:i4>
      </vt:variant>
      <vt:variant>
        <vt:i4>84</vt:i4>
      </vt:variant>
      <vt:variant>
        <vt:i4>0</vt:i4>
      </vt:variant>
      <vt:variant>
        <vt:i4>5</vt:i4>
      </vt:variant>
      <vt:variant>
        <vt:lpwstr>http://zh.wikipedia.org/wiki/%E8%90%A8%E5%B0%94</vt:lpwstr>
      </vt:variant>
      <vt:variant>
        <vt:lpwstr/>
      </vt:variant>
      <vt:variant>
        <vt:i4>5701638</vt:i4>
      </vt:variant>
      <vt:variant>
        <vt:i4>81</vt:i4>
      </vt:variant>
      <vt:variant>
        <vt:i4>0</vt:i4>
      </vt:variant>
      <vt:variant>
        <vt:i4>5</vt:i4>
      </vt:variant>
      <vt:variant>
        <vt:lpwstr>http://zh.wikipedia.org/wiki/%E8%8E%B1%E8%8C%B5%E5%85%B0%EF%BC%8D%E6%99%AE%E6%B3%95%E5%B0%94%E8%8C%A8</vt:lpwstr>
      </vt:variant>
      <vt:variant>
        <vt:lpwstr/>
      </vt:variant>
      <vt:variant>
        <vt:i4>3997736</vt:i4>
      </vt:variant>
      <vt:variant>
        <vt:i4>78</vt:i4>
      </vt:variant>
      <vt:variant>
        <vt:i4>0</vt:i4>
      </vt:variant>
      <vt:variant>
        <vt:i4>5</vt:i4>
      </vt:variant>
      <vt:variant>
        <vt:lpwstr>http://zh.wikipedia.org/wiki/%E5%8C%97%E8%8E%B1%E8%8C%B5%EF%BC%8D%E5%A8%81%E6%96%AF%E7%89%B9%E6%B3%95%E4%BC%A6</vt:lpwstr>
      </vt:variant>
      <vt:variant>
        <vt:lpwstr/>
      </vt:variant>
      <vt:variant>
        <vt:i4>5767248</vt:i4>
      </vt:variant>
      <vt:variant>
        <vt:i4>75</vt:i4>
      </vt:variant>
      <vt:variant>
        <vt:i4>0</vt:i4>
      </vt:variant>
      <vt:variant>
        <vt:i4>5</vt:i4>
      </vt:variant>
      <vt:variant>
        <vt:lpwstr>http://zh.wikipedia.org/wiki/%E4%B8%8B%E8%90%A8%E5%85%8B%E6%A3%AE</vt:lpwstr>
      </vt:variant>
      <vt:variant>
        <vt:lpwstr/>
      </vt:variant>
      <vt:variant>
        <vt:i4>1441879</vt:i4>
      </vt:variant>
      <vt:variant>
        <vt:i4>72</vt:i4>
      </vt:variant>
      <vt:variant>
        <vt:i4>0</vt:i4>
      </vt:variant>
      <vt:variant>
        <vt:i4>5</vt:i4>
      </vt:variant>
      <vt:variant>
        <vt:lpwstr>http://zh.wikipedia.org/wiki/%E6%A2%85%E5%85%8B%E4%BC%A6%E5%A0%A1%EF%BC%8D%E5%89%8D%E6%B3%A2%E7%BE%8E%E6%8B%89%E5%B0%BC%E4%BA%9A</vt:lpwstr>
      </vt:variant>
      <vt:variant>
        <vt:lpwstr/>
      </vt:variant>
      <vt:variant>
        <vt:i4>7864447</vt:i4>
      </vt:variant>
      <vt:variant>
        <vt:i4>69</vt:i4>
      </vt:variant>
      <vt:variant>
        <vt:i4>0</vt:i4>
      </vt:variant>
      <vt:variant>
        <vt:i4>5</vt:i4>
      </vt:variant>
      <vt:variant>
        <vt:lpwstr>http://zh.wikipedia.org/wiki/%E9%BB%91%E6%A3%AE</vt:lpwstr>
      </vt:variant>
      <vt:variant>
        <vt:lpwstr/>
      </vt:variant>
      <vt:variant>
        <vt:i4>8126510</vt:i4>
      </vt:variant>
      <vt:variant>
        <vt:i4>66</vt:i4>
      </vt:variant>
      <vt:variant>
        <vt:i4>0</vt:i4>
      </vt:variant>
      <vt:variant>
        <vt:i4>5</vt:i4>
      </vt:variant>
      <vt:variant>
        <vt:lpwstr>http://zh.wikipedia.org/wiki/%E6%B1%89%E5%A0%A1</vt:lpwstr>
      </vt:variant>
      <vt:variant>
        <vt:lpwstr/>
      </vt:variant>
      <vt:variant>
        <vt:i4>1376259</vt:i4>
      </vt:variant>
      <vt:variant>
        <vt:i4>63</vt:i4>
      </vt:variant>
      <vt:variant>
        <vt:i4>0</vt:i4>
      </vt:variant>
      <vt:variant>
        <vt:i4>5</vt:i4>
      </vt:variant>
      <vt:variant>
        <vt:lpwstr>http://zh.wikipedia.org/wiki/%E4%B8%8D%E6%9D%A5%E6%A2%85</vt:lpwstr>
      </vt:variant>
      <vt:variant>
        <vt:lpwstr/>
      </vt:variant>
      <vt:variant>
        <vt:i4>5505115</vt:i4>
      </vt:variant>
      <vt:variant>
        <vt:i4>60</vt:i4>
      </vt:variant>
      <vt:variant>
        <vt:i4>0</vt:i4>
      </vt:variant>
      <vt:variant>
        <vt:i4>5</vt:i4>
      </vt:variant>
      <vt:variant>
        <vt:lpwstr>http://zh.wikipedia.org/wiki/%E5%8B%83%E5%85%B0%E7%99%BB%E5%A0%A1</vt:lpwstr>
      </vt:variant>
      <vt:variant>
        <vt:lpwstr/>
      </vt:variant>
      <vt:variant>
        <vt:i4>7667746</vt:i4>
      </vt:variant>
      <vt:variant>
        <vt:i4>57</vt:i4>
      </vt:variant>
      <vt:variant>
        <vt:i4>0</vt:i4>
      </vt:variant>
      <vt:variant>
        <vt:i4>5</vt:i4>
      </vt:variant>
      <vt:variant>
        <vt:lpwstr>http://zh.wikipedia.org/wiki/%E6%9F%8F%E6%9E%97</vt:lpwstr>
      </vt:variant>
      <vt:variant>
        <vt:lpwstr/>
      </vt:variant>
      <vt:variant>
        <vt:i4>5570575</vt:i4>
      </vt:variant>
      <vt:variant>
        <vt:i4>54</vt:i4>
      </vt:variant>
      <vt:variant>
        <vt:i4>0</vt:i4>
      </vt:variant>
      <vt:variant>
        <vt:i4>5</vt:i4>
      </vt:variant>
      <vt:variant>
        <vt:lpwstr>http://zh.wikipedia.org/wiki/%E5%B7%B4%E4%BC%90%E5%88%A9%E4%BA%9A</vt:lpwstr>
      </vt:variant>
      <vt:variant>
        <vt:lpwstr/>
      </vt:variant>
      <vt:variant>
        <vt:i4>3014770</vt:i4>
      </vt:variant>
      <vt:variant>
        <vt:i4>51</vt:i4>
      </vt:variant>
      <vt:variant>
        <vt:i4>0</vt:i4>
      </vt:variant>
      <vt:variant>
        <vt:i4>5</vt:i4>
      </vt:variant>
      <vt:variant>
        <vt:lpwstr>http://zh.wikipedia.org/wiki/%E5%B7%B4%E7%99%BB%EF%BC%8D%E7%AC%A6%E8%85%BE%E5%A0%A1</vt:lpwstr>
      </vt:variant>
      <vt:variant>
        <vt:lpwstr/>
      </vt:variant>
      <vt:variant>
        <vt:i4>3866747</vt:i4>
      </vt:variant>
      <vt:variant>
        <vt:i4>48</vt:i4>
      </vt:variant>
      <vt:variant>
        <vt:i4>0</vt:i4>
      </vt:variant>
      <vt:variant>
        <vt:i4>5</vt:i4>
      </vt:variant>
      <vt:variant>
        <vt:lpwstr>http://www.google.com.hk/url?sa=t&amp;rct=j&amp;q=DIAS%2BGmbH&amp;source=web&amp;cd=3&amp;ved=0CD4QFjAC&amp;url=%68%74%74%70%3a%2f%2f%77%77%77%2e%64%69%61%73%2d%69%6e%66%72%61%72%65%64%2e%63%6f%6d%2e%63%6e%2f&amp;ei=cRPBUZeuKsKmlQX48oC4Cg&amp;usg=AFQjCNFR2YUoPSF5UIXU5Y0y3ykwnU8xRA&amp;bvm=bv.47883778,d.dGI&amp;cad=rjt</vt:lpwstr>
      </vt:variant>
      <vt:variant>
        <vt:lpwstr/>
      </vt:variant>
      <vt:variant>
        <vt:i4>1769561</vt:i4>
      </vt:variant>
      <vt:variant>
        <vt:i4>45</vt:i4>
      </vt:variant>
      <vt:variant>
        <vt:i4>0</vt:i4>
      </vt:variant>
      <vt:variant>
        <vt:i4>5</vt:i4>
      </vt:variant>
      <vt:variant>
        <vt:lpwstr>http://zh.wikipedia.org/wiki/%E5%9B%BE%E6%9E%97%E6%A0%B9</vt:lpwstr>
      </vt:variant>
      <vt:variant>
        <vt:lpwstr/>
      </vt:variant>
      <vt:variant>
        <vt:i4>5177434</vt:i4>
      </vt:variant>
      <vt:variant>
        <vt:i4>42</vt:i4>
      </vt:variant>
      <vt:variant>
        <vt:i4>0</vt:i4>
      </vt:variant>
      <vt:variant>
        <vt:i4>5</vt:i4>
      </vt:variant>
      <vt:variant>
        <vt:lpwstr>http://zh.wikipedia.org/wiki/%E7%9F%B3%E5%8B%92%E8%8B%8F%E7%9B%8A%E6%A0%BC%EF%BC%8D%E8%8D%B7%E5%B0%94%E6%96%AF%E6%B3%B0%E5%9B%A0</vt:lpwstr>
      </vt:variant>
      <vt:variant>
        <vt:lpwstr/>
      </vt:variant>
      <vt:variant>
        <vt:i4>196688</vt:i4>
      </vt:variant>
      <vt:variant>
        <vt:i4>39</vt:i4>
      </vt:variant>
      <vt:variant>
        <vt:i4>0</vt:i4>
      </vt:variant>
      <vt:variant>
        <vt:i4>5</vt:i4>
      </vt:variant>
      <vt:variant>
        <vt:lpwstr>http://zh.wikipedia.org/wiki/%E8%90%A8%E5%85%8B%E6%A3%AE%EF%BC%8D%E5%AE%89%E5%93%88%E5%B0%94%E7%89%B9</vt:lpwstr>
      </vt:variant>
      <vt:variant>
        <vt:lpwstr/>
      </vt:variant>
      <vt:variant>
        <vt:i4>2162815</vt:i4>
      </vt:variant>
      <vt:variant>
        <vt:i4>36</vt:i4>
      </vt:variant>
      <vt:variant>
        <vt:i4>0</vt:i4>
      </vt:variant>
      <vt:variant>
        <vt:i4>5</vt:i4>
      </vt:variant>
      <vt:variant>
        <vt:lpwstr>http://zh.wikipedia.org/wiki/%E8%90%A8%E5%85%8B%E6%A3%AE%E8%87%AA%E7%94%B1%E5%B7%9E</vt:lpwstr>
      </vt:variant>
      <vt:variant>
        <vt:lpwstr/>
      </vt:variant>
      <vt:variant>
        <vt:i4>7340149</vt:i4>
      </vt:variant>
      <vt:variant>
        <vt:i4>33</vt:i4>
      </vt:variant>
      <vt:variant>
        <vt:i4>0</vt:i4>
      </vt:variant>
      <vt:variant>
        <vt:i4>5</vt:i4>
      </vt:variant>
      <vt:variant>
        <vt:lpwstr>http://zh.wikipedia.org/wiki/%E8%90%A8%E5%B0%94</vt:lpwstr>
      </vt:variant>
      <vt:variant>
        <vt:lpwstr/>
      </vt:variant>
      <vt:variant>
        <vt:i4>5701638</vt:i4>
      </vt:variant>
      <vt:variant>
        <vt:i4>30</vt:i4>
      </vt:variant>
      <vt:variant>
        <vt:i4>0</vt:i4>
      </vt:variant>
      <vt:variant>
        <vt:i4>5</vt:i4>
      </vt:variant>
      <vt:variant>
        <vt:lpwstr>http://zh.wikipedia.org/wiki/%E8%8E%B1%E8%8C%B5%E5%85%B0%EF%BC%8D%E6%99%AE%E6%B3%95%E5%B0%94%E8%8C%A8</vt:lpwstr>
      </vt:variant>
      <vt:variant>
        <vt:lpwstr/>
      </vt:variant>
      <vt:variant>
        <vt:i4>3997736</vt:i4>
      </vt:variant>
      <vt:variant>
        <vt:i4>27</vt:i4>
      </vt:variant>
      <vt:variant>
        <vt:i4>0</vt:i4>
      </vt:variant>
      <vt:variant>
        <vt:i4>5</vt:i4>
      </vt:variant>
      <vt:variant>
        <vt:lpwstr>http://zh.wikipedia.org/wiki/%E5%8C%97%E8%8E%B1%E8%8C%B5%EF%BC%8D%E5%A8%81%E6%96%AF%E7%89%B9%E6%B3%95%E4%BC%A6</vt:lpwstr>
      </vt:variant>
      <vt:variant>
        <vt:lpwstr/>
      </vt:variant>
      <vt:variant>
        <vt:i4>5767248</vt:i4>
      </vt:variant>
      <vt:variant>
        <vt:i4>24</vt:i4>
      </vt:variant>
      <vt:variant>
        <vt:i4>0</vt:i4>
      </vt:variant>
      <vt:variant>
        <vt:i4>5</vt:i4>
      </vt:variant>
      <vt:variant>
        <vt:lpwstr>http://zh.wikipedia.org/wiki/%E4%B8%8B%E8%90%A8%E5%85%8B%E6%A3%AE</vt:lpwstr>
      </vt:variant>
      <vt:variant>
        <vt:lpwstr/>
      </vt:variant>
      <vt:variant>
        <vt:i4>1441879</vt:i4>
      </vt:variant>
      <vt:variant>
        <vt:i4>21</vt:i4>
      </vt:variant>
      <vt:variant>
        <vt:i4>0</vt:i4>
      </vt:variant>
      <vt:variant>
        <vt:i4>5</vt:i4>
      </vt:variant>
      <vt:variant>
        <vt:lpwstr>http://zh.wikipedia.org/wiki/%E6%A2%85%E5%85%8B%E4%BC%A6%E5%A0%A1%EF%BC%8D%E5%89%8D%E6%B3%A2%E7%BE%8E%E6%8B%89%E5%B0%BC%E4%BA%9A</vt:lpwstr>
      </vt:variant>
      <vt:variant>
        <vt:lpwstr/>
      </vt:variant>
      <vt:variant>
        <vt:i4>7864447</vt:i4>
      </vt:variant>
      <vt:variant>
        <vt:i4>18</vt:i4>
      </vt:variant>
      <vt:variant>
        <vt:i4>0</vt:i4>
      </vt:variant>
      <vt:variant>
        <vt:i4>5</vt:i4>
      </vt:variant>
      <vt:variant>
        <vt:lpwstr>http://zh.wikipedia.org/wiki/%E9%BB%91%E6%A3%AE</vt:lpwstr>
      </vt:variant>
      <vt:variant>
        <vt:lpwstr/>
      </vt:variant>
      <vt:variant>
        <vt:i4>8126510</vt:i4>
      </vt:variant>
      <vt:variant>
        <vt:i4>15</vt:i4>
      </vt:variant>
      <vt:variant>
        <vt:i4>0</vt:i4>
      </vt:variant>
      <vt:variant>
        <vt:i4>5</vt:i4>
      </vt:variant>
      <vt:variant>
        <vt:lpwstr>http://zh.wikipedia.org/wiki/%E6%B1%89%E5%A0%A1</vt:lpwstr>
      </vt:variant>
      <vt:variant>
        <vt:lpwstr/>
      </vt:variant>
      <vt:variant>
        <vt:i4>1376259</vt:i4>
      </vt:variant>
      <vt:variant>
        <vt:i4>12</vt:i4>
      </vt:variant>
      <vt:variant>
        <vt:i4>0</vt:i4>
      </vt:variant>
      <vt:variant>
        <vt:i4>5</vt:i4>
      </vt:variant>
      <vt:variant>
        <vt:lpwstr>http://zh.wikipedia.org/wiki/%E4%B8%8D%E6%9D%A5%E6%A2%85</vt:lpwstr>
      </vt:variant>
      <vt:variant>
        <vt:lpwstr/>
      </vt:variant>
      <vt:variant>
        <vt:i4>5505115</vt:i4>
      </vt:variant>
      <vt:variant>
        <vt:i4>9</vt:i4>
      </vt:variant>
      <vt:variant>
        <vt:i4>0</vt:i4>
      </vt:variant>
      <vt:variant>
        <vt:i4>5</vt:i4>
      </vt:variant>
      <vt:variant>
        <vt:lpwstr>http://zh.wikipedia.org/wiki/%E5%8B%83%E5%85%B0%E7%99%BB%E5%A0%A1</vt:lpwstr>
      </vt:variant>
      <vt:variant>
        <vt:lpwstr/>
      </vt:variant>
      <vt:variant>
        <vt:i4>7667746</vt:i4>
      </vt:variant>
      <vt:variant>
        <vt:i4>6</vt:i4>
      </vt:variant>
      <vt:variant>
        <vt:i4>0</vt:i4>
      </vt:variant>
      <vt:variant>
        <vt:i4>5</vt:i4>
      </vt:variant>
      <vt:variant>
        <vt:lpwstr>http://zh.wikipedia.org/wiki/%E6%9F%8F%E6%9E%97</vt:lpwstr>
      </vt:variant>
      <vt:variant>
        <vt:lpwstr/>
      </vt:variant>
      <vt:variant>
        <vt:i4>5570575</vt:i4>
      </vt:variant>
      <vt:variant>
        <vt:i4>3</vt:i4>
      </vt:variant>
      <vt:variant>
        <vt:i4>0</vt:i4>
      </vt:variant>
      <vt:variant>
        <vt:i4>5</vt:i4>
      </vt:variant>
      <vt:variant>
        <vt:lpwstr>http://zh.wikipedia.org/wiki/%E5%B7%B4%E4%BC%90%E5%88%A9%E4%BA%9A</vt:lpwstr>
      </vt:variant>
      <vt:variant>
        <vt:lpwstr/>
      </vt:variant>
      <vt:variant>
        <vt:i4>3014770</vt:i4>
      </vt:variant>
      <vt:variant>
        <vt:i4>0</vt:i4>
      </vt:variant>
      <vt:variant>
        <vt:i4>0</vt:i4>
      </vt:variant>
      <vt:variant>
        <vt:i4>5</vt:i4>
      </vt:variant>
      <vt:variant>
        <vt:lpwstr>http://zh.wikipedia.org/wiki/%E5%B7%B4%E7%99%BB%EF%BC%8D%E7%AC%A6%E8%85%BE%E5%A0%A1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4</cp:revision>
  <cp:lastPrinted>2013-07-19T12:15:00Z</cp:lastPrinted>
  <dcterms:created xsi:type="dcterms:W3CDTF">2013-07-19T12:12:00Z</dcterms:created>
  <dcterms:modified xsi:type="dcterms:W3CDTF">2013-07-19T12:16:00Z</dcterms:modified>
</cp:coreProperties>
</file>