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BDC1060" w14:textId="77777777" w:rsidTr="00877609">
        <w:trPr>
          <w:trHeight w:hRule="exact" w:val="851"/>
        </w:trPr>
        <w:tc>
          <w:tcPr>
            <w:tcW w:w="142" w:type="dxa"/>
            <w:tcBorders>
              <w:bottom w:val="single" w:sz="4" w:space="0" w:color="auto"/>
            </w:tcBorders>
          </w:tcPr>
          <w:p w14:paraId="29DF35B9" w14:textId="77777777" w:rsidR="002D5AAC" w:rsidRDefault="002D5AAC" w:rsidP="00346B2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31CC7C1"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228373E" w14:textId="146FD74C" w:rsidR="002D5AAC" w:rsidRDefault="00346B2F" w:rsidP="00346B2F">
            <w:pPr>
              <w:jc w:val="right"/>
            </w:pPr>
            <w:r w:rsidRPr="00346B2F">
              <w:rPr>
                <w:sz w:val="40"/>
              </w:rPr>
              <w:t>CED</w:t>
            </w:r>
            <w:r w:rsidRPr="00346B2F">
              <w:t>/C/CRI/CO/1</w:t>
            </w:r>
          </w:p>
        </w:tc>
      </w:tr>
      <w:tr w:rsidR="002D5AAC" w:rsidRPr="00346B2F" w14:paraId="442012D3" w14:textId="77777777" w:rsidTr="00877609">
        <w:trPr>
          <w:trHeight w:hRule="exact" w:val="2835"/>
        </w:trPr>
        <w:tc>
          <w:tcPr>
            <w:tcW w:w="1280" w:type="dxa"/>
            <w:gridSpan w:val="2"/>
            <w:tcBorders>
              <w:top w:val="single" w:sz="4" w:space="0" w:color="auto"/>
              <w:bottom w:val="single" w:sz="12" w:space="0" w:color="auto"/>
            </w:tcBorders>
          </w:tcPr>
          <w:p w14:paraId="546D1E52" w14:textId="77777777" w:rsidR="002D5AAC" w:rsidRDefault="002E5067" w:rsidP="00877609">
            <w:pPr>
              <w:spacing w:before="120"/>
              <w:jc w:val="center"/>
            </w:pPr>
            <w:r>
              <w:rPr>
                <w:noProof/>
                <w:lang w:val="fr-CH" w:eastAsia="fr-CH"/>
              </w:rPr>
              <w:drawing>
                <wp:inline distT="0" distB="0" distL="0" distR="0" wp14:anchorId="2CEB694F" wp14:editId="5E33C44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311BC2"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4BB42367" w14:textId="77777777" w:rsidR="002D5AAC" w:rsidRPr="00346B2F" w:rsidRDefault="00346B2F" w:rsidP="00877609">
            <w:pPr>
              <w:spacing w:before="240"/>
              <w:rPr>
                <w:lang w:val="en-US"/>
              </w:rPr>
            </w:pPr>
            <w:r w:rsidRPr="00346B2F">
              <w:rPr>
                <w:lang w:val="en-US"/>
              </w:rPr>
              <w:t>Distr.: General</w:t>
            </w:r>
          </w:p>
          <w:p w14:paraId="3F9E5ED0" w14:textId="3C2E71B3" w:rsidR="00346B2F" w:rsidRPr="00346B2F" w:rsidRDefault="00346B2F" w:rsidP="00346B2F">
            <w:pPr>
              <w:spacing w:line="240" w:lineRule="exact"/>
              <w:rPr>
                <w:lang w:val="en-US"/>
              </w:rPr>
            </w:pPr>
            <w:r w:rsidRPr="00346B2F">
              <w:rPr>
                <w:lang w:val="en-US"/>
              </w:rPr>
              <w:t>12 April 2023</w:t>
            </w:r>
          </w:p>
          <w:p w14:paraId="2FBB9353" w14:textId="77777777" w:rsidR="00346B2F" w:rsidRPr="00346B2F" w:rsidRDefault="00346B2F" w:rsidP="00346B2F">
            <w:pPr>
              <w:spacing w:line="240" w:lineRule="exact"/>
              <w:rPr>
                <w:lang w:val="en-US"/>
              </w:rPr>
            </w:pPr>
            <w:r w:rsidRPr="00346B2F">
              <w:rPr>
                <w:lang w:val="en-US"/>
              </w:rPr>
              <w:t>Russian</w:t>
            </w:r>
          </w:p>
          <w:p w14:paraId="6C02D7DC" w14:textId="538E776A" w:rsidR="00346B2F" w:rsidRPr="00346B2F" w:rsidRDefault="00346B2F" w:rsidP="00346B2F">
            <w:pPr>
              <w:spacing w:line="240" w:lineRule="exact"/>
              <w:rPr>
                <w:lang w:val="en-US"/>
              </w:rPr>
            </w:pPr>
            <w:r w:rsidRPr="00346B2F">
              <w:rPr>
                <w:lang w:val="en-US"/>
              </w:rPr>
              <w:t xml:space="preserve">Original: </w:t>
            </w:r>
            <w:r w:rsidR="008D37CE">
              <w:rPr>
                <w:lang w:val="en-US"/>
              </w:rPr>
              <w:t>Spanish</w:t>
            </w:r>
          </w:p>
        </w:tc>
      </w:tr>
    </w:tbl>
    <w:p w14:paraId="72F41CBB" w14:textId="77777777" w:rsidR="00346B2F" w:rsidRPr="00346B2F" w:rsidRDefault="00346B2F" w:rsidP="00346B2F">
      <w:pPr>
        <w:spacing w:before="120"/>
        <w:ind w:left="-300" w:firstLine="300"/>
        <w:rPr>
          <w:b/>
          <w:sz w:val="24"/>
          <w:szCs w:val="24"/>
        </w:rPr>
      </w:pPr>
      <w:r w:rsidRPr="00346B2F">
        <w:rPr>
          <w:b/>
          <w:bCs/>
          <w:sz w:val="24"/>
          <w:szCs w:val="24"/>
        </w:rPr>
        <w:t>Комитет по насильственным исчезновениям</w:t>
      </w:r>
    </w:p>
    <w:p w14:paraId="19FF22EE" w14:textId="35FFF565" w:rsidR="00346B2F" w:rsidRPr="00CE6E0A" w:rsidRDefault="00346B2F" w:rsidP="00346B2F">
      <w:pPr>
        <w:pStyle w:val="HChG"/>
        <w:rPr>
          <w:szCs w:val="24"/>
        </w:rPr>
      </w:pPr>
      <w:r>
        <w:tab/>
      </w:r>
      <w:r>
        <w:tab/>
      </w:r>
      <w:r>
        <w:rPr>
          <w:bCs/>
        </w:rPr>
        <w:t>Заключительные замечания по докладу, представленному Коста-Рикой в соответствии с</w:t>
      </w:r>
      <w:r w:rsidR="006051A1">
        <w:rPr>
          <w:bCs/>
          <w:lang w:val="en-US"/>
        </w:rPr>
        <w:t> </w:t>
      </w:r>
      <w:r>
        <w:rPr>
          <w:bCs/>
        </w:rPr>
        <w:t>пунктом</w:t>
      </w:r>
      <w:r w:rsidR="006051A1">
        <w:rPr>
          <w:bCs/>
          <w:lang w:val="en-US"/>
        </w:rPr>
        <w:t> </w:t>
      </w:r>
      <w:r>
        <w:rPr>
          <w:bCs/>
        </w:rPr>
        <w:t>1 статьи 29 Конвенции</w:t>
      </w:r>
      <w:r w:rsidRPr="00346B2F">
        <w:rPr>
          <w:rStyle w:val="aa"/>
          <w:b w:val="0"/>
          <w:bCs/>
          <w:sz w:val="20"/>
          <w:vertAlign w:val="baseline"/>
        </w:rPr>
        <w:footnoteReference w:customMarkFollows="1" w:id="1"/>
        <w:t>*</w:t>
      </w:r>
    </w:p>
    <w:p w14:paraId="6BEBB4A3" w14:textId="377600AE" w:rsidR="00346B2F" w:rsidRPr="00CE6E0A" w:rsidRDefault="00346B2F" w:rsidP="00346B2F">
      <w:pPr>
        <w:pStyle w:val="SingleTxtG"/>
      </w:pPr>
      <w:r>
        <w:t>1.</w:t>
      </w:r>
      <w:r>
        <w:tab/>
        <w:t>Комитет рассмотрел доклад, представленный Коста-Рикой к его двадцать четвертой сессии в соответствии с пунктом 1 статьи 29 Конвенции</w:t>
      </w:r>
      <w:r w:rsidRPr="00CE6E0A">
        <w:rPr>
          <w:rStyle w:val="aa"/>
          <w:rFonts w:asciiTheme="majorBidi" w:hAnsiTheme="majorBidi" w:cstheme="majorBidi"/>
        </w:rPr>
        <w:footnoteReference w:id="2"/>
      </w:r>
      <w:r>
        <w:t xml:space="preserve"> на своих 427-м и 429-м заседаниях</w:t>
      </w:r>
      <w:r w:rsidRPr="00CE6E0A">
        <w:rPr>
          <w:rStyle w:val="aa"/>
          <w:rFonts w:asciiTheme="majorBidi" w:hAnsiTheme="majorBidi" w:cstheme="majorBidi"/>
        </w:rPr>
        <w:footnoteReference w:id="3"/>
      </w:r>
      <w:r>
        <w:t xml:space="preserve">, состоявшихся 22 и 23 марта 2023 года в смешанном формате. </w:t>
      </w:r>
      <w:r w:rsidR="006051A1">
        <w:br/>
      </w:r>
      <w:r>
        <w:t xml:space="preserve">На своем 440-м заседании 31 марта 2023 года он принял настоящие заключительные замечания. </w:t>
      </w:r>
    </w:p>
    <w:p w14:paraId="4C7DC98D" w14:textId="77777777" w:rsidR="00346B2F" w:rsidRPr="00CE6E0A" w:rsidRDefault="00346B2F" w:rsidP="006051A1">
      <w:pPr>
        <w:pStyle w:val="H1G"/>
        <w:rPr>
          <w:szCs w:val="24"/>
        </w:rPr>
      </w:pPr>
      <w:r>
        <w:tab/>
        <w:t>A.</w:t>
      </w:r>
      <w:r>
        <w:tab/>
        <w:t>Введение</w:t>
      </w:r>
    </w:p>
    <w:p w14:paraId="10A9F546" w14:textId="77777777" w:rsidR="00346B2F" w:rsidRPr="00CE6E0A" w:rsidRDefault="00346B2F" w:rsidP="00346B2F">
      <w:pPr>
        <w:pStyle w:val="SingleTxtG"/>
      </w:pPr>
      <w:r>
        <w:t>2.</w:t>
      </w:r>
      <w:r>
        <w:tab/>
        <w:t xml:space="preserve">Комитет приветствует доклад, представленный Коста-Рикой в соответствии с пунктом 1 статьи 29 Конвенции, который был подготовлен с учетом его руководящих принципов. </w:t>
      </w:r>
    </w:p>
    <w:p w14:paraId="63334A1B" w14:textId="77777777" w:rsidR="00346B2F" w:rsidRPr="00CE6E0A" w:rsidRDefault="00346B2F" w:rsidP="00346B2F">
      <w:pPr>
        <w:pStyle w:val="SingleTxtG"/>
      </w:pPr>
      <w:r>
        <w:t>3.</w:t>
      </w:r>
      <w:r>
        <w:tab/>
        <w:t>Комитет выражает признательность за конструктивный диалог, который состоялся с делегацией государства-участника по вопросу о мерах, принятых для осуществления Конвенции, и в ходе которого были рассмотрены различные аспекты, вызывавшие у него обеспокоенность, и приветствует открытость, с которой делегация ответила на заданные им вопросы. Он благодарит государство-участник за дополнительную информацию и разъяснения, представленные во время устных выступлений и в письменном виде.</w:t>
      </w:r>
    </w:p>
    <w:p w14:paraId="41AED92E" w14:textId="77777777" w:rsidR="00346B2F" w:rsidRPr="00CE6E0A" w:rsidRDefault="00346B2F" w:rsidP="006051A1">
      <w:pPr>
        <w:pStyle w:val="H1G"/>
        <w:rPr>
          <w:szCs w:val="24"/>
        </w:rPr>
      </w:pPr>
      <w:r>
        <w:tab/>
        <w:t>B.</w:t>
      </w:r>
      <w:r>
        <w:tab/>
        <w:t xml:space="preserve">Позитивные аспекты </w:t>
      </w:r>
    </w:p>
    <w:p w14:paraId="6BCE9EB6" w14:textId="77777777" w:rsidR="00346B2F" w:rsidRPr="00CE6E0A" w:rsidRDefault="00346B2F" w:rsidP="00346B2F">
      <w:pPr>
        <w:pStyle w:val="SingleTxtG"/>
      </w:pPr>
      <w:r>
        <w:t>4.</w:t>
      </w:r>
      <w:r>
        <w:tab/>
        <w:t>Комитет приветствует ратификацию государством-участником практически всех основных договоров</w:t>
      </w:r>
      <w:r w:rsidRPr="00CE6E0A">
        <w:rPr>
          <w:rStyle w:val="aa"/>
          <w:rFonts w:asciiTheme="majorBidi" w:hAnsiTheme="majorBidi" w:cstheme="majorBidi"/>
        </w:rPr>
        <w:footnoteReference w:id="4"/>
      </w:r>
      <w:r>
        <w:t xml:space="preserve"> Организации Объединенных Наций по правам человека и девяти факультативных протоколов к ним, а также Межамериканской конвенции о насильственном исчезновении лиц и Римского статута Международного уголовного суда.</w:t>
      </w:r>
    </w:p>
    <w:p w14:paraId="70ABA69F" w14:textId="77777777" w:rsidR="00346B2F" w:rsidRPr="00CE6E0A" w:rsidRDefault="00346B2F" w:rsidP="00346B2F">
      <w:pPr>
        <w:pStyle w:val="SingleTxtG"/>
      </w:pPr>
      <w:r>
        <w:t>5.</w:t>
      </w:r>
      <w:r>
        <w:tab/>
        <w:t>Комитет приветствует меры, принятые государством-участником в областях, имеющих отношение к Конвенции, а также по изменению своего законодательства, политики и процедур, направленных на укрепление защиты прав человека и обеспечение применения Конвенции, в частности:</w:t>
      </w:r>
    </w:p>
    <w:p w14:paraId="0424215E" w14:textId="26BDD3CA" w:rsidR="00346B2F" w:rsidRPr="00CE6E0A" w:rsidRDefault="00346B2F" w:rsidP="00346B2F">
      <w:pPr>
        <w:pStyle w:val="SingleTxtG"/>
      </w:pPr>
      <w:r>
        <w:tab/>
      </w:r>
      <w:r>
        <w:t>a)</w:t>
      </w:r>
      <w:r>
        <w:tab/>
        <w:t xml:space="preserve">создание национального правозащитного учреждения (Управление Народного защитника Республики Коста-Рика), имеющего статус </w:t>
      </w:r>
      <w:r w:rsidR="006051A1">
        <w:t>«</w:t>
      </w:r>
      <w:r>
        <w:t>А</w:t>
      </w:r>
      <w:r w:rsidR="006051A1">
        <w:t>»</w:t>
      </w:r>
      <w:r>
        <w:t xml:space="preserve"> и </w:t>
      </w:r>
      <w:r>
        <w:lastRenderedPageBreak/>
        <w:t>соответствующего принципам, касающимся статуса национальных учреждений, занимающихся поощрением и защитой прав человека (Парижские принципы);</w:t>
      </w:r>
    </w:p>
    <w:p w14:paraId="7920D382" w14:textId="0BD0F2A9" w:rsidR="00346B2F" w:rsidRPr="00350158" w:rsidRDefault="00346B2F" w:rsidP="00346B2F">
      <w:pPr>
        <w:pStyle w:val="SingleTxtG"/>
        <w:rPr>
          <w:lang w:eastAsia="zh-CN"/>
        </w:rPr>
      </w:pPr>
      <w:r>
        <w:tab/>
      </w:r>
      <w:r>
        <w:t>b)</w:t>
      </w:r>
      <w:r>
        <w:tab/>
        <w:t>создание на основании Закона № 9204 от 2014 года Национального механизма по предупреждению пыток и других жестоких, бесчеловечных или унижающих достоинство видов обращения и наказания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w:t>
      </w:r>
      <w:r>
        <w:rPr>
          <w:lang w:eastAsia="zh-CN"/>
        </w:rPr>
        <w:t>.</w:t>
      </w:r>
    </w:p>
    <w:p w14:paraId="7B5F238D" w14:textId="77777777" w:rsidR="00346B2F" w:rsidRPr="00CE6E0A" w:rsidRDefault="00346B2F" w:rsidP="00346B2F">
      <w:pPr>
        <w:pStyle w:val="SingleTxtG"/>
      </w:pPr>
      <w:r>
        <w:t>6.</w:t>
      </w:r>
      <w:r>
        <w:tab/>
        <w:t>Комитет с удовлетворением отмечает, что государство-участник направило мандатариям всех специальных процедур Совета по правам человека открытое приглашение посетить страну.</w:t>
      </w:r>
    </w:p>
    <w:p w14:paraId="0BE3C5D9" w14:textId="3549C4CC" w:rsidR="00346B2F" w:rsidRPr="00CE6E0A" w:rsidRDefault="00346B2F" w:rsidP="006051A1">
      <w:pPr>
        <w:pStyle w:val="H1G"/>
        <w:rPr>
          <w:szCs w:val="24"/>
        </w:rPr>
      </w:pPr>
      <w:r>
        <w:tab/>
        <w:t>C.</w:t>
      </w:r>
      <w:r>
        <w:tab/>
        <w:t>Основные вопросы, вызывающие обеспокоенность, и</w:t>
      </w:r>
      <w:r>
        <w:rPr>
          <w:lang w:val="en-US"/>
        </w:rPr>
        <w:t> </w:t>
      </w:r>
      <w:r>
        <w:t xml:space="preserve">рекомендации </w:t>
      </w:r>
    </w:p>
    <w:p w14:paraId="3C29BF6B" w14:textId="77777777" w:rsidR="00346B2F" w:rsidRPr="00CE6E0A" w:rsidRDefault="00346B2F" w:rsidP="006051A1">
      <w:pPr>
        <w:pStyle w:val="H23G"/>
      </w:pPr>
      <w:r>
        <w:tab/>
        <w:t>1.</w:t>
      </w:r>
      <w:r>
        <w:tab/>
        <w:t>Общая информация</w:t>
      </w:r>
    </w:p>
    <w:p w14:paraId="28A13E72" w14:textId="77777777" w:rsidR="00346B2F" w:rsidRPr="00CE6E0A" w:rsidRDefault="00346B2F" w:rsidP="00346B2F">
      <w:pPr>
        <w:pStyle w:val="SingleTxtG"/>
      </w:pPr>
      <w:r>
        <w:t>7.</w:t>
      </w:r>
      <w:r>
        <w:tab/>
        <w:t>Комитет считает, что, несмотря на меры, принятые государством-участником, существующая нормативно-правовая база, а также ее применение по-прежнему не соответствуют Конвенции. Комитет призывает государство-участник принять во внимание его рекомендации, сделанные в духе конструктивного сотрудничества, с целью укрепления существующей нормативно-правовой базы и обеспечения того, чтобы эта нормативно-правовая база, а также все акты, принимаемые государственными органами, отвечающими за розыск, расследование, судебное преследование и предоставление возмещения в случаях исчезновений, включая насильственные исчезновения, полностью соответствовали договорным обязательствам государства-участника. Это относится и к текущим законодательным процессам.</w:t>
      </w:r>
    </w:p>
    <w:p w14:paraId="4CE55555" w14:textId="77777777" w:rsidR="00346B2F" w:rsidRPr="00CE6E0A" w:rsidRDefault="00346B2F" w:rsidP="00346B2F">
      <w:pPr>
        <w:pStyle w:val="H23G"/>
      </w:pPr>
      <w:r>
        <w:tab/>
      </w:r>
      <w:r>
        <w:tab/>
      </w:r>
      <w:r>
        <w:rPr>
          <w:bCs/>
        </w:rPr>
        <w:t>Индивидуальные и межгосударственные сообщения</w:t>
      </w:r>
      <w:r>
        <w:t xml:space="preserve"> </w:t>
      </w:r>
    </w:p>
    <w:p w14:paraId="15078762" w14:textId="77777777" w:rsidR="00346B2F" w:rsidRPr="00CE6E0A" w:rsidRDefault="00346B2F" w:rsidP="00346B2F">
      <w:pPr>
        <w:pStyle w:val="SingleTxtG"/>
      </w:pPr>
      <w:r>
        <w:t>8.</w:t>
      </w:r>
      <w:r>
        <w:tab/>
        <w:t>Комитет отмечает, что государство-участник все еще не признало компетенцию Комитета получать и рассматривать индивидуальные и межгосударственные сообщения в соответствии с положениями Конвенции (статьи 31 и 32).</w:t>
      </w:r>
    </w:p>
    <w:p w14:paraId="5CE1647C" w14:textId="77777777" w:rsidR="00346B2F" w:rsidRPr="00CE6E0A" w:rsidRDefault="00346B2F" w:rsidP="00346B2F">
      <w:pPr>
        <w:pStyle w:val="SingleTxtG"/>
      </w:pPr>
      <w:r>
        <w:t>9.</w:t>
      </w:r>
      <w:r>
        <w:tab/>
      </w:r>
      <w:r>
        <w:rPr>
          <w:b/>
          <w:bCs/>
        </w:rPr>
        <w:t>Комитет призывает государство-участник признать его компетенцию получать и рассматривать индивидуальные и межгосударственные сообщения в соответствии со статьями 31 и 32 Конвенции в целях обеспечения ее эффективного выполнения и усиления защиты жертв от насильственных исчезновений.</w:t>
      </w:r>
    </w:p>
    <w:p w14:paraId="4DD8D77E" w14:textId="77777777" w:rsidR="00346B2F" w:rsidRPr="00CE6E0A" w:rsidRDefault="00346B2F" w:rsidP="006051A1">
      <w:pPr>
        <w:pStyle w:val="H23G"/>
      </w:pPr>
      <w:r>
        <w:tab/>
        <w:t>2.</w:t>
      </w:r>
      <w:r>
        <w:tab/>
        <w:t>Определение насильственного исчезновения и его квалификация в качестве уголовно наказуемого деяния (статьи 1–7)</w:t>
      </w:r>
    </w:p>
    <w:p w14:paraId="12CFCC93" w14:textId="77777777" w:rsidR="00346B2F" w:rsidRPr="00CE6E0A" w:rsidRDefault="00346B2F" w:rsidP="00346B2F">
      <w:pPr>
        <w:pStyle w:val="H23G"/>
      </w:pPr>
      <w:r>
        <w:tab/>
      </w:r>
      <w:r>
        <w:tab/>
      </w:r>
      <w:r>
        <w:rPr>
          <w:bCs/>
        </w:rPr>
        <w:t>Абсолютный запрет насильственных исчезновений</w:t>
      </w:r>
    </w:p>
    <w:p w14:paraId="48E7E809" w14:textId="77777777" w:rsidR="00346B2F" w:rsidRPr="00CE6E0A" w:rsidRDefault="00346B2F" w:rsidP="00346B2F">
      <w:pPr>
        <w:pStyle w:val="SingleTxtG"/>
        <w:rPr>
          <w:rFonts w:eastAsia="Calibri"/>
        </w:rPr>
      </w:pPr>
      <w:r>
        <w:t>10.</w:t>
      </w:r>
      <w:r>
        <w:tab/>
        <w:t>Комитет обеспокоен тем, что национальное законодательство прямо не предусматривает, что от запрета насильственных исчезновений нельзя отступать или ограничивать его, ссылаясь на исключительные обстоятельства (статья 1).</w:t>
      </w:r>
    </w:p>
    <w:p w14:paraId="03BD89CC" w14:textId="77777777" w:rsidR="00346B2F" w:rsidRPr="00CE6E0A" w:rsidRDefault="00346B2F" w:rsidP="00346B2F">
      <w:pPr>
        <w:pStyle w:val="SingleTxtG"/>
        <w:rPr>
          <w:b/>
        </w:rPr>
      </w:pPr>
      <w:r>
        <w:t>11.</w:t>
      </w:r>
      <w:r>
        <w:tab/>
      </w:r>
      <w:r>
        <w:rPr>
          <w:b/>
          <w:bCs/>
        </w:rPr>
        <w:t>Комитет рекомендует государству-участнику принять необходимые меры для включения во внутреннее законодательство абсолютного запрета насильственных исчезновений в соответствии с пунктом 2 статьи 1 Конвенции.</w:t>
      </w:r>
    </w:p>
    <w:p w14:paraId="195C1980" w14:textId="77777777" w:rsidR="00346B2F" w:rsidRPr="00CE6E0A" w:rsidRDefault="00346B2F" w:rsidP="00346B2F">
      <w:pPr>
        <w:pStyle w:val="H23G"/>
      </w:pPr>
      <w:r>
        <w:tab/>
      </w:r>
      <w:r>
        <w:tab/>
      </w:r>
      <w:r>
        <w:rPr>
          <w:bCs/>
        </w:rPr>
        <w:t>Реестр пропавших без вести лиц</w:t>
      </w:r>
    </w:p>
    <w:p w14:paraId="7D4AF46D" w14:textId="77777777" w:rsidR="00346B2F" w:rsidRPr="00CE6E0A" w:rsidRDefault="00346B2F" w:rsidP="00346B2F">
      <w:pPr>
        <w:pStyle w:val="SingleTxtG"/>
      </w:pPr>
      <w:r>
        <w:t>12.</w:t>
      </w:r>
      <w:r>
        <w:tab/>
        <w:t xml:space="preserve">Комитет сожалеет, что в докладе государства-участника и в информации, представленной до и в ходе диалога, отсутствуют точные статистические данные о количестве лиц, ставших жертвами действий, определенных в статье 2 Конвенции, </w:t>
      </w:r>
      <w:r>
        <w:lastRenderedPageBreak/>
        <w:t>включая исчезновения мигрантов или лиц с целью торговли людьми, и о зарегистрированных сообщениях об исчезновении</w:t>
      </w:r>
      <w:r w:rsidRPr="00CE6E0A">
        <w:rPr>
          <w:rStyle w:val="aa"/>
        </w:rPr>
        <w:footnoteReference w:id="5"/>
      </w:r>
      <w:r>
        <w:t xml:space="preserve"> (статьи 2 и 3).</w:t>
      </w:r>
    </w:p>
    <w:p w14:paraId="3F8FEAE4" w14:textId="77777777" w:rsidR="00346B2F" w:rsidRPr="00CE6E0A" w:rsidRDefault="00346B2F" w:rsidP="00346B2F">
      <w:pPr>
        <w:pStyle w:val="SingleTxtG"/>
      </w:pPr>
      <w:r>
        <w:t>13.</w:t>
      </w:r>
      <w:r>
        <w:tab/>
      </w:r>
      <w:r>
        <w:rPr>
          <w:b/>
          <w:bCs/>
        </w:rPr>
        <w:t>Комитет просит государство-участник создать единый реестр всех случаев исчезновения, имевших место на территории страны, проводя четкое различие между случаями насильственного исчезновения и исчезновениями, совершенными без санкции, поддержки или молчаливого согласия государства.</w:t>
      </w:r>
      <w:r>
        <w:t xml:space="preserve"> </w:t>
      </w:r>
      <w:r>
        <w:rPr>
          <w:b/>
          <w:bCs/>
        </w:rPr>
        <w:t>Этот реестр должен отражать общее число сообщений о пропавших без вести лицах, включая тех, кто впоследствии был найден живым или мертвым, и тех, кто все еще числится пропавшим без вести.</w:t>
      </w:r>
      <w:r>
        <w:t xml:space="preserve"> </w:t>
      </w:r>
      <w:r>
        <w:rPr>
          <w:b/>
          <w:bCs/>
        </w:rPr>
        <w:t>Он должен включать, как минимум, следующую информацию:</w:t>
      </w:r>
    </w:p>
    <w:p w14:paraId="0F32F8E2" w14:textId="6A0F8A4B" w:rsidR="00346B2F" w:rsidRPr="00CE6E0A" w:rsidRDefault="00346B2F" w:rsidP="00346B2F">
      <w:pPr>
        <w:pStyle w:val="SingleTxtG"/>
        <w:rPr>
          <w:b/>
          <w:bCs/>
        </w:rPr>
      </w:pPr>
      <w:r>
        <w:rPr>
          <w:b/>
          <w:bCs/>
        </w:rPr>
        <w:tab/>
      </w:r>
      <w:r>
        <w:rPr>
          <w:b/>
          <w:bCs/>
        </w:rPr>
        <w:t>a)</w:t>
      </w:r>
      <w:r>
        <w:tab/>
      </w:r>
      <w:r>
        <w:rPr>
          <w:b/>
          <w:bCs/>
        </w:rPr>
        <w:t>общее число и личные данные всех пропавших без вести лиц, их пол, гендерную идентичность, сексуальную ориентацию, возраст, национальность и этническую принадлежность, а также место, дату, условия и обстоятельства исчезновения, включая все соответствующие данные, позволяющие определить, имело ли место насильственное исчезновение;</w:t>
      </w:r>
    </w:p>
    <w:p w14:paraId="3182B797" w14:textId="71394452" w:rsidR="00346B2F" w:rsidRPr="00CE6E0A" w:rsidRDefault="00346B2F" w:rsidP="00346B2F">
      <w:pPr>
        <w:pStyle w:val="SingleTxtG"/>
        <w:rPr>
          <w:b/>
          <w:bCs/>
        </w:rPr>
      </w:pPr>
      <w:r>
        <w:rPr>
          <w:b/>
          <w:bCs/>
        </w:rPr>
        <w:tab/>
      </w:r>
      <w:r>
        <w:rPr>
          <w:b/>
          <w:bCs/>
        </w:rPr>
        <w:t>b)</w:t>
      </w:r>
      <w:r>
        <w:tab/>
      </w:r>
      <w:r>
        <w:rPr>
          <w:b/>
          <w:bCs/>
        </w:rPr>
        <w:t>состояние соответствующих процедур розыска и расследования, а также эксгумации, опознания и передачи.</w:t>
      </w:r>
    </w:p>
    <w:p w14:paraId="7EC9EC40" w14:textId="77777777" w:rsidR="00346B2F" w:rsidRPr="00CE6E0A" w:rsidRDefault="00346B2F" w:rsidP="00346B2F">
      <w:pPr>
        <w:pStyle w:val="H23G"/>
      </w:pPr>
      <w:r>
        <w:tab/>
      </w:r>
      <w:r>
        <w:tab/>
      </w:r>
      <w:r>
        <w:rPr>
          <w:bCs/>
        </w:rPr>
        <w:t>Защита мигрантов от насильственных исчезновений</w:t>
      </w:r>
    </w:p>
    <w:p w14:paraId="23794FA2" w14:textId="77777777" w:rsidR="00346B2F" w:rsidRPr="00CE6E0A" w:rsidRDefault="00346B2F" w:rsidP="00346B2F">
      <w:pPr>
        <w:pStyle w:val="SingleTxtG"/>
      </w:pPr>
      <w:r>
        <w:t>14.</w:t>
      </w:r>
      <w:r>
        <w:tab/>
        <w:t>Комитет принимает к сведению информацию, представленную государством-участником в ходе диалога, об увеличении притока иностранцев по миграционным маршрутам, что является серьезным поводом для беспокойства. Кроме того, вызывают опасения проблемы, с которыми иностранные граждане могут столкнуться во время путешествия по стране. Комитет сожалеет об отсутствии информации об осуществлении государством-участником мер по предупреждению исчезновения мигрантов, а также по обеспечению соблюдения признанных в Конвенции прав в отношении поиска пропавших без вести лиц и расследования случаев исчезновения.</w:t>
      </w:r>
    </w:p>
    <w:p w14:paraId="7FF0C168" w14:textId="77777777" w:rsidR="00346B2F" w:rsidRPr="00CE6E0A" w:rsidRDefault="00346B2F" w:rsidP="00346B2F">
      <w:pPr>
        <w:pStyle w:val="SingleTxtG"/>
      </w:pPr>
      <w:r>
        <w:t>15.</w:t>
      </w:r>
      <w:r>
        <w:tab/>
      </w:r>
      <w:r>
        <w:rPr>
          <w:b/>
          <w:bCs/>
        </w:rPr>
        <w:t>Комитет рекомендует государству-участнику в сотрудничестве с другими затрагиваемыми странами и при участии жертв и организаций гражданского общества:</w:t>
      </w:r>
    </w:p>
    <w:p w14:paraId="52389E87" w14:textId="3CFEFF44" w:rsidR="00346B2F" w:rsidRPr="00CE6E0A" w:rsidRDefault="00346B2F" w:rsidP="00346B2F">
      <w:pPr>
        <w:pStyle w:val="SingleTxtG"/>
        <w:rPr>
          <w:b/>
          <w:bCs/>
        </w:rPr>
      </w:pPr>
      <w:r>
        <w:rPr>
          <w:b/>
          <w:bCs/>
        </w:rPr>
        <w:tab/>
      </w:r>
      <w:r>
        <w:rPr>
          <w:b/>
          <w:bCs/>
        </w:rPr>
        <w:t>a)</w:t>
      </w:r>
      <w:r>
        <w:tab/>
      </w:r>
      <w:r>
        <w:rPr>
          <w:b/>
          <w:bCs/>
        </w:rPr>
        <w:t>удвоить свои усилия по предупреждению и расследованию исчезновений мигрантов, а также по надлежащему судебному преследованию виновных;</w:t>
      </w:r>
    </w:p>
    <w:p w14:paraId="612682AC" w14:textId="1D93A8C0" w:rsidR="00346B2F" w:rsidRPr="00CE6E0A" w:rsidRDefault="00346B2F" w:rsidP="00346B2F">
      <w:pPr>
        <w:pStyle w:val="SingleTxtG"/>
        <w:rPr>
          <w:b/>
          <w:bCs/>
        </w:rPr>
      </w:pPr>
      <w:r>
        <w:rPr>
          <w:b/>
          <w:bCs/>
        </w:rPr>
        <w:tab/>
      </w:r>
      <w:r>
        <w:rPr>
          <w:b/>
          <w:bCs/>
        </w:rPr>
        <w:t>b)</w:t>
      </w:r>
      <w:r>
        <w:tab/>
      </w:r>
      <w:r>
        <w:rPr>
          <w:b/>
          <w:bCs/>
        </w:rPr>
        <w:t>содействовать процессу поиска исчезнувших мигрантов, а в случае обнаружения их тел — их идентификации и достойному возвращению;</w:t>
      </w:r>
      <w:r>
        <w:t xml:space="preserve"> </w:t>
      </w:r>
    </w:p>
    <w:p w14:paraId="1D6FF453" w14:textId="44BD8772" w:rsidR="00346B2F" w:rsidRPr="00CE6E0A" w:rsidRDefault="00346B2F" w:rsidP="00346B2F">
      <w:pPr>
        <w:pStyle w:val="SingleTxtG"/>
        <w:rPr>
          <w:b/>
          <w:bCs/>
        </w:rPr>
      </w:pPr>
      <w:r>
        <w:rPr>
          <w:b/>
          <w:bCs/>
        </w:rPr>
        <w:tab/>
      </w:r>
      <w:r>
        <w:rPr>
          <w:b/>
          <w:bCs/>
        </w:rPr>
        <w:t>c)</w:t>
      </w:r>
      <w:r>
        <w:tab/>
      </w:r>
      <w:r>
        <w:rPr>
          <w:b/>
          <w:bCs/>
        </w:rPr>
        <w:t>создать обновленную базу данных о пропавших без вести мигрантах, включающую прижизненные и посмертные данные, с целью облегчения их поиска и идентификации;</w:t>
      </w:r>
    </w:p>
    <w:p w14:paraId="6AFCE6F2" w14:textId="3601F502" w:rsidR="00346B2F" w:rsidRPr="00CE6E0A" w:rsidRDefault="00346B2F" w:rsidP="00346B2F">
      <w:pPr>
        <w:pStyle w:val="SingleTxtG"/>
        <w:rPr>
          <w:b/>
          <w:bCs/>
        </w:rPr>
      </w:pPr>
      <w:r>
        <w:rPr>
          <w:b/>
          <w:bCs/>
        </w:rPr>
        <w:tab/>
      </w:r>
      <w:r>
        <w:rPr>
          <w:b/>
          <w:bCs/>
        </w:rPr>
        <w:t>d)</w:t>
      </w:r>
      <w:r>
        <w:tab/>
      </w:r>
      <w:r>
        <w:rPr>
          <w:b/>
          <w:bCs/>
        </w:rPr>
        <w:t>предоставить близким исчезнувших лиц независимо от места их проживания реальную возможность получать информацию и участвовать в проведении расследования их исчезновений и поиске пропавших без вести лиц;</w:t>
      </w:r>
      <w:r>
        <w:t xml:space="preserve"> </w:t>
      </w:r>
    </w:p>
    <w:p w14:paraId="0334C71B" w14:textId="04212A58" w:rsidR="00346B2F" w:rsidRPr="00CE6E0A" w:rsidRDefault="00346B2F" w:rsidP="00346B2F">
      <w:pPr>
        <w:pStyle w:val="SingleTxtG"/>
      </w:pPr>
      <w:r>
        <w:rPr>
          <w:b/>
          <w:bCs/>
        </w:rPr>
        <w:tab/>
      </w:r>
      <w:r>
        <w:rPr>
          <w:b/>
          <w:bCs/>
        </w:rPr>
        <w:t>e)</w:t>
      </w:r>
      <w:r>
        <w:tab/>
      </w:r>
      <w:r>
        <w:rPr>
          <w:b/>
          <w:bCs/>
        </w:rPr>
        <w:t>укреплять сотрудничество с другими государствами региона для содействия поиску пропавших мигрантов и установлению их судьбы.</w:t>
      </w:r>
    </w:p>
    <w:p w14:paraId="1AC70D95" w14:textId="77777777" w:rsidR="00346B2F" w:rsidRPr="00CE6E0A" w:rsidRDefault="00346B2F" w:rsidP="00346B2F">
      <w:pPr>
        <w:pStyle w:val="H23G"/>
      </w:pPr>
      <w:r>
        <w:tab/>
      </w:r>
      <w:r>
        <w:tab/>
      </w:r>
      <w:r>
        <w:rPr>
          <w:bCs/>
        </w:rPr>
        <w:t>Преступление насильственного исчезновения</w:t>
      </w:r>
    </w:p>
    <w:p w14:paraId="6160DE80" w14:textId="77777777" w:rsidR="00346B2F" w:rsidRPr="00CE6E0A" w:rsidRDefault="00346B2F" w:rsidP="00346B2F">
      <w:pPr>
        <w:pStyle w:val="SingleTxtG"/>
      </w:pPr>
      <w:r>
        <w:t>16.</w:t>
      </w:r>
      <w:r>
        <w:tab/>
        <w:t xml:space="preserve">Комитет с удовлетворением отмечает тот факт, что государство-участник рассматривает Конвенцию в качестве юридически обязательного документа на национальном уровне. Однако он обеспокоен тем, что в стране не существует отдельного преступления насильственного исчезновения. Он также обеспокоен возможной путаницей, которая может возникнуть в результате применения к </w:t>
      </w:r>
      <w:r>
        <w:lastRenderedPageBreak/>
        <w:t>насильственному исчезновению положений о других преступлениях, признанных в национальном законодательстве, которые, однако, не соответствуют определению статьи 2 Конвенции (статья 4).</w:t>
      </w:r>
    </w:p>
    <w:p w14:paraId="5C44CF62" w14:textId="77777777" w:rsidR="00346B2F" w:rsidRPr="00CE6E0A" w:rsidRDefault="00346B2F" w:rsidP="00346B2F">
      <w:pPr>
        <w:pStyle w:val="SingleTxtG"/>
        <w:spacing w:line="240" w:lineRule="auto"/>
        <w:rPr>
          <w:rFonts w:asciiTheme="majorBidi" w:hAnsiTheme="majorBidi" w:cstheme="majorBidi"/>
          <w:b/>
          <w:bCs/>
        </w:rPr>
      </w:pPr>
      <w:r>
        <w:t>17.</w:t>
      </w:r>
      <w:r>
        <w:tab/>
      </w:r>
      <w:r>
        <w:rPr>
          <w:b/>
          <w:bCs/>
        </w:rPr>
        <w:t>Комитет рекомендует государству-участнику обеспечить, чтобы:</w:t>
      </w:r>
    </w:p>
    <w:p w14:paraId="56D4B83E" w14:textId="07621291" w:rsidR="00346B2F" w:rsidRPr="00CE6E0A" w:rsidRDefault="00346B2F" w:rsidP="00346B2F">
      <w:pPr>
        <w:pStyle w:val="SingleTxtG"/>
        <w:spacing w:line="240" w:lineRule="auto"/>
        <w:rPr>
          <w:rFonts w:asciiTheme="majorBidi" w:hAnsiTheme="majorBidi" w:cstheme="majorBidi"/>
          <w:b/>
          <w:bCs/>
        </w:rPr>
      </w:pPr>
      <w:r>
        <w:rPr>
          <w:b/>
          <w:bCs/>
        </w:rPr>
        <w:tab/>
      </w:r>
      <w:r>
        <w:rPr>
          <w:b/>
          <w:bCs/>
        </w:rPr>
        <w:t>a)</w:t>
      </w:r>
      <w:r>
        <w:tab/>
      </w:r>
      <w:r>
        <w:rPr>
          <w:b/>
          <w:bCs/>
        </w:rPr>
        <w:t>насильственное исчезновение квалифицировалось как в качестве самостоятельного преступления (статья 2), так и в качестве преступления против человечности (статья 5);</w:t>
      </w:r>
    </w:p>
    <w:p w14:paraId="39AD13F7" w14:textId="586EF8AD" w:rsidR="00346B2F" w:rsidRPr="00CE6E0A" w:rsidRDefault="00346B2F" w:rsidP="00346B2F">
      <w:pPr>
        <w:pStyle w:val="SingleTxtG"/>
        <w:spacing w:line="240" w:lineRule="auto"/>
        <w:rPr>
          <w:rFonts w:asciiTheme="majorBidi" w:hAnsiTheme="majorBidi" w:cstheme="majorBidi"/>
          <w:b/>
          <w:bCs/>
        </w:rPr>
      </w:pPr>
      <w:r>
        <w:rPr>
          <w:b/>
          <w:bCs/>
        </w:rPr>
        <w:tab/>
      </w:r>
      <w:r>
        <w:rPr>
          <w:b/>
          <w:bCs/>
        </w:rPr>
        <w:t>b)</w:t>
      </w:r>
      <w:r>
        <w:tab/>
      </w:r>
      <w:r>
        <w:rPr>
          <w:b/>
          <w:bCs/>
        </w:rPr>
        <w:t>за преступление насильственного исчезновения, с учетом его исключительно тяжкого характера, назначалось надлежащее наказание;</w:t>
      </w:r>
      <w:r>
        <w:t xml:space="preserve"> </w:t>
      </w:r>
    </w:p>
    <w:p w14:paraId="3FE3C4B8" w14:textId="3446E0F0" w:rsidR="00346B2F" w:rsidRPr="00CE6E0A" w:rsidRDefault="00346B2F" w:rsidP="00346B2F">
      <w:pPr>
        <w:pStyle w:val="SingleTxtG"/>
        <w:spacing w:after="0" w:line="240" w:lineRule="auto"/>
        <w:rPr>
          <w:rFonts w:asciiTheme="majorBidi" w:hAnsiTheme="majorBidi" w:cstheme="majorBidi"/>
          <w:b/>
          <w:bCs/>
        </w:rPr>
      </w:pPr>
      <w:r>
        <w:rPr>
          <w:b/>
          <w:bCs/>
        </w:rPr>
        <w:tab/>
      </w:r>
      <w:r>
        <w:rPr>
          <w:b/>
          <w:bCs/>
        </w:rPr>
        <w:t>c)</w:t>
      </w:r>
      <w:r>
        <w:tab/>
      </w:r>
      <w:r>
        <w:rPr>
          <w:b/>
          <w:bCs/>
        </w:rPr>
        <w:t>учитывались все смягчающие и отягчающие обстоятельства, указанные в пункте 2 статьи 7 Конвенции.</w:t>
      </w:r>
    </w:p>
    <w:p w14:paraId="1FFEA674" w14:textId="77777777" w:rsidR="00346B2F" w:rsidRPr="00CE6E0A" w:rsidRDefault="00346B2F" w:rsidP="00346B2F">
      <w:pPr>
        <w:pStyle w:val="H23G"/>
      </w:pPr>
      <w:r>
        <w:tab/>
      </w:r>
      <w:r>
        <w:tab/>
      </w:r>
      <w:r>
        <w:rPr>
          <w:bCs/>
        </w:rPr>
        <w:t>Уголовная ответственность начальников и выполнение приказа</w:t>
      </w:r>
    </w:p>
    <w:p w14:paraId="0744814B" w14:textId="77777777" w:rsidR="00346B2F" w:rsidRPr="00CE6E0A" w:rsidRDefault="00346B2F" w:rsidP="00346B2F">
      <w:pPr>
        <w:pStyle w:val="SingleTxtG"/>
        <w:rPr>
          <w:rStyle w:val="Ninguno"/>
          <w:rFonts w:asciiTheme="majorBidi" w:hAnsiTheme="majorBidi" w:cstheme="majorBidi"/>
        </w:rPr>
      </w:pPr>
      <w:r>
        <w:t>18.</w:t>
      </w:r>
      <w:r>
        <w:tab/>
        <w:t>Комитет отмечает, что сотрудники правоохранительных органов Коста-Рики соблюдают принцип законности и что, согласно статье 281 a) Уголовно-процессуального кодекса, любой государственный чиновник или служащий обязан сообщать о незаконных действиях или приказах при исполнении своих обязанностей со стороны других государственных чиновников в Судебное следственное управление или прокуратуру. Он также отмечает, что в каждом полицейском подразделении имеется следственный отдел по внутренним делам, который обязан защищать конфиденциальность источника в случаях предоставления им информации. Комитет обеспокоен тем, что положения о выполнении приказа, содержащиеся в статье 36 Уголовного кодекса, могут освобождать должностных лиц от какой-либо ответственности, что противоречит пункту 2 статьи 6 Конвенции (статья 6).</w:t>
      </w:r>
    </w:p>
    <w:p w14:paraId="6A20C2DB" w14:textId="77777777" w:rsidR="00346B2F" w:rsidRPr="00CE6E0A" w:rsidRDefault="00346B2F" w:rsidP="00346B2F">
      <w:pPr>
        <w:pStyle w:val="SingleTxtG"/>
        <w:rPr>
          <w:rFonts w:eastAsia="MS Mincho"/>
        </w:rPr>
      </w:pPr>
      <w:r>
        <w:t>19.</w:t>
      </w:r>
      <w:r>
        <w:tab/>
      </w:r>
      <w:r>
        <w:rPr>
          <w:b/>
          <w:bCs/>
        </w:rPr>
        <w:t>Комитет рекомендует государству-участнику обеспечить, чтобы уголовное законодательство:</w:t>
      </w:r>
    </w:p>
    <w:p w14:paraId="05E036A3" w14:textId="1E3013BB" w:rsidR="00346B2F" w:rsidRPr="00CE6E0A" w:rsidRDefault="00346B2F" w:rsidP="00346B2F">
      <w:pPr>
        <w:pStyle w:val="SingleTxtG"/>
        <w:rPr>
          <w:b/>
        </w:rPr>
      </w:pPr>
      <w:r>
        <w:rPr>
          <w:b/>
          <w:bCs/>
        </w:rPr>
        <w:tab/>
      </w:r>
      <w:r>
        <w:rPr>
          <w:b/>
          <w:bCs/>
        </w:rPr>
        <w:t>a)</w:t>
      </w:r>
      <w:r>
        <w:tab/>
      </w:r>
      <w:r>
        <w:rPr>
          <w:b/>
          <w:bCs/>
        </w:rPr>
        <w:t>предусматривало ответственность вышестоящего руководства в соответствии с пунктом 1 b) статьи 6 Конвенции;</w:t>
      </w:r>
      <w:r>
        <w:t xml:space="preserve"> </w:t>
      </w:r>
    </w:p>
    <w:p w14:paraId="059CADFC" w14:textId="3571BDC8" w:rsidR="00346B2F" w:rsidRPr="00CE6E0A" w:rsidRDefault="00346B2F" w:rsidP="00346B2F">
      <w:pPr>
        <w:pStyle w:val="SingleTxtG"/>
        <w:rPr>
          <w:b/>
          <w:bCs/>
        </w:rPr>
      </w:pPr>
      <w:r>
        <w:rPr>
          <w:b/>
          <w:bCs/>
        </w:rPr>
        <w:tab/>
      </w:r>
      <w:r>
        <w:rPr>
          <w:b/>
          <w:bCs/>
        </w:rPr>
        <w:t>b)</w:t>
      </w:r>
      <w:r>
        <w:tab/>
      </w:r>
      <w:r>
        <w:rPr>
          <w:b/>
          <w:bCs/>
        </w:rPr>
        <w:t>содержало четкий запрет ссылаться на приказы или распоряжения вышестоящих лиц для оправдания преступления насильственного исчезновения.</w:t>
      </w:r>
    </w:p>
    <w:p w14:paraId="66CB5ACF" w14:textId="5C6D4586" w:rsidR="00346B2F" w:rsidRPr="00CE6E0A" w:rsidRDefault="00346B2F" w:rsidP="006051A1">
      <w:pPr>
        <w:pStyle w:val="H23G"/>
      </w:pPr>
      <w:r>
        <w:tab/>
        <w:t>3.</w:t>
      </w:r>
      <w:r>
        <w:tab/>
        <w:t xml:space="preserve">Судебная процедура и </w:t>
      </w:r>
      <w:r w:rsidRPr="006051A1">
        <w:t>сотрудничество</w:t>
      </w:r>
      <w:r>
        <w:t xml:space="preserve"> в сфере уголовного правосудия </w:t>
      </w:r>
      <w:r w:rsidR="00B30C6D">
        <w:br/>
      </w:r>
      <w:r>
        <w:t>(статьи 8–15)</w:t>
      </w:r>
    </w:p>
    <w:p w14:paraId="2267B53B" w14:textId="77777777" w:rsidR="00346B2F" w:rsidRPr="00CE6E0A" w:rsidRDefault="00346B2F" w:rsidP="00346B2F">
      <w:pPr>
        <w:pStyle w:val="H23G"/>
      </w:pPr>
      <w:r>
        <w:tab/>
      </w:r>
      <w:r>
        <w:tab/>
      </w:r>
      <w:r>
        <w:rPr>
          <w:bCs/>
        </w:rPr>
        <w:t>Экстерриториальная юрисдикция в отношении преступления насильственного исчезновения</w:t>
      </w:r>
    </w:p>
    <w:p w14:paraId="7FA05FD6" w14:textId="77777777" w:rsidR="00346B2F" w:rsidRPr="00CE6E0A" w:rsidRDefault="00346B2F" w:rsidP="00346B2F">
      <w:pPr>
        <w:spacing w:after="120"/>
        <w:ind w:left="1134" w:right="1134"/>
        <w:jc w:val="both"/>
        <w:rPr>
          <w:rFonts w:eastAsia="Times New Roman"/>
        </w:rPr>
      </w:pPr>
      <w:r>
        <w:t>20.</w:t>
      </w:r>
      <w:r>
        <w:tab/>
        <w:t>Комитет обеспокоен тем, что уголовное законодательство не обеспечивает осуществление юрисдикции государства-участника в отношении преступления насильственного исчезновения, совершенного за рубежом, как это предусмотрено в пунктах 1 b) и c) и пункте 2 статьи 9 Конвенции, и не позволяет вести судебное преследование в этой связи в соответствии с пунктом 1 статьи 11 Конвенции (статьи 9 и 11).</w:t>
      </w:r>
    </w:p>
    <w:p w14:paraId="468998EA" w14:textId="77777777" w:rsidR="00346B2F" w:rsidRPr="00CE6E0A" w:rsidRDefault="00346B2F" w:rsidP="00346B2F">
      <w:pPr>
        <w:spacing w:after="120"/>
        <w:ind w:left="1134" w:right="1134"/>
        <w:jc w:val="both"/>
        <w:rPr>
          <w:rFonts w:eastAsia="Times New Roman"/>
          <w:b/>
          <w:bCs/>
        </w:rPr>
      </w:pPr>
      <w:r>
        <w:t>21.</w:t>
      </w:r>
      <w:r>
        <w:tab/>
      </w:r>
      <w:r>
        <w:rPr>
          <w:b/>
          <w:bCs/>
        </w:rPr>
        <w:t>Комитет рекомендует государству-участнику принять необходимые меры для того, чтобы обеспечить осуществление юрисдикции национальных судов по рассмотрению дел о насильственных исчезновениях в соответствии с обязательствами, вытекающими из статьи 9 и, в частности, с изложенной в ней обязанностью aut dedere aut judicare, и статьи 11 Конвенции.</w:t>
      </w:r>
    </w:p>
    <w:p w14:paraId="27BC32BC" w14:textId="77777777" w:rsidR="00346B2F" w:rsidRPr="00CE6E0A" w:rsidRDefault="00346B2F" w:rsidP="00346B2F">
      <w:pPr>
        <w:pStyle w:val="H23G"/>
      </w:pPr>
      <w:r>
        <w:tab/>
      </w:r>
      <w:r>
        <w:tab/>
      </w:r>
      <w:r>
        <w:rPr>
          <w:bCs/>
        </w:rPr>
        <w:t>Независимое и беспристрастное расследование</w:t>
      </w:r>
    </w:p>
    <w:p w14:paraId="79F31515" w14:textId="77777777" w:rsidR="00346B2F" w:rsidRPr="00CE6E0A" w:rsidRDefault="00346B2F" w:rsidP="00346B2F">
      <w:pPr>
        <w:pStyle w:val="SingleTxtG"/>
        <w:rPr>
          <w:b/>
          <w:bCs/>
        </w:rPr>
      </w:pPr>
      <w:r>
        <w:t>22.</w:t>
      </w:r>
      <w:r>
        <w:tab/>
        <w:t xml:space="preserve">Отмечая утверждение государства-участника о том, что ему не поступало никаких жалоб на насильственные исчезновения, Комитет сожалеет, что он не получил информации о том, как государство-участник обеспечивает оперативное, тщательное, беспристрастное и независимое расследование всех дел о насильственных исчезновениях ex officio и с применением дифференцированного подхода даже при </w:t>
      </w:r>
      <w:r>
        <w:lastRenderedPageBreak/>
        <w:t xml:space="preserve">отсутствии официальной жалобы и гарантирует соблюдение права родственников и других близких людей исчезнувшего лица активно участвовать в разбирательстве в качестве обладателей прав, признанных в пункте 3 статьи 71 Уголовно-процессуального кодекса (статьи 12 и 24). </w:t>
      </w:r>
    </w:p>
    <w:p w14:paraId="7D7CCF12" w14:textId="16071660" w:rsidR="00346B2F" w:rsidRPr="00CE6E0A" w:rsidRDefault="00346B2F" w:rsidP="00346B2F">
      <w:pPr>
        <w:pStyle w:val="SingleTxtG"/>
      </w:pPr>
      <w:r>
        <w:t>23.</w:t>
      </w:r>
      <w:r>
        <w:tab/>
      </w:r>
      <w:r>
        <w:rPr>
          <w:b/>
          <w:bCs/>
        </w:rPr>
        <w:t xml:space="preserve">Комитет настоятельно призывает государство-участник обеспечить оперативное, тщательное и беспристрастное расследование всех утверждений о насильственных исчезновениях даже при отсутствии официальных жалоб, привлечение всех предполагаемых виновных к ответственности, и в случае признания их виновными </w:t>
      </w:r>
      <w:r w:rsidR="00B30C6D">
        <w:rPr>
          <w:b/>
          <w:bCs/>
        </w:rPr>
        <w:t>—</w:t>
      </w:r>
      <w:r>
        <w:rPr>
          <w:b/>
          <w:bCs/>
        </w:rPr>
        <w:t xml:space="preserve"> назначение им меры наказания сообразно тяжести совершенных ими деяний.</w:t>
      </w:r>
      <w:r>
        <w:t xml:space="preserve"> </w:t>
      </w:r>
      <w:r>
        <w:rPr>
          <w:b/>
          <w:bCs/>
        </w:rPr>
        <w:t>Он также призывает его обеспечить участие всех лиц, имеющих законный интерес, таких как родственники, члены семьи и законные представители пропавших без вести лиц, в расследованиях и на всех процессуальных этапах в рамках надлежащей правовой процедуры, а также их регулярное информирование о ходе и результатах расследований.</w:t>
      </w:r>
    </w:p>
    <w:p w14:paraId="3820DCE7" w14:textId="69993726" w:rsidR="00346B2F" w:rsidRPr="00CE6E0A" w:rsidRDefault="00346B2F" w:rsidP="00346B2F">
      <w:pPr>
        <w:pStyle w:val="H23G"/>
        <w:rPr>
          <w:rStyle w:val="Ninguno"/>
          <w:rFonts w:asciiTheme="majorBidi" w:hAnsiTheme="majorBidi" w:cstheme="majorBidi"/>
          <w:b w:val="0"/>
        </w:rPr>
      </w:pPr>
      <w:r>
        <w:tab/>
      </w:r>
      <w:r>
        <w:tab/>
        <w:t>Отстранение от исполнения обязанностей должностных лиц, подозреваемых в</w:t>
      </w:r>
      <w:r w:rsidR="00B30C6D">
        <w:t> </w:t>
      </w:r>
      <w:r>
        <w:t xml:space="preserve">совершении преступлений </w:t>
      </w:r>
    </w:p>
    <w:p w14:paraId="5FC74B07" w14:textId="77777777" w:rsidR="00346B2F" w:rsidRPr="00CE6E0A" w:rsidRDefault="00346B2F" w:rsidP="00346B2F">
      <w:pPr>
        <w:pStyle w:val="SingleTxtG"/>
      </w:pPr>
      <w:r>
        <w:t>24.</w:t>
      </w:r>
      <w:r>
        <w:tab/>
        <w:t>Комитет с удовлетворением отмечает тот факт, что национальное законодательство предусматривает отстранение от исполнения обязанностей государственных должностных лиц, подозреваемых в причастности к совершению преступлений, в качестве меры предосторожности. Вместе с тем Комитет обеспокоен тем, что оно не является обязательным. Он также обеспокоен тем, что продолжительность действия такой меры предосторожности зависит исключительно от оценки необходимости, пригодности и соразмерности, которая должна проводиться судьей в каждом конкретном случае, без четких критериев на этот счет, и поэтому зависит от решения судьи в каждом конкретном случае (статья 12).</w:t>
      </w:r>
    </w:p>
    <w:p w14:paraId="7B9645D3" w14:textId="77777777" w:rsidR="00346B2F" w:rsidRPr="00CE6E0A" w:rsidRDefault="00346B2F" w:rsidP="00346B2F">
      <w:pPr>
        <w:pStyle w:val="SingleTxtG"/>
      </w:pPr>
      <w:r>
        <w:t>25.</w:t>
      </w:r>
      <w:r>
        <w:tab/>
      </w:r>
      <w:r>
        <w:rPr>
          <w:b/>
          <w:bCs/>
        </w:rPr>
        <w:t>Комитет рекомендует государству-участнику обеспечить, чтобы ни одно государственное должностное лицо, подозреваемое в совершении или участии в совершении преступления насильственного исчезновения, не имело возможности прямо или косвенно влиять на ход расследования, в частности за счет отстранения таких лиц от исполнения их обязанностей сразу после начала и на время проведения расследования, а также за счет недопущения вмешательства в расследование сил правопорядка или безопасности, чьи сотрудники находятся под подозрением.</w:t>
      </w:r>
    </w:p>
    <w:p w14:paraId="4F019A46" w14:textId="77777777" w:rsidR="00346B2F" w:rsidRPr="00CE6E0A" w:rsidRDefault="00346B2F" w:rsidP="00346B2F">
      <w:pPr>
        <w:pStyle w:val="H23G"/>
        <w:rPr>
          <w:rFonts w:asciiTheme="majorBidi" w:hAnsiTheme="majorBidi" w:cstheme="majorBidi"/>
          <w:color w:val="000000" w:themeColor="text1"/>
        </w:rPr>
      </w:pPr>
      <w:r>
        <w:tab/>
      </w:r>
      <w:r>
        <w:tab/>
      </w:r>
      <w:r>
        <w:rPr>
          <w:bCs/>
        </w:rPr>
        <w:t>Международная правовая помощь</w:t>
      </w:r>
    </w:p>
    <w:p w14:paraId="0B885B8E" w14:textId="5ABA2B94" w:rsidR="00346B2F" w:rsidRPr="00CE6E0A" w:rsidRDefault="00346B2F" w:rsidP="00346B2F">
      <w:pPr>
        <w:pStyle w:val="SingleTxtG"/>
      </w:pPr>
      <w:r>
        <w:t>26.</w:t>
      </w:r>
      <w:r>
        <w:tab/>
        <w:t xml:space="preserve">Принимая к сведению утверждение государства-участника о том, что международное правовое сотрудничество функционирует </w:t>
      </w:r>
      <w:r w:rsidR="006051A1">
        <w:t>«</w:t>
      </w:r>
      <w:r>
        <w:t>нормально</w:t>
      </w:r>
      <w:r w:rsidR="006051A1">
        <w:t>»</w:t>
      </w:r>
      <w:r>
        <w:t xml:space="preserve"> и что все полученные запросы о судебном сотрудничестве удовлетворяются, Комитет сожалеет, что он не получил информации о принятых или планируемых мерах в ответ на возможные запросы о сотрудничестве в делах о насильственных исчезновениях (статьи 14 и 15).</w:t>
      </w:r>
    </w:p>
    <w:p w14:paraId="092D0E30" w14:textId="46F459DB" w:rsidR="00346B2F" w:rsidRPr="00CE6E0A" w:rsidRDefault="00346B2F" w:rsidP="00346B2F">
      <w:pPr>
        <w:pStyle w:val="SingleTxtG"/>
      </w:pPr>
      <w:r>
        <w:t>27.</w:t>
      </w:r>
      <w:r>
        <w:tab/>
      </w:r>
      <w:r>
        <w:rPr>
          <w:b/>
          <w:bCs/>
        </w:rPr>
        <w:t>Комитет рекомендует государству-участнику укрепить существующие механизмы правовой помощи, с тем чтобы гарантировать их эффективность при получении запросов от других государств-участников в соответствии со статьями</w:t>
      </w:r>
      <w:r w:rsidR="00B30C6D">
        <w:rPr>
          <w:b/>
          <w:bCs/>
        </w:rPr>
        <w:t> </w:t>
      </w:r>
      <w:r>
        <w:rPr>
          <w:b/>
          <w:bCs/>
        </w:rPr>
        <w:t>14 и 15 Конвенции.</w:t>
      </w:r>
      <w:r>
        <w:t xml:space="preserve"> </w:t>
      </w:r>
    </w:p>
    <w:p w14:paraId="2085F260" w14:textId="77777777" w:rsidR="00346B2F" w:rsidRPr="00CE6E0A" w:rsidRDefault="00346B2F" w:rsidP="006051A1">
      <w:pPr>
        <w:pStyle w:val="H23G"/>
      </w:pPr>
      <w:r>
        <w:tab/>
        <w:t>4.</w:t>
      </w:r>
      <w:r>
        <w:tab/>
        <w:t>Меры по предупреждению насильственных исчезновений (статьи 16–23)</w:t>
      </w:r>
    </w:p>
    <w:p w14:paraId="4DB0036C" w14:textId="77777777" w:rsidR="00346B2F" w:rsidRPr="00CE6E0A" w:rsidRDefault="00346B2F" w:rsidP="00346B2F">
      <w:pPr>
        <w:pStyle w:val="H23G"/>
      </w:pPr>
      <w:r>
        <w:tab/>
      </w:r>
      <w:r>
        <w:tab/>
      </w:r>
      <w:r>
        <w:tab/>
      </w:r>
      <w:r>
        <w:rPr>
          <w:bCs/>
        </w:rPr>
        <w:t>Недопустимость принудительного возвращения</w:t>
      </w:r>
    </w:p>
    <w:p w14:paraId="74802910" w14:textId="77777777" w:rsidR="00346B2F" w:rsidRPr="00CE6E0A" w:rsidRDefault="00346B2F" w:rsidP="00346B2F">
      <w:pPr>
        <w:pStyle w:val="SingleTxtG"/>
      </w:pPr>
      <w:r>
        <w:t>28.</w:t>
      </w:r>
      <w:r>
        <w:tab/>
        <w:t xml:space="preserve">Комитет принимает к сведению представленную в ходе диалога информацию о критериях и процедурах, применяемых для обеспечения соблюдения принципа недопустимости принудительного возвращения лица, когда есть серьезные основания полагать, что оно может стать жертвой насильственного исчезновения. Вместе с тем он сожалеет, что эти критерии недостаточно четкие, и обеспокоен тем, что национальное законодательство не рассматривает риск насильственного исчезновения </w:t>
      </w:r>
      <w:r>
        <w:lastRenderedPageBreak/>
        <w:t>в качестве основания для того, чтобы не высылать, не возвращать, не выдавать и не экстрадировать соответствующее лицо в другую страну (статьи 13 и 16).</w:t>
      </w:r>
    </w:p>
    <w:p w14:paraId="73B43B0D" w14:textId="77777777" w:rsidR="00346B2F" w:rsidRPr="00CE6E0A" w:rsidRDefault="00346B2F" w:rsidP="00346B2F">
      <w:pPr>
        <w:pStyle w:val="SingleTxtG"/>
        <w:rPr>
          <w:b/>
          <w:bCs/>
        </w:rPr>
      </w:pPr>
      <w:r>
        <w:t>29.</w:t>
      </w:r>
      <w:r>
        <w:tab/>
      </w:r>
      <w:r>
        <w:rPr>
          <w:b/>
          <w:bCs/>
        </w:rPr>
        <w:t>Комитет рекомендует государству-участнику:</w:t>
      </w:r>
    </w:p>
    <w:p w14:paraId="644A65D2" w14:textId="678A7B1E" w:rsidR="00346B2F" w:rsidRPr="00CE6E0A" w:rsidRDefault="00346B2F" w:rsidP="00346B2F">
      <w:pPr>
        <w:pStyle w:val="SingleTxtG"/>
        <w:rPr>
          <w:b/>
          <w:bCs/>
          <w:w w:val="103"/>
        </w:rPr>
      </w:pPr>
      <w:r>
        <w:rPr>
          <w:b/>
          <w:bCs/>
        </w:rPr>
        <w:tab/>
      </w:r>
      <w:r>
        <w:rPr>
          <w:b/>
          <w:bCs/>
        </w:rPr>
        <w:t>a)</w:t>
      </w:r>
      <w:r>
        <w:tab/>
      </w:r>
      <w:r>
        <w:rPr>
          <w:b/>
          <w:bCs/>
        </w:rPr>
        <w:t>включить в свое национальное законодательство четкий запрет высылки, возвращения, выдачи или экстрадиции любого лица при наличии веских оснований полагать, что оно может стать жертвой насильственного исчезновения;</w:t>
      </w:r>
    </w:p>
    <w:p w14:paraId="15310C1F" w14:textId="46A22975" w:rsidR="00346B2F" w:rsidRPr="00CE6E0A" w:rsidRDefault="00346B2F" w:rsidP="00346B2F">
      <w:pPr>
        <w:pStyle w:val="SingleTxtG"/>
        <w:rPr>
          <w:b/>
          <w:bCs/>
        </w:rPr>
      </w:pPr>
      <w:r>
        <w:rPr>
          <w:b/>
          <w:bCs/>
        </w:rPr>
        <w:tab/>
      </w:r>
      <w:r>
        <w:rPr>
          <w:b/>
          <w:bCs/>
        </w:rPr>
        <w:t>b)</w:t>
      </w:r>
      <w:r>
        <w:tab/>
      </w:r>
      <w:r>
        <w:rPr>
          <w:b/>
          <w:bCs/>
        </w:rPr>
        <w:t>обеспечить наличие четких и конкретных критериев и процедур для оценки и проверки риска насильственного исчезновения лица в стране назначения до его высылки, возвращения, выдачи или экстрадиции, а в случае существования такого риска не производить высылку, экстрадицию, выдачу или возвращение этого лица.</w:t>
      </w:r>
    </w:p>
    <w:p w14:paraId="15AACB25" w14:textId="77777777" w:rsidR="00346B2F" w:rsidRPr="00CE6E0A" w:rsidRDefault="00346B2F" w:rsidP="00346B2F">
      <w:pPr>
        <w:pStyle w:val="H23G"/>
      </w:pPr>
      <w:r>
        <w:tab/>
      </w:r>
      <w:r>
        <w:tab/>
      </w:r>
      <w:r>
        <w:rPr>
          <w:bCs/>
        </w:rPr>
        <w:t>Реестры лиц, лишенных свободы</w:t>
      </w:r>
    </w:p>
    <w:p w14:paraId="544001AA" w14:textId="77777777" w:rsidR="00346B2F" w:rsidRPr="00CE6E0A" w:rsidRDefault="00346B2F" w:rsidP="00346B2F">
      <w:pPr>
        <w:pStyle w:val="SingleTxtG"/>
      </w:pPr>
      <w:r>
        <w:t>30.</w:t>
      </w:r>
      <w:r>
        <w:tab/>
        <w:t>Комитет с удовлетворением отмечает тот факт, что администрация тюрем ведет физический и электронный учет лиц, находящихся под стражей в пенитенциарных учреждениях. Однако Комитет обеспокоен тем, что муниципальная и национальная полиция не ведут таких реестров и что существующие реестры не связаны между собой (статьи 17 и 18).</w:t>
      </w:r>
    </w:p>
    <w:p w14:paraId="368CAB94" w14:textId="77777777" w:rsidR="00346B2F" w:rsidRPr="00CE6E0A" w:rsidRDefault="00346B2F" w:rsidP="00346B2F">
      <w:pPr>
        <w:pStyle w:val="SingleTxtG"/>
      </w:pPr>
      <w:r>
        <w:t>31.</w:t>
      </w:r>
      <w:r>
        <w:tab/>
      </w:r>
      <w:r>
        <w:rPr>
          <w:b/>
          <w:bCs/>
        </w:rPr>
        <w:t>Комитет рекомендует государству-участнику обеспечить, чтобы все без исключения случаи лишения свободы с самого начала регистрировались в официальных журналах и/или реестрах, содержащих как минимум информацию, предусмотренную в пункте 3 статьи 17 Конвенции.</w:t>
      </w:r>
      <w:r>
        <w:t xml:space="preserve"> </w:t>
      </w:r>
      <w:r>
        <w:rPr>
          <w:b/>
          <w:bCs/>
        </w:rPr>
        <w:t>Комитет также рекомендует, чтобы:</w:t>
      </w:r>
    </w:p>
    <w:p w14:paraId="4D9F17EB" w14:textId="561D3522" w:rsidR="00346B2F" w:rsidRPr="00CE6E0A" w:rsidRDefault="00346B2F" w:rsidP="00346B2F">
      <w:pPr>
        <w:pStyle w:val="SingleTxtG"/>
        <w:rPr>
          <w:b/>
          <w:bCs/>
        </w:rPr>
      </w:pPr>
      <w:r>
        <w:rPr>
          <w:b/>
          <w:bCs/>
        </w:rPr>
        <w:tab/>
      </w:r>
      <w:r>
        <w:rPr>
          <w:b/>
          <w:bCs/>
        </w:rPr>
        <w:t>a)</w:t>
      </w:r>
      <w:r>
        <w:tab/>
      </w:r>
      <w:r>
        <w:rPr>
          <w:b/>
          <w:bCs/>
        </w:rPr>
        <w:t>журналы или реестры лиц, лишенных свободы, своевременно и точно заполнялись и обновлялись и подлежали периодической проверке, а ответственные должностные лица в случае выявления нарушений несли соответствующие наказания;</w:t>
      </w:r>
    </w:p>
    <w:p w14:paraId="6B657353" w14:textId="398C4C11" w:rsidR="00346B2F" w:rsidRPr="00CE6E0A" w:rsidRDefault="00346B2F" w:rsidP="00346B2F">
      <w:pPr>
        <w:pStyle w:val="SingleTxtG"/>
      </w:pPr>
      <w:r>
        <w:rPr>
          <w:b/>
          <w:bCs/>
        </w:rPr>
        <w:tab/>
      </w:r>
      <w:r>
        <w:rPr>
          <w:b/>
          <w:bCs/>
        </w:rPr>
        <w:t>b)</w:t>
      </w:r>
      <w:r>
        <w:tab/>
      </w:r>
      <w:r>
        <w:rPr>
          <w:b/>
          <w:bCs/>
        </w:rPr>
        <w:t>любое лицо, имеющее законный интерес к этой информации, могло беспрепятственно и незамедлительно получить доступ как минимум к сведениям, перечисленным в пункте 1 статьи 18 Конвенции.</w:t>
      </w:r>
    </w:p>
    <w:p w14:paraId="2E063901" w14:textId="77777777" w:rsidR="00346B2F" w:rsidRPr="00CE6E0A" w:rsidRDefault="00346B2F" w:rsidP="00346B2F">
      <w:pPr>
        <w:pStyle w:val="H23G"/>
      </w:pPr>
      <w:r>
        <w:tab/>
      </w:r>
      <w:r>
        <w:tab/>
      </w:r>
      <w:r>
        <w:rPr>
          <w:bCs/>
        </w:rPr>
        <w:t>Основные правовые гарантии для лиц, лишенных свободы</w:t>
      </w:r>
      <w:r>
        <w:t xml:space="preserve"> </w:t>
      </w:r>
    </w:p>
    <w:p w14:paraId="3FC5ACF6" w14:textId="77777777" w:rsidR="00346B2F" w:rsidRPr="00CE6E0A" w:rsidRDefault="00346B2F" w:rsidP="00346B2F">
      <w:pPr>
        <w:pStyle w:val="SingleTxtG"/>
      </w:pPr>
      <w:r>
        <w:t>32.</w:t>
      </w:r>
      <w:r>
        <w:tab/>
        <w:t xml:space="preserve">Комитет приветствует тот факт, что национальное законодательство предусматривает право лиц, лишенных свободы, незамедлительно связаться с адвокатом, членами своей семьи или любым другим лицом по их выбору. Он также приветствует полученную информацию о применении этих гарантий в случаях общения иностранных граждан с их консульскими учреждениями. Комитет сожалеет, что он не получил достаточной информации об эффективном осуществлении этих гарантий, а также о начатых судебных разбирательствах и примененных санкциях в случаях их несоблюдения (статья 17). </w:t>
      </w:r>
    </w:p>
    <w:p w14:paraId="1D892BCA" w14:textId="27280186" w:rsidR="00346B2F" w:rsidRPr="00CE6E0A" w:rsidRDefault="00346B2F" w:rsidP="00346B2F">
      <w:pPr>
        <w:pStyle w:val="SingleTxtG"/>
        <w:rPr>
          <w:b/>
          <w:bCs/>
        </w:rPr>
      </w:pPr>
      <w:r>
        <w:t>33.</w:t>
      </w:r>
      <w:r>
        <w:tab/>
      </w:r>
      <w:r>
        <w:rPr>
          <w:b/>
          <w:bCs/>
        </w:rPr>
        <w:t>Комитет рекомендует государству-участнику гарантировать в законодательстве и на практике, чтобы всем лишенным свободы лицам, без исключения и независимо от места лишения свободы, предоставлялись все основные правовые гарантии, предусмотренные статьей 17 Конвенции и другими договорами по правам человека, участником которых является Коста-Рика.</w:t>
      </w:r>
      <w:r>
        <w:t xml:space="preserve"> </w:t>
      </w:r>
      <w:r w:rsidR="00B30C6D">
        <w:br/>
      </w:r>
      <w:r>
        <w:rPr>
          <w:b/>
          <w:bCs/>
        </w:rPr>
        <w:t>В частности, государству-участнику следует обеспечить, чтобы все лишенные свободы лица имели доступ к адвокату и могли незамедлительно связаться со своими родственниками или любым лицом по своему выбору, а в случае иностранцев — с их консульскими учреждениями, с самого начала лишения свободы.</w:t>
      </w:r>
    </w:p>
    <w:p w14:paraId="3261B6BB" w14:textId="77777777" w:rsidR="00346B2F" w:rsidRPr="00CE6E0A" w:rsidRDefault="00346B2F" w:rsidP="00346B2F">
      <w:pPr>
        <w:pStyle w:val="H23G"/>
      </w:pPr>
      <w:r>
        <w:lastRenderedPageBreak/>
        <w:tab/>
      </w:r>
      <w:r>
        <w:tab/>
      </w:r>
      <w:r>
        <w:rPr>
          <w:bCs/>
        </w:rPr>
        <w:t>Национальный превентивный механизм</w:t>
      </w:r>
      <w:r>
        <w:t xml:space="preserve"> </w:t>
      </w:r>
    </w:p>
    <w:p w14:paraId="69ABEF4F" w14:textId="77777777" w:rsidR="00346B2F" w:rsidRPr="00CE6E0A" w:rsidRDefault="00346B2F" w:rsidP="00346B2F">
      <w:pPr>
        <w:pStyle w:val="SingleTxtG"/>
      </w:pPr>
      <w:r>
        <w:t>34.</w:t>
      </w:r>
      <w:r>
        <w:tab/>
        <w:t xml:space="preserve">Комитет отмечает представленную в ходе диалога информацию о Национальном механизме по предупреждению пыток и других жестоких, бесчеловечных или унижающих достоинство видов обращения и наказания, и о посещениях его сотрудниками, в том числе во время пандемии коронавирусного заболевания (COVID-19), всех мест, где могут содержаться лишенные свободы лица, независимо от их характера, а также о мерах, принятых для обеспечения Механизма необходимыми ресурсами для эффективного и независимого выполнения своего мандата. Комитет сожалеет, что он не получил информации о проведенных в этой связи расследованиях или о механизмах, имеющихся в местах лишения свободы для подачи жалоб на нарушения прав в Национальный механизм. Комитет сожалеет также, что он не получил информации о наличии других национальных или международных структур или организаций, имеющих доступ к местам лишения свободы (статьи 17, 18, 20 и 22). </w:t>
      </w:r>
    </w:p>
    <w:p w14:paraId="04089F91" w14:textId="77777777" w:rsidR="00346B2F" w:rsidRPr="00CE6E0A" w:rsidRDefault="00346B2F" w:rsidP="00346B2F">
      <w:pPr>
        <w:pStyle w:val="SingleTxtG"/>
      </w:pPr>
      <w:r>
        <w:t>35.</w:t>
      </w:r>
      <w:r>
        <w:tab/>
      </w:r>
      <w:r>
        <w:rPr>
          <w:b/>
          <w:bCs/>
        </w:rPr>
        <w:t>Комитет рекомендует обеспечить, чтобы любое лицо, лишенное свободы, имело доступ к соответствующим механизмам, позволяющим сообщать о нарушениях их прав в соответствующие органы власти, включая Управление Народного защитника и Национальный механизм по предупреждению пыток.</w:t>
      </w:r>
    </w:p>
    <w:p w14:paraId="59DE266F" w14:textId="77777777" w:rsidR="00346B2F" w:rsidRPr="00CE6E0A" w:rsidRDefault="00346B2F" w:rsidP="006051A1">
      <w:pPr>
        <w:pStyle w:val="H23G"/>
      </w:pPr>
      <w:r>
        <w:tab/>
        <w:t>5.</w:t>
      </w:r>
      <w:r>
        <w:tab/>
        <w:t>Меры по защите и обеспечению прав жертв насильственных исчезновений (статья 24)</w:t>
      </w:r>
    </w:p>
    <w:p w14:paraId="3A756956" w14:textId="6C34A8EC" w:rsidR="00346B2F" w:rsidRPr="00CE6E0A" w:rsidRDefault="00346B2F" w:rsidP="00346B2F">
      <w:pPr>
        <w:pStyle w:val="H23G"/>
      </w:pPr>
      <w:r>
        <w:tab/>
      </w:r>
      <w:r>
        <w:tab/>
      </w:r>
      <w:r>
        <w:rPr>
          <w:bCs/>
        </w:rPr>
        <w:t xml:space="preserve">Определение понятия </w:t>
      </w:r>
      <w:r w:rsidR="006051A1">
        <w:rPr>
          <w:bCs/>
        </w:rPr>
        <w:t>«</w:t>
      </w:r>
      <w:r>
        <w:rPr>
          <w:bCs/>
        </w:rPr>
        <w:t>жертва</w:t>
      </w:r>
      <w:r w:rsidR="006051A1">
        <w:rPr>
          <w:bCs/>
        </w:rPr>
        <w:t>»</w:t>
      </w:r>
      <w:r>
        <w:rPr>
          <w:bCs/>
        </w:rPr>
        <w:t xml:space="preserve"> и право на получение оперативного, справедливого и адекватного возмещения ущерба и компенсации</w:t>
      </w:r>
    </w:p>
    <w:p w14:paraId="4556C921" w14:textId="078E5074" w:rsidR="00346B2F" w:rsidRPr="00CE6E0A" w:rsidRDefault="00346B2F" w:rsidP="00346B2F">
      <w:pPr>
        <w:pStyle w:val="SingleTxtG"/>
      </w:pPr>
      <w:r>
        <w:t>36.</w:t>
      </w:r>
      <w:r>
        <w:tab/>
        <w:t xml:space="preserve">Комитет с удовлетворением отмечает все принятые меры по сообщению о пропавших без вести лицах и их поиску, а также, в случае их смерти, по выдаче их тел родственникам. Комитет, однако, сожалеет, что существующее в стране определение </w:t>
      </w:r>
      <w:r w:rsidR="006051A1">
        <w:t>«</w:t>
      </w:r>
      <w:r>
        <w:t>жертвы</w:t>
      </w:r>
      <w:r w:rsidR="006051A1">
        <w:t>»</w:t>
      </w:r>
      <w:r>
        <w:t xml:space="preserve"> не соответствует в полной мере Конвенции, что является препятствием для предоставления жертвам насильственных исчезновений доступа к полному возмещению ущерба в соответствии с ней (статья 24).</w:t>
      </w:r>
    </w:p>
    <w:p w14:paraId="2D6EDC5E" w14:textId="77777777" w:rsidR="00346B2F" w:rsidRPr="00CE6E0A" w:rsidRDefault="00346B2F" w:rsidP="00346B2F">
      <w:pPr>
        <w:pStyle w:val="SingleTxtG"/>
      </w:pPr>
      <w:r>
        <w:t>37.</w:t>
      </w:r>
      <w:r>
        <w:tab/>
      </w:r>
      <w:r>
        <w:rPr>
          <w:b/>
          <w:bCs/>
        </w:rPr>
        <w:t>Комитет рекомендует государству-участнику обеспечить, чтобы все лица, которым был нанесен непосредственный ущерб в результате насильственного исчезновения, могли осуществлять права, закрепленные в Конвенции, в частности права на правосудие, установление истины и получение возмещения.</w:t>
      </w:r>
      <w:r>
        <w:t xml:space="preserve"> </w:t>
      </w:r>
      <w:r>
        <w:rPr>
          <w:b/>
          <w:bCs/>
        </w:rPr>
        <w:t>В этой связи Комитет рекомендует государству-участнику:</w:t>
      </w:r>
    </w:p>
    <w:p w14:paraId="1108D2C6" w14:textId="5CC25F51" w:rsidR="00346B2F" w:rsidRPr="00CE6E0A" w:rsidRDefault="00346B2F" w:rsidP="00346B2F">
      <w:pPr>
        <w:pStyle w:val="SingleTxtG"/>
        <w:rPr>
          <w:b/>
          <w:bCs/>
        </w:rPr>
      </w:pPr>
      <w:r>
        <w:rPr>
          <w:b/>
          <w:bCs/>
        </w:rPr>
        <w:tab/>
      </w:r>
      <w:r>
        <w:rPr>
          <w:b/>
          <w:bCs/>
        </w:rPr>
        <w:t>a)</w:t>
      </w:r>
      <w:r>
        <w:tab/>
      </w:r>
      <w:r>
        <w:rPr>
          <w:b/>
          <w:bCs/>
        </w:rPr>
        <w:t xml:space="preserve">принять определение </w:t>
      </w:r>
      <w:r w:rsidR="006051A1">
        <w:rPr>
          <w:b/>
          <w:bCs/>
        </w:rPr>
        <w:t>«</w:t>
      </w:r>
      <w:r>
        <w:rPr>
          <w:b/>
          <w:bCs/>
        </w:rPr>
        <w:t>жертвы</w:t>
      </w:r>
      <w:r w:rsidR="006051A1">
        <w:rPr>
          <w:b/>
          <w:bCs/>
        </w:rPr>
        <w:t>»</w:t>
      </w:r>
      <w:r>
        <w:rPr>
          <w:b/>
          <w:bCs/>
        </w:rPr>
        <w:t>, соответствующее пункту 1 статьи</w:t>
      </w:r>
      <w:r w:rsidR="00B30C6D">
        <w:rPr>
          <w:b/>
          <w:bCs/>
        </w:rPr>
        <w:t> </w:t>
      </w:r>
      <w:r>
        <w:rPr>
          <w:b/>
          <w:bCs/>
        </w:rPr>
        <w:t>24 Конвенции;</w:t>
      </w:r>
      <w:r>
        <w:t xml:space="preserve"> </w:t>
      </w:r>
    </w:p>
    <w:p w14:paraId="1A8ABA7E" w14:textId="30943F0C" w:rsidR="00346B2F" w:rsidRPr="00CE6E0A" w:rsidRDefault="00346B2F" w:rsidP="00346B2F">
      <w:pPr>
        <w:pStyle w:val="SingleTxtG"/>
        <w:rPr>
          <w:b/>
          <w:bCs/>
        </w:rPr>
      </w:pPr>
      <w:r>
        <w:rPr>
          <w:b/>
          <w:bCs/>
        </w:rPr>
        <w:tab/>
      </w:r>
      <w:r>
        <w:rPr>
          <w:b/>
          <w:bCs/>
        </w:rPr>
        <w:t>b)</w:t>
      </w:r>
      <w:r>
        <w:tab/>
      </w:r>
      <w:r>
        <w:rPr>
          <w:b/>
          <w:bCs/>
        </w:rPr>
        <w:t>обеспечить, чтобы его внутреннее законодательство предусматривало комплексную систему компенсации и возмещения ущерба, которая полностью соответствовала бы пунктам 4 и 5 статьи 24 Конвенции и другим соответствующим международным стандартам, находилась в ведении государства, применялась даже при отсутствии уголовного дела и учитывала конкретные потребности жертв, продиктованные, например, их полом, сексуальной ориентацией, гендерной идентичностью, возрастом, этническим происхождением, социальным положением и инвалидностью.</w:t>
      </w:r>
      <w:r>
        <w:t xml:space="preserve"> </w:t>
      </w:r>
    </w:p>
    <w:p w14:paraId="57212EF7" w14:textId="77777777" w:rsidR="00346B2F" w:rsidRPr="00CE6E0A" w:rsidRDefault="00346B2F" w:rsidP="00346B2F">
      <w:pPr>
        <w:pStyle w:val="H23G"/>
      </w:pPr>
      <w:r>
        <w:tab/>
      </w:r>
      <w:r>
        <w:tab/>
      </w:r>
      <w:r>
        <w:rPr>
          <w:bCs/>
        </w:rPr>
        <w:t>Правовой статус исчезнувших лиц, судьба которых неизвестна, и их родственников</w:t>
      </w:r>
      <w:r>
        <w:t xml:space="preserve"> </w:t>
      </w:r>
    </w:p>
    <w:p w14:paraId="2F13A69A" w14:textId="77777777" w:rsidR="00346B2F" w:rsidRPr="00CE6E0A" w:rsidRDefault="00346B2F" w:rsidP="00346B2F">
      <w:pPr>
        <w:pStyle w:val="SingleTxtG"/>
      </w:pPr>
      <w:r>
        <w:t>38.</w:t>
      </w:r>
      <w:r>
        <w:tab/>
        <w:t xml:space="preserve">Комитет сожалеет, что он не получил четкой информации о правовом положении пропавших без вести лиц, судьба которых </w:t>
      </w:r>
      <w:r w:rsidRPr="003C6441">
        <w:t>неизвестна</w:t>
      </w:r>
      <w:r>
        <w:t>, и их ближайших родственников в отношении таких вопросов, как имущественные права и социальная защита (статья 24).</w:t>
      </w:r>
    </w:p>
    <w:p w14:paraId="1FEB38DD" w14:textId="77777777" w:rsidR="00346B2F" w:rsidRPr="00CE6E0A" w:rsidRDefault="00346B2F" w:rsidP="00346B2F">
      <w:pPr>
        <w:pStyle w:val="SingleTxtG"/>
      </w:pPr>
      <w:r>
        <w:t>39.</w:t>
      </w:r>
      <w:r>
        <w:tab/>
      </w:r>
      <w:r>
        <w:rPr>
          <w:b/>
          <w:bCs/>
        </w:rPr>
        <w:t xml:space="preserve">Комитет рекомендует государству-участнику пересмотреть свое внутреннее законодательство с целью урегулирования должным образом правового статуса исчезнувших лиц, судьба которых неизвестна, и их </w:t>
      </w:r>
      <w:r>
        <w:rPr>
          <w:b/>
          <w:bCs/>
        </w:rPr>
        <w:lastRenderedPageBreak/>
        <w:t>родственников в таких сферах, как социальное обеспечение, финансовые вопросы, семейное право и имущественные права, без необходимости объявления исчезнувшего лица умершим.</w:t>
      </w:r>
      <w:r>
        <w:t xml:space="preserve"> </w:t>
      </w:r>
      <w:r>
        <w:rPr>
          <w:b/>
          <w:bCs/>
        </w:rPr>
        <w:t>В этой связи Комитет обращается к государству-участнику с призывом установить процедуру получения свидетельства о безвестном отсутствии в результате насильственного исчезновения.</w:t>
      </w:r>
    </w:p>
    <w:p w14:paraId="1DF144BD" w14:textId="77777777" w:rsidR="00346B2F" w:rsidRPr="00CE6E0A" w:rsidRDefault="00346B2F" w:rsidP="006051A1">
      <w:pPr>
        <w:pStyle w:val="H23G"/>
      </w:pPr>
      <w:r>
        <w:tab/>
        <w:t>6.</w:t>
      </w:r>
      <w:r>
        <w:tab/>
        <w:t>Меры по защите детей от насильственных исчезновений (статья 25)</w:t>
      </w:r>
    </w:p>
    <w:p w14:paraId="4BE6C0F4" w14:textId="77777777" w:rsidR="00346B2F" w:rsidRPr="00CE6E0A" w:rsidRDefault="00346B2F" w:rsidP="00346B2F">
      <w:pPr>
        <w:pStyle w:val="SingleTxtG"/>
        <w:rPr>
          <w:rFonts w:asciiTheme="majorBidi" w:hAnsiTheme="majorBidi" w:cstheme="majorBidi"/>
          <w:b/>
          <w:bCs/>
        </w:rPr>
      </w:pPr>
      <w:r>
        <w:t>40.</w:t>
      </w:r>
      <w:r>
        <w:tab/>
        <w:t>Комитет принимает к сведению информацию о гарантиях и процедурах, регулирующих международное усыновление/удочерение в государстве-участнике. Вместе с тем он обеспокоен тем, что деяния, описанные в пункте 1 статьи 25 Конвенции, не включены в Уголовный кодекс. Комитет сожалеет также об отсутствии информации о действующих процедурах пересмотра и, при необходимости, аннулирования любого усыновления/удочерения, передачи на воспитание или помещения под опеку в результате насильственного исчезновения, а также о мерах по восстановлению личности детей, включая гражданство, имя и семейные отношения, с соблюдением принципа наилучшего обеспечения интересов ребенка и любых применимых ограничений (статья 25).</w:t>
      </w:r>
    </w:p>
    <w:p w14:paraId="6E85369E" w14:textId="77777777" w:rsidR="00346B2F" w:rsidRPr="00CE6E0A" w:rsidRDefault="00346B2F" w:rsidP="00346B2F">
      <w:pPr>
        <w:pStyle w:val="SingleTxtG"/>
      </w:pPr>
      <w:r>
        <w:t>41.</w:t>
      </w:r>
      <w:r>
        <w:tab/>
      </w:r>
      <w:r>
        <w:rPr>
          <w:b/>
          <w:bCs/>
        </w:rPr>
        <w:t>Комитет рекомендует государству-участнику:</w:t>
      </w:r>
      <w:r>
        <w:t xml:space="preserve"> </w:t>
      </w:r>
    </w:p>
    <w:p w14:paraId="078D2D69" w14:textId="424386E0" w:rsidR="00346B2F" w:rsidRPr="00CE6E0A" w:rsidRDefault="00346B2F" w:rsidP="00346B2F">
      <w:pPr>
        <w:pStyle w:val="SingleTxtG"/>
        <w:rPr>
          <w:b/>
          <w:bCs/>
        </w:rPr>
      </w:pPr>
      <w:r>
        <w:rPr>
          <w:b/>
          <w:bCs/>
        </w:rPr>
        <w:tab/>
      </w:r>
      <w:r>
        <w:rPr>
          <w:b/>
          <w:bCs/>
        </w:rPr>
        <w:t>a)</w:t>
      </w:r>
      <w:r>
        <w:tab/>
      </w:r>
      <w:r>
        <w:rPr>
          <w:b/>
          <w:bCs/>
        </w:rPr>
        <w:t>пересмотреть свое уголовное законодательство, с тем чтобы квалифицировать деяния, упомянутые в пункте 1 статьи 25 Конвенции, в качестве отдельных преступлений и предусмотреть назначение за их совершение мер наказания, соответствующих их особой тяжести;</w:t>
      </w:r>
      <w:r>
        <w:t xml:space="preserve"> </w:t>
      </w:r>
    </w:p>
    <w:p w14:paraId="4E13B8BC" w14:textId="339A1F36" w:rsidR="00346B2F" w:rsidRPr="00CE6E0A" w:rsidRDefault="00346B2F" w:rsidP="00346B2F">
      <w:pPr>
        <w:pStyle w:val="SingleTxtG"/>
        <w:rPr>
          <w:b/>
          <w:bCs/>
        </w:rPr>
      </w:pPr>
      <w:r>
        <w:rPr>
          <w:b/>
          <w:bCs/>
        </w:rPr>
        <w:tab/>
      </w:r>
      <w:r>
        <w:rPr>
          <w:b/>
          <w:bCs/>
        </w:rPr>
        <w:t>b)</w:t>
      </w:r>
      <w:r>
        <w:tab/>
      </w:r>
      <w:r>
        <w:rPr>
          <w:b/>
          <w:bCs/>
        </w:rPr>
        <w:t>установить конкретные процедуры для возвращения несовершеннолетних, упомянутых в пункте 1 а) статьи 25, в их родные семьи;</w:t>
      </w:r>
      <w:r>
        <w:t xml:space="preserve"> </w:t>
      </w:r>
    </w:p>
    <w:p w14:paraId="65A2E8D9" w14:textId="17CD946C" w:rsidR="00346B2F" w:rsidRPr="00CE6E0A" w:rsidRDefault="00346B2F" w:rsidP="00346B2F">
      <w:pPr>
        <w:pStyle w:val="SingleTxtG"/>
      </w:pPr>
      <w:r>
        <w:rPr>
          <w:b/>
          <w:bCs/>
        </w:rPr>
        <w:tab/>
      </w:r>
      <w:r>
        <w:rPr>
          <w:b/>
          <w:bCs/>
        </w:rPr>
        <w:t>c)</w:t>
      </w:r>
      <w:r>
        <w:tab/>
      </w:r>
      <w:r>
        <w:rPr>
          <w:b/>
          <w:bCs/>
        </w:rPr>
        <w:t>установить конкретные процедуры для пересмотра и, при необходимости, признания недействительным любого усыновления/удочерения, передачи на воспитание или помещения под опеку в результате насильственного исчезновения, и для восстановления подлинной личности соответствующих детей с учетом принципа наилучшего обеспечения интересов ребенка.</w:t>
      </w:r>
    </w:p>
    <w:p w14:paraId="35CBC3E5" w14:textId="77777777" w:rsidR="00346B2F" w:rsidRPr="00CE6E0A" w:rsidRDefault="00346B2F" w:rsidP="00346B2F">
      <w:pPr>
        <w:pStyle w:val="H23G"/>
      </w:pPr>
      <w:r>
        <w:tab/>
      </w:r>
      <w:r>
        <w:tab/>
      </w:r>
      <w:r>
        <w:rPr>
          <w:bCs/>
        </w:rPr>
        <w:t>Осуществление прав и обязательств по Конвенции, распространение информации и последующая деятельность</w:t>
      </w:r>
    </w:p>
    <w:p w14:paraId="6526F3B8" w14:textId="77777777" w:rsidR="00346B2F" w:rsidRPr="00CE6E0A" w:rsidRDefault="00346B2F" w:rsidP="00346B2F">
      <w:pPr>
        <w:pStyle w:val="SingleTxtG"/>
      </w:pPr>
      <w:r>
        <w:t>42.</w:t>
      </w:r>
      <w:r>
        <w:tab/>
      </w:r>
      <w:r>
        <w:rPr>
          <w:b/>
          <w:bCs/>
        </w:rPr>
        <w:t>Комитет хотел бы напомнить об обязательствах, взятых на себя государствами при ратификации Конвенции, и в этой связи обращается к государству-участнику с настоятельным призывом обеспечить, чтобы все принимаемые им меры в полной мере соответствовали Конвенции и другим соответствующим международным договорам.</w:t>
      </w:r>
    </w:p>
    <w:p w14:paraId="2260B748" w14:textId="77777777" w:rsidR="00346B2F" w:rsidRPr="00CE6E0A" w:rsidRDefault="00346B2F" w:rsidP="00346B2F">
      <w:pPr>
        <w:pStyle w:val="SingleTxtG"/>
        <w:rPr>
          <w:b/>
          <w:bCs/>
        </w:rPr>
      </w:pPr>
      <w:r>
        <w:t>43.</w:t>
      </w:r>
      <w:r>
        <w:tab/>
      </w:r>
      <w:r>
        <w:rPr>
          <w:b/>
          <w:bCs/>
        </w:rPr>
        <w:t>Комитет хотел бы также подчеркнуть особо пагубные последствия насильственных исчезновений для женщин и детей.</w:t>
      </w:r>
      <w:r>
        <w:t xml:space="preserve"> </w:t>
      </w:r>
      <w:r>
        <w:rPr>
          <w:b/>
          <w:bCs/>
        </w:rPr>
        <w:t>Женщины, ставшие жертвами насильственных исчезновений, в наибольшей степени подвержены сексуальному и другим видам гендерного насилия.</w:t>
      </w:r>
      <w:r>
        <w:t xml:space="preserve"> </w:t>
      </w:r>
      <w:r>
        <w:rPr>
          <w:b/>
          <w:bCs/>
        </w:rPr>
        <w:t>В качестве же членов семьи исчезнувшего лица женщины наиболее подвержены риску столкнуться с неблагоприятными социально-экономическими последствиями, а также с насилием, преследованиями и притеснениями при попытках найти своих близких.</w:t>
      </w:r>
      <w:r>
        <w:t xml:space="preserve"> </w:t>
      </w:r>
      <w:r>
        <w:rPr>
          <w:b/>
          <w:bCs/>
        </w:rPr>
        <w:t>Дети, ставшие жертвами насильственного исчезновения, независимо от того, подверглись ли они ему сами или страдают от последствий исчезновения родственника, особенно уязвимы к многочисленным нарушениям прав человека.</w:t>
      </w:r>
      <w:r>
        <w:t xml:space="preserve"> </w:t>
      </w:r>
      <w:r>
        <w:rPr>
          <w:b/>
          <w:bCs/>
        </w:rPr>
        <w:t>В этой связи Комитет обращает особое внимание на необходимость обеспечения государством-участником систематического учета гендерных вопросов и особых потребностей женщин и детей при выполнении рекомендаций, содержащихся в настоящих заключительных замечаниях, а также всех прав и обязанностей, предусмотренных Конвенцией.</w:t>
      </w:r>
    </w:p>
    <w:p w14:paraId="73640C09" w14:textId="77777777" w:rsidR="00346B2F" w:rsidRPr="00CE6E0A" w:rsidRDefault="00346B2F" w:rsidP="00346B2F">
      <w:pPr>
        <w:pStyle w:val="SingleTxtG"/>
      </w:pPr>
      <w:r>
        <w:t>44.</w:t>
      </w:r>
      <w:r>
        <w:tab/>
      </w:r>
      <w:r>
        <w:rPr>
          <w:b/>
          <w:bCs/>
        </w:rPr>
        <w:t xml:space="preserve">Государству-участнику рекомендуется обеспечить широкое распространение текста Конвенции, его доклада, представленного в соответствии с пунктом 1 статьи 29 Конвенции, письменных ответов на </w:t>
      </w:r>
      <w:r>
        <w:rPr>
          <w:b/>
          <w:bCs/>
        </w:rPr>
        <w:lastRenderedPageBreak/>
        <w:t>составленный Комитетом перечень вопросов и настоящих заключительных замечаний в целях повышения уровня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а также населения в целом.</w:t>
      </w:r>
      <w:r>
        <w:t xml:space="preserve"> </w:t>
      </w:r>
      <w:r>
        <w:rPr>
          <w:b/>
          <w:bCs/>
        </w:rPr>
        <w:t>Комитет также призывает государство-участник поощрять участие гражданского общества в процессе выполнения рекомендаций, содержащихся в настоящих заключительных замечаниях.</w:t>
      </w:r>
    </w:p>
    <w:p w14:paraId="602EAF07" w14:textId="77777777" w:rsidR="00346B2F" w:rsidRPr="00CE6E0A" w:rsidRDefault="00346B2F" w:rsidP="00346B2F">
      <w:pPr>
        <w:pStyle w:val="SingleTxtG"/>
        <w:rPr>
          <w:b/>
          <w:bCs/>
        </w:rPr>
      </w:pPr>
      <w:r>
        <w:t>45.</w:t>
      </w:r>
      <w:r>
        <w:tab/>
      </w:r>
      <w:r>
        <w:rPr>
          <w:b/>
          <w:bCs/>
        </w:rPr>
        <w:t>В соответствии с пунктом 4 статьи 29 Конвенции и в целях укрепления своего сотрудничества с государством-участником Комитет обращается к государству-участнику с просьбой представить до 2023 года конкретную и обновленную информацию о выполнении всех его рекомендаций, а также любую новую информацию о выполнении обязательств, вытекающих из Конвенции, со времени принятия настоящих заключительных замечаний.</w:t>
      </w:r>
      <w:r>
        <w:t xml:space="preserve"> </w:t>
      </w:r>
      <w:r>
        <w:rPr>
          <w:b/>
          <w:bCs/>
        </w:rPr>
        <w:t>Документ должен быть подготовлен согласно руководящим принципам, касающимся формы и содержания докладов, которые подлежат представлению государствами-участниками в соответствии со статьей 29 Конвенции</w:t>
      </w:r>
      <w:r w:rsidRPr="00EA07E0">
        <w:rPr>
          <w:sz w:val="18"/>
          <w:szCs w:val="18"/>
          <w:vertAlign w:val="superscript"/>
        </w:rPr>
        <w:footnoteReference w:id="6"/>
      </w:r>
      <w:r>
        <w:rPr>
          <w:b/>
          <w:bCs/>
        </w:rPr>
        <w:t>.</w:t>
      </w:r>
      <w:r>
        <w:t xml:space="preserve"> </w:t>
      </w:r>
      <w:r>
        <w:rPr>
          <w:b/>
          <w:bCs/>
        </w:rPr>
        <w:t>Комитет призывает государство-участник привлечь к процессу подготовки этой информации гражданское общество.</w:t>
      </w:r>
      <w:r>
        <w:t xml:space="preserve"> </w:t>
      </w:r>
    </w:p>
    <w:p w14:paraId="79FD7FD3" w14:textId="77777777" w:rsidR="00346B2F" w:rsidRPr="00CE6E0A" w:rsidRDefault="00346B2F" w:rsidP="00346B2F">
      <w:pPr>
        <w:pStyle w:val="SingleTxtG"/>
        <w:spacing w:before="240" w:after="0"/>
        <w:jc w:val="center"/>
        <w:rPr>
          <w:u w:val="single"/>
          <w:lang w:val="es-ES_tradnl"/>
        </w:rPr>
      </w:pPr>
      <w:r w:rsidRPr="00CE6E0A">
        <w:rPr>
          <w:u w:val="single"/>
          <w:lang w:val="es-ES_tradnl"/>
        </w:rPr>
        <w:tab/>
      </w:r>
      <w:r w:rsidRPr="00CE6E0A">
        <w:rPr>
          <w:u w:val="single"/>
          <w:lang w:val="es-ES_tradnl"/>
        </w:rPr>
        <w:tab/>
      </w:r>
      <w:r w:rsidRPr="00CE6E0A">
        <w:rPr>
          <w:u w:val="single"/>
          <w:lang w:val="es-ES_tradnl"/>
        </w:rPr>
        <w:tab/>
      </w:r>
    </w:p>
    <w:p w14:paraId="1D7F04E4" w14:textId="0BE18912" w:rsidR="00346B2F" w:rsidRPr="00346B2F" w:rsidRDefault="00346B2F" w:rsidP="008027E5">
      <w:pPr>
        <w:rPr>
          <w:lang w:val="es-ES_tradnl"/>
        </w:rPr>
      </w:pPr>
    </w:p>
    <w:sectPr w:rsidR="00346B2F" w:rsidRPr="00346B2F" w:rsidSect="00346B2F">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82B92" w14:textId="77777777" w:rsidR="00747BEE" w:rsidRPr="00A312BC" w:rsidRDefault="00747BEE" w:rsidP="00A312BC"/>
  </w:endnote>
  <w:endnote w:type="continuationSeparator" w:id="0">
    <w:p w14:paraId="79A320CB" w14:textId="77777777" w:rsidR="00747BEE" w:rsidRPr="00A312BC" w:rsidRDefault="00747BE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C48A7" w14:textId="52C12082" w:rsidR="00346B2F" w:rsidRPr="00346B2F" w:rsidRDefault="00346B2F">
    <w:pPr>
      <w:pStyle w:val="a8"/>
    </w:pPr>
    <w:r w:rsidRPr="00346B2F">
      <w:rPr>
        <w:b/>
        <w:sz w:val="18"/>
      </w:rPr>
      <w:fldChar w:fldCharType="begin"/>
    </w:r>
    <w:r w:rsidRPr="00346B2F">
      <w:rPr>
        <w:b/>
        <w:sz w:val="18"/>
      </w:rPr>
      <w:instrText xml:space="preserve"> PAGE  \* MERGEFORMAT </w:instrText>
    </w:r>
    <w:r w:rsidRPr="00346B2F">
      <w:rPr>
        <w:b/>
        <w:sz w:val="18"/>
      </w:rPr>
      <w:fldChar w:fldCharType="separate"/>
    </w:r>
    <w:r w:rsidRPr="00346B2F">
      <w:rPr>
        <w:b/>
        <w:noProof/>
        <w:sz w:val="18"/>
      </w:rPr>
      <w:t>2</w:t>
    </w:r>
    <w:r w:rsidRPr="00346B2F">
      <w:rPr>
        <w:b/>
        <w:sz w:val="18"/>
      </w:rPr>
      <w:fldChar w:fldCharType="end"/>
    </w:r>
    <w:r>
      <w:rPr>
        <w:b/>
        <w:sz w:val="18"/>
      </w:rPr>
      <w:tab/>
    </w:r>
    <w:r>
      <w:t>GE.23-06235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C7890" w14:textId="3D9D44A8" w:rsidR="00346B2F" w:rsidRPr="00346B2F" w:rsidRDefault="00346B2F" w:rsidP="00346B2F">
    <w:pPr>
      <w:pStyle w:val="a8"/>
      <w:tabs>
        <w:tab w:val="clear" w:pos="9639"/>
        <w:tab w:val="right" w:pos="9638"/>
      </w:tabs>
      <w:rPr>
        <w:b/>
        <w:sz w:val="18"/>
      </w:rPr>
    </w:pPr>
    <w:r>
      <w:t>GE.23-06235</w:t>
    </w:r>
    <w:r>
      <w:tab/>
    </w:r>
    <w:r w:rsidRPr="00346B2F">
      <w:rPr>
        <w:b/>
        <w:sz w:val="18"/>
      </w:rPr>
      <w:fldChar w:fldCharType="begin"/>
    </w:r>
    <w:r w:rsidRPr="00346B2F">
      <w:rPr>
        <w:b/>
        <w:sz w:val="18"/>
      </w:rPr>
      <w:instrText xml:space="preserve"> PAGE  \* MERGEFORMAT </w:instrText>
    </w:r>
    <w:r w:rsidRPr="00346B2F">
      <w:rPr>
        <w:b/>
        <w:sz w:val="18"/>
      </w:rPr>
      <w:fldChar w:fldCharType="separate"/>
    </w:r>
    <w:r w:rsidRPr="00346B2F">
      <w:rPr>
        <w:b/>
        <w:noProof/>
        <w:sz w:val="18"/>
      </w:rPr>
      <w:t>3</w:t>
    </w:r>
    <w:r w:rsidRPr="00346B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98394" w14:textId="23045F5D" w:rsidR="00042B72" w:rsidRPr="00346B2F" w:rsidRDefault="00346B2F" w:rsidP="00346B2F">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DFE9B4B" wp14:editId="62F2B82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23-06235  (R)</w:t>
    </w:r>
    <w:r>
      <w:rPr>
        <w:noProof/>
      </w:rPr>
      <w:drawing>
        <wp:anchor distT="0" distB="0" distL="114300" distR="114300" simplePos="0" relativeHeight="251659264" behindDoc="0" locked="0" layoutInCell="1" allowOverlap="1" wp14:anchorId="00682364" wp14:editId="3534793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030723  290823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EBE8E" w14:textId="77777777" w:rsidR="00747BEE" w:rsidRPr="001075E9" w:rsidRDefault="00747BEE" w:rsidP="001075E9">
      <w:pPr>
        <w:tabs>
          <w:tab w:val="right" w:pos="2155"/>
        </w:tabs>
        <w:spacing w:after="80" w:line="240" w:lineRule="auto"/>
        <w:ind w:left="680"/>
        <w:rPr>
          <w:u w:val="single"/>
        </w:rPr>
      </w:pPr>
      <w:r>
        <w:rPr>
          <w:u w:val="single"/>
        </w:rPr>
        <w:tab/>
      </w:r>
    </w:p>
  </w:footnote>
  <w:footnote w:type="continuationSeparator" w:id="0">
    <w:p w14:paraId="2E3228AA" w14:textId="77777777" w:rsidR="00747BEE" w:rsidRDefault="00747BEE" w:rsidP="00407B78">
      <w:pPr>
        <w:tabs>
          <w:tab w:val="right" w:pos="2155"/>
        </w:tabs>
        <w:spacing w:after="80"/>
        <w:ind w:left="680"/>
        <w:rPr>
          <w:u w:val="single"/>
        </w:rPr>
      </w:pPr>
      <w:r>
        <w:rPr>
          <w:u w:val="single"/>
        </w:rPr>
        <w:tab/>
      </w:r>
    </w:p>
  </w:footnote>
  <w:footnote w:id="1">
    <w:p w14:paraId="0D1DAB28" w14:textId="77777777" w:rsidR="00346B2F" w:rsidRPr="00B95D33" w:rsidRDefault="00346B2F" w:rsidP="00346B2F">
      <w:pPr>
        <w:pStyle w:val="ad"/>
      </w:pPr>
      <w:r>
        <w:tab/>
      </w:r>
      <w:r w:rsidRPr="00346B2F">
        <w:rPr>
          <w:sz w:val="20"/>
        </w:rPr>
        <w:t>*</w:t>
      </w:r>
      <w:r>
        <w:tab/>
        <w:t>Приняты Комитетом на его двадцать четвертой сессии (20−31 марта 2023 года).</w:t>
      </w:r>
    </w:p>
  </w:footnote>
  <w:footnote w:id="2">
    <w:p w14:paraId="463BC76B" w14:textId="187E4A3F" w:rsidR="00346B2F" w:rsidRPr="00346B2F" w:rsidRDefault="00346B2F" w:rsidP="00346B2F">
      <w:pPr>
        <w:pStyle w:val="ad"/>
        <w:widowControl w:val="0"/>
        <w:rPr>
          <w:lang w:val="en-US"/>
        </w:rPr>
      </w:pPr>
      <w:r>
        <w:tab/>
      </w:r>
      <w:r>
        <w:rPr>
          <w:rStyle w:val="aa"/>
        </w:rPr>
        <w:footnoteRef/>
      </w:r>
      <w:r w:rsidRPr="00350158">
        <w:rPr>
          <w:lang w:val="en-US"/>
        </w:rPr>
        <w:tab/>
      </w:r>
      <w:hyperlink r:id="rId1" w:history="1">
        <w:r w:rsidRPr="00346B2F">
          <w:rPr>
            <w:rStyle w:val="af1"/>
            <w:lang w:val="en-US"/>
          </w:rPr>
          <w:t>CED/C/CRI/1</w:t>
        </w:r>
      </w:hyperlink>
      <w:r w:rsidRPr="00350158">
        <w:rPr>
          <w:lang w:val="en-US"/>
        </w:rPr>
        <w:t>.</w:t>
      </w:r>
    </w:p>
  </w:footnote>
  <w:footnote w:id="3">
    <w:p w14:paraId="7E5E1BF3" w14:textId="3724585C" w:rsidR="00346B2F" w:rsidRPr="00346B2F" w:rsidRDefault="00346B2F" w:rsidP="00346B2F">
      <w:pPr>
        <w:pStyle w:val="ad"/>
        <w:widowControl w:val="0"/>
        <w:rPr>
          <w:lang w:val="en-US"/>
        </w:rPr>
      </w:pPr>
      <w:r w:rsidRPr="00350158">
        <w:rPr>
          <w:lang w:val="en-US"/>
        </w:rPr>
        <w:tab/>
      </w:r>
      <w:r w:rsidRPr="006817AF">
        <w:rPr>
          <w:rStyle w:val="aa"/>
        </w:rPr>
        <w:footnoteRef/>
      </w:r>
      <w:r w:rsidRPr="00350158">
        <w:rPr>
          <w:lang w:val="en-US"/>
        </w:rPr>
        <w:tab/>
      </w:r>
      <w:r>
        <w:t>См</w:t>
      </w:r>
      <w:r w:rsidRPr="00350158">
        <w:rPr>
          <w:lang w:val="en-US"/>
        </w:rPr>
        <w:t xml:space="preserve">. </w:t>
      </w:r>
      <w:hyperlink r:id="rId2" w:history="1">
        <w:r w:rsidRPr="00346B2F">
          <w:rPr>
            <w:rStyle w:val="af1"/>
            <w:lang w:val="en-US"/>
          </w:rPr>
          <w:t>CED/C/SR.427</w:t>
        </w:r>
      </w:hyperlink>
      <w:r w:rsidRPr="00350158">
        <w:rPr>
          <w:lang w:val="en-US"/>
        </w:rPr>
        <w:t xml:space="preserve"> </w:t>
      </w:r>
      <w:r>
        <w:t>и</w:t>
      </w:r>
      <w:r w:rsidRPr="00350158">
        <w:rPr>
          <w:lang w:val="en-US"/>
        </w:rPr>
        <w:t xml:space="preserve"> </w:t>
      </w:r>
      <w:hyperlink r:id="rId3" w:history="1">
        <w:r w:rsidRPr="00346B2F">
          <w:rPr>
            <w:rStyle w:val="af1"/>
            <w:lang w:val="en-US"/>
          </w:rPr>
          <w:t>CED/C/SR.429</w:t>
        </w:r>
      </w:hyperlink>
      <w:r w:rsidRPr="00350158">
        <w:rPr>
          <w:lang w:val="en-US"/>
        </w:rPr>
        <w:t>.</w:t>
      </w:r>
    </w:p>
  </w:footnote>
  <w:footnote w:id="4">
    <w:p w14:paraId="7B632F70" w14:textId="77777777" w:rsidR="00346B2F" w:rsidRPr="00F31D00" w:rsidRDefault="00346B2F" w:rsidP="00346B2F">
      <w:pPr>
        <w:pStyle w:val="af"/>
      </w:pPr>
      <w:r w:rsidRPr="00350158">
        <w:rPr>
          <w:lang w:val="en-US"/>
        </w:rPr>
        <w:tab/>
      </w:r>
      <w:r w:rsidRPr="006817AF">
        <w:rPr>
          <w:rStyle w:val="aa"/>
        </w:rPr>
        <w:footnoteRef/>
      </w:r>
      <w:r>
        <w:t xml:space="preserve"> </w:t>
      </w:r>
      <w:r>
        <w:tab/>
        <w:t>Коста-Рика не является участником Международной конвенции о защите прав всех трудящихся-мигрантов и членов их семей.</w:t>
      </w:r>
    </w:p>
  </w:footnote>
  <w:footnote w:id="5">
    <w:p w14:paraId="271FC6C3" w14:textId="77777777" w:rsidR="00346B2F" w:rsidRPr="005054B8" w:rsidRDefault="00346B2F" w:rsidP="00346B2F">
      <w:pPr>
        <w:pStyle w:val="ad"/>
      </w:pPr>
      <w:r>
        <w:tab/>
      </w:r>
      <w:r>
        <w:rPr>
          <w:rStyle w:val="aa"/>
        </w:rPr>
        <w:footnoteRef/>
      </w:r>
      <w:r>
        <w:tab/>
      </w:r>
      <w:r>
        <w:tab/>
        <w:t>Комитет отмечает, что государство-участник направило статистические данные о числе пропавших без вести лиц 3 апреля 2023 года после диалога с Комитетом.</w:t>
      </w:r>
    </w:p>
  </w:footnote>
  <w:footnote w:id="6">
    <w:p w14:paraId="0918F00C" w14:textId="27177EE8" w:rsidR="00346B2F" w:rsidRPr="00D26711" w:rsidRDefault="00346B2F" w:rsidP="00346B2F">
      <w:pPr>
        <w:pStyle w:val="ad"/>
      </w:pPr>
      <w:r w:rsidRPr="00D26711">
        <w:tab/>
      </w:r>
      <w:r w:rsidRPr="006301FB">
        <w:rPr>
          <w:rStyle w:val="aa"/>
        </w:rPr>
        <w:footnoteRef/>
      </w:r>
      <w:r>
        <w:t xml:space="preserve"> </w:t>
      </w:r>
      <w:r>
        <w:tab/>
      </w:r>
      <w:hyperlink r:id="rId4" w:history="1">
        <w:r w:rsidRPr="00346B2F">
          <w:rPr>
            <w:rStyle w:val="af1"/>
          </w:rPr>
          <w:t>CED/C/2</w:t>
        </w:r>
      </w:hyperlink>
      <w:r>
        <w:t>, п.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A3912" w14:textId="3969138C" w:rsidR="00346B2F" w:rsidRPr="00346B2F" w:rsidRDefault="00346B2F">
    <w:pPr>
      <w:pStyle w:val="a5"/>
    </w:pPr>
    <w:fldSimple w:instr=" TITLE  \* MERGEFORMAT ">
      <w:r w:rsidR="002D0ADF">
        <w:t>CED/C/CRI/CO/1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1C67A" w14:textId="4FAA111D" w:rsidR="00346B2F" w:rsidRPr="00346B2F" w:rsidRDefault="00346B2F" w:rsidP="00346B2F">
    <w:pPr>
      <w:pStyle w:val="a5"/>
      <w:jc w:val="right"/>
    </w:pPr>
    <w:fldSimple w:instr=" TITLE  \* MERGEFORMAT ">
      <w:r w:rsidR="002D0ADF">
        <w:t>CED/C/CRI/CO/1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BEE"/>
    <w:rsid w:val="00033EE1"/>
    <w:rsid w:val="00042B72"/>
    <w:rsid w:val="00046E2F"/>
    <w:rsid w:val="00052360"/>
    <w:rsid w:val="000558BD"/>
    <w:rsid w:val="000B57E7"/>
    <w:rsid w:val="000B6373"/>
    <w:rsid w:val="000F09DF"/>
    <w:rsid w:val="000F2F61"/>
    <w:rsid w:val="000F61B2"/>
    <w:rsid w:val="001075E9"/>
    <w:rsid w:val="00180183"/>
    <w:rsid w:val="0018024D"/>
    <w:rsid w:val="0018649F"/>
    <w:rsid w:val="00196389"/>
    <w:rsid w:val="001B3EF6"/>
    <w:rsid w:val="001C7A89"/>
    <w:rsid w:val="00206F9C"/>
    <w:rsid w:val="00215F21"/>
    <w:rsid w:val="00277A08"/>
    <w:rsid w:val="002A2EFC"/>
    <w:rsid w:val="002C0E18"/>
    <w:rsid w:val="002D0ADF"/>
    <w:rsid w:val="002D5AAC"/>
    <w:rsid w:val="002E5067"/>
    <w:rsid w:val="002F405F"/>
    <w:rsid w:val="002F7EEC"/>
    <w:rsid w:val="00301299"/>
    <w:rsid w:val="00305C08"/>
    <w:rsid w:val="00307FB6"/>
    <w:rsid w:val="00317339"/>
    <w:rsid w:val="00322004"/>
    <w:rsid w:val="003402C2"/>
    <w:rsid w:val="00346B2F"/>
    <w:rsid w:val="00381C24"/>
    <w:rsid w:val="003958D0"/>
    <w:rsid w:val="003B00E5"/>
    <w:rsid w:val="003D578C"/>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F0B42"/>
    <w:rsid w:val="006051A1"/>
    <w:rsid w:val="00681A10"/>
    <w:rsid w:val="006A1ED8"/>
    <w:rsid w:val="006B2965"/>
    <w:rsid w:val="006C2031"/>
    <w:rsid w:val="006D461A"/>
    <w:rsid w:val="006F35EE"/>
    <w:rsid w:val="007021FF"/>
    <w:rsid w:val="00712895"/>
    <w:rsid w:val="00725545"/>
    <w:rsid w:val="00747BEE"/>
    <w:rsid w:val="00757357"/>
    <w:rsid w:val="007601E9"/>
    <w:rsid w:val="008027E5"/>
    <w:rsid w:val="008227B1"/>
    <w:rsid w:val="00825F8D"/>
    <w:rsid w:val="00834B71"/>
    <w:rsid w:val="0086445C"/>
    <w:rsid w:val="00877609"/>
    <w:rsid w:val="00894693"/>
    <w:rsid w:val="008A08D7"/>
    <w:rsid w:val="008B6909"/>
    <w:rsid w:val="008D37CE"/>
    <w:rsid w:val="00906890"/>
    <w:rsid w:val="00911BE4"/>
    <w:rsid w:val="00942A43"/>
    <w:rsid w:val="00951972"/>
    <w:rsid w:val="009608F3"/>
    <w:rsid w:val="009A24AC"/>
    <w:rsid w:val="00A14DA8"/>
    <w:rsid w:val="00A312BC"/>
    <w:rsid w:val="00A84021"/>
    <w:rsid w:val="00A84D35"/>
    <w:rsid w:val="00A917B3"/>
    <w:rsid w:val="00AB4B51"/>
    <w:rsid w:val="00B10CC7"/>
    <w:rsid w:val="00B30C6D"/>
    <w:rsid w:val="00B36DF7"/>
    <w:rsid w:val="00B539E7"/>
    <w:rsid w:val="00B54E04"/>
    <w:rsid w:val="00B62458"/>
    <w:rsid w:val="00BC18B2"/>
    <w:rsid w:val="00BD33EE"/>
    <w:rsid w:val="00C106D6"/>
    <w:rsid w:val="00C60F0C"/>
    <w:rsid w:val="00C805C9"/>
    <w:rsid w:val="00C92939"/>
    <w:rsid w:val="00CA1679"/>
    <w:rsid w:val="00CA24E6"/>
    <w:rsid w:val="00CB151C"/>
    <w:rsid w:val="00CE5A1A"/>
    <w:rsid w:val="00CF55F6"/>
    <w:rsid w:val="00D33D63"/>
    <w:rsid w:val="00D36B65"/>
    <w:rsid w:val="00D55C9D"/>
    <w:rsid w:val="00D90028"/>
    <w:rsid w:val="00D90138"/>
    <w:rsid w:val="00DB0902"/>
    <w:rsid w:val="00DD78D1"/>
    <w:rsid w:val="00DE32CD"/>
    <w:rsid w:val="00DF71B9"/>
    <w:rsid w:val="00E61978"/>
    <w:rsid w:val="00E73F76"/>
    <w:rsid w:val="00EA07E0"/>
    <w:rsid w:val="00EA2C9F"/>
    <w:rsid w:val="00EA420E"/>
    <w:rsid w:val="00ED0BDA"/>
    <w:rsid w:val="00EF1360"/>
    <w:rsid w:val="00EF3220"/>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0EE8E4"/>
  <w15:docId w15:val="{49D99F97-1F4B-4B99-BA56-FC631822E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Footnote,callout,Footnote Refernece,Footnote Reference Number,Fußnotenzeichen_Raxen,BVI fnr,Fago Fußnotenzeichen,Footnotes refss,Style 10,ftref,16 Point,Superscript 6 Point,Footnote number,Endnote Text1,Ref,de nota al pie"/>
    <w:basedOn w:val="a0"/>
    <w:link w:val="4GCharChar"/>
    <w:uiPriority w:val="3"/>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Car,Footnote reference,FA Fu,Footnote Text Char Char Char Char Char,Footnote Text Char Char Char Char,Footnote Text Char Char Char,Car,Car Car,Car Car Car,Footnote Text Cha,FA Fußnotentext,FA Fuﬂnotentext,Footnote Text Char Char"/>
    <w:basedOn w:val="a"/>
    <w:link w:val="ae"/>
    <w:uiPriority w:val="3"/>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Car Знак,Footnote reference Знак,FA Fu Знак,Footnote Text Char Char Char Char Char Знак,Footnote Text Char Char Char Char Знак,Footnote Text Char Char Char Знак,Car Знак,Car Car Знак,Car Car Car Знак,Footnote Text Cha Знак"/>
    <w:basedOn w:val="a0"/>
    <w:link w:val="ad"/>
    <w:uiPriority w:val="3"/>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HChGChar">
    <w:name w:val="_ H _Ch_G Char"/>
    <w:link w:val="HChG"/>
    <w:rsid w:val="00346B2F"/>
    <w:rPr>
      <w:b/>
      <w:sz w:val="28"/>
      <w:lang w:val="ru-RU" w:eastAsia="ru-RU"/>
    </w:rPr>
  </w:style>
  <w:style w:type="character" w:customStyle="1" w:styleId="SingleTxtGChar">
    <w:name w:val="_ Single Txt_G Char"/>
    <w:link w:val="SingleTxtG"/>
    <w:rsid w:val="00346B2F"/>
    <w:rPr>
      <w:lang w:val="ru-RU"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a"/>
    <w:uiPriority w:val="3"/>
    <w:rsid w:val="00346B2F"/>
    <w:pPr>
      <w:suppressAutoHyphens w:val="0"/>
      <w:spacing w:after="160" w:line="240" w:lineRule="exact"/>
    </w:pPr>
    <w:rPr>
      <w:rFonts w:eastAsia="Times New Roman" w:cs="Times New Roman"/>
      <w:sz w:val="18"/>
      <w:szCs w:val="20"/>
      <w:vertAlign w:val="superscript"/>
      <w:lang w:val="es-ES" w:eastAsia="es-ES"/>
    </w:rPr>
  </w:style>
  <w:style w:type="character" w:customStyle="1" w:styleId="Ninguno">
    <w:name w:val="Ninguno"/>
    <w:rsid w:val="00346B2F"/>
    <w:rPr>
      <w:lang w:val="de-DE"/>
    </w:rPr>
  </w:style>
  <w:style w:type="character" w:styleId="af3">
    <w:name w:val="Unresolved Mention"/>
    <w:basedOn w:val="a0"/>
    <w:uiPriority w:val="99"/>
    <w:semiHidden/>
    <w:unhideWhenUsed/>
    <w:rsid w:val="00346B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ED/C/SR.429" TargetMode="External"/><Relationship Id="rId2" Type="http://schemas.openxmlformats.org/officeDocument/2006/relationships/hyperlink" Target="http://undocs.org/ru/CED/C/SR.427" TargetMode="External"/><Relationship Id="rId1" Type="http://schemas.openxmlformats.org/officeDocument/2006/relationships/hyperlink" Target="https://undocs.org/es/CED/C/CRI/1" TargetMode="External"/><Relationship Id="rId4" Type="http://schemas.openxmlformats.org/officeDocument/2006/relationships/hyperlink" Target="http://undocs.org/ru/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9</Pages>
  <Words>3193</Words>
  <Characters>22748</Characters>
  <Application>Microsoft Office Word</Application>
  <DocSecurity>0</DocSecurity>
  <Lines>2068</Lines>
  <Paragraphs>540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CED/C/CRI/CO/1</vt:lpstr>
      <vt:lpstr>A/</vt:lpstr>
      <vt:lpstr>A/</vt:lpstr>
    </vt:vector>
  </TitlesOfParts>
  <Company>DCM</Company>
  <LinksUpToDate>false</LinksUpToDate>
  <CharactersWithSpaces>25401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CED/C/CRI/CO/1</dc:title>
  <dc:subject/>
  <dc:creator>No author</dc:creator>
  <cp:keywords/>
  <cp:lastModifiedBy>No author</cp:lastModifiedBy>
  <cp:revision>3</cp:revision>
  <cp:lastPrinted>2023-08-29T08:00:00Z</cp:lastPrinted>
  <dcterms:created xsi:type="dcterms:W3CDTF">2023-08-29T08:00:00Z</dcterms:created>
  <dcterms:modified xsi:type="dcterms:W3CDTF">2023-08-29T08:01:00Z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